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02077">
      <w:pPr>
        <w:adjustRightInd w:val="0"/>
        <w:snapToGrid w:val="0"/>
        <w:spacing w:before="2400"/>
        <w:jc w:val="center"/>
        <w:outlineLvl w:val="0"/>
        <w:rPr>
          <w:bCs/>
          <w:color w:val="auto"/>
          <w:sz w:val="72"/>
          <w:szCs w:val="72"/>
          <w:highlight w:val="none"/>
        </w:rPr>
      </w:pPr>
      <w:r>
        <w:rPr>
          <w:rFonts w:hAnsi="宋体"/>
          <w:bCs/>
          <w:color w:val="auto"/>
          <w:sz w:val="72"/>
          <w:szCs w:val="72"/>
          <w:highlight w:val="none"/>
        </w:rPr>
        <w:t>建设项目环境影响报告表</w:t>
      </w:r>
    </w:p>
    <w:p w14:paraId="4AEF21D7">
      <w:pPr>
        <w:adjustRightInd w:val="0"/>
        <w:snapToGrid w:val="0"/>
        <w:spacing w:before="192" w:beforeLines="80"/>
        <w:jc w:val="center"/>
        <w:rPr>
          <w:bCs/>
          <w:color w:val="auto"/>
          <w:sz w:val="48"/>
          <w:szCs w:val="48"/>
          <w:highlight w:val="none"/>
        </w:rPr>
      </w:pPr>
      <w:r>
        <w:rPr>
          <w:rFonts w:hAnsi="宋体"/>
          <w:bCs/>
          <w:color w:val="auto"/>
          <w:sz w:val="48"/>
          <w:szCs w:val="48"/>
          <w:highlight w:val="none"/>
        </w:rPr>
        <w:t>（污染影响类）</w:t>
      </w:r>
    </w:p>
    <w:p w14:paraId="031849DD">
      <w:pPr>
        <w:jc w:val="center"/>
        <w:rPr>
          <w:color w:val="auto"/>
          <w:kern w:val="44"/>
          <w:sz w:val="44"/>
          <w:szCs w:val="44"/>
          <w:highlight w:val="none"/>
        </w:rPr>
      </w:pPr>
    </w:p>
    <w:p w14:paraId="4CF9343B">
      <w:pPr>
        <w:jc w:val="center"/>
        <w:rPr>
          <w:color w:val="auto"/>
          <w:sz w:val="52"/>
          <w:szCs w:val="52"/>
          <w:highlight w:val="none"/>
        </w:rPr>
      </w:pPr>
    </w:p>
    <w:p w14:paraId="287E0156">
      <w:pPr>
        <w:jc w:val="center"/>
        <w:rPr>
          <w:color w:val="auto"/>
          <w:sz w:val="44"/>
          <w:szCs w:val="44"/>
          <w:highlight w:val="none"/>
        </w:rPr>
      </w:pPr>
    </w:p>
    <w:p w14:paraId="2030E859">
      <w:pPr>
        <w:jc w:val="center"/>
        <w:rPr>
          <w:color w:val="auto"/>
          <w:sz w:val="44"/>
          <w:szCs w:val="44"/>
          <w:highlight w:val="none"/>
        </w:rPr>
      </w:pPr>
    </w:p>
    <w:p w14:paraId="356D2A3C">
      <w:pPr>
        <w:jc w:val="center"/>
        <w:rPr>
          <w:color w:val="auto"/>
          <w:sz w:val="44"/>
          <w:szCs w:val="44"/>
          <w:highlight w:val="none"/>
        </w:rPr>
      </w:pPr>
    </w:p>
    <w:p w14:paraId="689B4787">
      <w:pPr>
        <w:jc w:val="center"/>
        <w:rPr>
          <w:color w:val="auto"/>
          <w:sz w:val="44"/>
          <w:szCs w:val="44"/>
          <w:highlight w:val="none"/>
        </w:rPr>
      </w:pPr>
    </w:p>
    <w:p w14:paraId="2888304C">
      <w:pPr>
        <w:adjustRightInd w:val="0"/>
        <w:snapToGrid w:val="0"/>
        <w:spacing w:line="288" w:lineRule="auto"/>
        <w:ind w:firstLine="1040"/>
        <w:rPr>
          <w:rFonts w:hAnsi="宋体"/>
          <w:color w:val="auto"/>
          <w:sz w:val="36"/>
          <w:szCs w:val="36"/>
          <w:highlight w:val="none"/>
          <w:u w:val="single"/>
        </w:rPr>
      </w:pPr>
      <w:r>
        <w:rPr>
          <w:rFonts w:hAnsi="宋体"/>
          <w:color w:val="auto"/>
          <w:sz w:val="36"/>
          <w:szCs w:val="36"/>
          <w:highlight w:val="none"/>
        </w:rPr>
        <w:t>项目名称：</w:t>
      </w:r>
      <w:r>
        <w:rPr>
          <w:color w:val="auto"/>
          <w:sz w:val="36"/>
          <w:szCs w:val="36"/>
          <w:highlight w:val="none"/>
          <w:u w:val="single"/>
        </w:rPr>
        <w:t xml:space="preserve">   </w:t>
      </w:r>
      <w:r>
        <w:rPr>
          <w:rFonts w:hint="eastAsia" w:hAnsi="宋体"/>
          <w:color w:val="auto"/>
          <w:sz w:val="36"/>
          <w:szCs w:val="36"/>
          <w:highlight w:val="none"/>
          <w:u w:val="single"/>
        </w:rPr>
        <w:t xml:space="preserve">舜驱动力科技（南通）有限公司  </w:t>
      </w:r>
    </w:p>
    <w:p w14:paraId="4A9B4239">
      <w:pPr>
        <w:adjustRightInd w:val="0"/>
        <w:snapToGrid w:val="0"/>
        <w:spacing w:line="288" w:lineRule="auto"/>
        <w:ind w:firstLine="2858" w:firstLineChars="794"/>
        <w:rPr>
          <w:color w:val="auto"/>
          <w:sz w:val="36"/>
          <w:szCs w:val="36"/>
          <w:highlight w:val="none"/>
          <w:u w:val="single"/>
        </w:rPr>
      </w:pPr>
      <w:r>
        <w:rPr>
          <w:rFonts w:hint="eastAsia"/>
          <w:color w:val="auto"/>
          <w:sz w:val="36"/>
          <w:szCs w:val="36"/>
          <w:highlight w:val="none"/>
          <w:u w:val="single"/>
        </w:rPr>
        <w:t xml:space="preserve">    年产6万台电机改建项目       </w:t>
      </w:r>
      <w:r>
        <w:rPr>
          <w:rFonts w:hint="eastAsia"/>
          <w:color w:val="auto"/>
          <w:sz w:val="36"/>
          <w:szCs w:val="36"/>
          <w:highlight w:val="none"/>
        </w:rPr>
        <w:t xml:space="preserve">   </w:t>
      </w:r>
    </w:p>
    <w:p w14:paraId="37F91555">
      <w:pPr>
        <w:adjustRightInd w:val="0"/>
        <w:snapToGrid w:val="0"/>
        <w:spacing w:line="288" w:lineRule="auto"/>
        <w:ind w:firstLine="1040"/>
        <w:rPr>
          <w:color w:val="auto"/>
          <w:sz w:val="36"/>
          <w:szCs w:val="36"/>
          <w:highlight w:val="none"/>
          <w:u w:val="single"/>
        </w:rPr>
      </w:pPr>
      <w:r>
        <w:rPr>
          <w:rFonts w:hAnsi="宋体"/>
          <w:color w:val="auto"/>
          <w:sz w:val="36"/>
          <w:szCs w:val="36"/>
          <w:highlight w:val="none"/>
        </w:rPr>
        <w:t>建设单位（盖章）：</w:t>
      </w:r>
      <w:r>
        <w:rPr>
          <w:color w:val="auto"/>
          <w:sz w:val="36"/>
          <w:szCs w:val="36"/>
          <w:highlight w:val="none"/>
          <w:u w:val="single"/>
        </w:rPr>
        <w:t xml:space="preserve"> </w:t>
      </w:r>
      <w:r>
        <w:rPr>
          <w:rFonts w:hAnsi="宋体"/>
          <w:color w:val="auto"/>
          <w:sz w:val="36"/>
          <w:szCs w:val="36"/>
          <w:highlight w:val="none"/>
          <w:u w:val="single"/>
        </w:rPr>
        <w:t>舜驱动力科技（南通）有限公司</w:t>
      </w:r>
      <w:r>
        <w:rPr>
          <w:color w:val="auto"/>
          <w:sz w:val="36"/>
          <w:szCs w:val="36"/>
          <w:highlight w:val="none"/>
          <w:u w:val="single"/>
        </w:rPr>
        <w:t xml:space="preserve"> </w:t>
      </w:r>
      <w:r>
        <w:rPr>
          <w:color w:val="auto"/>
          <w:sz w:val="36"/>
          <w:szCs w:val="36"/>
          <w:highlight w:val="none"/>
        </w:rPr>
        <w:t xml:space="preserve"> </w:t>
      </w:r>
    </w:p>
    <w:p w14:paraId="205E5801">
      <w:pPr>
        <w:adjustRightInd w:val="0"/>
        <w:snapToGrid w:val="0"/>
        <w:spacing w:line="288" w:lineRule="auto"/>
        <w:ind w:firstLine="1040"/>
        <w:rPr>
          <w:color w:val="auto"/>
          <w:sz w:val="36"/>
          <w:szCs w:val="36"/>
          <w:highlight w:val="none"/>
          <w:u w:val="single"/>
        </w:rPr>
      </w:pPr>
      <w:r>
        <w:rPr>
          <w:rFonts w:hAnsi="宋体"/>
          <w:color w:val="auto"/>
          <w:sz w:val="36"/>
          <w:szCs w:val="36"/>
          <w:highlight w:val="none"/>
        </w:rPr>
        <w:t>编制日期：</w:t>
      </w:r>
      <w:r>
        <w:rPr>
          <w:color w:val="auto"/>
          <w:sz w:val="36"/>
          <w:szCs w:val="36"/>
          <w:highlight w:val="none"/>
          <w:u w:val="single"/>
        </w:rPr>
        <w:t xml:space="preserve">        </w:t>
      </w:r>
      <w:r>
        <w:rPr>
          <w:rFonts w:hint="eastAsia"/>
          <w:color w:val="auto"/>
          <w:sz w:val="36"/>
          <w:szCs w:val="36"/>
          <w:highlight w:val="none"/>
          <w:u w:val="single"/>
        </w:rPr>
        <w:t xml:space="preserve">  </w:t>
      </w:r>
      <w:r>
        <w:rPr>
          <w:color w:val="auto"/>
          <w:sz w:val="36"/>
          <w:szCs w:val="36"/>
          <w:highlight w:val="none"/>
          <w:u w:val="single"/>
        </w:rPr>
        <w:t>2021</w:t>
      </w:r>
      <w:r>
        <w:rPr>
          <w:rFonts w:hAnsi="宋体"/>
          <w:color w:val="auto"/>
          <w:sz w:val="36"/>
          <w:szCs w:val="36"/>
          <w:highlight w:val="none"/>
          <w:u w:val="single"/>
        </w:rPr>
        <w:t>年10月</w:t>
      </w:r>
      <w:r>
        <w:rPr>
          <w:color w:val="auto"/>
          <w:sz w:val="36"/>
          <w:szCs w:val="36"/>
          <w:highlight w:val="none"/>
          <w:u w:val="single"/>
        </w:rPr>
        <w:t xml:space="preserve">   </w:t>
      </w:r>
      <w:r>
        <w:rPr>
          <w:rFonts w:hint="eastAsia"/>
          <w:color w:val="auto"/>
          <w:sz w:val="36"/>
          <w:szCs w:val="36"/>
          <w:highlight w:val="none"/>
          <w:u w:val="single"/>
        </w:rPr>
        <w:t xml:space="preserve">  </w:t>
      </w:r>
      <w:r>
        <w:rPr>
          <w:color w:val="auto"/>
          <w:sz w:val="36"/>
          <w:szCs w:val="36"/>
          <w:highlight w:val="none"/>
          <w:u w:val="single"/>
        </w:rPr>
        <w:t xml:space="preserve">      </w:t>
      </w:r>
    </w:p>
    <w:p w14:paraId="13A99ED0">
      <w:pPr>
        <w:adjustRightInd w:val="0"/>
        <w:snapToGrid w:val="0"/>
        <w:spacing w:line="288" w:lineRule="auto"/>
        <w:jc w:val="center"/>
        <w:rPr>
          <w:color w:val="auto"/>
          <w:sz w:val="36"/>
          <w:szCs w:val="36"/>
          <w:highlight w:val="none"/>
          <w:u w:val="single"/>
        </w:rPr>
      </w:pPr>
      <w:bookmarkStart w:id="0" w:name="_Hlk57884087"/>
      <w:bookmarkEnd w:id="0"/>
    </w:p>
    <w:p w14:paraId="094B0DE6">
      <w:pPr>
        <w:adjustRightInd w:val="0"/>
        <w:snapToGrid w:val="0"/>
        <w:spacing w:line="288" w:lineRule="auto"/>
        <w:jc w:val="center"/>
        <w:rPr>
          <w:color w:val="auto"/>
          <w:sz w:val="36"/>
          <w:szCs w:val="36"/>
          <w:highlight w:val="none"/>
        </w:rPr>
      </w:pPr>
    </w:p>
    <w:p w14:paraId="64BFFB6E">
      <w:pPr>
        <w:adjustRightInd w:val="0"/>
        <w:snapToGrid w:val="0"/>
        <w:spacing w:line="288" w:lineRule="auto"/>
        <w:jc w:val="center"/>
        <w:rPr>
          <w:color w:val="auto"/>
          <w:sz w:val="36"/>
          <w:szCs w:val="36"/>
          <w:highlight w:val="none"/>
        </w:rPr>
      </w:pPr>
    </w:p>
    <w:p w14:paraId="7B159F6B">
      <w:pPr>
        <w:adjustRightInd w:val="0"/>
        <w:snapToGrid w:val="0"/>
        <w:spacing w:line="288" w:lineRule="auto"/>
        <w:jc w:val="center"/>
        <w:rPr>
          <w:color w:val="auto"/>
          <w:sz w:val="36"/>
          <w:szCs w:val="36"/>
          <w:highlight w:val="none"/>
        </w:rPr>
      </w:pPr>
    </w:p>
    <w:p w14:paraId="6E45EBC7">
      <w:pPr>
        <w:adjustRightInd w:val="0"/>
        <w:snapToGrid w:val="0"/>
        <w:spacing w:line="288" w:lineRule="auto"/>
        <w:jc w:val="center"/>
        <w:rPr>
          <w:color w:val="auto"/>
          <w:sz w:val="36"/>
          <w:szCs w:val="36"/>
          <w:highlight w:val="none"/>
        </w:rPr>
      </w:pPr>
    </w:p>
    <w:p w14:paraId="1F485006">
      <w:pPr>
        <w:adjustRightInd w:val="0"/>
        <w:snapToGrid w:val="0"/>
        <w:spacing w:line="288" w:lineRule="auto"/>
        <w:jc w:val="center"/>
        <w:rPr>
          <w:color w:val="auto"/>
          <w:sz w:val="36"/>
          <w:szCs w:val="36"/>
          <w:highlight w:val="none"/>
        </w:rPr>
      </w:pPr>
    </w:p>
    <w:p w14:paraId="0519E04E">
      <w:pPr>
        <w:adjustRightInd w:val="0"/>
        <w:snapToGrid w:val="0"/>
        <w:jc w:val="center"/>
        <w:rPr>
          <w:color w:val="auto"/>
          <w:sz w:val="36"/>
          <w:szCs w:val="36"/>
          <w:highlight w:val="none"/>
        </w:rPr>
        <w:sectPr>
          <w:footerReference r:id="rId3" w:type="default"/>
          <w:type w:val="continuous"/>
          <w:pgSz w:w="11906" w:h="16838"/>
          <w:pgMar w:top="1440" w:right="1080" w:bottom="1440" w:left="1080" w:header="851" w:footer="1077" w:gutter="0"/>
          <w:pgBorders>
            <w:top w:val="none" w:sz="0" w:space="0"/>
            <w:left w:val="none" w:sz="0" w:space="0"/>
            <w:bottom w:val="none" w:sz="0" w:space="0"/>
            <w:right w:val="none" w:sz="0" w:space="0"/>
          </w:pgBorders>
          <w:pgNumType w:start="1"/>
          <w:cols w:space="720" w:num="1"/>
          <w:docGrid w:linePitch="312" w:charSpace="0"/>
        </w:sectPr>
      </w:pPr>
      <w:r>
        <w:rPr>
          <w:rFonts w:hAnsi="宋体"/>
          <w:color w:val="auto"/>
          <w:sz w:val="36"/>
          <w:szCs w:val="36"/>
          <w:highlight w:val="none"/>
        </w:rPr>
        <w:t>中华人民共和国生态环境部制</w:t>
      </w:r>
    </w:p>
    <w:p w14:paraId="62F66DA2">
      <w:pPr>
        <w:pStyle w:val="22"/>
        <w:spacing w:before="0" w:beforeAutospacing="0" w:after="0" w:afterAutospacing="0"/>
        <w:jc w:val="center"/>
        <w:outlineLvl w:val="0"/>
        <w:rPr>
          <w:rFonts w:ascii="Times New Roman" w:hAnsi="Times New Roman"/>
          <w:b/>
          <w:snapToGrid w:val="0"/>
          <w:color w:val="auto"/>
          <w:sz w:val="30"/>
          <w:szCs w:val="30"/>
          <w:highlight w:val="none"/>
        </w:rPr>
      </w:pPr>
      <w:r>
        <w:rPr>
          <w:rFonts w:ascii="Times New Roman"/>
          <w:b/>
          <w:snapToGrid w:val="0"/>
          <w:color w:val="auto"/>
          <w:sz w:val="30"/>
          <w:szCs w:val="30"/>
          <w:highlight w:val="none"/>
        </w:rPr>
        <w:t>一、建设项目基本情况</w:t>
      </w:r>
    </w:p>
    <w:tbl>
      <w:tblPr>
        <w:tblStyle w:val="24"/>
        <w:tblW w:w="49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18"/>
        <w:gridCol w:w="2594"/>
        <w:gridCol w:w="2099"/>
        <w:gridCol w:w="3232"/>
      </w:tblGrid>
      <w:tr w14:paraId="21C12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4270179D">
            <w:pPr>
              <w:adjustRightInd w:val="0"/>
              <w:snapToGrid w:val="0"/>
              <w:jc w:val="center"/>
              <w:rPr>
                <w:color w:val="auto"/>
                <w:sz w:val="24"/>
                <w:highlight w:val="none"/>
              </w:rPr>
            </w:pPr>
            <w:r>
              <w:rPr>
                <w:rFonts w:hAnsi="宋体"/>
                <w:color w:val="auto"/>
                <w:sz w:val="24"/>
                <w:highlight w:val="none"/>
              </w:rPr>
              <w:t>建设项目名称</w:t>
            </w:r>
          </w:p>
        </w:tc>
        <w:tc>
          <w:tcPr>
            <w:tcW w:w="4066" w:type="pct"/>
            <w:gridSpan w:val="3"/>
            <w:vAlign w:val="center"/>
          </w:tcPr>
          <w:p w14:paraId="15E055C7">
            <w:pPr>
              <w:adjustRightInd w:val="0"/>
              <w:snapToGrid w:val="0"/>
              <w:jc w:val="center"/>
              <w:rPr>
                <w:color w:val="auto"/>
                <w:sz w:val="24"/>
                <w:highlight w:val="none"/>
              </w:rPr>
            </w:pPr>
            <w:r>
              <w:rPr>
                <w:rFonts w:hint="eastAsia" w:hAnsi="宋体"/>
                <w:color w:val="auto"/>
                <w:sz w:val="24"/>
                <w:highlight w:val="none"/>
              </w:rPr>
              <w:t>舜驱动力科技（南通）有限公司年产6万台电机改建项目</w:t>
            </w:r>
          </w:p>
        </w:tc>
      </w:tr>
      <w:tr w14:paraId="09DEC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2407A33C">
            <w:pPr>
              <w:adjustRightInd w:val="0"/>
              <w:snapToGrid w:val="0"/>
              <w:jc w:val="center"/>
              <w:rPr>
                <w:color w:val="auto"/>
                <w:sz w:val="24"/>
                <w:highlight w:val="none"/>
              </w:rPr>
            </w:pPr>
            <w:r>
              <w:rPr>
                <w:rFonts w:hAnsi="宋体"/>
                <w:color w:val="auto"/>
                <w:sz w:val="24"/>
                <w:highlight w:val="none"/>
              </w:rPr>
              <w:t>项目代码</w:t>
            </w:r>
          </w:p>
        </w:tc>
        <w:tc>
          <w:tcPr>
            <w:tcW w:w="4066" w:type="pct"/>
            <w:gridSpan w:val="3"/>
            <w:vAlign w:val="center"/>
          </w:tcPr>
          <w:p w14:paraId="747F76F7">
            <w:pPr>
              <w:adjustRightInd w:val="0"/>
              <w:snapToGrid w:val="0"/>
              <w:jc w:val="center"/>
              <w:rPr>
                <w:color w:val="auto"/>
                <w:sz w:val="24"/>
                <w:highlight w:val="none"/>
              </w:rPr>
            </w:pPr>
            <w:r>
              <w:rPr>
                <w:rStyle w:val="29"/>
                <w:rFonts w:hint="eastAsia"/>
                <w:color w:val="auto"/>
                <w:kern w:val="0"/>
                <w:sz w:val="24"/>
                <w:highlight w:val="none"/>
              </w:rPr>
              <w:t>2104-320657-89-02-600405</w:t>
            </w:r>
          </w:p>
        </w:tc>
      </w:tr>
      <w:tr w14:paraId="0C297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06B15D73">
            <w:pPr>
              <w:adjustRightInd w:val="0"/>
              <w:snapToGrid w:val="0"/>
              <w:jc w:val="center"/>
              <w:rPr>
                <w:color w:val="auto"/>
                <w:sz w:val="24"/>
                <w:highlight w:val="none"/>
              </w:rPr>
            </w:pPr>
            <w:r>
              <w:rPr>
                <w:rFonts w:hAnsi="宋体"/>
                <w:color w:val="auto"/>
                <w:sz w:val="24"/>
                <w:highlight w:val="none"/>
              </w:rPr>
              <w:t>建设单位联系人</w:t>
            </w:r>
          </w:p>
        </w:tc>
        <w:tc>
          <w:tcPr>
            <w:tcW w:w="1331" w:type="pct"/>
            <w:vAlign w:val="center"/>
          </w:tcPr>
          <w:p w14:paraId="26F9E290">
            <w:pPr>
              <w:adjustRightInd w:val="0"/>
              <w:snapToGrid w:val="0"/>
              <w:jc w:val="center"/>
              <w:rPr>
                <w:color w:val="auto"/>
                <w:sz w:val="24"/>
                <w:highlight w:val="none"/>
              </w:rPr>
            </w:pPr>
            <w:r>
              <w:rPr>
                <w:rFonts w:hint="eastAsia" w:hAnsi="宋体"/>
                <w:color w:val="auto"/>
                <w:sz w:val="24"/>
                <w:highlight w:val="none"/>
              </w:rPr>
              <w:t>张理鹏</w:t>
            </w:r>
          </w:p>
        </w:tc>
        <w:tc>
          <w:tcPr>
            <w:tcW w:w="1077" w:type="pct"/>
            <w:vAlign w:val="center"/>
          </w:tcPr>
          <w:p w14:paraId="49C64978">
            <w:pPr>
              <w:adjustRightInd w:val="0"/>
              <w:snapToGrid w:val="0"/>
              <w:jc w:val="center"/>
              <w:rPr>
                <w:color w:val="auto"/>
                <w:sz w:val="24"/>
                <w:highlight w:val="none"/>
              </w:rPr>
            </w:pPr>
            <w:r>
              <w:rPr>
                <w:rFonts w:hAnsi="宋体"/>
                <w:color w:val="auto"/>
                <w:sz w:val="24"/>
                <w:highlight w:val="none"/>
              </w:rPr>
              <w:t>联系方式</w:t>
            </w:r>
          </w:p>
        </w:tc>
        <w:tc>
          <w:tcPr>
            <w:tcW w:w="1658" w:type="pct"/>
            <w:vAlign w:val="center"/>
          </w:tcPr>
          <w:p w14:paraId="78BF8B62">
            <w:pPr>
              <w:adjustRightInd w:val="0"/>
              <w:snapToGrid w:val="0"/>
              <w:jc w:val="center"/>
              <w:rPr>
                <w:color w:val="auto"/>
                <w:sz w:val="24"/>
                <w:highlight w:val="none"/>
              </w:rPr>
            </w:pPr>
            <w:r>
              <w:rPr>
                <w:bCs/>
                <w:color w:val="auto"/>
                <w:sz w:val="24"/>
                <w:highlight w:val="none"/>
              </w:rPr>
              <w:t>18953632208</w:t>
            </w:r>
          </w:p>
        </w:tc>
      </w:tr>
      <w:tr w14:paraId="2B605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3078DB69">
            <w:pPr>
              <w:adjustRightInd w:val="0"/>
              <w:snapToGrid w:val="0"/>
              <w:jc w:val="center"/>
              <w:rPr>
                <w:color w:val="auto"/>
                <w:sz w:val="24"/>
                <w:highlight w:val="none"/>
              </w:rPr>
            </w:pPr>
            <w:r>
              <w:rPr>
                <w:rFonts w:hAnsi="宋体"/>
                <w:color w:val="auto"/>
                <w:sz w:val="24"/>
                <w:highlight w:val="none"/>
              </w:rPr>
              <w:t>建设地点</w:t>
            </w:r>
          </w:p>
        </w:tc>
        <w:tc>
          <w:tcPr>
            <w:tcW w:w="4066" w:type="pct"/>
            <w:gridSpan w:val="3"/>
            <w:vAlign w:val="center"/>
          </w:tcPr>
          <w:p w14:paraId="4C7B76DD">
            <w:pPr>
              <w:adjustRightInd w:val="0"/>
              <w:snapToGrid w:val="0"/>
              <w:jc w:val="center"/>
              <w:rPr>
                <w:color w:val="auto"/>
                <w:sz w:val="24"/>
                <w:highlight w:val="none"/>
              </w:rPr>
            </w:pPr>
            <w:r>
              <w:rPr>
                <w:color w:val="auto"/>
                <w:sz w:val="24"/>
                <w:highlight w:val="none"/>
                <w:u w:val="single"/>
              </w:rPr>
              <w:t xml:space="preserve"> </w:t>
            </w:r>
            <w:r>
              <w:rPr>
                <w:rFonts w:hAnsi="宋体"/>
                <w:color w:val="auto"/>
                <w:sz w:val="24"/>
                <w:highlight w:val="none"/>
                <w:u w:val="single"/>
              </w:rPr>
              <w:t>江苏</w:t>
            </w:r>
            <w:r>
              <w:rPr>
                <w:color w:val="auto"/>
                <w:sz w:val="24"/>
                <w:highlight w:val="none"/>
                <w:u w:val="single"/>
              </w:rPr>
              <w:t xml:space="preserve"> </w:t>
            </w:r>
            <w:r>
              <w:rPr>
                <w:rFonts w:hAnsi="宋体"/>
                <w:color w:val="auto"/>
                <w:sz w:val="24"/>
                <w:highlight w:val="none"/>
              </w:rPr>
              <w:t>省（自治区）</w:t>
            </w:r>
            <w:r>
              <w:rPr>
                <w:color w:val="auto"/>
                <w:sz w:val="24"/>
                <w:highlight w:val="none"/>
                <w:u w:val="single"/>
              </w:rPr>
              <w:t xml:space="preserve"> </w:t>
            </w:r>
            <w:r>
              <w:rPr>
                <w:rFonts w:hAnsi="宋体"/>
                <w:color w:val="auto"/>
                <w:sz w:val="24"/>
                <w:highlight w:val="none"/>
                <w:u w:val="single"/>
              </w:rPr>
              <w:t>南通</w:t>
            </w:r>
            <w:r>
              <w:rPr>
                <w:color w:val="auto"/>
                <w:sz w:val="24"/>
                <w:highlight w:val="none"/>
              </w:rPr>
              <w:t xml:space="preserve"> </w:t>
            </w:r>
            <w:r>
              <w:rPr>
                <w:rFonts w:hAnsi="宋体"/>
                <w:color w:val="auto"/>
                <w:sz w:val="24"/>
                <w:highlight w:val="none"/>
              </w:rPr>
              <w:t>市</w:t>
            </w:r>
            <w:r>
              <w:rPr>
                <w:color w:val="auto"/>
                <w:sz w:val="24"/>
                <w:highlight w:val="none"/>
                <w:u w:val="single"/>
              </w:rPr>
              <w:t xml:space="preserve"> </w:t>
            </w:r>
            <w:r>
              <w:rPr>
                <w:rFonts w:hAnsi="宋体"/>
                <w:color w:val="auto"/>
                <w:sz w:val="24"/>
                <w:highlight w:val="none"/>
                <w:u w:val="single"/>
              </w:rPr>
              <w:t>海</w:t>
            </w:r>
            <w:r>
              <w:rPr>
                <w:rFonts w:hint="eastAsia" w:hAnsi="宋体"/>
                <w:color w:val="auto"/>
                <w:sz w:val="24"/>
                <w:highlight w:val="none"/>
                <w:u w:val="single"/>
              </w:rPr>
              <w:t>门</w:t>
            </w:r>
            <w:r>
              <w:rPr>
                <w:color w:val="auto"/>
                <w:sz w:val="24"/>
                <w:highlight w:val="none"/>
                <w:u w:val="single"/>
              </w:rPr>
              <w:t xml:space="preserve"> </w:t>
            </w:r>
            <w:r>
              <w:rPr>
                <w:rFonts w:hAnsi="宋体"/>
                <w:color w:val="auto"/>
                <w:sz w:val="24"/>
                <w:highlight w:val="none"/>
              </w:rPr>
              <w:t>县（区）</w:t>
            </w:r>
            <w:r>
              <w:rPr>
                <w:color w:val="auto"/>
                <w:sz w:val="24"/>
                <w:highlight w:val="none"/>
                <w:u w:val="single"/>
              </w:rPr>
              <w:t xml:space="preserve">  </w:t>
            </w:r>
            <w:r>
              <w:rPr>
                <w:bCs/>
                <w:color w:val="auto"/>
                <w:sz w:val="24"/>
                <w:highlight w:val="none"/>
                <w:u w:val="single"/>
              </w:rPr>
              <w:t>滨江</w:t>
            </w:r>
            <w:r>
              <w:rPr>
                <w:color w:val="auto"/>
                <w:sz w:val="24"/>
                <w:highlight w:val="none"/>
                <w:u w:val="single"/>
              </w:rPr>
              <w:t xml:space="preserve"> </w:t>
            </w:r>
            <w:r>
              <w:rPr>
                <w:rFonts w:hAnsi="宋体"/>
                <w:color w:val="auto"/>
                <w:sz w:val="24"/>
                <w:highlight w:val="none"/>
              </w:rPr>
              <w:t>乡（街道）</w:t>
            </w:r>
            <w:r>
              <w:rPr>
                <w:rFonts w:hint="eastAsia" w:hAnsi="宋体"/>
                <w:bCs/>
                <w:color w:val="auto"/>
                <w:sz w:val="24"/>
                <w:highlight w:val="none"/>
                <w:u w:val="single"/>
              </w:rPr>
              <w:t>滨港大道</w:t>
            </w:r>
            <w:r>
              <w:rPr>
                <w:rFonts w:hAnsi="宋体"/>
                <w:bCs/>
                <w:color w:val="auto"/>
                <w:sz w:val="24"/>
                <w:highlight w:val="none"/>
                <w:u w:val="single"/>
              </w:rPr>
              <w:t>2699号内52号楼</w:t>
            </w:r>
          </w:p>
        </w:tc>
      </w:tr>
      <w:tr w14:paraId="0486E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0CF8EE76">
            <w:pPr>
              <w:adjustRightInd w:val="0"/>
              <w:snapToGrid w:val="0"/>
              <w:jc w:val="center"/>
              <w:rPr>
                <w:color w:val="auto"/>
                <w:sz w:val="24"/>
                <w:highlight w:val="none"/>
              </w:rPr>
            </w:pPr>
            <w:r>
              <w:rPr>
                <w:rFonts w:hAnsi="宋体"/>
                <w:color w:val="auto"/>
                <w:sz w:val="24"/>
                <w:highlight w:val="none"/>
              </w:rPr>
              <w:t>地理坐标</w:t>
            </w:r>
          </w:p>
        </w:tc>
        <w:tc>
          <w:tcPr>
            <w:tcW w:w="4066" w:type="pct"/>
            <w:gridSpan w:val="3"/>
            <w:vAlign w:val="center"/>
          </w:tcPr>
          <w:p w14:paraId="0EB7C15D">
            <w:pPr>
              <w:adjustRightInd w:val="0"/>
              <w:snapToGrid w:val="0"/>
              <w:jc w:val="center"/>
              <w:rPr>
                <w:color w:val="auto"/>
                <w:sz w:val="24"/>
                <w:highlight w:val="none"/>
              </w:rPr>
            </w:pPr>
            <w:r>
              <w:rPr>
                <w:rFonts w:hAnsi="宋体"/>
                <w:color w:val="auto"/>
                <w:sz w:val="24"/>
                <w:highlight w:val="none"/>
              </w:rPr>
              <w:t>（</w:t>
            </w:r>
            <w:r>
              <w:rPr>
                <w:color w:val="auto"/>
                <w:sz w:val="24"/>
                <w:highlight w:val="none"/>
                <w:u w:val="single"/>
              </w:rPr>
              <w:t xml:space="preserve"> 12</w:t>
            </w:r>
            <w:r>
              <w:rPr>
                <w:rFonts w:hint="eastAsia"/>
                <w:color w:val="auto"/>
                <w:sz w:val="24"/>
                <w:highlight w:val="none"/>
                <w:u w:val="single"/>
              </w:rPr>
              <w:t>1</w:t>
            </w:r>
            <w:r>
              <w:rPr>
                <w:color w:val="auto"/>
                <w:sz w:val="24"/>
                <w:highlight w:val="none"/>
                <w:u w:val="single"/>
              </w:rPr>
              <w:t xml:space="preserve"> </w:t>
            </w:r>
            <w:r>
              <w:rPr>
                <w:rFonts w:hAnsi="宋体"/>
                <w:color w:val="auto"/>
                <w:sz w:val="24"/>
                <w:highlight w:val="none"/>
              </w:rPr>
              <w:t>度</w:t>
            </w:r>
            <w:r>
              <w:rPr>
                <w:color w:val="auto"/>
                <w:sz w:val="24"/>
                <w:highlight w:val="none"/>
                <w:u w:val="single"/>
              </w:rPr>
              <w:t xml:space="preserve"> </w:t>
            </w:r>
            <w:r>
              <w:rPr>
                <w:rFonts w:hint="eastAsia"/>
                <w:color w:val="auto"/>
                <w:sz w:val="24"/>
                <w:highlight w:val="none"/>
                <w:u w:val="single"/>
              </w:rPr>
              <w:t>07</w:t>
            </w:r>
            <w:r>
              <w:rPr>
                <w:color w:val="auto"/>
                <w:sz w:val="24"/>
                <w:highlight w:val="none"/>
                <w:u w:val="single"/>
              </w:rPr>
              <w:t xml:space="preserve"> </w:t>
            </w:r>
            <w:r>
              <w:rPr>
                <w:rFonts w:hAnsi="宋体"/>
                <w:color w:val="auto"/>
                <w:sz w:val="24"/>
                <w:highlight w:val="none"/>
              </w:rPr>
              <w:t>分</w:t>
            </w:r>
            <w:r>
              <w:rPr>
                <w:color w:val="auto"/>
                <w:sz w:val="24"/>
                <w:highlight w:val="none"/>
                <w:u w:val="single"/>
              </w:rPr>
              <w:t xml:space="preserve"> </w:t>
            </w:r>
            <w:r>
              <w:rPr>
                <w:rFonts w:hint="eastAsia"/>
                <w:color w:val="auto"/>
                <w:sz w:val="24"/>
                <w:highlight w:val="none"/>
                <w:u w:val="single"/>
              </w:rPr>
              <w:t>3.415</w:t>
            </w:r>
            <w:r>
              <w:rPr>
                <w:rFonts w:hAnsi="宋体"/>
                <w:color w:val="auto"/>
                <w:sz w:val="24"/>
                <w:highlight w:val="none"/>
              </w:rPr>
              <w:t>秒，</w:t>
            </w:r>
            <w:r>
              <w:rPr>
                <w:color w:val="auto"/>
                <w:sz w:val="24"/>
                <w:highlight w:val="none"/>
                <w:u w:val="single"/>
              </w:rPr>
              <w:t xml:space="preserve"> 3</w:t>
            </w:r>
            <w:r>
              <w:rPr>
                <w:rFonts w:hint="eastAsia"/>
                <w:color w:val="auto"/>
                <w:sz w:val="24"/>
                <w:highlight w:val="none"/>
                <w:u w:val="single"/>
              </w:rPr>
              <w:t>1</w:t>
            </w:r>
            <w:r>
              <w:rPr>
                <w:color w:val="auto"/>
                <w:sz w:val="24"/>
                <w:highlight w:val="none"/>
                <w:u w:val="single"/>
              </w:rPr>
              <w:t xml:space="preserve"> </w:t>
            </w:r>
            <w:r>
              <w:rPr>
                <w:rFonts w:hAnsi="宋体"/>
                <w:color w:val="auto"/>
                <w:sz w:val="24"/>
                <w:highlight w:val="none"/>
              </w:rPr>
              <w:t>度</w:t>
            </w:r>
            <w:r>
              <w:rPr>
                <w:color w:val="auto"/>
                <w:sz w:val="24"/>
                <w:highlight w:val="none"/>
                <w:u w:val="single"/>
              </w:rPr>
              <w:t xml:space="preserve"> </w:t>
            </w:r>
            <w:r>
              <w:rPr>
                <w:rFonts w:hint="eastAsia"/>
                <w:color w:val="auto"/>
                <w:sz w:val="24"/>
                <w:highlight w:val="none"/>
                <w:u w:val="single"/>
              </w:rPr>
              <w:t>50</w:t>
            </w:r>
            <w:r>
              <w:rPr>
                <w:color w:val="auto"/>
                <w:sz w:val="24"/>
                <w:highlight w:val="none"/>
                <w:u w:val="single"/>
              </w:rPr>
              <w:t xml:space="preserve"> </w:t>
            </w:r>
            <w:r>
              <w:rPr>
                <w:rFonts w:hAnsi="宋体"/>
                <w:color w:val="auto"/>
                <w:sz w:val="24"/>
                <w:highlight w:val="none"/>
              </w:rPr>
              <w:t>分</w:t>
            </w:r>
            <w:r>
              <w:rPr>
                <w:color w:val="auto"/>
                <w:sz w:val="24"/>
                <w:highlight w:val="none"/>
                <w:u w:val="single"/>
              </w:rPr>
              <w:t xml:space="preserve"> </w:t>
            </w:r>
            <w:r>
              <w:rPr>
                <w:rFonts w:hint="eastAsia"/>
                <w:color w:val="auto"/>
                <w:sz w:val="24"/>
                <w:highlight w:val="none"/>
                <w:u w:val="single"/>
              </w:rPr>
              <w:t>41.852</w:t>
            </w:r>
            <w:r>
              <w:rPr>
                <w:rFonts w:hAnsi="宋体"/>
                <w:color w:val="auto"/>
                <w:sz w:val="24"/>
                <w:highlight w:val="none"/>
              </w:rPr>
              <w:t>秒）</w:t>
            </w:r>
          </w:p>
        </w:tc>
      </w:tr>
      <w:tr w14:paraId="324EC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33" w:type="pct"/>
            <w:tcMar>
              <w:top w:w="16" w:type="dxa"/>
              <w:left w:w="16" w:type="dxa"/>
              <w:right w:w="16" w:type="dxa"/>
            </w:tcMar>
            <w:vAlign w:val="center"/>
          </w:tcPr>
          <w:p w14:paraId="0C25DB67">
            <w:pPr>
              <w:adjustRightInd w:val="0"/>
              <w:snapToGrid w:val="0"/>
              <w:jc w:val="center"/>
              <w:rPr>
                <w:color w:val="auto"/>
                <w:sz w:val="24"/>
                <w:highlight w:val="none"/>
              </w:rPr>
            </w:pPr>
            <w:r>
              <w:rPr>
                <w:rFonts w:hAnsi="宋体"/>
                <w:color w:val="auto"/>
                <w:sz w:val="24"/>
                <w:highlight w:val="none"/>
              </w:rPr>
              <w:t>国民经济</w:t>
            </w:r>
          </w:p>
          <w:p w14:paraId="52CAC1E6">
            <w:pPr>
              <w:adjustRightInd w:val="0"/>
              <w:snapToGrid w:val="0"/>
              <w:jc w:val="center"/>
              <w:rPr>
                <w:color w:val="auto"/>
                <w:sz w:val="24"/>
                <w:highlight w:val="none"/>
              </w:rPr>
            </w:pPr>
            <w:r>
              <w:rPr>
                <w:rFonts w:hAnsi="宋体"/>
                <w:color w:val="auto"/>
                <w:sz w:val="24"/>
                <w:highlight w:val="none"/>
              </w:rPr>
              <w:t>行业类别</w:t>
            </w:r>
          </w:p>
        </w:tc>
        <w:tc>
          <w:tcPr>
            <w:tcW w:w="1331" w:type="pct"/>
            <w:vAlign w:val="center"/>
          </w:tcPr>
          <w:p w14:paraId="6FF9B47C">
            <w:pPr>
              <w:adjustRightInd w:val="0"/>
              <w:snapToGrid w:val="0"/>
              <w:jc w:val="center"/>
              <w:rPr>
                <w:color w:val="auto"/>
                <w:sz w:val="24"/>
                <w:highlight w:val="none"/>
              </w:rPr>
            </w:pPr>
            <w:r>
              <w:rPr>
                <w:snapToGrid w:val="0"/>
                <w:color w:val="auto"/>
                <w:kern w:val="0"/>
                <w:sz w:val="24"/>
                <w:highlight w:val="none"/>
              </w:rPr>
              <w:t>C3670汽车零部件及配件制造</w:t>
            </w:r>
          </w:p>
        </w:tc>
        <w:tc>
          <w:tcPr>
            <w:tcW w:w="1077" w:type="pct"/>
            <w:vAlign w:val="center"/>
          </w:tcPr>
          <w:p w14:paraId="6A1B7B45">
            <w:pPr>
              <w:adjustRightInd w:val="0"/>
              <w:snapToGrid w:val="0"/>
              <w:jc w:val="center"/>
              <w:rPr>
                <w:color w:val="auto"/>
                <w:sz w:val="24"/>
                <w:highlight w:val="none"/>
              </w:rPr>
            </w:pPr>
            <w:bookmarkStart w:id="1" w:name="_Hlk49843745"/>
            <w:r>
              <w:rPr>
                <w:rFonts w:hAnsi="宋体"/>
                <w:color w:val="auto"/>
                <w:sz w:val="24"/>
                <w:highlight w:val="none"/>
              </w:rPr>
              <w:t>建设项目</w:t>
            </w:r>
          </w:p>
          <w:p w14:paraId="69D0A154">
            <w:pPr>
              <w:adjustRightInd w:val="0"/>
              <w:snapToGrid w:val="0"/>
              <w:jc w:val="center"/>
              <w:rPr>
                <w:color w:val="auto"/>
                <w:sz w:val="24"/>
                <w:highlight w:val="none"/>
              </w:rPr>
            </w:pPr>
            <w:r>
              <w:rPr>
                <w:rFonts w:hAnsi="宋体"/>
                <w:color w:val="auto"/>
                <w:sz w:val="24"/>
                <w:highlight w:val="none"/>
              </w:rPr>
              <w:t>行业类别</w:t>
            </w:r>
            <w:bookmarkEnd w:id="1"/>
          </w:p>
        </w:tc>
        <w:tc>
          <w:tcPr>
            <w:tcW w:w="1658" w:type="pct"/>
            <w:vAlign w:val="center"/>
          </w:tcPr>
          <w:p w14:paraId="66546CC9">
            <w:pPr>
              <w:adjustRightInd w:val="0"/>
              <w:snapToGrid w:val="0"/>
              <w:rPr>
                <w:color w:val="auto"/>
                <w:sz w:val="24"/>
                <w:highlight w:val="none"/>
              </w:rPr>
            </w:pPr>
            <w:r>
              <w:rPr>
                <w:color w:val="auto"/>
                <w:sz w:val="24"/>
                <w:highlight w:val="none"/>
              </w:rPr>
              <w:t>“</w:t>
            </w:r>
            <w:r>
              <w:rPr>
                <w:rFonts w:hint="eastAsia" w:hAnsi="宋体"/>
                <w:color w:val="auto"/>
                <w:sz w:val="24"/>
                <w:highlight w:val="none"/>
              </w:rPr>
              <w:t>三十三</w:t>
            </w:r>
            <w:r>
              <w:rPr>
                <w:rFonts w:hAnsi="宋体"/>
                <w:color w:val="auto"/>
                <w:sz w:val="24"/>
                <w:highlight w:val="none"/>
              </w:rPr>
              <w:t>、汽车制造业</w:t>
            </w:r>
            <w:r>
              <w:rPr>
                <w:rFonts w:hint="eastAsia"/>
                <w:color w:val="auto"/>
                <w:sz w:val="24"/>
                <w:highlight w:val="none"/>
              </w:rPr>
              <w:t>36</w:t>
            </w:r>
            <w:r>
              <w:rPr>
                <w:color w:val="auto"/>
                <w:sz w:val="24"/>
                <w:highlight w:val="none"/>
              </w:rPr>
              <w:t>”</w:t>
            </w:r>
            <w:r>
              <w:rPr>
                <w:rFonts w:hAnsi="宋体"/>
                <w:color w:val="auto"/>
                <w:sz w:val="24"/>
                <w:highlight w:val="none"/>
              </w:rPr>
              <w:t>的</w:t>
            </w:r>
            <w:r>
              <w:rPr>
                <w:color w:val="auto"/>
                <w:sz w:val="24"/>
                <w:highlight w:val="none"/>
              </w:rPr>
              <w:t>“</w:t>
            </w:r>
            <w:r>
              <w:rPr>
                <w:rFonts w:hint="eastAsia"/>
                <w:color w:val="auto"/>
                <w:sz w:val="24"/>
                <w:highlight w:val="none"/>
              </w:rPr>
              <w:t>71</w:t>
            </w:r>
            <w:r>
              <w:rPr>
                <w:rFonts w:hAnsi="宋体"/>
                <w:color w:val="auto"/>
                <w:sz w:val="24"/>
                <w:highlight w:val="none"/>
              </w:rPr>
              <w:t>、汽车零部件及配件制造 367</w:t>
            </w:r>
            <w:r>
              <w:rPr>
                <w:color w:val="auto"/>
                <w:sz w:val="24"/>
                <w:highlight w:val="none"/>
              </w:rPr>
              <w:t>”</w:t>
            </w:r>
          </w:p>
        </w:tc>
      </w:tr>
      <w:tr w14:paraId="0FA4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33" w:type="pct"/>
            <w:tcMar>
              <w:top w:w="16" w:type="dxa"/>
              <w:left w:w="16" w:type="dxa"/>
              <w:right w:w="16" w:type="dxa"/>
            </w:tcMar>
            <w:vAlign w:val="center"/>
          </w:tcPr>
          <w:p w14:paraId="059D0CA7">
            <w:pPr>
              <w:adjustRightInd w:val="0"/>
              <w:snapToGrid w:val="0"/>
              <w:jc w:val="center"/>
              <w:rPr>
                <w:color w:val="auto"/>
                <w:sz w:val="24"/>
                <w:highlight w:val="none"/>
              </w:rPr>
            </w:pPr>
            <w:r>
              <w:rPr>
                <w:rFonts w:hAnsi="宋体"/>
                <w:color w:val="auto"/>
                <w:sz w:val="24"/>
                <w:highlight w:val="none"/>
              </w:rPr>
              <w:t>建设性质</w:t>
            </w:r>
          </w:p>
        </w:tc>
        <w:tc>
          <w:tcPr>
            <w:tcW w:w="1331" w:type="pct"/>
            <w:vAlign w:val="center"/>
          </w:tcPr>
          <w:p w14:paraId="43C1A516">
            <w:pPr>
              <w:adjustRightInd w:val="0"/>
              <w:snapToGrid w:val="0"/>
              <w:jc w:val="left"/>
              <w:rPr>
                <w:color w:val="auto"/>
                <w:sz w:val="24"/>
                <w:highlight w:val="none"/>
              </w:rPr>
            </w:pPr>
            <w:r>
              <w:rPr>
                <w:rFonts w:hint="eastAsia" w:ascii="宋体" w:hAnsi="宋体"/>
                <w:color w:val="auto"/>
                <w:sz w:val="24"/>
                <w:highlight w:val="none"/>
              </w:rPr>
              <w:t>□</w:t>
            </w:r>
            <w:r>
              <w:rPr>
                <w:rFonts w:hAnsi="宋体"/>
                <w:color w:val="auto"/>
                <w:sz w:val="24"/>
                <w:highlight w:val="none"/>
              </w:rPr>
              <w:t>新建（迁建）</w:t>
            </w:r>
          </w:p>
          <w:p w14:paraId="1BB69986">
            <w:pPr>
              <w:adjustRightInd w:val="0"/>
              <w:snapToGrid w:val="0"/>
              <w:jc w:val="left"/>
              <w:rPr>
                <w:color w:val="auto"/>
                <w:sz w:val="24"/>
                <w:highlight w:val="none"/>
              </w:rPr>
            </w:pPr>
            <w:r>
              <w:rPr>
                <w:rFonts w:hint="eastAsia" w:ascii="宋体" w:hAnsi="宋体"/>
                <w:color w:val="auto"/>
                <w:sz w:val="24"/>
                <w:highlight w:val="none"/>
              </w:rPr>
              <w:sym w:font="Wingdings 2" w:char="0052"/>
            </w:r>
            <w:r>
              <w:rPr>
                <w:rFonts w:hAnsi="宋体"/>
                <w:color w:val="auto"/>
                <w:sz w:val="24"/>
                <w:highlight w:val="none"/>
              </w:rPr>
              <w:t>改建</w:t>
            </w:r>
          </w:p>
          <w:p w14:paraId="5728C132">
            <w:pPr>
              <w:adjustRightInd w:val="0"/>
              <w:snapToGrid w:val="0"/>
              <w:jc w:val="left"/>
              <w:rPr>
                <w:color w:val="auto"/>
                <w:sz w:val="24"/>
                <w:highlight w:val="none"/>
              </w:rPr>
            </w:pPr>
            <w:r>
              <w:rPr>
                <w:rFonts w:hint="eastAsia" w:ascii="宋体" w:hAnsi="宋体"/>
                <w:color w:val="auto"/>
                <w:sz w:val="24"/>
                <w:highlight w:val="none"/>
              </w:rPr>
              <w:sym w:font="Wingdings 2" w:char="00A3"/>
            </w:r>
            <w:r>
              <w:rPr>
                <w:rFonts w:hAnsi="宋体"/>
                <w:color w:val="auto"/>
                <w:sz w:val="24"/>
                <w:highlight w:val="none"/>
              </w:rPr>
              <w:t>扩建</w:t>
            </w:r>
          </w:p>
          <w:p w14:paraId="6D7BBB9D">
            <w:pPr>
              <w:adjustRightInd w:val="0"/>
              <w:snapToGrid w:val="0"/>
              <w:jc w:val="left"/>
              <w:rPr>
                <w:color w:val="auto"/>
                <w:sz w:val="24"/>
                <w:highlight w:val="none"/>
              </w:rPr>
            </w:pPr>
            <w:r>
              <w:rPr>
                <w:rFonts w:hint="eastAsia" w:ascii="宋体" w:hAnsi="宋体"/>
                <w:color w:val="auto"/>
                <w:sz w:val="24"/>
                <w:highlight w:val="none"/>
              </w:rPr>
              <w:t>□</w:t>
            </w:r>
            <w:r>
              <w:rPr>
                <w:rFonts w:hAnsi="宋体"/>
                <w:color w:val="auto"/>
                <w:sz w:val="24"/>
                <w:highlight w:val="none"/>
              </w:rPr>
              <w:t>技术改造</w:t>
            </w:r>
          </w:p>
        </w:tc>
        <w:tc>
          <w:tcPr>
            <w:tcW w:w="1077" w:type="pct"/>
            <w:vAlign w:val="center"/>
          </w:tcPr>
          <w:p w14:paraId="21533DEE">
            <w:pPr>
              <w:adjustRightInd w:val="0"/>
              <w:snapToGrid w:val="0"/>
              <w:jc w:val="center"/>
              <w:rPr>
                <w:color w:val="auto"/>
                <w:sz w:val="24"/>
                <w:highlight w:val="none"/>
              </w:rPr>
            </w:pPr>
            <w:r>
              <w:rPr>
                <w:rFonts w:hAnsi="宋体"/>
                <w:color w:val="auto"/>
                <w:sz w:val="24"/>
                <w:highlight w:val="none"/>
              </w:rPr>
              <w:t>建设项目</w:t>
            </w:r>
          </w:p>
          <w:p w14:paraId="3B1E6E79">
            <w:pPr>
              <w:adjustRightInd w:val="0"/>
              <w:snapToGrid w:val="0"/>
              <w:jc w:val="center"/>
              <w:rPr>
                <w:color w:val="auto"/>
                <w:sz w:val="24"/>
                <w:highlight w:val="none"/>
              </w:rPr>
            </w:pPr>
            <w:r>
              <w:rPr>
                <w:rFonts w:hAnsi="宋体"/>
                <w:color w:val="auto"/>
                <w:sz w:val="24"/>
                <w:highlight w:val="none"/>
              </w:rPr>
              <w:t>申报情形</w:t>
            </w:r>
          </w:p>
        </w:tc>
        <w:tc>
          <w:tcPr>
            <w:tcW w:w="1658" w:type="pct"/>
            <w:vAlign w:val="center"/>
          </w:tcPr>
          <w:p w14:paraId="5BA306D9">
            <w:pPr>
              <w:adjustRightInd w:val="0"/>
              <w:snapToGrid w:val="0"/>
              <w:jc w:val="left"/>
              <w:rPr>
                <w:color w:val="auto"/>
                <w:sz w:val="24"/>
                <w:highlight w:val="none"/>
              </w:rPr>
            </w:pPr>
            <w:r>
              <w:rPr>
                <w:rFonts w:hAnsi="MS Mincho" w:eastAsia="MS Mincho"/>
                <w:b/>
                <w:bCs/>
                <w:snapToGrid w:val="0"/>
                <w:color w:val="auto"/>
                <w:kern w:val="0"/>
                <w:sz w:val="24"/>
                <w:highlight w:val="none"/>
              </w:rPr>
              <w:t>☑</w:t>
            </w:r>
            <w:r>
              <w:rPr>
                <w:rFonts w:hAnsi="宋体"/>
                <w:color w:val="auto"/>
                <w:sz w:val="24"/>
                <w:highlight w:val="none"/>
              </w:rPr>
              <w:t>首次申报项目</w:t>
            </w:r>
            <w:r>
              <w:rPr>
                <w:color w:val="auto"/>
                <w:sz w:val="24"/>
                <w:highlight w:val="none"/>
              </w:rPr>
              <w:t xml:space="preserve">             </w:t>
            </w:r>
          </w:p>
          <w:p w14:paraId="7C5CF0BD">
            <w:pPr>
              <w:adjustRightInd w:val="0"/>
              <w:snapToGrid w:val="0"/>
              <w:jc w:val="left"/>
              <w:rPr>
                <w:color w:val="auto"/>
                <w:sz w:val="24"/>
                <w:highlight w:val="none"/>
              </w:rPr>
            </w:pPr>
            <w:r>
              <w:rPr>
                <w:rFonts w:hint="eastAsia" w:ascii="宋体" w:hAnsi="宋体"/>
                <w:color w:val="auto"/>
                <w:sz w:val="24"/>
                <w:highlight w:val="none"/>
              </w:rPr>
              <w:t>□</w:t>
            </w:r>
            <w:r>
              <w:rPr>
                <w:rFonts w:hAnsi="宋体"/>
                <w:color w:val="auto"/>
                <w:sz w:val="24"/>
                <w:highlight w:val="none"/>
              </w:rPr>
              <w:t>不予批准后再次申报项目</w:t>
            </w:r>
          </w:p>
          <w:p w14:paraId="6D6A23E2">
            <w:pPr>
              <w:adjustRightInd w:val="0"/>
              <w:snapToGrid w:val="0"/>
              <w:jc w:val="left"/>
              <w:rPr>
                <w:color w:val="auto"/>
                <w:sz w:val="24"/>
                <w:highlight w:val="none"/>
              </w:rPr>
            </w:pPr>
            <w:r>
              <w:rPr>
                <w:rFonts w:hint="eastAsia" w:ascii="宋体" w:hAnsi="宋体"/>
                <w:color w:val="auto"/>
                <w:sz w:val="24"/>
                <w:highlight w:val="none"/>
              </w:rPr>
              <w:t>□</w:t>
            </w:r>
            <w:r>
              <w:rPr>
                <w:rFonts w:hAnsi="宋体"/>
                <w:color w:val="auto"/>
                <w:sz w:val="24"/>
                <w:highlight w:val="none"/>
              </w:rPr>
              <w:t>超五年重新审核项目</w:t>
            </w:r>
            <w:r>
              <w:rPr>
                <w:color w:val="auto"/>
                <w:sz w:val="24"/>
                <w:highlight w:val="none"/>
              </w:rPr>
              <w:t xml:space="preserve">     </w:t>
            </w:r>
          </w:p>
          <w:p w14:paraId="40B4028F">
            <w:pPr>
              <w:adjustRightInd w:val="0"/>
              <w:snapToGrid w:val="0"/>
              <w:jc w:val="left"/>
              <w:rPr>
                <w:color w:val="auto"/>
                <w:sz w:val="24"/>
                <w:highlight w:val="none"/>
              </w:rPr>
            </w:pPr>
            <w:r>
              <w:rPr>
                <w:rFonts w:hint="eastAsia" w:ascii="宋体" w:hAnsi="宋体"/>
                <w:color w:val="auto"/>
                <w:sz w:val="24"/>
                <w:highlight w:val="none"/>
              </w:rPr>
              <w:t>□</w:t>
            </w:r>
            <w:r>
              <w:rPr>
                <w:rFonts w:hAnsi="宋体"/>
                <w:color w:val="auto"/>
                <w:sz w:val="24"/>
                <w:highlight w:val="none"/>
              </w:rPr>
              <w:t>重大变动重新报批项目</w:t>
            </w:r>
          </w:p>
        </w:tc>
      </w:tr>
      <w:tr w14:paraId="439EB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33" w:type="pct"/>
            <w:tcMar>
              <w:top w:w="16" w:type="dxa"/>
              <w:left w:w="16" w:type="dxa"/>
              <w:right w:w="16" w:type="dxa"/>
            </w:tcMar>
            <w:vAlign w:val="center"/>
          </w:tcPr>
          <w:p w14:paraId="44E52E01">
            <w:pPr>
              <w:adjustRightInd w:val="0"/>
              <w:snapToGrid w:val="0"/>
              <w:jc w:val="center"/>
              <w:rPr>
                <w:color w:val="auto"/>
                <w:sz w:val="24"/>
                <w:highlight w:val="none"/>
              </w:rPr>
            </w:pPr>
            <w:r>
              <w:rPr>
                <w:rFonts w:hAnsi="宋体"/>
                <w:color w:val="auto"/>
                <w:sz w:val="24"/>
                <w:highlight w:val="none"/>
              </w:rPr>
              <w:t>项目审批（核准</w:t>
            </w:r>
            <w:r>
              <w:rPr>
                <w:color w:val="auto"/>
                <w:sz w:val="24"/>
                <w:highlight w:val="none"/>
              </w:rPr>
              <w:t>/</w:t>
            </w:r>
          </w:p>
          <w:p w14:paraId="11B1B504">
            <w:pPr>
              <w:adjustRightInd w:val="0"/>
              <w:snapToGrid w:val="0"/>
              <w:jc w:val="center"/>
              <w:rPr>
                <w:color w:val="auto"/>
                <w:sz w:val="24"/>
                <w:highlight w:val="none"/>
              </w:rPr>
            </w:pPr>
            <w:r>
              <w:rPr>
                <w:rFonts w:hAnsi="宋体"/>
                <w:color w:val="auto"/>
                <w:sz w:val="24"/>
                <w:highlight w:val="none"/>
              </w:rPr>
              <w:t>备案）部门（选填）</w:t>
            </w:r>
          </w:p>
        </w:tc>
        <w:tc>
          <w:tcPr>
            <w:tcW w:w="1331" w:type="pct"/>
            <w:vAlign w:val="center"/>
          </w:tcPr>
          <w:p w14:paraId="30B3959E">
            <w:pPr>
              <w:adjustRightInd w:val="0"/>
              <w:snapToGrid w:val="0"/>
              <w:jc w:val="center"/>
              <w:rPr>
                <w:color w:val="auto"/>
                <w:sz w:val="24"/>
                <w:highlight w:val="none"/>
              </w:rPr>
            </w:pPr>
            <w:r>
              <w:rPr>
                <w:rFonts w:hint="eastAsia" w:hAnsi="宋体"/>
                <w:color w:val="auto"/>
                <w:sz w:val="24"/>
                <w:highlight w:val="none"/>
              </w:rPr>
              <w:t>海门经济技术开发区行政审批局</w:t>
            </w:r>
          </w:p>
        </w:tc>
        <w:tc>
          <w:tcPr>
            <w:tcW w:w="1077" w:type="pct"/>
            <w:vAlign w:val="center"/>
          </w:tcPr>
          <w:p w14:paraId="0D9F08C8">
            <w:pPr>
              <w:adjustRightInd w:val="0"/>
              <w:snapToGrid w:val="0"/>
              <w:jc w:val="center"/>
              <w:rPr>
                <w:color w:val="auto"/>
                <w:sz w:val="24"/>
                <w:highlight w:val="none"/>
              </w:rPr>
            </w:pPr>
            <w:r>
              <w:rPr>
                <w:rFonts w:hAnsi="宋体"/>
                <w:color w:val="auto"/>
                <w:sz w:val="24"/>
                <w:highlight w:val="none"/>
              </w:rPr>
              <w:t>项目审批（核准</w:t>
            </w:r>
            <w:r>
              <w:rPr>
                <w:color w:val="auto"/>
                <w:sz w:val="24"/>
                <w:highlight w:val="none"/>
              </w:rPr>
              <w:t>/</w:t>
            </w:r>
          </w:p>
          <w:p w14:paraId="4DAF249A">
            <w:pPr>
              <w:adjustRightInd w:val="0"/>
              <w:snapToGrid w:val="0"/>
              <w:jc w:val="center"/>
              <w:rPr>
                <w:color w:val="auto"/>
                <w:sz w:val="24"/>
                <w:highlight w:val="none"/>
              </w:rPr>
            </w:pPr>
            <w:r>
              <w:rPr>
                <w:rFonts w:hAnsi="宋体"/>
                <w:color w:val="auto"/>
                <w:sz w:val="24"/>
                <w:highlight w:val="none"/>
              </w:rPr>
              <w:t>备案）文号（选填）</w:t>
            </w:r>
          </w:p>
        </w:tc>
        <w:tc>
          <w:tcPr>
            <w:tcW w:w="1658" w:type="pct"/>
            <w:vAlign w:val="center"/>
          </w:tcPr>
          <w:p w14:paraId="3F0970C4">
            <w:pPr>
              <w:adjustRightInd w:val="0"/>
              <w:snapToGrid w:val="0"/>
              <w:jc w:val="center"/>
              <w:rPr>
                <w:color w:val="auto"/>
                <w:sz w:val="24"/>
                <w:highlight w:val="none"/>
              </w:rPr>
            </w:pPr>
            <w:r>
              <w:rPr>
                <w:rFonts w:hint="eastAsia"/>
                <w:color w:val="auto"/>
                <w:sz w:val="24"/>
                <w:highlight w:val="none"/>
              </w:rPr>
              <w:t>海开审备〔2021〕18号</w:t>
            </w:r>
          </w:p>
        </w:tc>
      </w:tr>
      <w:tr w14:paraId="4C64C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65F5F899">
            <w:pPr>
              <w:adjustRightInd w:val="0"/>
              <w:snapToGrid w:val="0"/>
              <w:jc w:val="center"/>
              <w:rPr>
                <w:color w:val="auto"/>
                <w:sz w:val="24"/>
                <w:highlight w:val="none"/>
              </w:rPr>
            </w:pPr>
            <w:r>
              <w:rPr>
                <w:rFonts w:hAnsi="宋体"/>
                <w:color w:val="auto"/>
                <w:sz w:val="24"/>
                <w:highlight w:val="none"/>
              </w:rPr>
              <w:t>总投资（万元）</w:t>
            </w:r>
          </w:p>
        </w:tc>
        <w:tc>
          <w:tcPr>
            <w:tcW w:w="1331" w:type="pct"/>
            <w:vAlign w:val="center"/>
          </w:tcPr>
          <w:p w14:paraId="04C187BE">
            <w:pPr>
              <w:adjustRightInd w:val="0"/>
              <w:snapToGrid w:val="0"/>
              <w:jc w:val="center"/>
              <w:rPr>
                <w:color w:val="auto"/>
                <w:sz w:val="24"/>
                <w:highlight w:val="none"/>
              </w:rPr>
            </w:pPr>
            <w:r>
              <w:rPr>
                <w:rFonts w:hint="eastAsia"/>
                <w:color w:val="auto"/>
                <w:sz w:val="24"/>
                <w:highlight w:val="none"/>
              </w:rPr>
              <w:t>3000</w:t>
            </w:r>
          </w:p>
        </w:tc>
        <w:tc>
          <w:tcPr>
            <w:tcW w:w="1077" w:type="pct"/>
            <w:tcMar>
              <w:top w:w="16" w:type="dxa"/>
              <w:left w:w="16" w:type="dxa"/>
              <w:right w:w="16" w:type="dxa"/>
            </w:tcMar>
            <w:vAlign w:val="center"/>
          </w:tcPr>
          <w:p w14:paraId="30104473">
            <w:pPr>
              <w:adjustRightInd w:val="0"/>
              <w:snapToGrid w:val="0"/>
              <w:jc w:val="center"/>
              <w:rPr>
                <w:color w:val="auto"/>
                <w:sz w:val="24"/>
                <w:highlight w:val="none"/>
              </w:rPr>
            </w:pPr>
            <w:r>
              <w:rPr>
                <w:rFonts w:hAnsi="宋体"/>
                <w:color w:val="auto"/>
                <w:sz w:val="24"/>
                <w:highlight w:val="none"/>
              </w:rPr>
              <w:t>环保投资（万元）</w:t>
            </w:r>
          </w:p>
        </w:tc>
        <w:tc>
          <w:tcPr>
            <w:tcW w:w="1658" w:type="pct"/>
            <w:vAlign w:val="center"/>
          </w:tcPr>
          <w:p w14:paraId="5CA139BE">
            <w:pPr>
              <w:adjustRightInd w:val="0"/>
              <w:snapToGrid w:val="0"/>
              <w:jc w:val="center"/>
              <w:rPr>
                <w:color w:val="auto"/>
                <w:sz w:val="24"/>
                <w:highlight w:val="none"/>
              </w:rPr>
            </w:pPr>
            <w:r>
              <w:rPr>
                <w:rFonts w:hint="eastAsia"/>
                <w:color w:val="auto"/>
                <w:sz w:val="24"/>
                <w:highlight w:val="none"/>
              </w:rPr>
              <w:t>20</w:t>
            </w:r>
          </w:p>
        </w:tc>
      </w:tr>
      <w:tr w14:paraId="6F877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0D6D1E14">
            <w:pPr>
              <w:adjustRightInd w:val="0"/>
              <w:snapToGrid w:val="0"/>
              <w:jc w:val="center"/>
              <w:rPr>
                <w:color w:val="auto"/>
                <w:sz w:val="24"/>
                <w:highlight w:val="none"/>
              </w:rPr>
            </w:pPr>
            <w:r>
              <w:rPr>
                <w:rFonts w:hAnsi="宋体"/>
                <w:color w:val="auto"/>
                <w:sz w:val="24"/>
                <w:highlight w:val="none"/>
              </w:rPr>
              <w:t>环保投资占比（</w:t>
            </w:r>
            <w:r>
              <w:rPr>
                <w:color w:val="auto"/>
                <w:sz w:val="24"/>
                <w:highlight w:val="none"/>
              </w:rPr>
              <w:t>%</w:t>
            </w:r>
            <w:r>
              <w:rPr>
                <w:rFonts w:hAnsi="宋体"/>
                <w:color w:val="auto"/>
                <w:sz w:val="24"/>
                <w:highlight w:val="none"/>
              </w:rPr>
              <w:t>）</w:t>
            </w:r>
          </w:p>
        </w:tc>
        <w:tc>
          <w:tcPr>
            <w:tcW w:w="1331" w:type="pct"/>
            <w:vAlign w:val="center"/>
          </w:tcPr>
          <w:p w14:paraId="754E355D">
            <w:pPr>
              <w:adjustRightInd w:val="0"/>
              <w:snapToGrid w:val="0"/>
              <w:jc w:val="center"/>
              <w:rPr>
                <w:color w:val="auto"/>
                <w:sz w:val="24"/>
                <w:highlight w:val="none"/>
              </w:rPr>
            </w:pPr>
            <w:r>
              <w:rPr>
                <w:rFonts w:hint="eastAsia"/>
                <w:color w:val="auto"/>
                <w:sz w:val="24"/>
                <w:highlight w:val="none"/>
              </w:rPr>
              <w:t>0.67</w:t>
            </w:r>
            <w:r>
              <w:rPr>
                <w:color w:val="auto"/>
                <w:sz w:val="24"/>
                <w:highlight w:val="none"/>
              </w:rPr>
              <w:t>%</w:t>
            </w:r>
          </w:p>
        </w:tc>
        <w:tc>
          <w:tcPr>
            <w:tcW w:w="1077" w:type="pct"/>
            <w:tcMar>
              <w:top w:w="16" w:type="dxa"/>
              <w:left w:w="16" w:type="dxa"/>
              <w:right w:w="16" w:type="dxa"/>
            </w:tcMar>
            <w:vAlign w:val="center"/>
          </w:tcPr>
          <w:p w14:paraId="768C3365">
            <w:pPr>
              <w:adjustRightInd w:val="0"/>
              <w:snapToGrid w:val="0"/>
              <w:jc w:val="center"/>
              <w:rPr>
                <w:color w:val="auto"/>
                <w:sz w:val="24"/>
                <w:highlight w:val="none"/>
              </w:rPr>
            </w:pPr>
            <w:r>
              <w:rPr>
                <w:rFonts w:hAnsi="宋体"/>
                <w:color w:val="auto"/>
                <w:sz w:val="24"/>
                <w:highlight w:val="none"/>
              </w:rPr>
              <w:t>施工工期</w:t>
            </w:r>
          </w:p>
        </w:tc>
        <w:tc>
          <w:tcPr>
            <w:tcW w:w="1658" w:type="pct"/>
            <w:vAlign w:val="center"/>
          </w:tcPr>
          <w:p w14:paraId="4233F433">
            <w:pPr>
              <w:adjustRightInd w:val="0"/>
              <w:snapToGrid w:val="0"/>
              <w:jc w:val="center"/>
              <w:rPr>
                <w:color w:val="auto"/>
                <w:sz w:val="24"/>
                <w:highlight w:val="none"/>
              </w:rPr>
            </w:pPr>
            <w:r>
              <w:rPr>
                <w:rFonts w:hAnsi="宋体"/>
                <w:color w:val="auto"/>
                <w:sz w:val="24"/>
                <w:highlight w:val="none"/>
              </w:rPr>
              <w:t>无</w:t>
            </w:r>
          </w:p>
        </w:tc>
      </w:tr>
      <w:tr w14:paraId="0B572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3" w:type="pct"/>
            <w:tcMar>
              <w:top w:w="16" w:type="dxa"/>
              <w:left w:w="16" w:type="dxa"/>
              <w:right w:w="16" w:type="dxa"/>
            </w:tcMar>
            <w:vAlign w:val="center"/>
          </w:tcPr>
          <w:p w14:paraId="05B6D542">
            <w:pPr>
              <w:adjustRightInd w:val="0"/>
              <w:snapToGrid w:val="0"/>
              <w:jc w:val="center"/>
              <w:rPr>
                <w:color w:val="auto"/>
                <w:sz w:val="24"/>
                <w:highlight w:val="none"/>
              </w:rPr>
            </w:pPr>
            <w:r>
              <w:rPr>
                <w:rFonts w:hAnsi="宋体"/>
                <w:color w:val="auto"/>
                <w:sz w:val="24"/>
                <w:highlight w:val="none"/>
              </w:rPr>
              <w:t>是否开工建设</w:t>
            </w:r>
          </w:p>
        </w:tc>
        <w:tc>
          <w:tcPr>
            <w:tcW w:w="1331" w:type="pct"/>
            <w:vAlign w:val="center"/>
          </w:tcPr>
          <w:p w14:paraId="0DE63C38">
            <w:pPr>
              <w:adjustRightInd w:val="0"/>
              <w:snapToGrid w:val="0"/>
              <w:rPr>
                <w:color w:val="auto"/>
                <w:sz w:val="24"/>
                <w:highlight w:val="none"/>
              </w:rPr>
            </w:pPr>
            <w:r>
              <w:rPr>
                <w:rFonts w:hAnsi="MS Mincho" w:eastAsia="MS Mincho"/>
                <w:b/>
                <w:bCs/>
                <w:snapToGrid w:val="0"/>
                <w:color w:val="auto"/>
                <w:kern w:val="0"/>
                <w:sz w:val="24"/>
                <w:highlight w:val="none"/>
              </w:rPr>
              <w:t>☑</w:t>
            </w:r>
            <w:r>
              <w:rPr>
                <w:rFonts w:hAnsi="宋体"/>
                <w:color w:val="auto"/>
                <w:sz w:val="24"/>
                <w:highlight w:val="none"/>
              </w:rPr>
              <w:t>否</w:t>
            </w:r>
          </w:p>
          <w:p w14:paraId="644DEF38">
            <w:pPr>
              <w:adjustRightInd w:val="0"/>
              <w:snapToGrid w:val="0"/>
              <w:rPr>
                <w:color w:val="auto"/>
                <w:sz w:val="24"/>
                <w:highlight w:val="none"/>
              </w:rPr>
            </w:pPr>
            <w:r>
              <w:rPr>
                <w:color w:val="auto"/>
                <w:sz w:val="24"/>
                <w:highlight w:val="none"/>
              </w:rPr>
              <w:sym w:font="Wingdings 2" w:char="00A3"/>
            </w:r>
            <w:r>
              <w:rPr>
                <w:rFonts w:hAnsi="宋体"/>
                <w:color w:val="auto"/>
                <w:sz w:val="24"/>
                <w:highlight w:val="none"/>
              </w:rPr>
              <w:t>是：</w:t>
            </w:r>
            <w:r>
              <w:rPr>
                <w:color w:val="auto"/>
                <w:sz w:val="24"/>
                <w:highlight w:val="none"/>
                <w:u w:val="single"/>
              </w:rPr>
              <w:t xml:space="preserve">             </w:t>
            </w:r>
          </w:p>
        </w:tc>
        <w:tc>
          <w:tcPr>
            <w:tcW w:w="1077" w:type="pct"/>
            <w:tcMar>
              <w:top w:w="16" w:type="dxa"/>
              <w:left w:w="16" w:type="dxa"/>
              <w:right w:w="16" w:type="dxa"/>
            </w:tcMar>
            <w:vAlign w:val="center"/>
          </w:tcPr>
          <w:p w14:paraId="6803666C">
            <w:pPr>
              <w:adjustRightInd w:val="0"/>
              <w:snapToGrid w:val="0"/>
              <w:jc w:val="center"/>
              <w:rPr>
                <w:color w:val="auto"/>
                <w:spacing w:val="-6"/>
                <w:sz w:val="24"/>
                <w:highlight w:val="none"/>
              </w:rPr>
            </w:pPr>
            <w:r>
              <w:rPr>
                <w:rFonts w:hAnsi="宋体"/>
                <w:color w:val="auto"/>
                <w:spacing w:val="-6"/>
                <w:sz w:val="24"/>
                <w:highlight w:val="none"/>
              </w:rPr>
              <w:t>用地（用海）</w:t>
            </w:r>
          </w:p>
          <w:p w14:paraId="0EC8EC77">
            <w:pPr>
              <w:adjustRightInd w:val="0"/>
              <w:snapToGrid w:val="0"/>
              <w:jc w:val="center"/>
              <w:rPr>
                <w:color w:val="auto"/>
                <w:sz w:val="24"/>
                <w:highlight w:val="none"/>
              </w:rPr>
            </w:pPr>
            <w:r>
              <w:rPr>
                <w:rFonts w:hAnsi="宋体"/>
                <w:color w:val="auto"/>
                <w:spacing w:val="-6"/>
                <w:sz w:val="24"/>
                <w:highlight w:val="none"/>
              </w:rPr>
              <w:t>面积（</w:t>
            </w:r>
            <w:r>
              <w:rPr>
                <w:color w:val="auto"/>
                <w:spacing w:val="-6"/>
                <w:sz w:val="24"/>
                <w:highlight w:val="none"/>
              </w:rPr>
              <w:t>m</w:t>
            </w:r>
            <w:r>
              <w:rPr>
                <w:color w:val="auto"/>
                <w:spacing w:val="-6"/>
                <w:sz w:val="24"/>
                <w:highlight w:val="none"/>
                <w:vertAlign w:val="superscript"/>
              </w:rPr>
              <w:t>2</w:t>
            </w:r>
            <w:r>
              <w:rPr>
                <w:rFonts w:hAnsi="宋体"/>
                <w:color w:val="auto"/>
                <w:spacing w:val="-6"/>
                <w:sz w:val="24"/>
                <w:highlight w:val="none"/>
              </w:rPr>
              <w:t>）</w:t>
            </w:r>
          </w:p>
        </w:tc>
        <w:tc>
          <w:tcPr>
            <w:tcW w:w="1658" w:type="pct"/>
            <w:vAlign w:val="center"/>
          </w:tcPr>
          <w:p w14:paraId="0CC46C91">
            <w:pPr>
              <w:adjustRightInd w:val="0"/>
              <w:snapToGrid w:val="0"/>
              <w:jc w:val="center"/>
              <w:rPr>
                <w:color w:val="auto"/>
                <w:sz w:val="24"/>
                <w:highlight w:val="none"/>
              </w:rPr>
            </w:pPr>
            <w:r>
              <w:rPr>
                <w:rStyle w:val="29"/>
                <w:rFonts w:hint="eastAsia"/>
                <w:color w:val="auto"/>
                <w:kern w:val="0"/>
                <w:sz w:val="24"/>
                <w:highlight w:val="none"/>
              </w:rPr>
              <w:t>占地面积</w:t>
            </w:r>
            <w:r>
              <w:rPr>
                <w:rFonts w:hint="eastAsia"/>
                <w:color w:val="auto"/>
                <w:sz w:val="24"/>
                <w:highlight w:val="none"/>
              </w:rPr>
              <w:t>8200</w:t>
            </w:r>
          </w:p>
        </w:tc>
      </w:tr>
      <w:tr w14:paraId="401E8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3" w:type="pct"/>
            <w:vAlign w:val="center"/>
          </w:tcPr>
          <w:p w14:paraId="318CB568">
            <w:pPr>
              <w:autoSpaceDE w:val="0"/>
              <w:autoSpaceDN w:val="0"/>
              <w:adjustRightInd w:val="0"/>
              <w:snapToGrid w:val="0"/>
              <w:jc w:val="center"/>
              <w:rPr>
                <w:color w:val="auto"/>
                <w:kern w:val="0"/>
                <w:sz w:val="24"/>
                <w:highlight w:val="none"/>
              </w:rPr>
            </w:pPr>
            <w:r>
              <w:rPr>
                <w:rFonts w:hAnsi="宋体"/>
                <w:color w:val="auto"/>
                <w:kern w:val="0"/>
                <w:sz w:val="24"/>
                <w:highlight w:val="none"/>
              </w:rPr>
              <w:t>专项评价设置</w:t>
            </w:r>
          </w:p>
          <w:p w14:paraId="4D3A4BBA">
            <w:pPr>
              <w:autoSpaceDE w:val="0"/>
              <w:autoSpaceDN w:val="0"/>
              <w:adjustRightInd w:val="0"/>
              <w:snapToGrid w:val="0"/>
              <w:jc w:val="center"/>
              <w:rPr>
                <w:color w:val="auto"/>
                <w:kern w:val="0"/>
                <w:sz w:val="24"/>
                <w:highlight w:val="none"/>
              </w:rPr>
            </w:pPr>
            <w:r>
              <w:rPr>
                <w:rFonts w:hAnsi="宋体"/>
                <w:color w:val="auto"/>
                <w:kern w:val="0"/>
                <w:sz w:val="24"/>
                <w:highlight w:val="none"/>
              </w:rPr>
              <w:t>情况</w:t>
            </w:r>
          </w:p>
        </w:tc>
        <w:tc>
          <w:tcPr>
            <w:tcW w:w="4066" w:type="pct"/>
            <w:gridSpan w:val="3"/>
            <w:vAlign w:val="center"/>
          </w:tcPr>
          <w:p w14:paraId="3E781642">
            <w:pPr>
              <w:autoSpaceDE w:val="0"/>
              <w:autoSpaceDN w:val="0"/>
              <w:adjustRightInd w:val="0"/>
              <w:snapToGrid w:val="0"/>
              <w:jc w:val="left"/>
              <w:rPr>
                <w:color w:val="auto"/>
                <w:kern w:val="0"/>
                <w:sz w:val="24"/>
                <w:highlight w:val="none"/>
              </w:rPr>
            </w:pPr>
            <w:r>
              <w:rPr>
                <w:rStyle w:val="29"/>
                <w:rFonts w:hint="eastAsia"/>
                <w:color w:val="auto"/>
                <w:kern w:val="0"/>
                <w:szCs w:val="20"/>
                <w:highlight w:val="none"/>
              </w:rPr>
              <w:t>无。</w:t>
            </w:r>
          </w:p>
        </w:tc>
      </w:tr>
      <w:tr w14:paraId="3422C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3" w:type="pct"/>
            <w:vAlign w:val="center"/>
          </w:tcPr>
          <w:p w14:paraId="6442EF78">
            <w:pPr>
              <w:autoSpaceDE w:val="0"/>
              <w:autoSpaceDN w:val="0"/>
              <w:adjustRightInd w:val="0"/>
              <w:snapToGrid w:val="0"/>
              <w:jc w:val="center"/>
              <w:rPr>
                <w:color w:val="auto"/>
                <w:kern w:val="0"/>
                <w:sz w:val="24"/>
                <w:highlight w:val="none"/>
              </w:rPr>
            </w:pPr>
            <w:r>
              <w:rPr>
                <w:rFonts w:hAnsi="宋体"/>
                <w:color w:val="auto"/>
                <w:sz w:val="24"/>
                <w:highlight w:val="none"/>
              </w:rPr>
              <w:t>规划情况</w:t>
            </w:r>
          </w:p>
        </w:tc>
        <w:tc>
          <w:tcPr>
            <w:tcW w:w="4066" w:type="pct"/>
            <w:gridSpan w:val="3"/>
            <w:vAlign w:val="center"/>
          </w:tcPr>
          <w:p w14:paraId="314F0C6C">
            <w:pPr>
              <w:adjustRightInd w:val="0"/>
              <w:snapToGrid w:val="0"/>
              <w:jc w:val="left"/>
              <w:rPr>
                <w:color w:val="auto"/>
                <w:sz w:val="24"/>
                <w:highlight w:val="none"/>
              </w:rPr>
            </w:pPr>
            <w:r>
              <w:rPr>
                <w:rFonts w:hint="eastAsia"/>
                <w:color w:val="auto"/>
                <w:sz w:val="24"/>
                <w:highlight w:val="none"/>
              </w:rPr>
              <w:t>规划名称：《海门市城市总体规划》（2013-2030）</w:t>
            </w:r>
          </w:p>
          <w:p w14:paraId="73E3E5FD">
            <w:pPr>
              <w:adjustRightInd w:val="0"/>
              <w:snapToGrid w:val="0"/>
              <w:jc w:val="left"/>
              <w:rPr>
                <w:color w:val="auto"/>
                <w:sz w:val="24"/>
                <w:highlight w:val="none"/>
              </w:rPr>
            </w:pPr>
            <w:r>
              <w:rPr>
                <w:rFonts w:hint="eastAsia"/>
                <w:color w:val="auto"/>
                <w:sz w:val="24"/>
                <w:highlight w:val="none"/>
              </w:rPr>
              <w:t>审批机关：江苏省人民政府</w:t>
            </w:r>
          </w:p>
          <w:p w14:paraId="00BA4EF9">
            <w:pPr>
              <w:adjustRightInd w:val="0"/>
              <w:snapToGrid w:val="0"/>
              <w:jc w:val="left"/>
              <w:rPr>
                <w:color w:val="auto"/>
                <w:sz w:val="24"/>
                <w:highlight w:val="none"/>
              </w:rPr>
            </w:pPr>
            <w:r>
              <w:rPr>
                <w:rFonts w:hint="eastAsia"/>
                <w:color w:val="auto"/>
                <w:sz w:val="24"/>
                <w:highlight w:val="none"/>
              </w:rPr>
              <w:t>审批文号：2014年6月3</w:t>
            </w:r>
            <w:r>
              <w:rPr>
                <w:rFonts w:hint="eastAsia"/>
                <w:color w:val="auto"/>
                <w:sz w:val="24"/>
                <w:highlight w:val="none"/>
                <w:lang w:eastAsia="zh-Hans"/>
              </w:rPr>
              <w:t>日</w:t>
            </w:r>
          </w:p>
        </w:tc>
      </w:tr>
      <w:tr w14:paraId="12C35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3" w:type="pct"/>
            <w:vAlign w:val="center"/>
          </w:tcPr>
          <w:p w14:paraId="33B06E28">
            <w:pPr>
              <w:adjustRightInd w:val="0"/>
              <w:snapToGrid w:val="0"/>
              <w:jc w:val="center"/>
              <w:rPr>
                <w:color w:val="auto"/>
                <w:sz w:val="24"/>
                <w:highlight w:val="none"/>
              </w:rPr>
            </w:pPr>
            <w:r>
              <w:rPr>
                <w:rFonts w:hAnsi="宋体"/>
                <w:color w:val="auto"/>
                <w:sz w:val="24"/>
                <w:highlight w:val="none"/>
              </w:rPr>
              <w:t>规划环境影响</w:t>
            </w:r>
          </w:p>
          <w:p w14:paraId="6010EFE9">
            <w:pPr>
              <w:adjustRightInd w:val="0"/>
              <w:snapToGrid w:val="0"/>
              <w:jc w:val="center"/>
              <w:rPr>
                <w:color w:val="auto"/>
                <w:kern w:val="0"/>
                <w:sz w:val="24"/>
                <w:highlight w:val="none"/>
              </w:rPr>
            </w:pPr>
            <w:r>
              <w:rPr>
                <w:rFonts w:hAnsi="宋体"/>
                <w:color w:val="auto"/>
                <w:sz w:val="24"/>
                <w:highlight w:val="none"/>
              </w:rPr>
              <w:t>评价情况</w:t>
            </w:r>
          </w:p>
        </w:tc>
        <w:tc>
          <w:tcPr>
            <w:tcW w:w="4066" w:type="pct"/>
            <w:gridSpan w:val="3"/>
            <w:vAlign w:val="center"/>
          </w:tcPr>
          <w:p w14:paraId="4A48AC47">
            <w:pPr>
              <w:adjustRightInd w:val="0"/>
              <w:snapToGrid w:val="0"/>
              <w:spacing w:line="360" w:lineRule="auto"/>
              <w:jc w:val="left"/>
              <w:rPr>
                <w:color w:val="auto"/>
                <w:sz w:val="24"/>
                <w:highlight w:val="none"/>
              </w:rPr>
            </w:pPr>
            <w:r>
              <w:rPr>
                <w:rFonts w:hint="eastAsia"/>
                <w:color w:val="auto"/>
                <w:sz w:val="24"/>
                <w:highlight w:val="none"/>
              </w:rPr>
              <w:t>本项目位于</w:t>
            </w:r>
            <w:r>
              <w:rPr>
                <w:rFonts w:hAnsi="宋体"/>
                <w:bCs/>
                <w:color w:val="auto"/>
                <w:sz w:val="24"/>
                <w:highlight w:val="none"/>
              </w:rPr>
              <w:t>南通市海门市</w:t>
            </w:r>
            <w:r>
              <w:rPr>
                <w:rFonts w:hint="eastAsia" w:hAnsi="宋体"/>
                <w:bCs/>
                <w:color w:val="auto"/>
                <w:sz w:val="24"/>
                <w:highlight w:val="none"/>
              </w:rPr>
              <w:t>经济开发区</w:t>
            </w:r>
            <w:r>
              <w:rPr>
                <w:rFonts w:hAnsi="宋体"/>
                <w:bCs/>
                <w:color w:val="auto"/>
                <w:sz w:val="24"/>
                <w:highlight w:val="none"/>
              </w:rPr>
              <w:t>滨港大道2699号内52号楼</w:t>
            </w:r>
            <w:r>
              <w:rPr>
                <w:rFonts w:hint="eastAsia" w:hAnsi="宋体"/>
                <w:bCs/>
                <w:color w:val="auto"/>
                <w:sz w:val="24"/>
                <w:highlight w:val="none"/>
              </w:rPr>
              <w:t>，海门市经济技术开发区规划环评已开展并通过审查，规划环评文件名为《海门经济技术开发区总体规划（2015-2030）环境影响报告书》，环审[2018]8号，审查机关为中华人民共和国生态环境部。</w:t>
            </w:r>
          </w:p>
        </w:tc>
      </w:tr>
      <w:tr w14:paraId="2B350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3" w:type="pct"/>
            <w:vAlign w:val="center"/>
          </w:tcPr>
          <w:p w14:paraId="634EE4C6">
            <w:pPr>
              <w:autoSpaceDE w:val="0"/>
              <w:autoSpaceDN w:val="0"/>
              <w:adjustRightInd w:val="0"/>
              <w:snapToGrid w:val="0"/>
              <w:jc w:val="center"/>
              <w:rPr>
                <w:color w:val="auto"/>
                <w:kern w:val="0"/>
                <w:sz w:val="24"/>
                <w:highlight w:val="none"/>
              </w:rPr>
            </w:pPr>
            <w:r>
              <w:rPr>
                <w:rFonts w:hAnsi="宋体"/>
                <w:color w:val="auto"/>
                <w:kern w:val="0"/>
                <w:sz w:val="24"/>
                <w:highlight w:val="none"/>
              </w:rPr>
              <w:t>规划及规划环境影响评价符合性分析</w:t>
            </w:r>
          </w:p>
        </w:tc>
        <w:tc>
          <w:tcPr>
            <w:tcW w:w="4066" w:type="pct"/>
            <w:gridSpan w:val="3"/>
            <w:vAlign w:val="center"/>
          </w:tcPr>
          <w:p w14:paraId="584A751C">
            <w:pPr>
              <w:adjustRightInd w:val="0"/>
              <w:snapToGrid w:val="0"/>
              <w:spacing w:line="360" w:lineRule="auto"/>
              <w:ind w:firstLine="482" w:firstLineChars="200"/>
              <w:rPr>
                <w:b/>
                <w:color w:val="auto"/>
                <w:sz w:val="24"/>
                <w:highlight w:val="none"/>
              </w:rPr>
            </w:pPr>
            <w:r>
              <w:rPr>
                <w:rFonts w:hint="eastAsia"/>
                <w:b/>
                <w:color w:val="auto"/>
                <w:sz w:val="24"/>
                <w:highlight w:val="none"/>
              </w:rPr>
              <w:t>1.</w:t>
            </w:r>
            <w:r>
              <w:rPr>
                <w:b/>
                <w:color w:val="auto"/>
                <w:sz w:val="24"/>
                <w:highlight w:val="none"/>
              </w:rPr>
              <w:t>与规划相符性分析</w:t>
            </w:r>
          </w:p>
          <w:p w14:paraId="2A712B8F">
            <w:pPr>
              <w:adjustRightInd w:val="0"/>
              <w:snapToGrid w:val="0"/>
              <w:spacing w:line="360" w:lineRule="auto"/>
              <w:ind w:firstLine="482" w:firstLineChars="200"/>
              <w:rPr>
                <w:b/>
                <w:color w:val="auto"/>
                <w:sz w:val="24"/>
                <w:highlight w:val="none"/>
              </w:rPr>
            </w:pPr>
            <w:r>
              <w:rPr>
                <w:rFonts w:hint="eastAsia"/>
                <w:b/>
                <w:color w:val="auto"/>
                <w:sz w:val="24"/>
                <w:highlight w:val="none"/>
              </w:rPr>
              <w:t>（1）土地利用规划相符性</w:t>
            </w:r>
          </w:p>
          <w:p w14:paraId="5449EB33">
            <w:pPr>
              <w:adjustRightInd w:val="0"/>
              <w:snapToGrid w:val="0"/>
              <w:spacing w:line="360" w:lineRule="auto"/>
              <w:ind w:firstLine="448" w:firstLineChars="200"/>
              <w:rPr>
                <w:b/>
                <w:color w:val="auto"/>
                <w:sz w:val="24"/>
                <w:highlight w:val="none"/>
              </w:rPr>
            </w:pPr>
            <w:r>
              <w:rPr>
                <w:color w:val="auto"/>
                <w:spacing w:val="-8"/>
                <w:sz w:val="24"/>
                <w:highlight w:val="none"/>
              </w:rPr>
              <w:t>本项目</w:t>
            </w:r>
            <w:r>
              <w:rPr>
                <w:color w:val="auto"/>
                <w:sz w:val="24"/>
                <w:highlight w:val="none"/>
              </w:rPr>
              <w:t>位于</w:t>
            </w:r>
            <w:r>
              <w:rPr>
                <w:rFonts w:hint="eastAsia"/>
                <w:color w:val="auto"/>
                <w:sz w:val="24"/>
                <w:highlight w:val="none"/>
              </w:rPr>
              <w:t>南通市海门市经济开发区滨港大道2699号内52号楼</w:t>
            </w:r>
            <w:r>
              <w:rPr>
                <w:color w:val="auto"/>
                <w:sz w:val="24"/>
                <w:highlight w:val="none"/>
              </w:rPr>
              <w:t>，根据</w:t>
            </w:r>
            <w:r>
              <w:rPr>
                <w:rFonts w:hint="eastAsia"/>
                <w:color w:val="auto"/>
                <w:sz w:val="24"/>
                <w:highlight w:val="none"/>
              </w:rPr>
              <w:t>《</w:t>
            </w:r>
            <w:r>
              <w:rPr>
                <w:rFonts w:hint="eastAsia"/>
                <w:color w:val="auto"/>
                <w:sz w:val="24"/>
                <w:highlight w:val="none"/>
                <w:lang w:val="en-US" w:eastAsia="zh-Hans"/>
              </w:rPr>
              <w:t>开发区土地利用规划图</w:t>
            </w:r>
            <w:r>
              <w:rPr>
                <w:color w:val="auto"/>
                <w:sz w:val="24"/>
                <w:highlight w:val="none"/>
              </w:rPr>
              <w:t>》（见</w:t>
            </w:r>
            <w:r>
              <w:rPr>
                <w:rFonts w:hint="eastAsia"/>
                <w:color w:val="auto"/>
                <w:sz w:val="24"/>
                <w:highlight w:val="none"/>
              </w:rPr>
              <w:t>附图4</w:t>
            </w:r>
            <w:r>
              <w:rPr>
                <w:color w:val="auto"/>
                <w:sz w:val="24"/>
                <w:highlight w:val="none"/>
              </w:rPr>
              <w:t>），</w:t>
            </w:r>
            <w:r>
              <w:rPr>
                <w:rFonts w:hint="eastAsia"/>
                <w:color w:val="auto"/>
                <w:sz w:val="24"/>
                <w:highlight w:val="none"/>
                <w:lang w:val="en-US" w:eastAsia="zh-Hans"/>
              </w:rPr>
              <w:t>本</w:t>
            </w:r>
            <w:r>
              <w:rPr>
                <w:rFonts w:hint="eastAsia"/>
                <w:color w:val="auto"/>
                <w:sz w:val="24"/>
                <w:highlight w:val="none"/>
              </w:rPr>
              <w:t>项目位于赫连科技产业园，已取得进区协议</w:t>
            </w:r>
            <w:r>
              <w:rPr>
                <w:rFonts w:hint="eastAsia"/>
                <w:color w:val="auto"/>
                <w:sz w:val="24"/>
                <w:highlight w:val="none"/>
                <w:lang w:eastAsia="zh-Hans"/>
              </w:rPr>
              <w:t>，</w:t>
            </w:r>
            <w:r>
              <w:rPr>
                <w:rFonts w:hint="eastAsia"/>
                <w:color w:val="auto"/>
                <w:sz w:val="24"/>
                <w:highlight w:val="none"/>
                <w:lang w:val="en-US" w:eastAsia="zh-Hans"/>
              </w:rPr>
              <w:t>并根据</w:t>
            </w:r>
            <w:r>
              <w:rPr>
                <w:rFonts w:hAnsi="宋体"/>
                <w:color w:val="auto"/>
                <w:kern w:val="0"/>
                <w:sz w:val="24"/>
                <w:highlight w:val="none"/>
              </w:rPr>
              <w:t>苏（</w:t>
            </w:r>
            <w:r>
              <w:rPr>
                <w:color w:val="auto"/>
                <w:kern w:val="0"/>
                <w:sz w:val="24"/>
                <w:highlight w:val="none"/>
              </w:rPr>
              <w:t>2019</w:t>
            </w:r>
            <w:r>
              <w:rPr>
                <w:rFonts w:hAnsi="宋体"/>
                <w:color w:val="auto"/>
                <w:kern w:val="0"/>
                <w:sz w:val="24"/>
                <w:highlight w:val="none"/>
              </w:rPr>
              <w:t>）海门市不动产权第</w:t>
            </w:r>
            <w:r>
              <w:rPr>
                <w:color w:val="auto"/>
                <w:kern w:val="0"/>
                <w:sz w:val="24"/>
                <w:highlight w:val="none"/>
              </w:rPr>
              <w:t xml:space="preserve">0045986 </w:t>
            </w:r>
            <w:r>
              <w:rPr>
                <w:rFonts w:hAnsi="宋体"/>
                <w:color w:val="auto"/>
                <w:kern w:val="0"/>
                <w:sz w:val="24"/>
                <w:highlight w:val="none"/>
              </w:rPr>
              <w:t>号，所在地为工业用地</w:t>
            </w:r>
            <w:r>
              <w:rPr>
                <w:color w:val="auto"/>
                <w:sz w:val="24"/>
                <w:highlight w:val="none"/>
              </w:rPr>
              <w:t>，具备污染集中控制条件，符合当地区域发展规划。</w:t>
            </w:r>
          </w:p>
          <w:p w14:paraId="476AD6B0">
            <w:pPr>
              <w:adjustRightInd w:val="0"/>
              <w:snapToGrid w:val="0"/>
              <w:spacing w:line="360" w:lineRule="auto"/>
              <w:ind w:firstLine="482" w:firstLineChars="200"/>
              <w:rPr>
                <w:b/>
                <w:color w:val="auto"/>
                <w:sz w:val="24"/>
                <w:highlight w:val="none"/>
              </w:rPr>
            </w:pPr>
            <w:r>
              <w:rPr>
                <w:rFonts w:hint="eastAsia"/>
                <w:b/>
                <w:color w:val="auto"/>
                <w:sz w:val="24"/>
                <w:highlight w:val="none"/>
              </w:rPr>
              <w:t>（2）与规划环评相符性分析</w:t>
            </w:r>
          </w:p>
          <w:p w14:paraId="1E2C998F">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项目位于南通市海门经济开发区滨港大道2699号，属于海门经济技术开发区范围内。</w:t>
            </w:r>
          </w:p>
          <w:p w14:paraId="2426F6FB">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①项目与《海门经济技术开发区总体规划（2015-2030） 环境影响报告书》相符性分析见表 1-1</w:t>
            </w:r>
          </w:p>
          <w:p w14:paraId="0BF2FD94">
            <w:pPr>
              <w:widowControl/>
              <w:jc w:val="center"/>
              <w:rPr>
                <w:b/>
                <w:color w:val="auto"/>
                <w:kern w:val="0"/>
                <w:szCs w:val="21"/>
                <w:highlight w:val="none"/>
              </w:rPr>
            </w:pPr>
            <w:r>
              <w:rPr>
                <w:rFonts w:hAnsi="宋体"/>
                <w:b/>
                <w:color w:val="auto"/>
                <w:kern w:val="0"/>
                <w:sz w:val="24"/>
                <w:highlight w:val="none"/>
              </w:rPr>
              <w:t>表</w:t>
            </w:r>
            <w:r>
              <w:rPr>
                <w:b/>
                <w:color w:val="auto"/>
                <w:kern w:val="0"/>
                <w:sz w:val="24"/>
                <w:highlight w:val="none"/>
              </w:rPr>
              <w:t>1-</w:t>
            </w:r>
            <w:r>
              <w:rPr>
                <w:rFonts w:hint="eastAsia"/>
                <w:b/>
                <w:color w:val="auto"/>
                <w:kern w:val="0"/>
                <w:sz w:val="24"/>
                <w:highlight w:val="none"/>
              </w:rPr>
              <w:t>1</w:t>
            </w:r>
            <w:r>
              <w:rPr>
                <w:b/>
                <w:color w:val="auto"/>
                <w:kern w:val="0"/>
                <w:sz w:val="24"/>
                <w:highlight w:val="none"/>
              </w:rPr>
              <w:t xml:space="preserve"> </w:t>
            </w:r>
            <w:r>
              <w:rPr>
                <w:rFonts w:hAnsi="宋体"/>
                <w:b/>
                <w:color w:val="auto"/>
                <w:kern w:val="0"/>
                <w:sz w:val="24"/>
                <w:highlight w:val="none"/>
              </w:rPr>
              <w:t>与《</w:t>
            </w:r>
            <w:r>
              <w:rPr>
                <w:rFonts w:hint="eastAsia" w:hAnsi="宋体"/>
                <w:b/>
                <w:color w:val="auto"/>
                <w:kern w:val="0"/>
                <w:sz w:val="24"/>
                <w:highlight w:val="none"/>
              </w:rPr>
              <w:t>海门经济技术开发区总体规划（2015-2030）环境影响报告书</w:t>
            </w:r>
            <w:r>
              <w:rPr>
                <w:rFonts w:hAnsi="宋体"/>
                <w:b/>
                <w:color w:val="auto"/>
                <w:kern w:val="0"/>
                <w:sz w:val="24"/>
                <w:highlight w:val="none"/>
              </w:rPr>
              <w:t>》相符性分析</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04"/>
              <w:gridCol w:w="3428"/>
              <w:gridCol w:w="2702"/>
              <w:gridCol w:w="1172"/>
            </w:tblGrid>
            <w:tr w14:paraId="092FB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778F1236">
                  <w:pPr>
                    <w:adjustRightInd w:val="0"/>
                    <w:snapToGrid w:val="0"/>
                    <w:jc w:val="center"/>
                    <w:rPr>
                      <w:color w:val="auto"/>
                      <w:szCs w:val="21"/>
                      <w:highlight w:val="none"/>
                    </w:rPr>
                  </w:pPr>
                  <w:r>
                    <w:rPr>
                      <w:b/>
                      <w:bCs/>
                      <w:color w:val="auto"/>
                      <w:szCs w:val="21"/>
                      <w:highlight w:val="none"/>
                    </w:rPr>
                    <w:t>序号</w:t>
                  </w:r>
                </w:p>
              </w:tc>
              <w:tc>
                <w:tcPr>
                  <w:tcW w:w="2223" w:type="pct"/>
                  <w:vAlign w:val="center"/>
                </w:tcPr>
                <w:p w14:paraId="7D8DCE70">
                  <w:pPr>
                    <w:adjustRightInd w:val="0"/>
                    <w:snapToGrid w:val="0"/>
                    <w:jc w:val="center"/>
                    <w:rPr>
                      <w:color w:val="auto"/>
                      <w:szCs w:val="21"/>
                      <w:highlight w:val="none"/>
                    </w:rPr>
                  </w:pPr>
                  <w:r>
                    <w:rPr>
                      <w:b/>
                      <w:bCs/>
                      <w:color w:val="auto"/>
                      <w:szCs w:val="21"/>
                      <w:highlight w:val="none"/>
                    </w:rPr>
                    <w:t>内容</w:t>
                  </w:r>
                </w:p>
              </w:tc>
              <w:tc>
                <w:tcPr>
                  <w:tcW w:w="1752" w:type="pct"/>
                  <w:vAlign w:val="center"/>
                </w:tcPr>
                <w:p w14:paraId="4840B33B">
                  <w:pPr>
                    <w:adjustRightInd w:val="0"/>
                    <w:snapToGrid w:val="0"/>
                    <w:jc w:val="center"/>
                    <w:rPr>
                      <w:color w:val="auto"/>
                      <w:szCs w:val="21"/>
                      <w:highlight w:val="none"/>
                    </w:rPr>
                  </w:pPr>
                  <w:r>
                    <w:rPr>
                      <w:b/>
                      <w:bCs/>
                      <w:color w:val="auto"/>
                      <w:szCs w:val="21"/>
                      <w:highlight w:val="none"/>
                    </w:rPr>
                    <w:t>相符性分析</w:t>
                  </w:r>
                </w:p>
              </w:tc>
              <w:tc>
                <w:tcPr>
                  <w:tcW w:w="760" w:type="pct"/>
                  <w:vAlign w:val="center"/>
                </w:tcPr>
                <w:p w14:paraId="0E9DFCE0">
                  <w:pPr>
                    <w:adjustRightInd w:val="0"/>
                    <w:snapToGrid w:val="0"/>
                    <w:jc w:val="center"/>
                    <w:rPr>
                      <w:b/>
                      <w:bCs/>
                      <w:color w:val="auto"/>
                      <w:szCs w:val="21"/>
                      <w:highlight w:val="none"/>
                    </w:rPr>
                  </w:pPr>
                  <w:r>
                    <w:rPr>
                      <w:rFonts w:hint="eastAsia"/>
                      <w:b/>
                      <w:bCs/>
                      <w:color w:val="auto"/>
                      <w:szCs w:val="21"/>
                      <w:highlight w:val="none"/>
                    </w:rPr>
                    <w:t>相符性判定</w:t>
                  </w:r>
                </w:p>
              </w:tc>
            </w:tr>
            <w:tr w14:paraId="0245E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753808CF">
                  <w:pPr>
                    <w:adjustRightInd w:val="0"/>
                    <w:snapToGrid w:val="0"/>
                    <w:jc w:val="center"/>
                    <w:rPr>
                      <w:color w:val="auto"/>
                      <w:szCs w:val="21"/>
                      <w:highlight w:val="none"/>
                    </w:rPr>
                  </w:pPr>
                  <w:r>
                    <w:rPr>
                      <w:color w:val="auto"/>
                      <w:szCs w:val="21"/>
                      <w:highlight w:val="none"/>
                    </w:rPr>
                    <w:t>1</w:t>
                  </w:r>
                </w:p>
              </w:tc>
              <w:tc>
                <w:tcPr>
                  <w:tcW w:w="2223" w:type="pct"/>
                  <w:vAlign w:val="center"/>
                </w:tcPr>
                <w:p w14:paraId="222BB385">
                  <w:pPr>
                    <w:widowControl/>
                    <w:adjustRightInd w:val="0"/>
                    <w:snapToGrid w:val="0"/>
                    <w:jc w:val="center"/>
                    <w:rPr>
                      <w:color w:val="auto"/>
                      <w:szCs w:val="21"/>
                      <w:highlight w:val="none"/>
                    </w:rPr>
                  </w:pPr>
                  <w:r>
                    <w:rPr>
                      <w:rFonts w:hint="eastAsia"/>
                      <w:color w:val="auto"/>
                      <w:szCs w:val="21"/>
                      <w:highlight w:val="none"/>
                    </w:rPr>
                    <w:t>中心商务区的创新转型产业园以原有企业搬迁、转型等现代服务业为主，限制新增工业项目；高新技术产业园禁止引进含酸洗、电镀、喷涂等工序的项目。滨江工业城规划的四大产业组团尽可能错位发展，严格控制废水排放量大、HCl 排放量高的项目入区。</w:t>
                  </w:r>
                </w:p>
              </w:tc>
              <w:tc>
                <w:tcPr>
                  <w:tcW w:w="1752" w:type="pct"/>
                  <w:vAlign w:val="center"/>
                </w:tcPr>
                <w:p w14:paraId="38341968">
                  <w:pPr>
                    <w:widowControl/>
                    <w:adjustRightInd w:val="0"/>
                    <w:snapToGrid w:val="0"/>
                    <w:jc w:val="center"/>
                    <w:rPr>
                      <w:color w:val="auto"/>
                      <w:szCs w:val="21"/>
                      <w:highlight w:val="none"/>
                    </w:rPr>
                  </w:pPr>
                  <w:r>
                    <w:rPr>
                      <w:rFonts w:hint="eastAsia"/>
                      <w:color w:val="auto"/>
                      <w:kern w:val="0"/>
                      <w:szCs w:val="21"/>
                      <w:highlight w:val="none"/>
                    </w:rPr>
                    <w:t>项目租赁南通赫联科技产业发展有限公司一栋厂房，位于滨江工业城内，项目产生生活污水1200t/a、冷却塔排水600t/a、纯水制备弃水240t/a、初期雨水154</w:t>
                  </w:r>
                  <w:r>
                    <w:rPr>
                      <w:rFonts w:hint="default"/>
                      <w:color w:val="auto"/>
                      <w:kern w:val="0"/>
                      <w:szCs w:val="21"/>
                      <w:highlight w:val="none"/>
                    </w:rPr>
                    <w:t>6</w:t>
                  </w:r>
                  <w:r>
                    <w:rPr>
                      <w:rFonts w:hint="eastAsia"/>
                      <w:color w:val="auto"/>
                      <w:kern w:val="0"/>
                      <w:szCs w:val="21"/>
                      <w:highlight w:val="none"/>
                    </w:rPr>
                    <w:t>t/a，共计358</w:t>
                  </w:r>
                  <w:r>
                    <w:rPr>
                      <w:rFonts w:hint="default"/>
                      <w:color w:val="auto"/>
                      <w:kern w:val="0"/>
                      <w:szCs w:val="21"/>
                      <w:highlight w:val="none"/>
                    </w:rPr>
                    <w:t>6</w:t>
                  </w:r>
                  <w:r>
                    <w:rPr>
                      <w:rFonts w:hint="eastAsia"/>
                      <w:color w:val="auto"/>
                      <w:kern w:val="0"/>
                      <w:szCs w:val="21"/>
                      <w:highlight w:val="none"/>
                    </w:rPr>
                    <w:t>t/a，排放量较小，且不是HCl排放量高的 项目。</w:t>
                  </w:r>
                </w:p>
              </w:tc>
              <w:tc>
                <w:tcPr>
                  <w:tcW w:w="760" w:type="pct"/>
                  <w:vAlign w:val="center"/>
                </w:tcPr>
                <w:p w14:paraId="3480668C">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45E3A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19A1AFF6">
                  <w:pPr>
                    <w:adjustRightInd w:val="0"/>
                    <w:snapToGrid w:val="0"/>
                    <w:jc w:val="center"/>
                    <w:rPr>
                      <w:color w:val="auto"/>
                      <w:szCs w:val="21"/>
                      <w:highlight w:val="none"/>
                    </w:rPr>
                  </w:pPr>
                  <w:r>
                    <w:rPr>
                      <w:color w:val="auto"/>
                      <w:szCs w:val="21"/>
                      <w:highlight w:val="none"/>
                    </w:rPr>
                    <w:t>2</w:t>
                  </w:r>
                </w:p>
              </w:tc>
              <w:tc>
                <w:tcPr>
                  <w:tcW w:w="2223" w:type="pct"/>
                  <w:vAlign w:val="center"/>
                </w:tcPr>
                <w:p w14:paraId="5572D948">
                  <w:pPr>
                    <w:widowControl/>
                    <w:adjustRightInd w:val="0"/>
                    <w:snapToGrid w:val="0"/>
                    <w:jc w:val="center"/>
                    <w:rPr>
                      <w:color w:val="auto"/>
                      <w:szCs w:val="21"/>
                      <w:highlight w:val="none"/>
                    </w:rPr>
                  </w:pPr>
                  <w:r>
                    <w:rPr>
                      <w:rFonts w:hint="eastAsia"/>
                      <w:color w:val="auto"/>
                      <w:kern w:val="0"/>
                      <w:szCs w:val="21"/>
                      <w:highlight w:val="none"/>
                    </w:rPr>
                    <w:t>海门水厂饮用水水源保护区内禁止从事危险化学品装卸作业或者煤炭、矿砂、水泥等散货装卸作业。</w:t>
                  </w:r>
                </w:p>
              </w:tc>
              <w:tc>
                <w:tcPr>
                  <w:tcW w:w="1752" w:type="pct"/>
                  <w:vAlign w:val="center"/>
                </w:tcPr>
                <w:p w14:paraId="41E139D2">
                  <w:pPr>
                    <w:widowControl/>
                    <w:adjustRightInd w:val="0"/>
                    <w:snapToGrid w:val="0"/>
                    <w:jc w:val="center"/>
                    <w:rPr>
                      <w:color w:val="auto"/>
                      <w:szCs w:val="21"/>
                      <w:highlight w:val="none"/>
                    </w:rPr>
                  </w:pPr>
                  <w:r>
                    <w:rPr>
                      <w:rFonts w:hint="eastAsia"/>
                      <w:color w:val="auto"/>
                      <w:kern w:val="0"/>
                      <w:szCs w:val="21"/>
                      <w:highlight w:val="none"/>
                    </w:rPr>
                    <w:t>本项目不在海门水厂饮用水水源保护区内，且未从事危险化学品装卸作业或者煤炭、矿砂、水泥等散货装卸作业</w:t>
                  </w:r>
                </w:p>
              </w:tc>
              <w:tc>
                <w:tcPr>
                  <w:tcW w:w="760" w:type="pct"/>
                  <w:vAlign w:val="center"/>
                </w:tcPr>
                <w:p w14:paraId="6746F6F7">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6EA15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043D687D">
                  <w:pPr>
                    <w:adjustRightInd w:val="0"/>
                    <w:snapToGrid w:val="0"/>
                    <w:jc w:val="center"/>
                    <w:rPr>
                      <w:color w:val="auto"/>
                      <w:szCs w:val="21"/>
                      <w:highlight w:val="none"/>
                    </w:rPr>
                  </w:pPr>
                  <w:r>
                    <w:rPr>
                      <w:color w:val="auto"/>
                      <w:szCs w:val="21"/>
                      <w:highlight w:val="none"/>
                    </w:rPr>
                    <w:t>3</w:t>
                  </w:r>
                </w:p>
              </w:tc>
              <w:tc>
                <w:tcPr>
                  <w:tcW w:w="2223" w:type="pct"/>
                  <w:vAlign w:val="center"/>
                </w:tcPr>
                <w:p w14:paraId="21B99382">
                  <w:pPr>
                    <w:widowControl/>
                    <w:adjustRightInd w:val="0"/>
                    <w:snapToGrid w:val="0"/>
                    <w:jc w:val="center"/>
                    <w:rPr>
                      <w:color w:val="auto"/>
                      <w:szCs w:val="21"/>
                      <w:highlight w:val="none"/>
                    </w:rPr>
                  </w:pPr>
                  <w:r>
                    <w:rPr>
                      <w:rFonts w:hint="eastAsia"/>
                      <w:color w:val="auto"/>
                      <w:kern w:val="0"/>
                      <w:szCs w:val="21"/>
                      <w:highlight w:val="none"/>
                    </w:rPr>
                    <w:t>距离江海风景名胜区二级管控 区 100m范围内的工业用地禁止引进含喷涂、酸洗等排放异味气体的生产工序的项目。邻近清水通道、重要湿地等生态红线区域的工业用地，加强入区企业跑冒滴漏管理，设置符合规范的事故应急池，确保企业废水不排入上述敏感区域。</w:t>
                  </w:r>
                </w:p>
              </w:tc>
              <w:tc>
                <w:tcPr>
                  <w:tcW w:w="1752" w:type="pct"/>
                  <w:vAlign w:val="center"/>
                </w:tcPr>
                <w:p w14:paraId="2F7AA239">
                  <w:pPr>
                    <w:widowControl/>
                    <w:adjustRightInd w:val="0"/>
                    <w:snapToGrid w:val="0"/>
                    <w:jc w:val="center"/>
                    <w:rPr>
                      <w:color w:val="auto"/>
                      <w:szCs w:val="21"/>
                      <w:highlight w:val="none"/>
                    </w:rPr>
                  </w:pPr>
                  <w:r>
                    <w:rPr>
                      <w:rFonts w:hint="eastAsia"/>
                      <w:color w:val="auto"/>
                      <w:kern w:val="0"/>
                      <w:szCs w:val="21"/>
                      <w:highlight w:val="none"/>
                    </w:rPr>
                    <w:t>本项目距离江海风景名胜区 2km。项目位于南通市海门市经济开发区滨港大道2699号内52号楼，不靠近清水通道、重要湿地等生态红线区域</w:t>
                  </w:r>
                </w:p>
              </w:tc>
              <w:tc>
                <w:tcPr>
                  <w:tcW w:w="760" w:type="pct"/>
                  <w:vAlign w:val="center"/>
                </w:tcPr>
                <w:p w14:paraId="2D8C1549">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7E5D0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38A5E6C9">
                  <w:pPr>
                    <w:adjustRightInd w:val="0"/>
                    <w:snapToGrid w:val="0"/>
                    <w:jc w:val="center"/>
                    <w:rPr>
                      <w:color w:val="auto"/>
                      <w:szCs w:val="21"/>
                      <w:highlight w:val="none"/>
                    </w:rPr>
                  </w:pPr>
                  <w:r>
                    <w:rPr>
                      <w:color w:val="auto"/>
                      <w:szCs w:val="21"/>
                      <w:highlight w:val="none"/>
                    </w:rPr>
                    <w:t>4</w:t>
                  </w:r>
                </w:p>
              </w:tc>
              <w:tc>
                <w:tcPr>
                  <w:tcW w:w="2223" w:type="pct"/>
                  <w:vAlign w:val="center"/>
                </w:tcPr>
                <w:p w14:paraId="5012308B">
                  <w:pPr>
                    <w:widowControl/>
                    <w:adjustRightInd w:val="0"/>
                    <w:snapToGrid w:val="0"/>
                    <w:jc w:val="center"/>
                    <w:rPr>
                      <w:color w:val="auto"/>
                      <w:szCs w:val="21"/>
                      <w:highlight w:val="none"/>
                    </w:rPr>
                  </w:pPr>
                  <w:r>
                    <w:rPr>
                      <w:rFonts w:hint="eastAsia"/>
                      <w:color w:val="auto"/>
                      <w:kern w:val="0"/>
                      <w:szCs w:val="21"/>
                      <w:highlight w:val="none"/>
                    </w:rPr>
                    <w:t>邻近生活区的工业用地，禁止引进废气污染物排放量大、无组织污染严重的项目，居住用地周边200m范围内禁止引进含喷涂、酸洗等排放异味气体的生产工序的项目。</w:t>
                  </w:r>
                </w:p>
              </w:tc>
              <w:tc>
                <w:tcPr>
                  <w:tcW w:w="1752" w:type="pct"/>
                  <w:vAlign w:val="center"/>
                </w:tcPr>
                <w:p w14:paraId="3D7054F6">
                  <w:pPr>
                    <w:widowControl/>
                    <w:adjustRightInd w:val="0"/>
                    <w:snapToGrid w:val="0"/>
                    <w:jc w:val="center"/>
                    <w:rPr>
                      <w:color w:val="auto"/>
                      <w:szCs w:val="21"/>
                      <w:highlight w:val="none"/>
                    </w:rPr>
                  </w:pPr>
                  <w:r>
                    <w:rPr>
                      <w:rFonts w:hint="eastAsia"/>
                      <w:color w:val="auto"/>
                      <w:kern w:val="0"/>
                      <w:szCs w:val="21"/>
                      <w:highlight w:val="none"/>
                    </w:rPr>
                    <w:t>项目最近距离居民为</w:t>
                  </w:r>
                  <w:r>
                    <w:rPr>
                      <w:rFonts w:hint="eastAsia"/>
                      <w:color w:val="auto"/>
                      <w:kern w:val="0"/>
                      <w:szCs w:val="21"/>
                      <w:highlight w:val="none"/>
                      <w:lang w:eastAsia="zh-Hans"/>
                    </w:rPr>
                    <w:t>北侧的苏通花园</w:t>
                  </w:r>
                  <w:r>
                    <w:rPr>
                      <w:rFonts w:hint="eastAsia"/>
                      <w:color w:val="auto"/>
                      <w:kern w:val="0"/>
                      <w:szCs w:val="21"/>
                      <w:highlight w:val="none"/>
                    </w:rPr>
                    <w:t>，距离项目</w:t>
                  </w:r>
                  <w:r>
                    <w:rPr>
                      <w:color w:val="auto"/>
                      <w:kern w:val="0"/>
                      <w:szCs w:val="21"/>
                      <w:highlight w:val="none"/>
                    </w:rPr>
                    <w:t>41</w:t>
                  </w:r>
                  <w:r>
                    <w:rPr>
                      <w:rFonts w:hint="eastAsia"/>
                      <w:color w:val="auto"/>
                      <w:kern w:val="0"/>
                      <w:szCs w:val="21"/>
                      <w:highlight w:val="none"/>
                    </w:rPr>
                    <w:t>0m。</w:t>
                  </w:r>
                </w:p>
              </w:tc>
              <w:tc>
                <w:tcPr>
                  <w:tcW w:w="760" w:type="pct"/>
                  <w:vAlign w:val="center"/>
                </w:tcPr>
                <w:p w14:paraId="4ADA9974">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755F4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2341C849">
                  <w:pPr>
                    <w:adjustRightInd w:val="0"/>
                    <w:snapToGrid w:val="0"/>
                    <w:jc w:val="center"/>
                    <w:rPr>
                      <w:color w:val="auto"/>
                      <w:szCs w:val="21"/>
                      <w:highlight w:val="none"/>
                    </w:rPr>
                  </w:pPr>
                  <w:r>
                    <w:rPr>
                      <w:color w:val="auto"/>
                      <w:szCs w:val="21"/>
                      <w:highlight w:val="none"/>
                    </w:rPr>
                    <w:t>5</w:t>
                  </w:r>
                </w:p>
              </w:tc>
              <w:tc>
                <w:tcPr>
                  <w:tcW w:w="2223" w:type="pct"/>
                  <w:vAlign w:val="center"/>
                </w:tcPr>
                <w:p w14:paraId="720D61EA">
                  <w:pPr>
                    <w:widowControl/>
                    <w:adjustRightInd w:val="0"/>
                    <w:snapToGrid w:val="0"/>
                    <w:jc w:val="center"/>
                    <w:rPr>
                      <w:color w:val="auto"/>
                      <w:szCs w:val="21"/>
                      <w:highlight w:val="none"/>
                    </w:rPr>
                  </w:pPr>
                  <w:r>
                    <w:rPr>
                      <w:rFonts w:hint="eastAsia"/>
                      <w:color w:val="auto"/>
                      <w:kern w:val="0"/>
                      <w:szCs w:val="21"/>
                      <w:highlight w:val="none"/>
                    </w:rPr>
                    <w:t>对于规划发展的重点产业，具体项目引进在满足《产业结构调整指导目录（2019年本）》、《禁止外商投资产业目录》、《江苏省工业和信息产业结构调整指导目录（2012 年本）》、《产业转移指导目录（2018年本）》等产业相关法律、法规基础上，还应执行本次制定的重点发展产业优先、限制、禁止发展项目清单</w:t>
                  </w:r>
                </w:p>
              </w:tc>
              <w:tc>
                <w:tcPr>
                  <w:tcW w:w="1752" w:type="pct"/>
                  <w:vAlign w:val="center"/>
                </w:tcPr>
                <w:p w14:paraId="129F2DE8">
                  <w:pPr>
                    <w:widowControl/>
                    <w:jc w:val="center"/>
                    <w:rPr>
                      <w:color w:val="auto"/>
                      <w:szCs w:val="21"/>
                      <w:highlight w:val="none"/>
                    </w:rPr>
                  </w:pPr>
                  <w:r>
                    <w:rPr>
                      <w:rFonts w:hint="eastAsia"/>
                      <w:color w:val="auto"/>
                      <w:kern w:val="0"/>
                      <w:szCs w:val="21"/>
                      <w:highlight w:val="none"/>
                    </w:rPr>
                    <w:t>本项目为内资，且不属于《产业结构调整指导目录（2019年本）》中淘汰类及限制类产业、《江苏省工业和信息产业结构调整指导目录(2012年本)》（苏政办发[2013]9号）及《关于修改&lt;江苏省工业和信息产业结构调整指导目录(2012年本)&gt;部分条目的通知》（苏经信产业[2013]183号）、《产业转移指导目录（2018年本）》等产业政策中限制类、淘汰类项目</w:t>
                  </w:r>
                </w:p>
              </w:tc>
              <w:tc>
                <w:tcPr>
                  <w:tcW w:w="760" w:type="pct"/>
                  <w:vAlign w:val="center"/>
                </w:tcPr>
                <w:p w14:paraId="622F89DB">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5D566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2F72801F">
                  <w:pPr>
                    <w:adjustRightInd w:val="0"/>
                    <w:snapToGrid w:val="0"/>
                    <w:jc w:val="center"/>
                    <w:rPr>
                      <w:color w:val="auto"/>
                      <w:szCs w:val="21"/>
                      <w:highlight w:val="none"/>
                    </w:rPr>
                  </w:pPr>
                  <w:r>
                    <w:rPr>
                      <w:color w:val="auto"/>
                      <w:szCs w:val="21"/>
                      <w:highlight w:val="none"/>
                    </w:rPr>
                    <w:t>6</w:t>
                  </w:r>
                </w:p>
              </w:tc>
              <w:tc>
                <w:tcPr>
                  <w:tcW w:w="2223" w:type="pct"/>
                  <w:vAlign w:val="center"/>
                </w:tcPr>
                <w:p w14:paraId="47E7136C">
                  <w:pPr>
                    <w:widowControl/>
                    <w:adjustRightInd w:val="0"/>
                    <w:snapToGrid w:val="0"/>
                    <w:jc w:val="center"/>
                    <w:rPr>
                      <w:color w:val="auto"/>
                      <w:szCs w:val="21"/>
                      <w:highlight w:val="none"/>
                    </w:rPr>
                  </w:pPr>
                  <w:r>
                    <w:rPr>
                      <w:rFonts w:hint="eastAsia"/>
                      <w:color w:val="auto"/>
                      <w:kern w:val="0"/>
                      <w:szCs w:val="21"/>
                      <w:highlight w:val="none"/>
                    </w:rPr>
                    <w:t>入区企业要严格执行环评、“三同时”制度，现有未及时履行验收手续的企业须按“清理整治环保违法违规建设项目”文件要求完成整改，定期开展区域环境质量跟踪监测，按要求公开区域环境质量情况</w:t>
                  </w:r>
                </w:p>
              </w:tc>
              <w:tc>
                <w:tcPr>
                  <w:tcW w:w="1752" w:type="pct"/>
                  <w:vAlign w:val="center"/>
                </w:tcPr>
                <w:p w14:paraId="3668145F">
                  <w:pPr>
                    <w:widowControl/>
                    <w:adjustRightInd w:val="0"/>
                    <w:snapToGrid w:val="0"/>
                    <w:jc w:val="center"/>
                    <w:rPr>
                      <w:color w:val="auto"/>
                      <w:szCs w:val="21"/>
                      <w:highlight w:val="none"/>
                    </w:rPr>
                  </w:pPr>
                  <w:r>
                    <w:rPr>
                      <w:rFonts w:hint="eastAsia"/>
                      <w:color w:val="auto"/>
                      <w:kern w:val="0"/>
                      <w:szCs w:val="21"/>
                      <w:highlight w:val="none"/>
                    </w:rPr>
                    <w:t>项目将严格执行环评制度，建设完成达三同时验收条件时将及时开展“三同时”验收。</w:t>
                  </w:r>
                </w:p>
              </w:tc>
              <w:tc>
                <w:tcPr>
                  <w:tcW w:w="760" w:type="pct"/>
                  <w:vAlign w:val="center"/>
                </w:tcPr>
                <w:p w14:paraId="1B6CB2C2">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4B1B2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5F5FCC3D">
                  <w:pPr>
                    <w:adjustRightInd w:val="0"/>
                    <w:snapToGrid w:val="0"/>
                    <w:jc w:val="center"/>
                    <w:rPr>
                      <w:color w:val="auto"/>
                      <w:szCs w:val="21"/>
                      <w:highlight w:val="none"/>
                    </w:rPr>
                  </w:pPr>
                  <w:r>
                    <w:rPr>
                      <w:color w:val="auto"/>
                      <w:szCs w:val="21"/>
                      <w:highlight w:val="none"/>
                    </w:rPr>
                    <w:t>7</w:t>
                  </w:r>
                </w:p>
              </w:tc>
              <w:tc>
                <w:tcPr>
                  <w:tcW w:w="2223" w:type="pct"/>
                  <w:vAlign w:val="center"/>
                </w:tcPr>
                <w:p w14:paraId="1430F97D">
                  <w:pPr>
                    <w:widowControl/>
                    <w:adjustRightInd w:val="0"/>
                    <w:snapToGrid w:val="0"/>
                    <w:jc w:val="center"/>
                    <w:rPr>
                      <w:color w:val="auto"/>
                      <w:szCs w:val="21"/>
                      <w:highlight w:val="none"/>
                    </w:rPr>
                  </w:pPr>
                  <w:r>
                    <w:rPr>
                      <w:rFonts w:hint="eastAsia"/>
                      <w:color w:val="auto"/>
                      <w:kern w:val="0"/>
                      <w:szCs w:val="21"/>
                      <w:highlight w:val="none"/>
                    </w:rPr>
                    <w:t>开发区实施集中供热，新入区企业禁止建设燃煤供热设施，确需自建供热设施的，必须使用清洁能源</w:t>
                  </w:r>
                </w:p>
              </w:tc>
              <w:tc>
                <w:tcPr>
                  <w:tcW w:w="1752" w:type="pct"/>
                  <w:vAlign w:val="center"/>
                </w:tcPr>
                <w:p w14:paraId="0A80EDD9">
                  <w:pPr>
                    <w:widowControl/>
                    <w:adjustRightInd w:val="0"/>
                    <w:snapToGrid w:val="0"/>
                    <w:jc w:val="center"/>
                    <w:rPr>
                      <w:color w:val="auto"/>
                      <w:szCs w:val="21"/>
                      <w:highlight w:val="none"/>
                    </w:rPr>
                  </w:pPr>
                  <w:r>
                    <w:rPr>
                      <w:rFonts w:hint="eastAsia"/>
                      <w:color w:val="auto"/>
                      <w:kern w:val="0"/>
                      <w:szCs w:val="21"/>
                      <w:highlight w:val="none"/>
                    </w:rPr>
                    <w:t>本项目烘干环节利用电加热，为清洁能源</w:t>
                  </w:r>
                </w:p>
              </w:tc>
              <w:tc>
                <w:tcPr>
                  <w:tcW w:w="760" w:type="pct"/>
                  <w:vAlign w:val="center"/>
                </w:tcPr>
                <w:p w14:paraId="4E3AC3EB">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04AE7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35588862">
                  <w:pPr>
                    <w:adjustRightInd w:val="0"/>
                    <w:snapToGrid w:val="0"/>
                    <w:jc w:val="center"/>
                    <w:rPr>
                      <w:color w:val="auto"/>
                      <w:szCs w:val="21"/>
                      <w:highlight w:val="none"/>
                    </w:rPr>
                  </w:pPr>
                  <w:r>
                    <w:rPr>
                      <w:color w:val="auto"/>
                      <w:szCs w:val="21"/>
                      <w:highlight w:val="none"/>
                    </w:rPr>
                    <w:t>8</w:t>
                  </w:r>
                </w:p>
              </w:tc>
              <w:tc>
                <w:tcPr>
                  <w:tcW w:w="2223" w:type="pct"/>
                  <w:vAlign w:val="center"/>
                </w:tcPr>
                <w:p w14:paraId="5F8AE91B">
                  <w:pPr>
                    <w:widowControl/>
                    <w:adjustRightInd w:val="0"/>
                    <w:snapToGrid w:val="0"/>
                    <w:jc w:val="center"/>
                    <w:rPr>
                      <w:color w:val="auto"/>
                      <w:szCs w:val="21"/>
                      <w:highlight w:val="none"/>
                    </w:rPr>
                  </w:pPr>
                  <w:r>
                    <w:rPr>
                      <w:rFonts w:hint="eastAsia"/>
                      <w:color w:val="auto"/>
                      <w:kern w:val="0"/>
                      <w:szCs w:val="21"/>
                      <w:highlight w:val="none"/>
                    </w:rPr>
                    <w:t>持续完善区域污水管网建设，在工业企业废水接管率持续保持100%的基础上积极提高区域再生水利用率，结合开发区内分散农村居民点集中安置，进一步提高生活污水集中处理率。积极推进东洲污水处理厂中水回用工程，中水回用率提高至25%，有效减轻污水厂尾水集中排放对纳污河流水质的影响</w:t>
                  </w:r>
                </w:p>
              </w:tc>
              <w:tc>
                <w:tcPr>
                  <w:tcW w:w="1752" w:type="pct"/>
                  <w:vAlign w:val="center"/>
                </w:tcPr>
                <w:p w14:paraId="14DCF92D">
                  <w:pPr>
                    <w:widowControl/>
                    <w:adjustRightInd w:val="0"/>
                    <w:snapToGrid w:val="0"/>
                    <w:jc w:val="center"/>
                    <w:rPr>
                      <w:color w:val="auto"/>
                      <w:szCs w:val="21"/>
                      <w:highlight w:val="none"/>
                    </w:rPr>
                  </w:pPr>
                  <w:r>
                    <w:rPr>
                      <w:rFonts w:hint="eastAsia"/>
                      <w:color w:val="auto"/>
                      <w:kern w:val="0"/>
                      <w:szCs w:val="21"/>
                      <w:highlight w:val="none"/>
                    </w:rPr>
                    <w:t>本项目生活污水经化粪池预处理后接管海门市东洲水处理有限公司。</w:t>
                  </w:r>
                </w:p>
              </w:tc>
              <w:tc>
                <w:tcPr>
                  <w:tcW w:w="760" w:type="pct"/>
                  <w:vAlign w:val="center"/>
                </w:tcPr>
                <w:p w14:paraId="5D25A0DB">
                  <w:pPr>
                    <w:widowControl/>
                    <w:adjustRightInd w:val="0"/>
                    <w:snapToGrid w:val="0"/>
                    <w:jc w:val="center"/>
                    <w:rPr>
                      <w:color w:val="auto"/>
                      <w:kern w:val="0"/>
                      <w:szCs w:val="21"/>
                      <w:highlight w:val="none"/>
                    </w:rPr>
                  </w:pPr>
                  <w:r>
                    <w:rPr>
                      <w:rFonts w:hint="eastAsia"/>
                      <w:color w:val="auto"/>
                      <w:kern w:val="0"/>
                      <w:szCs w:val="21"/>
                      <w:highlight w:val="none"/>
                    </w:rPr>
                    <w:t>相符</w:t>
                  </w:r>
                </w:p>
              </w:tc>
            </w:tr>
            <w:tr w14:paraId="2B255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2" w:type="pct"/>
                  <w:vAlign w:val="center"/>
                </w:tcPr>
                <w:p w14:paraId="2F8598BC">
                  <w:pPr>
                    <w:adjustRightInd w:val="0"/>
                    <w:snapToGrid w:val="0"/>
                    <w:jc w:val="center"/>
                    <w:rPr>
                      <w:color w:val="auto"/>
                      <w:szCs w:val="21"/>
                      <w:highlight w:val="none"/>
                    </w:rPr>
                  </w:pPr>
                  <w:r>
                    <w:rPr>
                      <w:color w:val="auto"/>
                      <w:szCs w:val="21"/>
                      <w:highlight w:val="none"/>
                    </w:rPr>
                    <w:t>9</w:t>
                  </w:r>
                </w:p>
              </w:tc>
              <w:tc>
                <w:tcPr>
                  <w:tcW w:w="2223" w:type="pct"/>
                  <w:vAlign w:val="center"/>
                </w:tcPr>
                <w:p w14:paraId="3C914E27">
                  <w:pPr>
                    <w:widowControl/>
                    <w:adjustRightInd w:val="0"/>
                    <w:snapToGrid w:val="0"/>
                    <w:jc w:val="center"/>
                    <w:rPr>
                      <w:color w:val="auto"/>
                      <w:szCs w:val="21"/>
                      <w:highlight w:val="none"/>
                    </w:rPr>
                  </w:pPr>
                  <w:r>
                    <w:rPr>
                      <w:rFonts w:hint="eastAsia"/>
                      <w:color w:val="auto"/>
                      <w:kern w:val="0"/>
                      <w:szCs w:val="21"/>
                      <w:highlight w:val="none"/>
                    </w:rPr>
                    <w:t>排水量小、污染轻的项目优先引进；引进项目的生产工艺、设备、污染治理技术，以及单位产品能耗、物耗、污染物排放和资源利用效率等均需达到同行业先进水平；所有生产工艺废气必须达标排放；各类固体废物分质安全处置</w:t>
                  </w:r>
                </w:p>
              </w:tc>
              <w:tc>
                <w:tcPr>
                  <w:tcW w:w="1752" w:type="pct"/>
                  <w:vAlign w:val="center"/>
                </w:tcPr>
                <w:p w14:paraId="5BCF87D7">
                  <w:pPr>
                    <w:widowControl/>
                    <w:adjustRightInd w:val="0"/>
                    <w:snapToGrid w:val="0"/>
                    <w:jc w:val="center"/>
                    <w:rPr>
                      <w:color w:val="auto"/>
                      <w:szCs w:val="21"/>
                      <w:highlight w:val="none"/>
                    </w:rPr>
                  </w:pPr>
                  <w:r>
                    <w:rPr>
                      <w:rFonts w:hint="eastAsia"/>
                      <w:color w:val="auto"/>
                      <w:kern w:val="0"/>
                      <w:szCs w:val="21"/>
                      <w:highlight w:val="none"/>
                    </w:rPr>
                    <w:t>项目产生生活污水1200t/a、冷却塔排水600t/a、纯水制备弃水240t/a、初期雨水154</w:t>
                  </w:r>
                  <w:r>
                    <w:rPr>
                      <w:rFonts w:hint="default"/>
                      <w:color w:val="auto"/>
                      <w:kern w:val="0"/>
                      <w:szCs w:val="21"/>
                      <w:highlight w:val="none"/>
                    </w:rPr>
                    <w:t>6</w:t>
                  </w:r>
                  <w:r>
                    <w:rPr>
                      <w:rFonts w:hint="eastAsia"/>
                      <w:color w:val="auto"/>
                      <w:kern w:val="0"/>
                      <w:szCs w:val="21"/>
                      <w:highlight w:val="none"/>
                    </w:rPr>
                    <w:t>t/a，共计358</w:t>
                  </w:r>
                  <w:r>
                    <w:rPr>
                      <w:rFonts w:hint="default"/>
                      <w:color w:val="auto"/>
                      <w:kern w:val="0"/>
                      <w:szCs w:val="21"/>
                      <w:highlight w:val="none"/>
                    </w:rPr>
                    <w:t>6</w:t>
                  </w:r>
                  <w:r>
                    <w:rPr>
                      <w:rFonts w:hint="eastAsia"/>
                      <w:color w:val="auto"/>
                      <w:kern w:val="0"/>
                      <w:szCs w:val="21"/>
                      <w:highlight w:val="none"/>
                    </w:rPr>
                    <w:t>t/a</w:t>
                  </w:r>
                  <w:r>
                    <w:rPr>
                      <w:rFonts w:hint="eastAsia"/>
                      <w:color w:val="auto"/>
                      <w:kern w:val="0"/>
                      <w:szCs w:val="21"/>
                      <w:highlight w:val="none"/>
                      <w:lang w:eastAsia="zh-Hans"/>
                    </w:rPr>
                    <w:t>，</w:t>
                  </w:r>
                  <w:r>
                    <w:rPr>
                      <w:rFonts w:hint="eastAsia"/>
                      <w:color w:val="auto"/>
                      <w:kern w:val="0"/>
                      <w:szCs w:val="21"/>
                      <w:highlight w:val="none"/>
                    </w:rPr>
                    <w:t>排水量较小。项目为C3670汽车零部件及配件制造，生产产品主要为 电机，产品可服务于区域先进装备制造和汽车生产。</w:t>
                  </w:r>
                </w:p>
              </w:tc>
              <w:tc>
                <w:tcPr>
                  <w:tcW w:w="760" w:type="pct"/>
                  <w:vAlign w:val="center"/>
                </w:tcPr>
                <w:p w14:paraId="6349D990">
                  <w:pPr>
                    <w:widowControl/>
                    <w:adjustRightInd w:val="0"/>
                    <w:snapToGrid w:val="0"/>
                    <w:jc w:val="center"/>
                    <w:rPr>
                      <w:color w:val="auto"/>
                      <w:kern w:val="0"/>
                      <w:szCs w:val="21"/>
                      <w:highlight w:val="none"/>
                    </w:rPr>
                  </w:pPr>
                  <w:r>
                    <w:rPr>
                      <w:rFonts w:hint="eastAsia"/>
                      <w:color w:val="auto"/>
                      <w:kern w:val="0"/>
                      <w:szCs w:val="21"/>
                      <w:highlight w:val="none"/>
                    </w:rPr>
                    <w:t>相符</w:t>
                  </w:r>
                </w:p>
              </w:tc>
            </w:tr>
          </w:tbl>
          <w:p w14:paraId="726F813C">
            <w:pPr>
              <w:adjustRightInd w:val="0"/>
              <w:snapToGrid w:val="0"/>
              <w:spacing w:line="360" w:lineRule="auto"/>
              <w:ind w:firstLine="480" w:firstLineChars="200"/>
              <w:rPr>
                <w:b/>
                <w:color w:val="auto"/>
                <w:sz w:val="24"/>
                <w:highlight w:val="none"/>
              </w:rPr>
            </w:pPr>
            <w:r>
              <w:rPr>
                <w:rFonts w:hint="eastAsia" w:hAnsi="宋体"/>
                <w:color w:val="auto"/>
                <w:sz w:val="24"/>
                <w:highlight w:val="none"/>
              </w:rPr>
              <w:t>由上表可知，本项目符合《海门经济技术开发区总体规划（2015-2030） 环境影响报告书》中要求。</w:t>
            </w:r>
          </w:p>
          <w:p w14:paraId="63C2944F">
            <w:pPr>
              <w:adjustRightInd w:val="0"/>
              <w:snapToGrid w:val="0"/>
              <w:spacing w:line="360" w:lineRule="auto"/>
              <w:ind w:firstLine="482" w:firstLineChars="200"/>
              <w:rPr>
                <w:b/>
                <w:color w:val="auto"/>
                <w:sz w:val="24"/>
                <w:highlight w:val="none"/>
              </w:rPr>
            </w:pPr>
            <w:r>
              <w:rPr>
                <w:rFonts w:hint="eastAsia"/>
                <w:b/>
                <w:color w:val="auto"/>
                <w:sz w:val="24"/>
                <w:highlight w:val="none"/>
              </w:rPr>
              <w:t>②与关于《海门经济开发区总体规划（2015-2030）环境影响报告书》的审查意见的相符性分析</w:t>
            </w:r>
          </w:p>
          <w:p w14:paraId="635D8256">
            <w:pPr>
              <w:jc w:val="center"/>
              <w:rPr>
                <w:b/>
                <w:color w:val="auto"/>
                <w:sz w:val="24"/>
                <w:highlight w:val="none"/>
              </w:rPr>
            </w:pPr>
            <w:r>
              <w:rPr>
                <w:b/>
                <w:color w:val="auto"/>
                <w:sz w:val="24"/>
                <w:highlight w:val="none"/>
              </w:rPr>
              <w:t>表</w:t>
            </w:r>
            <w:r>
              <w:rPr>
                <w:rFonts w:hint="eastAsia"/>
                <w:b/>
                <w:color w:val="auto"/>
                <w:sz w:val="24"/>
                <w:highlight w:val="none"/>
              </w:rPr>
              <w:t>1</w:t>
            </w:r>
            <w:r>
              <w:rPr>
                <w:b/>
                <w:color w:val="auto"/>
                <w:sz w:val="24"/>
                <w:highlight w:val="none"/>
              </w:rPr>
              <w:t>-</w:t>
            </w:r>
            <w:r>
              <w:rPr>
                <w:rFonts w:hint="eastAsia"/>
                <w:b/>
                <w:color w:val="auto"/>
                <w:sz w:val="24"/>
                <w:highlight w:val="none"/>
              </w:rPr>
              <w:t>2</w:t>
            </w:r>
            <w:r>
              <w:rPr>
                <w:b/>
                <w:color w:val="auto"/>
                <w:sz w:val="24"/>
                <w:highlight w:val="none"/>
              </w:rPr>
              <w:t xml:space="preserve">  本项目与规划环评审查意见对照表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3411"/>
              <w:gridCol w:w="3011"/>
              <w:gridCol w:w="745"/>
            </w:tblGrid>
            <w:tr w14:paraId="57EC0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42BC4F47">
                  <w:pPr>
                    <w:adjustRightInd w:val="0"/>
                    <w:snapToGrid w:val="0"/>
                    <w:jc w:val="center"/>
                    <w:rPr>
                      <w:b/>
                      <w:color w:val="auto"/>
                      <w:szCs w:val="21"/>
                      <w:highlight w:val="none"/>
                    </w:rPr>
                  </w:pPr>
                  <w:r>
                    <w:rPr>
                      <w:b/>
                      <w:color w:val="auto"/>
                      <w:szCs w:val="21"/>
                      <w:highlight w:val="none"/>
                    </w:rPr>
                    <w:t>要点</w:t>
                  </w:r>
                </w:p>
              </w:tc>
              <w:tc>
                <w:tcPr>
                  <w:tcW w:w="3411" w:type="dxa"/>
                  <w:tcMar>
                    <w:top w:w="0" w:type="dxa"/>
                    <w:left w:w="0" w:type="dxa"/>
                    <w:bottom w:w="0" w:type="dxa"/>
                    <w:right w:w="0" w:type="dxa"/>
                  </w:tcMar>
                  <w:vAlign w:val="center"/>
                </w:tcPr>
                <w:p w14:paraId="2E7D4FF5">
                  <w:pPr>
                    <w:adjustRightInd w:val="0"/>
                    <w:snapToGrid w:val="0"/>
                    <w:jc w:val="center"/>
                    <w:rPr>
                      <w:b/>
                      <w:color w:val="auto"/>
                      <w:szCs w:val="21"/>
                      <w:highlight w:val="none"/>
                    </w:rPr>
                  </w:pPr>
                  <w:r>
                    <w:rPr>
                      <w:rFonts w:hint="eastAsia"/>
                      <w:b/>
                      <w:color w:val="auto"/>
                      <w:szCs w:val="21"/>
                      <w:highlight w:val="none"/>
                    </w:rPr>
                    <w:t>规划</w:t>
                  </w:r>
                  <w:r>
                    <w:rPr>
                      <w:b/>
                      <w:color w:val="auto"/>
                      <w:szCs w:val="21"/>
                      <w:highlight w:val="none"/>
                    </w:rPr>
                    <w:t>环评批复具体内容</w:t>
                  </w:r>
                </w:p>
              </w:tc>
              <w:tc>
                <w:tcPr>
                  <w:tcW w:w="3011" w:type="dxa"/>
                  <w:vAlign w:val="center"/>
                </w:tcPr>
                <w:p w14:paraId="422E3225">
                  <w:pPr>
                    <w:adjustRightInd w:val="0"/>
                    <w:snapToGrid w:val="0"/>
                    <w:jc w:val="center"/>
                    <w:rPr>
                      <w:b/>
                      <w:color w:val="auto"/>
                      <w:szCs w:val="21"/>
                      <w:highlight w:val="none"/>
                    </w:rPr>
                  </w:pPr>
                  <w:r>
                    <w:rPr>
                      <w:b/>
                      <w:color w:val="auto"/>
                      <w:szCs w:val="21"/>
                      <w:highlight w:val="none"/>
                    </w:rPr>
                    <w:t>本项目情况</w:t>
                  </w:r>
                </w:p>
              </w:tc>
              <w:tc>
                <w:tcPr>
                  <w:tcW w:w="745" w:type="dxa"/>
                  <w:tcMar>
                    <w:top w:w="0" w:type="dxa"/>
                    <w:left w:w="0" w:type="dxa"/>
                    <w:bottom w:w="0" w:type="dxa"/>
                    <w:right w:w="0" w:type="dxa"/>
                  </w:tcMar>
                  <w:vAlign w:val="center"/>
                </w:tcPr>
                <w:p w14:paraId="6A0833B9">
                  <w:pPr>
                    <w:adjustRightInd w:val="0"/>
                    <w:snapToGrid w:val="0"/>
                    <w:jc w:val="center"/>
                    <w:rPr>
                      <w:b/>
                      <w:color w:val="auto"/>
                      <w:szCs w:val="21"/>
                      <w:highlight w:val="none"/>
                    </w:rPr>
                  </w:pPr>
                  <w:r>
                    <w:rPr>
                      <w:b/>
                      <w:color w:val="auto"/>
                      <w:szCs w:val="21"/>
                      <w:highlight w:val="none"/>
                    </w:rPr>
                    <w:t>相符性</w:t>
                  </w:r>
                </w:p>
              </w:tc>
            </w:tr>
            <w:tr w14:paraId="0A199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38C598E1">
                  <w:pPr>
                    <w:adjustRightInd w:val="0"/>
                    <w:snapToGrid w:val="0"/>
                    <w:jc w:val="center"/>
                    <w:rPr>
                      <w:b/>
                      <w:color w:val="auto"/>
                      <w:szCs w:val="21"/>
                      <w:highlight w:val="none"/>
                    </w:rPr>
                  </w:pPr>
                  <w:r>
                    <w:rPr>
                      <w:b/>
                      <w:color w:val="auto"/>
                      <w:szCs w:val="21"/>
                      <w:highlight w:val="none"/>
                    </w:rPr>
                    <w:t>1</w:t>
                  </w:r>
                </w:p>
              </w:tc>
              <w:tc>
                <w:tcPr>
                  <w:tcW w:w="3411" w:type="dxa"/>
                  <w:tcMar>
                    <w:top w:w="0" w:type="dxa"/>
                    <w:left w:w="0" w:type="dxa"/>
                    <w:bottom w:w="0" w:type="dxa"/>
                    <w:right w:w="0" w:type="dxa"/>
                  </w:tcMar>
                  <w:vAlign w:val="center"/>
                </w:tcPr>
                <w:p w14:paraId="437F4CB3">
                  <w:pPr>
                    <w:adjustRightInd w:val="0"/>
                    <w:snapToGrid w:val="0"/>
                    <w:jc w:val="center"/>
                    <w:rPr>
                      <w:b/>
                      <w:color w:val="auto"/>
                      <w:szCs w:val="21"/>
                      <w:highlight w:val="none"/>
                    </w:rPr>
                  </w:pPr>
                  <w:r>
                    <w:rPr>
                      <w:rFonts w:hint="eastAsia"/>
                      <w:color w:val="auto"/>
                      <w:highlight w:val="none"/>
                    </w:rPr>
                    <w:t>(一)加强《规划》引导，坚持绿色发展、协调发展理念。根据国家、区域发展战略，及长江经济带发展规划纲要相关要求，坚持生态优先、绿色集约发展，突出城市与产业协调发展的理念，进一步优化《规划》的发展定位、功能布局、发展规模、产业结构等，加强与海门市城市总体规划、土地利用总体规划、南通港总体规划的协调和衔接，促进开发区产业转型升级，实现产业发展与生态环境保护、人居环境安全相协调，积极推行区域的低碳化、循环化、集约化发展。加强土地资源的节约集约利用，提高土地使用效率</w:t>
                  </w:r>
                  <w:r>
                    <w:rPr>
                      <w:color w:val="auto"/>
                      <w:highlight w:val="none"/>
                    </w:rPr>
                    <w:t>。</w:t>
                  </w:r>
                </w:p>
              </w:tc>
              <w:tc>
                <w:tcPr>
                  <w:tcW w:w="3011" w:type="dxa"/>
                  <w:vAlign w:val="center"/>
                </w:tcPr>
                <w:p w14:paraId="04183EB4">
                  <w:pPr>
                    <w:adjustRightInd w:val="0"/>
                    <w:snapToGrid w:val="0"/>
                    <w:jc w:val="center"/>
                    <w:rPr>
                      <w:b/>
                      <w:color w:val="auto"/>
                      <w:szCs w:val="21"/>
                      <w:highlight w:val="none"/>
                    </w:rPr>
                  </w:pPr>
                  <w:r>
                    <w:rPr>
                      <w:rFonts w:hint="eastAsia"/>
                      <w:color w:val="auto"/>
                      <w:szCs w:val="21"/>
                      <w:highlight w:val="none"/>
                    </w:rPr>
                    <w:t>/</w:t>
                  </w:r>
                </w:p>
              </w:tc>
              <w:tc>
                <w:tcPr>
                  <w:tcW w:w="745" w:type="dxa"/>
                  <w:tcMar>
                    <w:top w:w="0" w:type="dxa"/>
                    <w:left w:w="0" w:type="dxa"/>
                    <w:bottom w:w="0" w:type="dxa"/>
                    <w:right w:w="0" w:type="dxa"/>
                  </w:tcMar>
                  <w:vAlign w:val="center"/>
                </w:tcPr>
                <w:p w14:paraId="7BB3E0E9">
                  <w:pPr>
                    <w:adjustRightInd w:val="0"/>
                    <w:snapToGrid w:val="0"/>
                    <w:jc w:val="center"/>
                    <w:rPr>
                      <w:b/>
                      <w:color w:val="auto"/>
                      <w:szCs w:val="21"/>
                      <w:highlight w:val="none"/>
                    </w:rPr>
                  </w:pPr>
                  <w:r>
                    <w:rPr>
                      <w:color w:val="auto"/>
                      <w:szCs w:val="21"/>
                      <w:highlight w:val="none"/>
                    </w:rPr>
                    <w:t>相符</w:t>
                  </w:r>
                </w:p>
              </w:tc>
            </w:tr>
            <w:tr w14:paraId="71C92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2DD3C098">
                  <w:pPr>
                    <w:adjustRightInd w:val="0"/>
                    <w:snapToGrid w:val="0"/>
                    <w:jc w:val="center"/>
                    <w:rPr>
                      <w:color w:val="auto"/>
                      <w:szCs w:val="21"/>
                      <w:highlight w:val="none"/>
                    </w:rPr>
                  </w:pPr>
                  <w:r>
                    <w:rPr>
                      <w:color w:val="auto"/>
                      <w:szCs w:val="21"/>
                      <w:highlight w:val="none"/>
                    </w:rPr>
                    <w:t>2</w:t>
                  </w:r>
                </w:p>
              </w:tc>
              <w:tc>
                <w:tcPr>
                  <w:tcW w:w="3411" w:type="dxa"/>
                  <w:tcMar>
                    <w:top w:w="0" w:type="dxa"/>
                    <w:left w:w="0" w:type="dxa"/>
                    <w:bottom w:w="0" w:type="dxa"/>
                    <w:right w:w="0" w:type="dxa"/>
                  </w:tcMar>
                  <w:vAlign w:val="center"/>
                </w:tcPr>
                <w:p w14:paraId="1477F1B7">
                  <w:pPr>
                    <w:adjustRightInd w:val="0"/>
                    <w:snapToGrid w:val="0"/>
                    <w:jc w:val="center"/>
                    <w:rPr>
                      <w:color w:val="auto"/>
                      <w:szCs w:val="21"/>
                      <w:highlight w:val="none"/>
                    </w:rPr>
                  </w:pPr>
                  <w:r>
                    <w:rPr>
                      <w:rFonts w:hint="eastAsia"/>
                      <w:color w:val="auto"/>
                      <w:highlight w:val="none"/>
                    </w:rPr>
                    <w:t>（二）进一步优化各分区的功能定位和产业结构，加快推进开发区内产业集聚和转型升级。统筹开发区内现有金属加工及制品、电子机械等产业的布局</w:t>
                  </w:r>
                  <w:r>
                    <w:rPr>
                      <w:rFonts w:hint="eastAsia"/>
                      <w:color w:val="auto"/>
                      <w:highlight w:val="none"/>
                      <w:lang w:eastAsia="zh-Hans"/>
                    </w:rPr>
                    <w:t>，</w:t>
                  </w:r>
                  <w:r>
                    <w:rPr>
                      <w:rFonts w:hint="eastAsia"/>
                      <w:color w:val="auto"/>
                      <w:highlight w:val="none"/>
                    </w:rPr>
                    <w:t>进一步优化中心商务城用地布局，优化、整合滨江工业城各工业园区产业发展方向与结构，减缓对区域人居环境、水环境的影响</w:t>
                  </w:r>
                  <w:r>
                    <w:rPr>
                      <w:color w:val="auto"/>
                      <w:highlight w:val="none"/>
                    </w:rPr>
                    <w:t>。</w:t>
                  </w:r>
                </w:p>
              </w:tc>
              <w:tc>
                <w:tcPr>
                  <w:tcW w:w="3011" w:type="dxa"/>
                  <w:vAlign w:val="center"/>
                </w:tcPr>
                <w:p w14:paraId="01CFAAB9">
                  <w:pPr>
                    <w:adjustRightInd w:val="0"/>
                    <w:snapToGrid w:val="0"/>
                    <w:jc w:val="left"/>
                    <w:rPr>
                      <w:color w:val="auto"/>
                      <w:highlight w:val="none"/>
                    </w:rPr>
                  </w:pPr>
                  <w:r>
                    <w:rPr>
                      <w:rFonts w:hint="eastAsia"/>
                      <w:color w:val="auto"/>
                      <w:highlight w:val="none"/>
                    </w:rPr>
                    <w:t>园区产业发展定位为重点发展先进装备制造、汽车零部件、生物医药、新能源等产业，同时发展科教研发、文化休闲等现代服务业</w:t>
                  </w:r>
                  <w:r>
                    <w:rPr>
                      <w:color w:val="auto"/>
                      <w:highlight w:val="none"/>
                    </w:rPr>
                    <w:t>。</w:t>
                  </w:r>
                </w:p>
                <w:p w14:paraId="00C0C43B">
                  <w:pPr>
                    <w:pStyle w:val="2"/>
                    <w:adjustRightInd w:val="0"/>
                    <w:snapToGrid w:val="0"/>
                    <w:spacing w:after="0"/>
                    <w:ind w:left="0" w:leftChars="0" w:firstLine="0" w:firstLineChars="0"/>
                    <w:jc w:val="left"/>
                    <w:rPr>
                      <w:color w:val="auto"/>
                      <w:highlight w:val="none"/>
                      <w:lang w:val="en-US"/>
                    </w:rPr>
                  </w:pPr>
                  <w:r>
                    <w:rPr>
                      <w:rFonts w:hint="eastAsia"/>
                      <w:color w:val="auto"/>
                      <w:szCs w:val="21"/>
                      <w:highlight w:val="none"/>
                      <w:lang w:val="en-US"/>
                    </w:rPr>
                    <w:t>本项目为</w:t>
                  </w:r>
                  <w:r>
                    <w:rPr>
                      <w:snapToGrid w:val="0"/>
                      <w:color w:val="auto"/>
                      <w:szCs w:val="21"/>
                      <w:highlight w:val="none"/>
                    </w:rPr>
                    <w:t>C3670汽车零部件及配件制造</w:t>
                  </w:r>
                  <w:r>
                    <w:rPr>
                      <w:rFonts w:hint="eastAsia"/>
                      <w:snapToGrid w:val="0"/>
                      <w:color w:val="auto"/>
                      <w:szCs w:val="21"/>
                      <w:highlight w:val="none"/>
                    </w:rPr>
                    <w:t>，</w:t>
                  </w:r>
                  <w:r>
                    <w:rPr>
                      <w:rFonts w:hint="eastAsia"/>
                      <w:snapToGrid w:val="0"/>
                      <w:color w:val="auto"/>
                      <w:sz w:val="24"/>
                      <w:highlight w:val="none"/>
                      <w:lang w:val="en-US"/>
                    </w:rPr>
                    <w:t>符合</w:t>
                  </w:r>
                  <w:r>
                    <w:rPr>
                      <w:rFonts w:hint="eastAsia"/>
                      <w:color w:val="auto"/>
                      <w:highlight w:val="none"/>
                    </w:rPr>
                    <w:t>园区产业发展定位。</w:t>
                  </w:r>
                </w:p>
              </w:tc>
              <w:tc>
                <w:tcPr>
                  <w:tcW w:w="745" w:type="dxa"/>
                  <w:tcMar>
                    <w:top w:w="0" w:type="dxa"/>
                    <w:left w:w="0" w:type="dxa"/>
                    <w:bottom w:w="0" w:type="dxa"/>
                    <w:right w:w="0" w:type="dxa"/>
                  </w:tcMar>
                  <w:vAlign w:val="center"/>
                </w:tcPr>
                <w:p w14:paraId="09E1512C">
                  <w:pPr>
                    <w:adjustRightInd w:val="0"/>
                    <w:snapToGrid w:val="0"/>
                    <w:jc w:val="center"/>
                    <w:rPr>
                      <w:color w:val="auto"/>
                      <w:szCs w:val="21"/>
                      <w:highlight w:val="none"/>
                    </w:rPr>
                  </w:pPr>
                  <w:r>
                    <w:rPr>
                      <w:color w:val="auto"/>
                      <w:szCs w:val="21"/>
                      <w:highlight w:val="none"/>
                    </w:rPr>
                    <w:t>相符</w:t>
                  </w:r>
                </w:p>
              </w:tc>
            </w:tr>
            <w:tr w14:paraId="18039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6770BCD5">
                  <w:pPr>
                    <w:adjustRightInd w:val="0"/>
                    <w:snapToGrid w:val="0"/>
                    <w:jc w:val="center"/>
                    <w:rPr>
                      <w:color w:val="auto"/>
                      <w:szCs w:val="21"/>
                      <w:highlight w:val="none"/>
                    </w:rPr>
                  </w:pPr>
                  <w:r>
                    <w:rPr>
                      <w:color w:val="auto"/>
                      <w:szCs w:val="21"/>
                      <w:highlight w:val="none"/>
                    </w:rPr>
                    <w:t>3</w:t>
                  </w:r>
                </w:p>
              </w:tc>
              <w:tc>
                <w:tcPr>
                  <w:tcW w:w="3411" w:type="dxa"/>
                  <w:tcMar>
                    <w:top w:w="0" w:type="dxa"/>
                    <w:left w:w="0" w:type="dxa"/>
                    <w:bottom w:w="0" w:type="dxa"/>
                    <w:right w:w="0" w:type="dxa"/>
                  </w:tcMar>
                  <w:vAlign w:val="center"/>
                </w:tcPr>
                <w:p w14:paraId="690CE470">
                  <w:pPr>
                    <w:adjustRightInd w:val="0"/>
                    <w:snapToGrid w:val="0"/>
                    <w:jc w:val="center"/>
                    <w:rPr>
                      <w:color w:val="auto"/>
                      <w:szCs w:val="21"/>
                      <w:highlight w:val="none"/>
                    </w:rPr>
                  </w:pPr>
                  <w:r>
                    <w:rPr>
                      <w:rFonts w:hint="eastAsia"/>
                      <w:color w:val="auto"/>
                      <w:highlight w:val="none"/>
                    </w:rPr>
                    <w:t>(三）严守生态保护红线，加强生态空间管控。严禁开发涉及海门长江饮用水水源保护区、海门河清水通道维护区、海门市沿江堤防生态公益林、江海风景名胜区等的生态保护红线区域，做好《规划》与上述生态空间之间的缓冲隔离。根据《报告书》结论,在滨江工业城现代装备制造产业园周边、浒通河两侧等区域设置足够宽度的绿化隔离带,加强规划控制。</w:t>
                  </w:r>
                </w:p>
              </w:tc>
              <w:tc>
                <w:tcPr>
                  <w:tcW w:w="3011" w:type="dxa"/>
                  <w:vAlign w:val="center"/>
                </w:tcPr>
                <w:p w14:paraId="26791B2D">
                  <w:pPr>
                    <w:adjustRightInd w:val="0"/>
                    <w:snapToGrid w:val="0"/>
                    <w:jc w:val="center"/>
                    <w:rPr>
                      <w:color w:val="auto"/>
                      <w:szCs w:val="21"/>
                      <w:highlight w:val="none"/>
                    </w:rPr>
                  </w:pPr>
                  <w:r>
                    <w:rPr>
                      <w:color w:val="auto"/>
                      <w:szCs w:val="21"/>
                      <w:highlight w:val="none"/>
                    </w:rPr>
                    <w:t>本项目位于</w:t>
                  </w:r>
                  <w:r>
                    <w:rPr>
                      <w:rFonts w:hint="eastAsia"/>
                      <w:color w:val="auto"/>
                      <w:szCs w:val="21"/>
                      <w:highlight w:val="none"/>
                    </w:rPr>
                    <w:t>南通市海门市经济开发区滨港大道2699号内52号楼</w:t>
                  </w:r>
                  <w:r>
                    <w:rPr>
                      <w:color w:val="auto"/>
                      <w:szCs w:val="21"/>
                      <w:highlight w:val="none"/>
                    </w:rPr>
                    <w:t>，</w:t>
                  </w:r>
                  <w:r>
                    <w:rPr>
                      <w:rFonts w:ascii="宋体" w:hAnsi="宋体"/>
                      <w:color w:val="auto"/>
                      <w:szCs w:val="21"/>
                      <w:highlight w:val="none"/>
                    </w:rPr>
                    <w:t>对照《江苏省国家级生态保护红线规划》（苏政发</w:t>
                  </w:r>
                  <w:r>
                    <w:rPr>
                      <w:color w:val="auto"/>
                      <w:szCs w:val="21"/>
                      <w:highlight w:val="none"/>
                    </w:rPr>
                    <w:t>[2018]74</w:t>
                  </w:r>
                  <w:r>
                    <w:rPr>
                      <w:rFonts w:ascii="宋体" w:hAnsi="宋体"/>
                      <w:color w:val="auto"/>
                      <w:szCs w:val="21"/>
                      <w:highlight w:val="none"/>
                    </w:rPr>
                    <w:t>号）</w:t>
                  </w:r>
                  <w:r>
                    <w:rPr>
                      <w:rFonts w:hint="eastAsia" w:ascii="宋体" w:hAnsi="宋体"/>
                      <w:color w:val="auto"/>
                      <w:szCs w:val="21"/>
                      <w:highlight w:val="none"/>
                    </w:rPr>
                    <w:t>及</w:t>
                  </w:r>
                  <w:r>
                    <w:rPr>
                      <w:rFonts w:ascii="宋体" w:hAnsi="宋体"/>
                      <w:color w:val="auto"/>
                      <w:szCs w:val="21"/>
                      <w:highlight w:val="none"/>
                    </w:rPr>
                    <w:t>《省政府关于印发江苏省生态空间管控区域规划的通知》（苏政发</w:t>
                  </w:r>
                  <w:r>
                    <w:rPr>
                      <w:color w:val="auto"/>
                      <w:szCs w:val="21"/>
                      <w:highlight w:val="none"/>
                    </w:rPr>
                    <w:t>[2020]1</w:t>
                  </w:r>
                  <w:r>
                    <w:rPr>
                      <w:rFonts w:ascii="宋体" w:hAnsi="宋体"/>
                      <w:color w:val="auto"/>
                      <w:szCs w:val="21"/>
                      <w:highlight w:val="none"/>
                    </w:rPr>
                    <w:t>号）</w:t>
                  </w:r>
                  <w:r>
                    <w:rPr>
                      <w:rFonts w:hint="eastAsia" w:ascii="宋体" w:hAnsi="宋体"/>
                      <w:color w:val="auto"/>
                      <w:szCs w:val="21"/>
                      <w:highlight w:val="none"/>
                    </w:rPr>
                    <w:t>，本项目不在生态红线保护范围内。</w:t>
                  </w:r>
                </w:p>
              </w:tc>
              <w:tc>
                <w:tcPr>
                  <w:tcW w:w="745" w:type="dxa"/>
                  <w:tcMar>
                    <w:top w:w="0" w:type="dxa"/>
                    <w:left w:w="0" w:type="dxa"/>
                    <w:bottom w:w="0" w:type="dxa"/>
                    <w:right w:w="0" w:type="dxa"/>
                  </w:tcMar>
                  <w:vAlign w:val="center"/>
                </w:tcPr>
                <w:p w14:paraId="42025871">
                  <w:pPr>
                    <w:adjustRightInd w:val="0"/>
                    <w:snapToGrid w:val="0"/>
                    <w:jc w:val="center"/>
                    <w:rPr>
                      <w:color w:val="auto"/>
                      <w:szCs w:val="21"/>
                      <w:highlight w:val="none"/>
                    </w:rPr>
                  </w:pPr>
                  <w:r>
                    <w:rPr>
                      <w:color w:val="auto"/>
                      <w:szCs w:val="21"/>
                      <w:highlight w:val="none"/>
                    </w:rPr>
                    <w:t>相符</w:t>
                  </w:r>
                </w:p>
              </w:tc>
            </w:tr>
            <w:tr w14:paraId="29D04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4EB9D64A">
                  <w:pPr>
                    <w:adjustRightInd w:val="0"/>
                    <w:snapToGrid w:val="0"/>
                    <w:jc w:val="center"/>
                    <w:rPr>
                      <w:color w:val="auto"/>
                      <w:szCs w:val="21"/>
                      <w:highlight w:val="none"/>
                    </w:rPr>
                  </w:pPr>
                  <w:r>
                    <w:rPr>
                      <w:color w:val="auto"/>
                      <w:highlight w:val="none"/>
                    </w:rPr>
                    <w:t>4</w:t>
                  </w:r>
                </w:p>
              </w:tc>
              <w:tc>
                <w:tcPr>
                  <w:tcW w:w="3411" w:type="dxa"/>
                  <w:tcMar>
                    <w:top w:w="0" w:type="dxa"/>
                    <w:left w:w="0" w:type="dxa"/>
                    <w:bottom w:w="0" w:type="dxa"/>
                    <w:right w:w="0" w:type="dxa"/>
                  </w:tcMar>
                  <w:vAlign w:val="center"/>
                </w:tcPr>
                <w:p w14:paraId="35177BC0">
                  <w:pPr>
                    <w:widowControl/>
                    <w:adjustRightInd w:val="0"/>
                    <w:snapToGrid w:val="0"/>
                    <w:rPr>
                      <w:color w:val="auto"/>
                      <w:szCs w:val="21"/>
                      <w:highlight w:val="none"/>
                    </w:rPr>
                  </w:pPr>
                  <w:r>
                    <w:rPr>
                      <w:rFonts w:hint="eastAsia"/>
                      <w:color w:val="auto"/>
                      <w:highlight w:val="none"/>
                    </w:rPr>
                    <w:t>(四）严守环境质量底线，落实污染物总量管控要求。根据国家大气、水、土壤污染防治行动计划和江苏省相关实施方案，以及“十三五”生态环境保护规划相关要求，明确开发区环境质量改善目标，在完成区域污染物减排方案基础上,按照倍量削减相关要求，制定开发区污染物减排方案及污染物排放总量管控要求，采取有效措施减少氮氧化物等主要污染物和挥发性有机物、氯化氢等特征污染物的排放总量,确保实现区域环境质量改善目标。</w:t>
                  </w:r>
                </w:p>
              </w:tc>
              <w:tc>
                <w:tcPr>
                  <w:tcW w:w="3011" w:type="dxa"/>
                  <w:vAlign w:val="center"/>
                </w:tcPr>
                <w:p w14:paraId="21AFC188">
                  <w:pPr>
                    <w:pStyle w:val="5"/>
                    <w:adjustRightInd w:val="0"/>
                    <w:spacing w:before="0" w:after="0" w:line="240" w:lineRule="auto"/>
                    <w:ind w:right="0"/>
                    <w:rPr>
                      <w:color w:val="auto"/>
                      <w:highlight w:val="none"/>
                      <w:lang w:val="en-US"/>
                    </w:rPr>
                  </w:pPr>
                  <w:r>
                    <w:rPr>
                      <w:color w:val="auto"/>
                      <w:sz w:val="21"/>
                      <w:szCs w:val="21"/>
                      <w:highlight w:val="none"/>
                      <w:lang w:val="en-US"/>
                    </w:rPr>
                    <w:t>本项目采取有效的污染防治措施，本项目产生的废气经处理后达标排放，新增</w:t>
                  </w:r>
                  <w:r>
                    <w:rPr>
                      <w:rFonts w:hint="eastAsia"/>
                      <w:color w:val="auto"/>
                      <w:sz w:val="21"/>
                      <w:szCs w:val="21"/>
                      <w:highlight w:val="none"/>
                      <w:lang w:val="en-US"/>
                    </w:rPr>
                    <w:t>生活污水经化粪池预处理后与冷却塔排水、纯水制备弃水、初期雨水一并接管东洲水处理有限公司</w:t>
                  </w:r>
                  <w:r>
                    <w:rPr>
                      <w:color w:val="auto"/>
                      <w:sz w:val="21"/>
                      <w:szCs w:val="21"/>
                      <w:highlight w:val="none"/>
                      <w:lang w:val="en-US"/>
                    </w:rPr>
                    <w:t>，固废实现“零”排放。</w:t>
                  </w:r>
                </w:p>
              </w:tc>
              <w:tc>
                <w:tcPr>
                  <w:tcW w:w="745" w:type="dxa"/>
                  <w:tcMar>
                    <w:top w:w="0" w:type="dxa"/>
                    <w:left w:w="0" w:type="dxa"/>
                    <w:bottom w:w="0" w:type="dxa"/>
                    <w:right w:w="0" w:type="dxa"/>
                  </w:tcMar>
                  <w:vAlign w:val="center"/>
                </w:tcPr>
                <w:p w14:paraId="57082BB4">
                  <w:pPr>
                    <w:adjustRightInd w:val="0"/>
                    <w:snapToGrid w:val="0"/>
                    <w:jc w:val="center"/>
                    <w:rPr>
                      <w:color w:val="auto"/>
                      <w:szCs w:val="21"/>
                      <w:highlight w:val="none"/>
                    </w:rPr>
                  </w:pPr>
                  <w:r>
                    <w:rPr>
                      <w:color w:val="auto"/>
                      <w:szCs w:val="21"/>
                      <w:highlight w:val="none"/>
                    </w:rPr>
                    <w:t>相符</w:t>
                  </w:r>
                </w:p>
              </w:tc>
            </w:tr>
            <w:tr w14:paraId="77FE7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081D4627">
                  <w:pPr>
                    <w:adjustRightInd w:val="0"/>
                    <w:snapToGrid w:val="0"/>
                    <w:jc w:val="center"/>
                    <w:rPr>
                      <w:color w:val="auto"/>
                      <w:szCs w:val="21"/>
                      <w:highlight w:val="none"/>
                    </w:rPr>
                  </w:pPr>
                  <w:r>
                    <w:rPr>
                      <w:color w:val="auto"/>
                      <w:highlight w:val="none"/>
                    </w:rPr>
                    <w:t>5</w:t>
                  </w:r>
                </w:p>
              </w:tc>
              <w:tc>
                <w:tcPr>
                  <w:tcW w:w="3411" w:type="dxa"/>
                  <w:tcMar>
                    <w:top w:w="0" w:type="dxa"/>
                    <w:left w:w="0" w:type="dxa"/>
                    <w:bottom w:w="0" w:type="dxa"/>
                    <w:right w:w="0" w:type="dxa"/>
                  </w:tcMar>
                  <w:vAlign w:val="center"/>
                </w:tcPr>
                <w:p w14:paraId="73F746D4">
                  <w:pPr>
                    <w:widowControl/>
                    <w:adjustRightInd w:val="0"/>
                    <w:snapToGrid w:val="0"/>
                    <w:rPr>
                      <w:color w:val="auto"/>
                      <w:szCs w:val="21"/>
                      <w:highlight w:val="none"/>
                    </w:rPr>
                  </w:pPr>
                  <w:r>
                    <w:rPr>
                      <w:rFonts w:hint="eastAsia"/>
                      <w:color w:val="auto"/>
                      <w:highlight w:val="none"/>
                    </w:rPr>
                    <w:t>（五）严守资源利用上线，落实资源、能源利用管控要求。结合区域环境质量改善目标要求，衔接区域水资源、能源利用总量管控目标，进一步优化开发区内能源结构，提升水资源、能源利用效率。</w:t>
                  </w:r>
                </w:p>
              </w:tc>
              <w:tc>
                <w:tcPr>
                  <w:tcW w:w="3011" w:type="dxa"/>
                  <w:vAlign w:val="center"/>
                </w:tcPr>
                <w:p w14:paraId="4DFC0381">
                  <w:pPr>
                    <w:adjustRightInd w:val="0"/>
                    <w:snapToGrid w:val="0"/>
                    <w:ind w:firstLine="420" w:firstLineChars="200"/>
                    <w:jc w:val="center"/>
                    <w:rPr>
                      <w:color w:val="auto"/>
                      <w:szCs w:val="21"/>
                      <w:highlight w:val="none"/>
                    </w:rPr>
                  </w:pPr>
                  <w:r>
                    <w:rPr>
                      <w:rFonts w:hint="eastAsia"/>
                      <w:color w:val="auto"/>
                      <w:highlight w:val="none"/>
                    </w:rPr>
                    <w:t>/</w:t>
                  </w:r>
                </w:p>
              </w:tc>
              <w:tc>
                <w:tcPr>
                  <w:tcW w:w="745" w:type="dxa"/>
                  <w:tcMar>
                    <w:top w:w="0" w:type="dxa"/>
                    <w:left w:w="0" w:type="dxa"/>
                    <w:bottom w:w="0" w:type="dxa"/>
                    <w:right w:w="0" w:type="dxa"/>
                  </w:tcMar>
                  <w:vAlign w:val="center"/>
                </w:tcPr>
                <w:p w14:paraId="363ABA69">
                  <w:pPr>
                    <w:adjustRightInd w:val="0"/>
                    <w:snapToGrid w:val="0"/>
                    <w:jc w:val="center"/>
                    <w:rPr>
                      <w:color w:val="auto"/>
                      <w:szCs w:val="21"/>
                      <w:highlight w:val="none"/>
                    </w:rPr>
                  </w:pPr>
                  <w:r>
                    <w:rPr>
                      <w:color w:val="auto"/>
                      <w:szCs w:val="21"/>
                      <w:highlight w:val="none"/>
                    </w:rPr>
                    <w:t>相符</w:t>
                  </w:r>
                </w:p>
              </w:tc>
            </w:tr>
            <w:tr w14:paraId="65218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642D6601">
                  <w:pPr>
                    <w:adjustRightInd w:val="0"/>
                    <w:snapToGrid w:val="0"/>
                    <w:jc w:val="center"/>
                    <w:rPr>
                      <w:color w:val="auto"/>
                      <w:szCs w:val="21"/>
                      <w:highlight w:val="none"/>
                    </w:rPr>
                  </w:pPr>
                  <w:r>
                    <w:rPr>
                      <w:color w:val="auto"/>
                      <w:highlight w:val="none"/>
                    </w:rPr>
                    <w:t>6</w:t>
                  </w:r>
                </w:p>
              </w:tc>
              <w:tc>
                <w:tcPr>
                  <w:tcW w:w="3411" w:type="dxa"/>
                  <w:tcMar>
                    <w:top w:w="0" w:type="dxa"/>
                    <w:left w:w="0" w:type="dxa"/>
                    <w:bottom w:w="0" w:type="dxa"/>
                    <w:right w:w="0" w:type="dxa"/>
                  </w:tcMar>
                  <w:vAlign w:val="center"/>
                </w:tcPr>
                <w:p w14:paraId="2C96958E">
                  <w:pPr>
                    <w:widowControl/>
                    <w:adjustRightInd w:val="0"/>
                    <w:snapToGrid w:val="0"/>
                    <w:rPr>
                      <w:color w:val="auto"/>
                      <w:szCs w:val="21"/>
                      <w:highlight w:val="none"/>
                    </w:rPr>
                  </w:pPr>
                  <w:r>
                    <w:rPr>
                      <w:rFonts w:hint="eastAsia"/>
                      <w:color w:val="auto"/>
                      <w:highlight w:val="none"/>
                    </w:rPr>
                    <w:t>（六）严格入区项目的环境准入管理。引进项目的生产工艺、设备、污染治理技术，以及单位产品能耗、物耗、污染物排放强度和资源利用效率等均需达到同行业先进水平。根据开发区功能分区及定位，严格落实环境准入要求。</w:t>
                  </w:r>
                </w:p>
              </w:tc>
              <w:tc>
                <w:tcPr>
                  <w:tcW w:w="3011" w:type="dxa"/>
                  <w:vAlign w:val="center"/>
                </w:tcPr>
                <w:p w14:paraId="07D32A84">
                  <w:pPr>
                    <w:pStyle w:val="5"/>
                    <w:adjustRightInd w:val="0"/>
                    <w:spacing w:before="0" w:after="0" w:line="240" w:lineRule="auto"/>
                    <w:ind w:right="0"/>
                    <w:rPr>
                      <w:color w:val="auto"/>
                      <w:sz w:val="21"/>
                      <w:szCs w:val="21"/>
                      <w:highlight w:val="none"/>
                      <w:lang w:val="en-US"/>
                    </w:rPr>
                  </w:pPr>
                  <w:r>
                    <w:rPr>
                      <w:color w:val="auto"/>
                      <w:sz w:val="21"/>
                      <w:szCs w:val="21"/>
                      <w:highlight w:val="none"/>
                      <w:lang w:val="en-US"/>
                    </w:rPr>
                    <w:t>本项目采取有效的污染防治措施，本项目产生的废气经处理后达标排放，新增</w:t>
                  </w:r>
                  <w:r>
                    <w:rPr>
                      <w:rFonts w:hint="eastAsia"/>
                      <w:color w:val="auto"/>
                      <w:sz w:val="21"/>
                      <w:szCs w:val="21"/>
                      <w:highlight w:val="none"/>
                      <w:lang w:val="en-US"/>
                    </w:rPr>
                    <w:t>生活污水经化粪池预处理后接管东洲水处理有限公司</w:t>
                  </w:r>
                  <w:r>
                    <w:rPr>
                      <w:color w:val="auto"/>
                      <w:sz w:val="21"/>
                      <w:szCs w:val="21"/>
                      <w:highlight w:val="none"/>
                      <w:lang w:val="en-US"/>
                    </w:rPr>
                    <w:t>，固废实现“零”排放。</w:t>
                  </w:r>
                </w:p>
                <w:p w14:paraId="69ED0239">
                  <w:pPr>
                    <w:pStyle w:val="5"/>
                    <w:adjustRightInd w:val="0"/>
                    <w:spacing w:before="0" w:after="0" w:line="240" w:lineRule="auto"/>
                    <w:ind w:right="0"/>
                    <w:rPr>
                      <w:color w:val="auto"/>
                      <w:sz w:val="21"/>
                      <w:szCs w:val="21"/>
                      <w:highlight w:val="none"/>
                      <w:lang w:val="en-US"/>
                    </w:rPr>
                  </w:pPr>
                  <w:r>
                    <w:rPr>
                      <w:rFonts w:hint="eastAsia"/>
                      <w:color w:val="auto"/>
                      <w:sz w:val="21"/>
                      <w:szCs w:val="21"/>
                      <w:highlight w:val="none"/>
                      <w:lang w:val="en-US"/>
                    </w:rPr>
                    <w:t>本项目单位产品能耗、物耗、污染物排放强度和资源利用效率等均需达到同行业先进水平。</w:t>
                  </w:r>
                </w:p>
                <w:p w14:paraId="0E881F9B">
                  <w:pPr>
                    <w:pStyle w:val="5"/>
                    <w:adjustRightInd w:val="0"/>
                    <w:spacing w:before="0" w:after="0" w:line="240" w:lineRule="auto"/>
                    <w:ind w:right="0"/>
                    <w:rPr>
                      <w:color w:val="auto"/>
                      <w:sz w:val="21"/>
                      <w:szCs w:val="21"/>
                      <w:highlight w:val="none"/>
                      <w:lang w:val="en-US"/>
                    </w:rPr>
                  </w:pPr>
                  <w:r>
                    <w:rPr>
                      <w:rFonts w:hint="eastAsia"/>
                      <w:color w:val="auto"/>
                      <w:sz w:val="21"/>
                      <w:szCs w:val="21"/>
                      <w:highlight w:val="none"/>
                      <w:lang w:val="en-US"/>
                    </w:rPr>
                    <w:t>本项目为C3670汽车零部件及配件制造，符合园区产业发展定位。</w:t>
                  </w:r>
                </w:p>
              </w:tc>
              <w:tc>
                <w:tcPr>
                  <w:tcW w:w="745" w:type="dxa"/>
                  <w:tcMar>
                    <w:top w:w="0" w:type="dxa"/>
                    <w:left w:w="0" w:type="dxa"/>
                    <w:bottom w:w="0" w:type="dxa"/>
                    <w:right w:w="0" w:type="dxa"/>
                  </w:tcMar>
                  <w:vAlign w:val="center"/>
                </w:tcPr>
                <w:p w14:paraId="0447A9C8">
                  <w:pPr>
                    <w:adjustRightInd w:val="0"/>
                    <w:snapToGrid w:val="0"/>
                    <w:jc w:val="center"/>
                    <w:rPr>
                      <w:color w:val="auto"/>
                      <w:szCs w:val="21"/>
                      <w:highlight w:val="none"/>
                    </w:rPr>
                  </w:pPr>
                  <w:r>
                    <w:rPr>
                      <w:color w:val="auto"/>
                      <w:szCs w:val="21"/>
                      <w:highlight w:val="none"/>
                    </w:rPr>
                    <w:t>相符</w:t>
                  </w:r>
                </w:p>
              </w:tc>
            </w:tr>
            <w:tr w14:paraId="08004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0FE0118B">
                  <w:pPr>
                    <w:adjustRightInd w:val="0"/>
                    <w:snapToGrid w:val="0"/>
                    <w:jc w:val="center"/>
                    <w:rPr>
                      <w:color w:val="auto"/>
                      <w:highlight w:val="none"/>
                    </w:rPr>
                  </w:pPr>
                  <w:r>
                    <w:rPr>
                      <w:rFonts w:hint="eastAsia"/>
                      <w:color w:val="auto"/>
                      <w:highlight w:val="none"/>
                    </w:rPr>
                    <w:t>7</w:t>
                  </w:r>
                </w:p>
              </w:tc>
              <w:tc>
                <w:tcPr>
                  <w:tcW w:w="3411" w:type="dxa"/>
                  <w:tcMar>
                    <w:top w:w="0" w:type="dxa"/>
                    <w:left w:w="0" w:type="dxa"/>
                    <w:bottom w:w="0" w:type="dxa"/>
                    <w:right w:w="0" w:type="dxa"/>
                  </w:tcMar>
                  <w:vAlign w:val="center"/>
                </w:tcPr>
                <w:p w14:paraId="52930185">
                  <w:pPr>
                    <w:widowControl/>
                    <w:adjustRightInd w:val="0"/>
                    <w:snapToGrid w:val="0"/>
                    <w:rPr>
                      <w:color w:val="auto"/>
                      <w:highlight w:val="none"/>
                    </w:rPr>
                  </w:pPr>
                  <w:r>
                    <w:rPr>
                      <w:rFonts w:hint="eastAsia"/>
                      <w:color w:val="auto"/>
                      <w:highlight w:val="none"/>
                    </w:rPr>
                    <w:t>(七）加强环境影响跟踪监测。建立包括环境空气、地表水、地下水、土壤、底泥等环境要素的监控体系，明确责任主体和时限要求。做好开发区内大气、水、土壤等环境的长期跟踪监测与管理,根据监测结果适时优化调整《规划》。</w:t>
                  </w:r>
                </w:p>
              </w:tc>
              <w:tc>
                <w:tcPr>
                  <w:tcW w:w="3011" w:type="dxa"/>
                  <w:vAlign w:val="center"/>
                </w:tcPr>
                <w:p w14:paraId="2D5FB2E6">
                  <w:pPr>
                    <w:pStyle w:val="5"/>
                    <w:adjustRightInd w:val="0"/>
                    <w:spacing w:before="0" w:after="0" w:line="240" w:lineRule="auto"/>
                    <w:ind w:right="0"/>
                    <w:rPr>
                      <w:color w:val="auto"/>
                      <w:sz w:val="21"/>
                      <w:szCs w:val="21"/>
                      <w:highlight w:val="none"/>
                      <w:lang w:val="en-US"/>
                    </w:rPr>
                  </w:pPr>
                  <w:r>
                    <w:rPr>
                      <w:rFonts w:hint="eastAsia"/>
                      <w:color w:val="auto"/>
                      <w:sz w:val="21"/>
                      <w:szCs w:val="21"/>
                      <w:highlight w:val="none"/>
                      <w:lang w:val="en-US"/>
                    </w:rPr>
                    <w:t>本项目建成后，将加强环境影响跟踪监测。建立包括环境空气、地表水、地下水、土壤、底泥等环境要素的监控体系，明确责任主体和时限要求。</w:t>
                  </w:r>
                </w:p>
              </w:tc>
              <w:tc>
                <w:tcPr>
                  <w:tcW w:w="745" w:type="dxa"/>
                  <w:tcMar>
                    <w:top w:w="0" w:type="dxa"/>
                    <w:left w:w="0" w:type="dxa"/>
                    <w:bottom w:w="0" w:type="dxa"/>
                    <w:right w:w="0" w:type="dxa"/>
                  </w:tcMar>
                  <w:vAlign w:val="center"/>
                </w:tcPr>
                <w:p w14:paraId="505A3C8A">
                  <w:pPr>
                    <w:adjustRightInd w:val="0"/>
                    <w:snapToGrid w:val="0"/>
                    <w:jc w:val="center"/>
                    <w:rPr>
                      <w:color w:val="auto"/>
                      <w:szCs w:val="21"/>
                      <w:highlight w:val="none"/>
                    </w:rPr>
                  </w:pPr>
                  <w:r>
                    <w:rPr>
                      <w:rFonts w:hint="eastAsia"/>
                      <w:color w:val="auto"/>
                      <w:szCs w:val="21"/>
                      <w:highlight w:val="none"/>
                    </w:rPr>
                    <w:t>相符</w:t>
                  </w:r>
                </w:p>
              </w:tc>
            </w:tr>
            <w:tr w14:paraId="03FBD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dxa"/>
                  <w:tcMar>
                    <w:top w:w="0" w:type="dxa"/>
                    <w:left w:w="0" w:type="dxa"/>
                    <w:bottom w:w="0" w:type="dxa"/>
                    <w:right w:w="0" w:type="dxa"/>
                  </w:tcMar>
                  <w:vAlign w:val="center"/>
                </w:tcPr>
                <w:p w14:paraId="70582C7E">
                  <w:pPr>
                    <w:adjustRightInd w:val="0"/>
                    <w:snapToGrid w:val="0"/>
                    <w:jc w:val="center"/>
                    <w:rPr>
                      <w:color w:val="auto"/>
                      <w:highlight w:val="none"/>
                    </w:rPr>
                  </w:pPr>
                  <w:r>
                    <w:rPr>
                      <w:rFonts w:hint="eastAsia"/>
                      <w:color w:val="auto"/>
                      <w:highlight w:val="none"/>
                    </w:rPr>
                    <w:t>8</w:t>
                  </w:r>
                </w:p>
              </w:tc>
              <w:tc>
                <w:tcPr>
                  <w:tcW w:w="3411" w:type="dxa"/>
                  <w:tcMar>
                    <w:top w:w="0" w:type="dxa"/>
                    <w:left w:w="0" w:type="dxa"/>
                    <w:bottom w:w="0" w:type="dxa"/>
                    <w:right w:w="0" w:type="dxa"/>
                  </w:tcMar>
                  <w:vAlign w:val="center"/>
                </w:tcPr>
                <w:p w14:paraId="51D83D78">
                  <w:pPr>
                    <w:widowControl/>
                    <w:adjustRightInd w:val="0"/>
                    <w:snapToGrid w:val="0"/>
                    <w:rPr>
                      <w:color w:val="auto"/>
                      <w:highlight w:val="none"/>
                    </w:rPr>
                  </w:pPr>
                  <w:r>
                    <w:rPr>
                      <w:rFonts w:hint="eastAsia"/>
                      <w:color w:val="auto"/>
                      <w:highlight w:val="none"/>
                    </w:rPr>
                    <w:t>(八）完善区域环境保护基础设施和环境风险应急体系建设。加快推进区域污水管网、污水处理厂、中水回用工程的建设，确保污水处理厂稳定达标排放，逐步提高中水回用率;加强固体废弃物的集中处理处置,危险废物交由有资质的单位统一收集处理;加快开发区内重点行业清洁原料替代、燃煤锅炉淘汰及治理爻施提标改造,提高清洁能源使用率。建立污水处理厂事故排放不境风险应急防范体系,保障区域饮用水安全。</w:t>
                  </w:r>
                </w:p>
              </w:tc>
              <w:tc>
                <w:tcPr>
                  <w:tcW w:w="3011" w:type="dxa"/>
                  <w:vAlign w:val="center"/>
                </w:tcPr>
                <w:p w14:paraId="062DF89D">
                  <w:pPr>
                    <w:pStyle w:val="5"/>
                    <w:adjustRightInd w:val="0"/>
                    <w:spacing w:before="0" w:after="0" w:line="240" w:lineRule="auto"/>
                    <w:ind w:right="0"/>
                    <w:jc w:val="center"/>
                    <w:rPr>
                      <w:color w:val="auto"/>
                      <w:sz w:val="21"/>
                      <w:szCs w:val="21"/>
                      <w:highlight w:val="none"/>
                      <w:lang w:val="en-US"/>
                    </w:rPr>
                  </w:pPr>
                  <w:r>
                    <w:rPr>
                      <w:rFonts w:hint="eastAsia"/>
                      <w:color w:val="auto"/>
                      <w:sz w:val="21"/>
                      <w:szCs w:val="21"/>
                      <w:highlight w:val="none"/>
                      <w:lang w:val="en-US"/>
                    </w:rPr>
                    <w:t>/</w:t>
                  </w:r>
                </w:p>
              </w:tc>
              <w:tc>
                <w:tcPr>
                  <w:tcW w:w="745" w:type="dxa"/>
                  <w:tcMar>
                    <w:top w:w="0" w:type="dxa"/>
                    <w:left w:w="0" w:type="dxa"/>
                    <w:bottom w:w="0" w:type="dxa"/>
                    <w:right w:w="0" w:type="dxa"/>
                  </w:tcMar>
                  <w:vAlign w:val="center"/>
                </w:tcPr>
                <w:p w14:paraId="133E9283">
                  <w:pPr>
                    <w:adjustRightInd w:val="0"/>
                    <w:snapToGrid w:val="0"/>
                    <w:jc w:val="center"/>
                    <w:rPr>
                      <w:color w:val="auto"/>
                      <w:szCs w:val="21"/>
                      <w:highlight w:val="none"/>
                    </w:rPr>
                  </w:pPr>
                  <w:r>
                    <w:rPr>
                      <w:rFonts w:hint="eastAsia"/>
                      <w:color w:val="auto"/>
                      <w:szCs w:val="21"/>
                      <w:highlight w:val="none"/>
                    </w:rPr>
                    <w:t>相符</w:t>
                  </w:r>
                </w:p>
              </w:tc>
            </w:tr>
          </w:tbl>
          <w:p w14:paraId="24E8B698">
            <w:pPr>
              <w:adjustRightInd w:val="0"/>
              <w:snapToGrid w:val="0"/>
              <w:spacing w:line="360" w:lineRule="auto"/>
              <w:ind w:firstLine="480" w:firstLineChars="200"/>
              <w:rPr>
                <w:color w:val="auto"/>
                <w:sz w:val="24"/>
                <w:highlight w:val="none"/>
              </w:rPr>
            </w:pPr>
            <w:r>
              <w:rPr>
                <w:color w:val="auto"/>
                <w:sz w:val="24"/>
                <w:highlight w:val="none"/>
              </w:rPr>
              <w:t>经对照可知，本项目符合</w:t>
            </w:r>
            <w:r>
              <w:rPr>
                <w:rFonts w:hint="eastAsia"/>
                <w:color w:val="auto"/>
                <w:sz w:val="24"/>
                <w:highlight w:val="none"/>
              </w:rPr>
              <w:t>关于《海门经济开发区总体规划（2015-2030）环境影响报告书》的审查意见</w:t>
            </w:r>
            <w:r>
              <w:rPr>
                <w:color w:val="auto"/>
                <w:sz w:val="24"/>
                <w:highlight w:val="none"/>
              </w:rPr>
              <w:t>的要求</w:t>
            </w:r>
            <w:r>
              <w:rPr>
                <w:rFonts w:hint="eastAsia"/>
                <w:color w:val="auto"/>
                <w:sz w:val="24"/>
                <w:highlight w:val="none"/>
              </w:rPr>
              <w:t>。</w:t>
            </w:r>
          </w:p>
          <w:p w14:paraId="23DEA5A1">
            <w:pPr>
              <w:adjustRightInd w:val="0"/>
              <w:snapToGrid w:val="0"/>
              <w:spacing w:line="360" w:lineRule="auto"/>
              <w:ind w:firstLine="480" w:firstLineChars="200"/>
              <w:rPr>
                <w:color w:val="auto"/>
                <w:sz w:val="24"/>
                <w:highlight w:val="none"/>
              </w:rPr>
            </w:pPr>
          </w:p>
          <w:p w14:paraId="67BF3E70">
            <w:pPr>
              <w:adjustRightInd w:val="0"/>
              <w:snapToGrid w:val="0"/>
              <w:spacing w:line="360" w:lineRule="auto"/>
              <w:ind w:firstLine="480" w:firstLineChars="200"/>
              <w:rPr>
                <w:color w:val="auto"/>
                <w:sz w:val="24"/>
                <w:highlight w:val="none"/>
              </w:rPr>
            </w:pPr>
          </w:p>
          <w:p w14:paraId="7C93496A">
            <w:pPr>
              <w:adjustRightInd w:val="0"/>
              <w:snapToGrid w:val="0"/>
              <w:spacing w:line="360" w:lineRule="auto"/>
              <w:ind w:firstLine="480" w:firstLineChars="200"/>
              <w:rPr>
                <w:color w:val="auto"/>
                <w:sz w:val="24"/>
                <w:highlight w:val="none"/>
              </w:rPr>
            </w:pPr>
          </w:p>
          <w:p w14:paraId="1217C538">
            <w:pPr>
              <w:adjustRightInd w:val="0"/>
              <w:snapToGrid w:val="0"/>
              <w:spacing w:line="360" w:lineRule="auto"/>
              <w:ind w:firstLine="480" w:firstLineChars="200"/>
              <w:rPr>
                <w:color w:val="auto"/>
                <w:sz w:val="24"/>
                <w:highlight w:val="none"/>
              </w:rPr>
            </w:pPr>
          </w:p>
          <w:p w14:paraId="34138C3C">
            <w:pPr>
              <w:adjustRightInd w:val="0"/>
              <w:snapToGrid w:val="0"/>
              <w:spacing w:line="360" w:lineRule="auto"/>
              <w:ind w:firstLine="480" w:firstLineChars="200"/>
              <w:rPr>
                <w:color w:val="auto"/>
                <w:sz w:val="24"/>
                <w:highlight w:val="none"/>
              </w:rPr>
            </w:pPr>
          </w:p>
          <w:p w14:paraId="5A9323E8">
            <w:pPr>
              <w:adjustRightInd w:val="0"/>
              <w:snapToGrid w:val="0"/>
              <w:spacing w:line="360" w:lineRule="auto"/>
              <w:ind w:firstLine="480" w:firstLineChars="200"/>
              <w:rPr>
                <w:color w:val="auto"/>
                <w:sz w:val="24"/>
                <w:highlight w:val="none"/>
              </w:rPr>
            </w:pPr>
          </w:p>
          <w:p w14:paraId="7D25F97B">
            <w:pPr>
              <w:adjustRightInd w:val="0"/>
              <w:snapToGrid w:val="0"/>
              <w:spacing w:line="360" w:lineRule="auto"/>
              <w:ind w:firstLine="480" w:firstLineChars="200"/>
              <w:rPr>
                <w:color w:val="auto"/>
                <w:sz w:val="24"/>
                <w:highlight w:val="none"/>
              </w:rPr>
            </w:pPr>
          </w:p>
          <w:p w14:paraId="1347FEB8">
            <w:pPr>
              <w:adjustRightInd w:val="0"/>
              <w:snapToGrid w:val="0"/>
              <w:spacing w:line="360" w:lineRule="auto"/>
              <w:ind w:firstLine="480" w:firstLineChars="200"/>
              <w:rPr>
                <w:color w:val="auto"/>
                <w:sz w:val="24"/>
                <w:highlight w:val="none"/>
              </w:rPr>
            </w:pPr>
          </w:p>
          <w:p w14:paraId="7ACADE4A">
            <w:pPr>
              <w:adjustRightInd w:val="0"/>
              <w:snapToGrid w:val="0"/>
              <w:spacing w:line="360" w:lineRule="auto"/>
              <w:ind w:firstLine="480" w:firstLineChars="200"/>
              <w:rPr>
                <w:color w:val="auto"/>
                <w:sz w:val="24"/>
                <w:highlight w:val="none"/>
              </w:rPr>
            </w:pPr>
          </w:p>
          <w:p w14:paraId="77F86BAB">
            <w:pPr>
              <w:adjustRightInd w:val="0"/>
              <w:snapToGrid w:val="0"/>
              <w:spacing w:line="360" w:lineRule="auto"/>
              <w:ind w:firstLine="480" w:firstLineChars="200"/>
              <w:rPr>
                <w:color w:val="auto"/>
                <w:sz w:val="24"/>
                <w:highlight w:val="none"/>
              </w:rPr>
            </w:pPr>
          </w:p>
          <w:p w14:paraId="7BA50F20">
            <w:pPr>
              <w:adjustRightInd w:val="0"/>
              <w:snapToGrid w:val="0"/>
              <w:spacing w:line="360" w:lineRule="auto"/>
              <w:ind w:firstLine="480" w:firstLineChars="200"/>
              <w:rPr>
                <w:color w:val="auto"/>
                <w:sz w:val="24"/>
                <w:highlight w:val="none"/>
              </w:rPr>
            </w:pPr>
          </w:p>
          <w:p w14:paraId="2E6602F6">
            <w:pPr>
              <w:pStyle w:val="5"/>
              <w:rPr>
                <w:color w:val="auto"/>
                <w:sz w:val="24"/>
                <w:szCs w:val="24"/>
                <w:highlight w:val="none"/>
                <w:lang w:val="en-US"/>
              </w:rPr>
            </w:pPr>
          </w:p>
        </w:tc>
      </w:tr>
      <w:tr w14:paraId="781A1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8" w:hRule="atLeast"/>
          <w:jc w:val="center"/>
        </w:trPr>
        <w:tc>
          <w:tcPr>
            <w:tcW w:w="933" w:type="pct"/>
            <w:vAlign w:val="center"/>
          </w:tcPr>
          <w:p w14:paraId="53A324C4">
            <w:pPr>
              <w:autoSpaceDE w:val="0"/>
              <w:autoSpaceDN w:val="0"/>
              <w:adjustRightInd w:val="0"/>
              <w:snapToGrid w:val="0"/>
              <w:jc w:val="center"/>
              <w:rPr>
                <w:color w:val="auto"/>
                <w:kern w:val="0"/>
                <w:szCs w:val="21"/>
                <w:highlight w:val="none"/>
              </w:rPr>
            </w:pPr>
            <w:r>
              <w:rPr>
                <w:rFonts w:hAnsi="宋体"/>
                <w:color w:val="auto"/>
                <w:kern w:val="0"/>
                <w:sz w:val="24"/>
                <w:highlight w:val="none"/>
              </w:rPr>
              <w:t>其他符合性分析</w:t>
            </w:r>
          </w:p>
        </w:tc>
        <w:tc>
          <w:tcPr>
            <w:tcW w:w="4066" w:type="pct"/>
            <w:gridSpan w:val="3"/>
            <w:vAlign w:val="center"/>
          </w:tcPr>
          <w:p w14:paraId="1600D90D">
            <w:pPr>
              <w:adjustRightInd w:val="0"/>
              <w:snapToGrid w:val="0"/>
              <w:spacing w:line="360" w:lineRule="auto"/>
              <w:ind w:firstLine="482" w:firstLineChars="200"/>
              <w:rPr>
                <w:b/>
                <w:color w:val="auto"/>
                <w:kern w:val="0"/>
                <w:sz w:val="24"/>
                <w:highlight w:val="none"/>
              </w:rPr>
            </w:pPr>
            <w:r>
              <w:rPr>
                <w:rFonts w:hAnsi="宋体"/>
                <w:b/>
                <w:color w:val="auto"/>
                <w:kern w:val="0"/>
                <w:sz w:val="24"/>
                <w:highlight w:val="none"/>
              </w:rPr>
              <w:t>（</w:t>
            </w:r>
            <w:r>
              <w:rPr>
                <w:b/>
                <w:color w:val="auto"/>
                <w:kern w:val="0"/>
                <w:sz w:val="24"/>
                <w:highlight w:val="none"/>
              </w:rPr>
              <w:t>1</w:t>
            </w:r>
            <w:r>
              <w:rPr>
                <w:rFonts w:hAnsi="宋体"/>
                <w:b/>
                <w:color w:val="auto"/>
                <w:kern w:val="0"/>
                <w:sz w:val="24"/>
                <w:highlight w:val="none"/>
              </w:rPr>
              <w:t>）</w:t>
            </w:r>
            <w:r>
              <w:rPr>
                <w:b/>
                <w:color w:val="auto"/>
                <w:kern w:val="0"/>
                <w:sz w:val="24"/>
                <w:highlight w:val="none"/>
              </w:rPr>
              <w:t>“</w:t>
            </w:r>
            <w:r>
              <w:rPr>
                <w:rFonts w:hAnsi="宋体"/>
                <w:b/>
                <w:color w:val="auto"/>
                <w:kern w:val="0"/>
                <w:sz w:val="24"/>
                <w:highlight w:val="none"/>
              </w:rPr>
              <w:t>三线一单</w:t>
            </w:r>
            <w:r>
              <w:rPr>
                <w:b/>
                <w:color w:val="auto"/>
                <w:kern w:val="0"/>
                <w:sz w:val="24"/>
                <w:highlight w:val="none"/>
              </w:rPr>
              <w:t>”</w:t>
            </w:r>
            <w:r>
              <w:rPr>
                <w:rFonts w:hAnsi="宋体"/>
                <w:b/>
                <w:color w:val="auto"/>
                <w:kern w:val="0"/>
                <w:sz w:val="24"/>
                <w:highlight w:val="none"/>
              </w:rPr>
              <w:t>相符性分析</w:t>
            </w:r>
          </w:p>
          <w:p w14:paraId="1487F826">
            <w:pPr>
              <w:adjustRightInd w:val="0"/>
              <w:snapToGrid w:val="0"/>
              <w:spacing w:line="360" w:lineRule="auto"/>
              <w:ind w:firstLine="480" w:firstLineChars="200"/>
              <w:rPr>
                <w:bCs/>
                <w:color w:val="auto"/>
                <w:kern w:val="0"/>
                <w:sz w:val="24"/>
                <w:highlight w:val="none"/>
              </w:rPr>
            </w:pPr>
            <w:r>
              <w:rPr>
                <w:bCs/>
                <w:color w:val="auto"/>
                <w:kern w:val="0"/>
                <w:sz w:val="24"/>
                <w:highlight w:val="none"/>
              </w:rPr>
              <w:t>1)</w:t>
            </w:r>
            <w:r>
              <w:rPr>
                <w:rFonts w:hAnsi="宋体"/>
                <w:bCs/>
                <w:color w:val="auto"/>
                <w:kern w:val="0"/>
                <w:sz w:val="24"/>
                <w:highlight w:val="none"/>
              </w:rPr>
              <w:t>生态</w:t>
            </w:r>
            <w:bookmarkStart w:id="20" w:name="_GoBack"/>
            <w:bookmarkEnd w:id="20"/>
            <w:r>
              <w:rPr>
                <w:rFonts w:hAnsi="宋体"/>
                <w:bCs/>
                <w:color w:val="auto"/>
                <w:kern w:val="0"/>
                <w:sz w:val="24"/>
                <w:highlight w:val="none"/>
              </w:rPr>
              <w:t>保护红线</w:t>
            </w:r>
          </w:p>
          <w:p w14:paraId="4ED75FD5">
            <w:pPr>
              <w:adjustRightInd w:val="0"/>
              <w:snapToGrid w:val="0"/>
              <w:spacing w:line="360" w:lineRule="auto"/>
              <w:ind w:firstLine="480" w:firstLineChars="200"/>
              <w:rPr>
                <w:rFonts w:ascii="宋体" w:hAnsi="宋体"/>
                <w:color w:val="auto"/>
                <w:kern w:val="0"/>
                <w:sz w:val="24"/>
                <w:highlight w:val="none"/>
              </w:rPr>
            </w:pPr>
            <w:r>
              <w:rPr>
                <w:rFonts w:hAnsi="宋体"/>
                <w:bCs/>
                <w:color w:val="auto"/>
                <w:kern w:val="0"/>
                <w:sz w:val="24"/>
                <w:highlight w:val="none"/>
              </w:rPr>
              <w:t>国家级生态保护红线：</w:t>
            </w:r>
            <w:r>
              <w:rPr>
                <w:rFonts w:ascii="宋体" w:hAnsi="宋体"/>
                <w:color w:val="auto"/>
                <w:sz w:val="24"/>
                <w:highlight w:val="none"/>
              </w:rPr>
              <w:t>对照《江苏省国家级生态保护红线规划》（苏政发</w:t>
            </w:r>
            <w:r>
              <w:rPr>
                <w:color w:val="auto"/>
                <w:sz w:val="24"/>
                <w:highlight w:val="none"/>
              </w:rPr>
              <w:t>[2018]74</w:t>
            </w:r>
            <w:r>
              <w:rPr>
                <w:rFonts w:ascii="宋体" w:hAnsi="宋体"/>
                <w:color w:val="auto"/>
                <w:sz w:val="24"/>
                <w:highlight w:val="none"/>
              </w:rPr>
              <w:t>号），建设项目距离国家级生态保护红线</w:t>
            </w:r>
            <w:r>
              <w:rPr>
                <w:rFonts w:hint="eastAsia" w:ascii="宋体" w:hAnsi="宋体"/>
                <w:color w:val="auto"/>
                <w:sz w:val="24"/>
                <w:highlight w:val="none"/>
              </w:rPr>
              <w:t>-</w:t>
            </w:r>
            <w:r>
              <w:rPr>
                <w:rFonts w:ascii="宋体" w:hAnsi="宋体"/>
                <w:color w:val="auto"/>
                <w:sz w:val="24"/>
                <w:highlight w:val="none"/>
              </w:rPr>
              <w:t>海门长江饮用水水源保护区约</w:t>
            </w:r>
            <w:r>
              <w:rPr>
                <w:rFonts w:hint="eastAsia"/>
                <w:color w:val="auto"/>
                <w:sz w:val="24"/>
                <w:highlight w:val="none"/>
              </w:rPr>
              <w:t>4.5</w:t>
            </w:r>
            <w:r>
              <w:rPr>
                <w:color w:val="auto"/>
                <w:sz w:val="24"/>
                <w:highlight w:val="none"/>
              </w:rPr>
              <w:t>km</w:t>
            </w:r>
            <w:r>
              <w:rPr>
                <w:rFonts w:ascii="宋体" w:hAnsi="宋体"/>
                <w:color w:val="auto"/>
                <w:sz w:val="24"/>
                <w:highlight w:val="none"/>
              </w:rPr>
              <w:t>，不在红线管控区范围内，符合《江苏省国家级生态保护红线规划》要求。</w:t>
            </w:r>
          </w:p>
          <w:p w14:paraId="185117B7">
            <w:pPr>
              <w:widowControl/>
              <w:adjustRightInd w:val="0"/>
              <w:snapToGrid w:val="0"/>
              <w:spacing w:line="360" w:lineRule="auto"/>
              <w:ind w:firstLine="480" w:firstLineChars="200"/>
              <w:rPr>
                <w:rFonts w:ascii="宋体" w:hAnsi="宋体"/>
                <w:color w:val="auto"/>
                <w:sz w:val="24"/>
                <w:highlight w:val="none"/>
              </w:rPr>
            </w:pPr>
            <w:r>
              <w:rPr>
                <w:rFonts w:hAnsi="宋体"/>
                <w:bCs/>
                <w:color w:val="auto"/>
                <w:kern w:val="0"/>
                <w:sz w:val="24"/>
                <w:highlight w:val="none"/>
              </w:rPr>
              <w:t>省级生态空间管控区域</w:t>
            </w:r>
            <w:r>
              <w:rPr>
                <w:rFonts w:ascii="宋体" w:hAnsi="宋体"/>
                <w:bCs/>
                <w:color w:val="auto"/>
                <w:kern w:val="0"/>
                <w:sz w:val="24"/>
                <w:highlight w:val="none"/>
              </w:rPr>
              <w:t>：</w:t>
            </w:r>
            <w:r>
              <w:rPr>
                <w:rFonts w:ascii="宋体" w:hAnsi="宋体"/>
                <w:color w:val="auto"/>
                <w:sz w:val="24"/>
                <w:highlight w:val="none"/>
              </w:rPr>
              <w:t>根据《省政府关于印发江苏省生态空间管控区域规划的通知》（苏政发</w:t>
            </w:r>
            <w:r>
              <w:rPr>
                <w:color w:val="auto"/>
                <w:sz w:val="24"/>
                <w:highlight w:val="none"/>
              </w:rPr>
              <w:t>[2020]1</w:t>
            </w:r>
            <w:r>
              <w:rPr>
                <w:rFonts w:ascii="宋体" w:hAnsi="宋体"/>
                <w:color w:val="auto"/>
                <w:sz w:val="24"/>
                <w:highlight w:val="none"/>
              </w:rPr>
              <w:t>号），距本项目最近的生态空间管控区为江海风景名胜区。生态空间管控区域为沿江风景区，范围为：</w:t>
            </w:r>
            <w:r>
              <w:rPr>
                <w:color w:val="auto"/>
                <w:sz w:val="24"/>
                <w:highlight w:val="none"/>
              </w:rPr>
              <w:t>东至青龙河以西700米，西至浒通河以西700米，南临长江，北至长江堤岸100－800米处</w:t>
            </w:r>
            <w:r>
              <w:rPr>
                <w:rFonts w:ascii="宋体" w:hAnsi="宋体"/>
                <w:color w:val="auto"/>
                <w:sz w:val="24"/>
                <w:highlight w:val="none"/>
              </w:rPr>
              <w:t>；自然人文景观区，范围为：快活林山庄、张謇故居、证大感官公园、东洲公园、江海风情园、海永乡鸽笼河水系景观带、海永乡生态休闲度假区，主导生态功能为自然与人文景观保护。本项目距离</w:t>
            </w:r>
            <w:r>
              <w:rPr>
                <w:rFonts w:hint="eastAsia" w:ascii="宋体" w:hAnsi="宋体"/>
                <w:color w:val="auto"/>
                <w:sz w:val="24"/>
                <w:highlight w:val="none"/>
                <w:lang w:val="en-US" w:eastAsia="zh-Hans"/>
              </w:rPr>
              <w:t>东侧的</w:t>
            </w:r>
            <w:r>
              <w:rPr>
                <w:rFonts w:ascii="宋体" w:hAnsi="宋体"/>
                <w:color w:val="auto"/>
                <w:sz w:val="24"/>
                <w:highlight w:val="none"/>
              </w:rPr>
              <w:t>江海风景名胜区约</w:t>
            </w:r>
            <w:r>
              <w:rPr>
                <w:rFonts w:hint="eastAsia"/>
                <w:color w:val="auto"/>
                <w:sz w:val="24"/>
                <w:highlight w:val="none"/>
              </w:rPr>
              <w:t>2k</w:t>
            </w:r>
            <w:r>
              <w:rPr>
                <w:color w:val="auto"/>
                <w:sz w:val="24"/>
                <w:highlight w:val="none"/>
              </w:rPr>
              <w:t>m</w:t>
            </w:r>
            <w:r>
              <w:rPr>
                <w:rFonts w:ascii="宋体" w:hAnsi="宋体"/>
                <w:color w:val="auto"/>
                <w:sz w:val="24"/>
                <w:highlight w:val="none"/>
              </w:rPr>
              <w:t>，不处于江海风景名胜区内，符合《江苏省生态空间管控区域规划》要求</w:t>
            </w:r>
            <w:r>
              <w:rPr>
                <w:rFonts w:hint="eastAsia" w:ascii="宋体" w:hAnsi="宋体"/>
                <w:color w:val="auto"/>
                <w:sz w:val="24"/>
                <w:highlight w:val="none"/>
              </w:rPr>
              <w:t>。</w:t>
            </w:r>
          </w:p>
          <w:p w14:paraId="208786BD">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综上所述，建设项目的建设符合《江苏省国家级生态保护红线规划》和《省政府关于印发江苏省生态空间管控区域规划的通知》（苏政发</w:t>
            </w:r>
            <w:r>
              <w:rPr>
                <w:color w:val="auto"/>
                <w:sz w:val="24"/>
                <w:highlight w:val="none"/>
              </w:rPr>
              <w:t>[2020]1</w:t>
            </w:r>
            <w:r>
              <w:rPr>
                <w:rFonts w:ascii="宋体" w:hAnsi="宋体"/>
                <w:color w:val="auto"/>
                <w:sz w:val="24"/>
                <w:highlight w:val="none"/>
              </w:rPr>
              <w:t>号）要求，详见附图。</w:t>
            </w:r>
          </w:p>
          <w:p w14:paraId="3BB28E5C">
            <w:pPr>
              <w:adjustRightInd w:val="0"/>
              <w:snapToGrid w:val="0"/>
              <w:spacing w:line="360" w:lineRule="auto"/>
              <w:ind w:firstLine="480" w:firstLineChars="200"/>
              <w:rPr>
                <w:bCs/>
                <w:color w:val="auto"/>
                <w:kern w:val="0"/>
                <w:sz w:val="24"/>
                <w:highlight w:val="none"/>
              </w:rPr>
            </w:pPr>
            <w:r>
              <w:rPr>
                <w:bCs/>
                <w:color w:val="auto"/>
                <w:kern w:val="0"/>
                <w:sz w:val="24"/>
                <w:highlight w:val="none"/>
              </w:rPr>
              <w:t>2)</w:t>
            </w:r>
            <w:r>
              <w:rPr>
                <w:rFonts w:hAnsi="宋体"/>
                <w:bCs/>
                <w:color w:val="auto"/>
                <w:kern w:val="0"/>
                <w:sz w:val="24"/>
                <w:highlight w:val="none"/>
              </w:rPr>
              <w:t>环境质量底线</w:t>
            </w:r>
          </w:p>
          <w:p w14:paraId="7AE853E1">
            <w:pPr>
              <w:adjustRightInd w:val="0"/>
              <w:snapToGrid w:val="0"/>
              <w:spacing w:line="360" w:lineRule="auto"/>
              <w:ind w:firstLine="480" w:firstLineChars="200"/>
              <w:rPr>
                <w:color w:val="auto"/>
                <w:kern w:val="0"/>
                <w:sz w:val="24"/>
                <w:highlight w:val="none"/>
              </w:rPr>
            </w:pPr>
            <w:r>
              <w:rPr>
                <w:rFonts w:ascii="宋体" w:hAnsi="宋体"/>
                <w:color w:val="auto"/>
                <w:kern w:val="0"/>
                <w:sz w:val="24"/>
                <w:highlight w:val="none"/>
              </w:rPr>
              <w:t>①</w:t>
            </w:r>
            <w:r>
              <w:rPr>
                <w:rFonts w:hAnsi="宋体"/>
                <w:color w:val="auto"/>
                <w:kern w:val="0"/>
                <w:sz w:val="24"/>
                <w:highlight w:val="none"/>
              </w:rPr>
              <w:t>大气环境：</w:t>
            </w:r>
            <w:r>
              <w:rPr>
                <w:rFonts w:hint="eastAsia" w:hAnsi="宋体"/>
                <w:color w:val="auto"/>
                <w:kern w:val="0"/>
                <w:sz w:val="24"/>
                <w:highlight w:val="none"/>
              </w:rPr>
              <w:t>根据《南通市生态环境状况公报》（20</w:t>
            </w:r>
            <w:r>
              <w:rPr>
                <w:rFonts w:hAnsi="宋体"/>
                <w:color w:val="auto"/>
                <w:kern w:val="0"/>
                <w:sz w:val="24"/>
                <w:highlight w:val="none"/>
              </w:rPr>
              <w:t>20</w:t>
            </w:r>
            <w:r>
              <w:rPr>
                <w:rFonts w:hint="eastAsia" w:hAnsi="宋体"/>
                <w:color w:val="auto"/>
                <w:kern w:val="0"/>
                <w:sz w:val="24"/>
                <w:highlight w:val="none"/>
              </w:rPr>
              <w:t>）</w:t>
            </w:r>
            <w:r>
              <w:rPr>
                <w:rFonts w:hint="eastAsia" w:hAnsi="宋体"/>
                <w:color w:val="auto"/>
                <w:kern w:val="0"/>
                <w:sz w:val="24"/>
                <w:highlight w:val="none"/>
                <w:lang w:eastAsia="zh-Hans"/>
              </w:rPr>
              <w:t>，</w:t>
            </w:r>
            <w:r>
              <w:rPr>
                <w:bCs/>
                <w:color w:val="auto"/>
                <w:kern w:val="4"/>
                <w:sz w:val="24"/>
                <w:highlight w:val="none"/>
              </w:rPr>
              <w:t>20</w:t>
            </w:r>
            <w:r>
              <w:rPr>
                <w:rFonts w:hint="eastAsia"/>
                <w:bCs/>
                <w:color w:val="auto"/>
                <w:kern w:val="4"/>
                <w:sz w:val="24"/>
                <w:highlight w:val="none"/>
              </w:rPr>
              <w:t>20</w:t>
            </w:r>
            <w:r>
              <w:rPr>
                <w:bCs/>
                <w:color w:val="auto"/>
                <w:kern w:val="4"/>
                <w:sz w:val="24"/>
                <w:highlight w:val="none"/>
              </w:rPr>
              <w:t>年海门</w:t>
            </w:r>
            <w:r>
              <w:rPr>
                <w:rFonts w:hint="eastAsia"/>
                <w:bCs/>
                <w:color w:val="auto"/>
                <w:kern w:val="4"/>
                <w:sz w:val="24"/>
                <w:highlight w:val="none"/>
              </w:rPr>
              <w:t>区</w:t>
            </w:r>
            <w:r>
              <w:rPr>
                <w:bCs/>
                <w:color w:val="auto"/>
                <w:kern w:val="4"/>
                <w:sz w:val="24"/>
                <w:highlight w:val="none"/>
              </w:rPr>
              <w:t>环境空气质量中SO</w:t>
            </w:r>
            <w:r>
              <w:rPr>
                <w:bCs/>
                <w:color w:val="auto"/>
                <w:kern w:val="4"/>
                <w:sz w:val="24"/>
                <w:highlight w:val="none"/>
                <w:vertAlign w:val="subscript"/>
              </w:rPr>
              <w:t>2</w:t>
            </w:r>
            <w:r>
              <w:rPr>
                <w:bCs/>
                <w:color w:val="auto"/>
                <w:kern w:val="4"/>
                <w:sz w:val="24"/>
                <w:highlight w:val="none"/>
              </w:rPr>
              <w:t>、NO</w:t>
            </w:r>
            <w:r>
              <w:rPr>
                <w:bCs/>
                <w:color w:val="auto"/>
                <w:kern w:val="4"/>
                <w:sz w:val="24"/>
                <w:highlight w:val="none"/>
                <w:vertAlign w:val="subscript"/>
              </w:rPr>
              <w:t>2</w:t>
            </w:r>
            <w:r>
              <w:rPr>
                <w:bCs/>
                <w:color w:val="auto"/>
                <w:kern w:val="4"/>
                <w:sz w:val="24"/>
                <w:highlight w:val="none"/>
              </w:rPr>
              <w:t>、CO、PM</w:t>
            </w:r>
            <w:r>
              <w:rPr>
                <w:bCs/>
                <w:color w:val="auto"/>
                <w:kern w:val="4"/>
                <w:sz w:val="24"/>
                <w:highlight w:val="none"/>
                <w:vertAlign w:val="subscript"/>
              </w:rPr>
              <w:t>10</w:t>
            </w:r>
            <w:r>
              <w:rPr>
                <w:bCs/>
                <w:color w:val="auto"/>
                <w:kern w:val="4"/>
                <w:sz w:val="24"/>
                <w:highlight w:val="none"/>
              </w:rPr>
              <w:t>、PM</w:t>
            </w:r>
            <w:r>
              <w:rPr>
                <w:bCs/>
                <w:color w:val="auto"/>
                <w:kern w:val="4"/>
                <w:sz w:val="24"/>
                <w:highlight w:val="none"/>
                <w:vertAlign w:val="subscript"/>
              </w:rPr>
              <w:t>2.</w:t>
            </w:r>
            <w:r>
              <w:rPr>
                <w:rFonts w:hint="eastAsia"/>
                <w:bCs/>
                <w:color w:val="auto"/>
                <w:kern w:val="4"/>
                <w:sz w:val="24"/>
                <w:highlight w:val="none"/>
                <w:vertAlign w:val="subscript"/>
              </w:rPr>
              <w:t>5</w:t>
            </w:r>
            <w:r>
              <w:rPr>
                <w:bCs/>
                <w:color w:val="auto"/>
                <w:kern w:val="4"/>
                <w:sz w:val="24"/>
                <w:highlight w:val="none"/>
              </w:rPr>
              <w:t>相关指标符合《环境空气质量标准》（GB3095-2012）二级标准，O</w:t>
            </w:r>
            <w:r>
              <w:rPr>
                <w:bCs/>
                <w:color w:val="auto"/>
                <w:kern w:val="4"/>
                <w:sz w:val="24"/>
                <w:highlight w:val="none"/>
                <w:vertAlign w:val="subscript"/>
              </w:rPr>
              <w:t>3</w:t>
            </w:r>
            <w:r>
              <w:rPr>
                <w:bCs/>
                <w:color w:val="auto"/>
                <w:kern w:val="4"/>
                <w:sz w:val="24"/>
                <w:highlight w:val="none"/>
              </w:rPr>
              <w:t>日最大8小时滑动平均值第90百分位数浓度超过《环境空气质量标准》（GB3095-2012）二级标准浓度限值，因此区域属于不达标区</w:t>
            </w:r>
            <w:r>
              <w:rPr>
                <w:color w:val="auto"/>
                <w:kern w:val="0"/>
                <w:sz w:val="24"/>
                <w:highlight w:val="none"/>
              </w:rPr>
              <w:t>。</w:t>
            </w:r>
            <w:r>
              <w:rPr>
                <w:snapToGrid w:val="0"/>
                <w:color w:val="auto"/>
                <w:kern w:val="0"/>
                <w:sz w:val="24"/>
                <w:highlight w:val="none"/>
              </w:rPr>
              <w:t>针对区域大气环境超标的问题，南通市政府制定了《南通市打赢蓝天保卫战三年行动计划实施方案（2018~2020年）》，综合运用经济、法律、技术和必要的行政手段，大幅减少主要大气污染物排放总量，协同减少温室气体排放，进一步降低细颗粒物（PM</w:t>
            </w:r>
            <w:r>
              <w:rPr>
                <w:snapToGrid w:val="0"/>
                <w:color w:val="auto"/>
                <w:kern w:val="0"/>
                <w:sz w:val="24"/>
                <w:highlight w:val="none"/>
                <w:vertAlign w:val="subscript"/>
              </w:rPr>
              <w:t>2.5</w:t>
            </w:r>
            <w:r>
              <w:rPr>
                <w:snapToGrid w:val="0"/>
                <w:color w:val="auto"/>
                <w:kern w:val="0"/>
                <w:sz w:val="24"/>
                <w:highlight w:val="none"/>
              </w:rPr>
              <w:t>）浓度，持续改善环境空气质量。实施燃煤控制，在用煤量实现减量替代的前提下，新建热电项目，加强供热管网建设；治理工业污染，实施超低排放改造，以家具制造行业为重点进行整治，推进油烟净化和在线监控设施建设；防治移动污染源，推广使用200辆新能源汽车，淘汰500量高污染车辆；划定禁止高排放非道路移动机械使用区域；整治面源污染、全面推行“绿色施工”，建立扬尘控制责任制，深化秸秆“双禁”，强化“双禁”工作力度。采取上述措施后，南通市大气环境质量状况可以得到进一步改善</w:t>
            </w:r>
            <w:r>
              <w:rPr>
                <w:bCs/>
                <w:color w:val="auto"/>
                <w:sz w:val="24"/>
                <w:highlight w:val="none"/>
              </w:rPr>
              <w:t>。</w:t>
            </w:r>
          </w:p>
          <w:p w14:paraId="19894AF1">
            <w:pPr>
              <w:adjustRightInd w:val="0"/>
              <w:snapToGrid w:val="0"/>
              <w:spacing w:line="360" w:lineRule="auto"/>
              <w:ind w:firstLine="480" w:firstLineChars="200"/>
              <w:rPr>
                <w:color w:val="auto"/>
                <w:kern w:val="0"/>
                <w:sz w:val="24"/>
                <w:highlight w:val="none"/>
              </w:rPr>
            </w:pPr>
            <w:r>
              <w:rPr>
                <w:rFonts w:ascii="宋体" w:hAnsi="宋体"/>
                <w:color w:val="auto"/>
                <w:kern w:val="0"/>
                <w:sz w:val="24"/>
                <w:highlight w:val="none"/>
              </w:rPr>
              <w:t>②</w:t>
            </w:r>
            <w:r>
              <w:rPr>
                <w:rFonts w:hAnsi="宋体"/>
                <w:color w:val="auto"/>
                <w:kern w:val="0"/>
                <w:sz w:val="24"/>
                <w:highlight w:val="none"/>
              </w:rPr>
              <w:t>水环境：根据《江苏省地表水（环境）功能区划》（江苏省水利厅、江苏省环保厅，2003年3月），长江执行Ⅲ类水质标准。本项目废水经过海门东洲水处理有限公司集中处理后，最终排入长江。根据《南通市环境质量公报》（2020）</w:t>
            </w:r>
            <w:r>
              <w:rPr>
                <w:rFonts w:hint="eastAsia" w:hAnsi="宋体"/>
                <w:color w:val="auto"/>
                <w:kern w:val="0"/>
                <w:sz w:val="24"/>
                <w:highlight w:val="none"/>
              </w:rPr>
              <w:t>，长江（南通段）水质达到Ⅱ类，水质优良</w:t>
            </w:r>
            <w:r>
              <w:rPr>
                <w:rFonts w:hAnsi="宋体"/>
                <w:bCs/>
                <w:color w:val="auto"/>
                <w:kern w:val="0"/>
                <w:sz w:val="24"/>
                <w:highlight w:val="none"/>
              </w:rPr>
              <w:t>。</w:t>
            </w:r>
          </w:p>
          <w:p w14:paraId="4D15F328">
            <w:pPr>
              <w:adjustRightInd w:val="0"/>
              <w:snapToGrid w:val="0"/>
              <w:spacing w:line="360" w:lineRule="auto"/>
              <w:ind w:firstLine="480" w:firstLineChars="200"/>
              <w:rPr>
                <w:color w:val="auto"/>
                <w:kern w:val="0"/>
                <w:sz w:val="24"/>
                <w:highlight w:val="none"/>
              </w:rPr>
            </w:pPr>
            <w:r>
              <w:rPr>
                <w:rFonts w:ascii="宋体" w:hAnsi="宋体"/>
                <w:color w:val="auto"/>
                <w:kern w:val="0"/>
                <w:sz w:val="24"/>
                <w:highlight w:val="none"/>
              </w:rPr>
              <w:t>③</w:t>
            </w:r>
            <w:r>
              <w:rPr>
                <w:rFonts w:hAnsi="宋体"/>
                <w:color w:val="auto"/>
                <w:kern w:val="0"/>
                <w:sz w:val="24"/>
                <w:highlight w:val="none"/>
              </w:rPr>
              <w:t>声环境：项目所在地厂界声环境现状监测值均能达到《声环境质量标准》</w:t>
            </w:r>
            <w:r>
              <w:rPr>
                <w:color w:val="auto"/>
                <w:kern w:val="0"/>
                <w:sz w:val="24"/>
                <w:highlight w:val="none"/>
              </w:rPr>
              <w:t>(GB3096-2008)</w:t>
            </w:r>
            <w:r>
              <w:rPr>
                <w:rFonts w:hAnsi="宋体"/>
                <w:color w:val="auto"/>
                <w:kern w:val="0"/>
                <w:sz w:val="24"/>
                <w:highlight w:val="none"/>
              </w:rPr>
              <w:t>中的</w:t>
            </w:r>
            <w:r>
              <w:rPr>
                <w:rFonts w:hint="eastAsia"/>
                <w:color w:val="auto"/>
                <w:kern w:val="0"/>
                <w:sz w:val="24"/>
                <w:highlight w:val="none"/>
              </w:rPr>
              <w:t>3</w:t>
            </w:r>
            <w:r>
              <w:rPr>
                <w:rFonts w:hAnsi="宋体"/>
                <w:color w:val="auto"/>
                <w:kern w:val="0"/>
                <w:sz w:val="24"/>
                <w:highlight w:val="none"/>
              </w:rPr>
              <w:t>类声环境功能区要求。</w:t>
            </w:r>
          </w:p>
          <w:p w14:paraId="08E4D9FB">
            <w:pPr>
              <w:adjustRightInd w:val="0"/>
              <w:snapToGrid w:val="0"/>
              <w:spacing w:line="360" w:lineRule="auto"/>
              <w:ind w:firstLine="480" w:firstLineChars="200"/>
              <w:rPr>
                <w:color w:val="auto"/>
                <w:kern w:val="0"/>
                <w:sz w:val="24"/>
                <w:highlight w:val="none"/>
              </w:rPr>
            </w:pPr>
            <w:r>
              <w:rPr>
                <w:rFonts w:hAnsi="宋体"/>
                <w:color w:val="auto"/>
                <w:kern w:val="0"/>
                <w:sz w:val="24"/>
                <w:highlight w:val="none"/>
              </w:rPr>
              <w:t>本项目运营期产生的各项污染物在采取相应的污染防治措施后均可达标排放，不会改变区域环境功能区质量要求，能维持环境功能区质量现状。</w:t>
            </w:r>
          </w:p>
          <w:p w14:paraId="7DECED8D">
            <w:pPr>
              <w:adjustRightInd w:val="0"/>
              <w:snapToGrid w:val="0"/>
              <w:spacing w:line="360" w:lineRule="auto"/>
              <w:ind w:firstLine="480" w:firstLineChars="200"/>
              <w:rPr>
                <w:bCs/>
                <w:color w:val="auto"/>
                <w:kern w:val="0"/>
                <w:sz w:val="24"/>
                <w:highlight w:val="none"/>
              </w:rPr>
            </w:pPr>
            <w:r>
              <w:rPr>
                <w:bCs/>
                <w:color w:val="auto"/>
                <w:kern w:val="0"/>
                <w:sz w:val="24"/>
                <w:highlight w:val="none"/>
              </w:rPr>
              <w:t>3)</w:t>
            </w:r>
            <w:r>
              <w:rPr>
                <w:rFonts w:hAnsi="宋体"/>
                <w:bCs/>
                <w:color w:val="auto"/>
                <w:kern w:val="0"/>
                <w:sz w:val="24"/>
                <w:highlight w:val="none"/>
              </w:rPr>
              <w:t>资源利用上线</w:t>
            </w:r>
          </w:p>
          <w:p w14:paraId="37836ED6">
            <w:pPr>
              <w:adjustRightInd w:val="0"/>
              <w:snapToGrid w:val="0"/>
              <w:spacing w:line="360" w:lineRule="auto"/>
              <w:ind w:firstLine="480" w:firstLineChars="200"/>
              <w:rPr>
                <w:color w:val="auto"/>
                <w:kern w:val="0"/>
                <w:sz w:val="24"/>
                <w:highlight w:val="none"/>
              </w:rPr>
            </w:pPr>
            <w:r>
              <w:rPr>
                <w:rFonts w:hAnsi="宋体"/>
                <w:color w:val="auto"/>
                <w:kern w:val="0"/>
                <w:sz w:val="24"/>
                <w:highlight w:val="none"/>
              </w:rPr>
              <w:t>本项目用水由市政自来水管网供应，用电由当地电力供应部门供给，不会达到资源利用上线。项目用地为工业用地，符合当地土地规划要求，亦不会达到资源利用上线。</w:t>
            </w:r>
          </w:p>
          <w:p w14:paraId="4B367D0C">
            <w:pPr>
              <w:adjustRightInd w:val="0"/>
              <w:snapToGrid w:val="0"/>
              <w:spacing w:line="360" w:lineRule="auto"/>
              <w:ind w:firstLine="480" w:firstLineChars="200"/>
              <w:rPr>
                <w:bCs/>
                <w:color w:val="auto"/>
                <w:kern w:val="0"/>
                <w:sz w:val="24"/>
                <w:highlight w:val="none"/>
              </w:rPr>
            </w:pPr>
            <w:r>
              <w:rPr>
                <w:bCs/>
                <w:color w:val="auto"/>
                <w:kern w:val="0"/>
                <w:sz w:val="24"/>
                <w:highlight w:val="none"/>
              </w:rPr>
              <w:t>4)</w:t>
            </w:r>
            <w:r>
              <w:rPr>
                <w:rFonts w:hAnsi="宋体"/>
                <w:bCs/>
                <w:color w:val="auto"/>
                <w:kern w:val="0"/>
                <w:sz w:val="24"/>
                <w:highlight w:val="none"/>
              </w:rPr>
              <w:t>环境准入负面清单</w:t>
            </w:r>
          </w:p>
          <w:p w14:paraId="0FEF33AB">
            <w:pPr>
              <w:adjustRightInd w:val="0"/>
              <w:snapToGrid w:val="0"/>
              <w:spacing w:line="360" w:lineRule="auto"/>
              <w:ind w:firstLine="480" w:firstLineChars="200"/>
              <w:rPr>
                <w:rFonts w:hAnsi="宋体"/>
                <w:color w:val="auto"/>
                <w:kern w:val="0"/>
                <w:sz w:val="24"/>
                <w:highlight w:val="none"/>
              </w:rPr>
            </w:pPr>
            <w:r>
              <w:rPr>
                <w:rFonts w:hint="eastAsia" w:hAnsi="宋体"/>
                <w:color w:val="auto"/>
                <w:kern w:val="0"/>
                <w:sz w:val="24"/>
                <w:highlight w:val="none"/>
              </w:rPr>
              <w:t>本项目为C3670汽车零部件及配件制造，</w:t>
            </w:r>
            <w:r>
              <w:rPr>
                <w:rFonts w:hint="eastAsia"/>
                <w:color w:val="auto"/>
                <w:sz w:val="24"/>
                <w:highlight w:val="none"/>
              </w:rPr>
              <w:t>对照</w:t>
            </w:r>
            <w:r>
              <w:rPr>
                <w:color w:val="auto"/>
                <w:sz w:val="24"/>
                <w:highlight w:val="none"/>
              </w:rPr>
              <w:t>《南通市建设项目环境准入暂行规定》，未列入“（一）工业项目产生发展限止规定”中。</w:t>
            </w:r>
          </w:p>
          <w:p w14:paraId="6E9A13F8">
            <w:pPr>
              <w:adjustRightInd w:val="0"/>
              <w:snapToGrid w:val="0"/>
              <w:spacing w:line="360" w:lineRule="auto"/>
              <w:ind w:firstLine="480" w:firstLineChars="200"/>
              <w:rPr>
                <w:color w:val="auto"/>
                <w:sz w:val="24"/>
                <w:highlight w:val="none"/>
              </w:rPr>
            </w:pPr>
            <w:r>
              <w:rPr>
                <w:color w:val="auto"/>
                <w:sz w:val="24"/>
                <w:highlight w:val="none"/>
              </w:rPr>
              <w:t>对照</w:t>
            </w:r>
            <w:r>
              <w:rPr>
                <w:rFonts w:hint="eastAsia"/>
                <w:color w:val="auto"/>
                <w:sz w:val="24"/>
                <w:highlight w:val="none"/>
              </w:rPr>
              <w:t>《海门经济开发区总体规划（2015-2030）环境影响报告书》中限制和禁止进驻项目清单相符性分析，见下表1-3。</w:t>
            </w:r>
          </w:p>
          <w:p w14:paraId="0C18559D">
            <w:pPr>
              <w:widowControl/>
              <w:jc w:val="center"/>
              <w:rPr>
                <w:rFonts w:hAnsi="宋体"/>
                <w:b/>
                <w:color w:val="auto"/>
                <w:kern w:val="0"/>
                <w:sz w:val="24"/>
                <w:highlight w:val="none"/>
              </w:rPr>
            </w:pPr>
            <w:r>
              <w:rPr>
                <w:rFonts w:hAnsi="宋体"/>
                <w:b/>
                <w:color w:val="auto"/>
                <w:kern w:val="0"/>
                <w:sz w:val="24"/>
                <w:highlight w:val="none"/>
              </w:rPr>
              <w:t>表</w:t>
            </w:r>
            <w:r>
              <w:rPr>
                <w:b/>
                <w:color w:val="auto"/>
                <w:kern w:val="0"/>
                <w:sz w:val="24"/>
                <w:highlight w:val="none"/>
              </w:rPr>
              <w:t>1-</w:t>
            </w:r>
            <w:r>
              <w:rPr>
                <w:rFonts w:hint="eastAsia"/>
                <w:b/>
                <w:color w:val="auto"/>
                <w:kern w:val="0"/>
                <w:sz w:val="24"/>
                <w:highlight w:val="none"/>
              </w:rPr>
              <w:t>3</w:t>
            </w:r>
            <w:r>
              <w:rPr>
                <w:b/>
                <w:color w:val="auto"/>
                <w:kern w:val="0"/>
                <w:sz w:val="24"/>
                <w:highlight w:val="none"/>
              </w:rPr>
              <w:t xml:space="preserve"> </w:t>
            </w:r>
            <w:r>
              <w:rPr>
                <w:rFonts w:hAnsi="宋体"/>
                <w:b/>
                <w:color w:val="auto"/>
                <w:kern w:val="0"/>
                <w:sz w:val="24"/>
                <w:highlight w:val="none"/>
              </w:rPr>
              <w:t>与《</w:t>
            </w:r>
            <w:r>
              <w:rPr>
                <w:rFonts w:hint="eastAsia" w:hAnsi="宋体"/>
                <w:b/>
                <w:color w:val="auto"/>
                <w:kern w:val="0"/>
                <w:sz w:val="24"/>
                <w:highlight w:val="none"/>
              </w:rPr>
              <w:t>海门经济技术开发区总体规划（2015-2030）环境影响报告书</w:t>
            </w:r>
            <w:r>
              <w:rPr>
                <w:rFonts w:hAnsi="宋体"/>
                <w:b/>
                <w:color w:val="auto"/>
                <w:kern w:val="0"/>
                <w:sz w:val="24"/>
                <w:highlight w:val="none"/>
              </w:rPr>
              <w:t>》</w:t>
            </w:r>
            <w:r>
              <w:rPr>
                <w:rFonts w:hint="eastAsia" w:hAnsi="宋体"/>
                <w:b/>
                <w:color w:val="auto"/>
                <w:kern w:val="0"/>
                <w:sz w:val="24"/>
                <w:highlight w:val="none"/>
              </w:rPr>
              <w:t>中限制和禁止进驻项目清单相符性分析</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1"/>
              <w:gridCol w:w="3468"/>
              <w:gridCol w:w="2989"/>
              <w:gridCol w:w="611"/>
            </w:tblGrid>
            <w:tr w14:paraId="0F449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19646135">
                  <w:pPr>
                    <w:adjustRightInd w:val="0"/>
                    <w:snapToGrid w:val="0"/>
                    <w:jc w:val="center"/>
                    <w:rPr>
                      <w:b/>
                      <w:snapToGrid w:val="0"/>
                      <w:color w:val="auto"/>
                      <w:kern w:val="0"/>
                      <w:szCs w:val="21"/>
                      <w:highlight w:val="none"/>
                    </w:rPr>
                  </w:pPr>
                  <w:r>
                    <w:rPr>
                      <w:rFonts w:hint="eastAsia"/>
                      <w:b/>
                      <w:snapToGrid w:val="0"/>
                      <w:color w:val="auto"/>
                      <w:kern w:val="0"/>
                      <w:szCs w:val="21"/>
                      <w:highlight w:val="none"/>
                    </w:rPr>
                    <w:t>序号</w:t>
                  </w:r>
                </w:p>
              </w:tc>
              <w:tc>
                <w:tcPr>
                  <w:tcW w:w="2249" w:type="pct"/>
                  <w:vAlign w:val="center"/>
                </w:tcPr>
                <w:p w14:paraId="403E8C55">
                  <w:pPr>
                    <w:adjustRightInd w:val="0"/>
                    <w:snapToGrid w:val="0"/>
                    <w:jc w:val="center"/>
                    <w:rPr>
                      <w:b/>
                      <w:snapToGrid w:val="0"/>
                      <w:color w:val="auto"/>
                      <w:kern w:val="0"/>
                      <w:szCs w:val="21"/>
                      <w:highlight w:val="none"/>
                    </w:rPr>
                  </w:pPr>
                  <w:r>
                    <w:rPr>
                      <w:rFonts w:hint="eastAsia"/>
                      <w:b/>
                      <w:snapToGrid w:val="0"/>
                      <w:color w:val="auto"/>
                      <w:kern w:val="0"/>
                      <w:szCs w:val="21"/>
                      <w:highlight w:val="none"/>
                    </w:rPr>
                    <w:t>总体要求</w:t>
                  </w:r>
                </w:p>
              </w:tc>
              <w:tc>
                <w:tcPr>
                  <w:tcW w:w="1938" w:type="pct"/>
                  <w:vAlign w:val="center"/>
                </w:tcPr>
                <w:p w14:paraId="7634064D">
                  <w:pPr>
                    <w:adjustRightInd w:val="0"/>
                    <w:snapToGrid w:val="0"/>
                    <w:jc w:val="center"/>
                    <w:rPr>
                      <w:b/>
                      <w:snapToGrid w:val="0"/>
                      <w:color w:val="auto"/>
                      <w:kern w:val="0"/>
                      <w:szCs w:val="21"/>
                      <w:highlight w:val="none"/>
                    </w:rPr>
                  </w:pPr>
                  <w:r>
                    <w:rPr>
                      <w:b/>
                      <w:snapToGrid w:val="0"/>
                      <w:color w:val="auto"/>
                      <w:kern w:val="0"/>
                      <w:szCs w:val="21"/>
                      <w:highlight w:val="none"/>
                    </w:rPr>
                    <w:t>相符性分析</w:t>
                  </w:r>
                </w:p>
              </w:tc>
              <w:tc>
                <w:tcPr>
                  <w:tcW w:w="396" w:type="pct"/>
                  <w:vAlign w:val="center"/>
                </w:tcPr>
                <w:p w14:paraId="23800D5A">
                  <w:pPr>
                    <w:adjustRightInd w:val="0"/>
                    <w:snapToGrid w:val="0"/>
                    <w:jc w:val="center"/>
                    <w:rPr>
                      <w:b/>
                      <w:snapToGrid w:val="0"/>
                      <w:color w:val="auto"/>
                      <w:kern w:val="0"/>
                      <w:szCs w:val="21"/>
                      <w:highlight w:val="none"/>
                    </w:rPr>
                  </w:pPr>
                  <w:r>
                    <w:rPr>
                      <w:b/>
                      <w:snapToGrid w:val="0"/>
                      <w:color w:val="auto"/>
                      <w:kern w:val="0"/>
                      <w:szCs w:val="21"/>
                      <w:highlight w:val="none"/>
                    </w:rPr>
                    <w:t>相符性</w:t>
                  </w:r>
                </w:p>
              </w:tc>
            </w:tr>
            <w:tr w14:paraId="079DD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40F45878">
                  <w:pPr>
                    <w:numPr>
                      <w:ilvl w:val="0"/>
                      <w:numId w:val="2"/>
                    </w:numPr>
                    <w:adjustRightInd w:val="0"/>
                    <w:snapToGrid w:val="0"/>
                    <w:jc w:val="center"/>
                    <w:rPr>
                      <w:snapToGrid w:val="0"/>
                      <w:color w:val="auto"/>
                      <w:kern w:val="0"/>
                      <w:szCs w:val="21"/>
                      <w:highlight w:val="none"/>
                    </w:rPr>
                  </w:pPr>
                </w:p>
              </w:tc>
              <w:tc>
                <w:tcPr>
                  <w:tcW w:w="2249" w:type="pct"/>
                  <w:vAlign w:val="center"/>
                </w:tcPr>
                <w:p w14:paraId="6BC502FB">
                  <w:pPr>
                    <w:adjustRightInd w:val="0"/>
                    <w:snapToGrid w:val="0"/>
                    <w:jc w:val="center"/>
                    <w:rPr>
                      <w:snapToGrid w:val="0"/>
                      <w:color w:val="auto"/>
                      <w:kern w:val="0"/>
                      <w:szCs w:val="21"/>
                      <w:highlight w:val="none"/>
                    </w:rPr>
                  </w:pPr>
                  <w:r>
                    <w:rPr>
                      <w:rFonts w:hint="eastAsia"/>
                      <w:snapToGrid w:val="0"/>
                      <w:color w:val="auto"/>
                      <w:kern w:val="0"/>
                      <w:szCs w:val="21"/>
                      <w:highlight w:val="none"/>
                    </w:rPr>
                    <w:t>中心商务区的创新转型产业园以原有企业搬迁、转型等现代服务业为主，限制新增工业项目；高新技术产业园禁止引进含酸洗、电镀、喷涂等工序的项目。滨江工业城规划的四大产业组团尽可能错位发展，严格控制废水排放量大、HCl排放量高的项目入区。</w:t>
                  </w:r>
                </w:p>
              </w:tc>
              <w:tc>
                <w:tcPr>
                  <w:tcW w:w="1938" w:type="pct"/>
                  <w:vAlign w:val="center"/>
                </w:tcPr>
                <w:p w14:paraId="4F6A11D7">
                  <w:pPr>
                    <w:widowControl/>
                    <w:adjustRightInd w:val="0"/>
                    <w:snapToGrid w:val="0"/>
                    <w:jc w:val="center"/>
                    <w:rPr>
                      <w:rFonts w:ascii="宋体" w:cs="宋体"/>
                      <w:color w:val="auto"/>
                      <w:kern w:val="0"/>
                      <w:szCs w:val="21"/>
                      <w:highlight w:val="none"/>
                    </w:rPr>
                  </w:pPr>
                  <w:r>
                    <w:rPr>
                      <w:rFonts w:hint="eastAsia"/>
                      <w:color w:val="auto"/>
                      <w:kern w:val="0"/>
                      <w:szCs w:val="21"/>
                      <w:highlight w:val="none"/>
                    </w:rPr>
                    <w:t>项目租赁南通赫联科技产业发展有限公司一栋厂房，位于滨江工业城内，项目产生生活污水1200t/a、冷却塔排水600t/a、纯水制备弃水240t/a、初期雨水154</w:t>
                  </w:r>
                  <w:r>
                    <w:rPr>
                      <w:rFonts w:hint="default"/>
                      <w:color w:val="auto"/>
                      <w:kern w:val="0"/>
                      <w:szCs w:val="21"/>
                      <w:highlight w:val="none"/>
                    </w:rPr>
                    <w:t>6</w:t>
                  </w:r>
                  <w:r>
                    <w:rPr>
                      <w:rFonts w:hint="eastAsia"/>
                      <w:color w:val="auto"/>
                      <w:kern w:val="0"/>
                      <w:szCs w:val="21"/>
                      <w:highlight w:val="none"/>
                    </w:rPr>
                    <w:t>t/a，共计358</w:t>
                  </w:r>
                  <w:r>
                    <w:rPr>
                      <w:rFonts w:hint="default"/>
                      <w:color w:val="auto"/>
                      <w:kern w:val="0"/>
                      <w:szCs w:val="21"/>
                      <w:highlight w:val="none"/>
                    </w:rPr>
                    <w:t>6</w:t>
                  </w:r>
                  <w:r>
                    <w:rPr>
                      <w:rFonts w:hint="eastAsia"/>
                      <w:color w:val="auto"/>
                      <w:kern w:val="0"/>
                      <w:szCs w:val="21"/>
                      <w:highlight w:val="none"/>
                    </w:rPr>
                    <w:t>t/a，排放量较小，且不是HCl排放量高的项目。</w:t>
                  </w:r>
                </w:p>
              </w:tc>
              <w:tc>
                <w:tcPr>
                  <w:tcW w:w="396" w:type="pct"/>
                  <w:vAlign w:val="center"/>
                </w:tcPr>
                <w:p w14:paraId="70810ED5">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4ECD7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261023F3">
                  <w:pPr>
                    <w:numPr>
                      <w:ilvl w:val="0"/>
                      <w:numId w:val="2"/>
                    </w:numPr>
                    <w:adjustRightInd w:val="0"/>
                    <w:snapToGrid w:val="0"/>
                    <w:jc w:val="center"/>
                    <w:rPr>
                      <w:snapToGrid w:val="0"/>
                      <w:color w:val="auto"/>
                      <w:kern w:val="0"/>
                      <w:szCs w:val="21"/>
                      <w:highlight w:val="none"/>
                    </w:rPr>
                  </w:pPr>
                </w:p>
              </w:tc>
              <w:tc>
                <w:tcPr>
                  <w:tcW w:w="2249" w:type="pct"/>
                  <w:vAlign w:val="center"/>
                </w:tcPr>
                <w:p w14:paraId="4EA4B937">
                  <w:pPr>
                    <w:adjustRightInd w:val="0"/>
                    <w:snapToGrid w:val="0"/>
                    <w:jc w:val="center"/>
                    <w:rPr>
                      <w:snapToGrid w:val="0"/>
                      <w:color w:val="auto"/>
                      <w:kern w:val="0"/>
                      <w:szCs w:val="21"/>
                      <w:highlight w:val="none"/>
                    </w:rPr>
                  </w:pPr>
                  <w:r>
                    <w:rPr>
                      <w:rFonts w:hint="eastAsia"/>
                      <w:snapToGrid w:val="0"/>
                      <w:color w:val="auto"/>
                      <w:kern w:val="0"/>
                      <w:szCs w:val="21"/>
                      <w:highlight w:val="none"/>
                    </w:rPr>
                    <w:t>海门水厂饮用水水源保护区内禁止从事危险化学品装卸作业或者煤炭、矿砂、水泥等散货装卸作业。</w:t>
                  </w:r>
                </w:p>
              </w:tc>
              <w:tc>
                <w:tcPr>
                  <w:tcW w:w="1938" w:type="pct"/>
                  <w:vAlign w:val="center"/>
                </w:tcPr>
                <w:p w14:paraId="44D6ECD4">
                  <w:pPr>
                    <w:widowControl/>
                    <w:adjustRightInd w:val="0"/>
                    <w:snapToGrid w:val="0"/>
                    <w:jc w:val="center"/>
                    <w:rPr>
                      <w:snapToGrid w:val="0"/>
                      <w:color w:val="auto"/>
                      <w:kern w:val="0"/>
                      <w:szCs w:val="21"/>
                      <w:highlight w:val="none"/>
                    </w:rPr>
                  </w:pPr>
                  <w:r>
                    <w:rPr>
                      <w:rFonts w:hint="eastAsia"/>
                      <w:color w:val="auto"/>
                      <w:kern w:val="0"/>
                      <w:szCs w:val="21"/>
                      <w:highlight w:val="none"/>
                    </w:rPr>
                    <w:t>本项目不在海门水厂饮用水水源保护区内，且未从事危险化学品装卸作业或者煤炭、矿砂、水泥等散货装卸作业</w:t>
                  </w:r>
                </w:p>
              </w:tc>
              <w:tc>
                <w:tcPr>
                  <w:tcW w:w="396" w:type="pct"/>
                  <w:vAlign w:val="center"/>
                </w:tcPr>
                <w:p w14:paraId="295D76C6">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4586E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7F57BEBC">
                  <w:pPr>
                    <w:numPr>
                      <w:ilvl w:val="0"/>
                      <w:numId w:val="2"/>
                    </w:numPr>
                    <w:adjustRightInd w:val="0"/>
                    <w:snapToGrid w:val="0"/>
                    <w:jc w:val="center"/>
                    <w:rPr>
                      <w:snapToGrid w:val="0"/>
                      <w:color w:val="auto"/>
                      <w:kern w:val="0"/>
                      <w:szCs w:val="21"/>
                      <w:highlight w:val="none"/>
                    </w:rPr>
                  </w:pPr>
                </w:p>
              </w:tc>
              <w:tc>
                <w:tcPr>
                  <w:tcW w:w="2249" w:type="pct"/>
                  <w:vAlign w:val="center"/>
                </w:tcPr>
                <w:p w14:paraId="11B1B528">
                  <w:pPr>
                    <w:adjustRightInd w:val="0"/>
                    <w:snapToGrid w:val="0"/>
                    <w:jc w:val="center"/>
                    <w:rPr>
                      <w:snapToGrid w:val="0"/>
                      <w:color w:val="auto"/>
                      <w:kern w:val="0"/>
                      <w:szCs w:val="21"/>
                      <w:highlight w:val="none"/>
                    </w:rPr>
                  </w:pPr>
                  <w:r>
                    <w:rPr>
                      <w:rFonts w:hint="eastAsia"/>
                      <w:snapToGrid w:val="0"/>
                      <w:color w:val="auto"/>
                      <w:kern w:val="0"/>
                      <w:szCs w:val="21"/>
                      <w:highlight w:val="none"/>
                    </w:rPr>
                    <w:t>距离江海风景名胜区二级管控区</w:t>
                  </w:r>
                  <w:r>
                    <w:rPr>
                      <w:snapToGrid w:val="0"/>
                      <w:color w:val="auto"/>
                      <w:kern w:val="0"/>
                      <w:szCs w:val="21"/>
                      <w:highlight w:val="none"/>
                    </w:rPr>
                    <w:t>100m</w:t>
                  </w:r>
                  <w:r>
                    <w:rPr>
                      <w:rFonts w:hint="eastAsia"/>
                      <w:snapToGrid w:val="0"/>
                      <w:color w:val="auto"/>
                      <w:kern w:val="0"/>
                      <w:szCs w:val="21"/>
                      <w:highlight w:val="none"/>
                    </w:rPr>
                    <w:t>范围内的工业用地禁止引进含喷涂、酸洗等排放异味气体的生产工序的项目。邻近清水通道、重要湿地等生态红线区域的工业用地，加强入区企业跑冒滴漏管理，设置符合规范的事故应急池，确保企业废水不排入上述敏感区域。</w:t>
                  </w:r>
                </w:p>
              </w:tc>
              <w:tc>
                <w:tcPr>
                  <w:tcW w:w="1938" w:type="pct"/>
                  <w:vAlign w:val="center"/>
                </w:tcPr>
                <w:p w14:paraId="6B2020D1">
                  <w:pPr>
                    <w:widowControl/>
                    <w:adjustRightInd w:val="0"/>
                    <w:snapToGrid w:val="0"/>
                    <w:jc w:val="center"/>
                    <w:rPr>
                      <w:snapToGrid w:val="0"/>
                      <w:color w:val="auto"/>
                      <w:kern w:val="0"/>
                      <w:szCs w:val="21"/>
                      <w:highlight w:val="none"/>
                    </w:rPr>
                  </w:pPr>
                  <w:r>
                    <w:rPr>
                      <w:rFonts w:hint="eastAsia"/>
                      <w:color w:val="auto"/>
                      <w:kern w:val="0"/>
                      <w:szCs w:val="21"/>
                      <w:highlight w:val="none"/>
                    </w:rPr>
                    <w:t>本项目距离江海风景名胜区 2km。项目位于南通市海门市经济开发区滨港大道2699号内52号楼，不靠近清水通道、重要湿地等生态红线区域</w:t>
                  </w:r>
                </w:p>
              </w:tc>
              <w:tc>
                <w:tcPr>
                  <w:tcW w:w="396" w:type="pct"/>
                  <w:vAlign w:val="center"/>
                </w:tcPr>
                <w:p w14:paraId="6CD6BEB2">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3A40D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2D18FB9B">
                  <w:pPr>
                    <w:numPr>
                      <w:ilvl w:val="0"/>
                      <w:numId w:val="2"/>
                    </w:numPr>
                    <w:adjustRightInd w:val="0"/>
                    <w:snapToGrid w:val="0"/>
                    <w:jc w:val="center"/>
                    <w:rPr>
                      <w:snapToGrid w:val="0"/>
                      <w:color w:val="auto"/>
                      <w:kern w:val="0"/>
                      <w:szCs w:val="21"/>
                      <w:highlight w:val="none"/>
                    </w:rPr>
                  </w:pPr>
                </w:p>
              </w:tc>
              <w:tc>
                <w:tcPr>
                  <w:tcW w:w="2249" w:type="pct"/>
                  <w:vAlign w:val="center"/>
                </w:tcPr>
                <w:p w14:paraId="1B7CD88B">
                  <w:pPr>
                    <w:adjustRightInd w:val="0"/>
                    <w:snapToGrid w:val="0"/>
                    <w:jc w:val="center"/>
                    <w:rPr>
                      <w:snapToGrid w:val="0"/>
                      <w:color w:val="auto"/>
                      <w:kern w:val="0"/>
                      <w:szCs w:val="21"/>
                      <w:highlight w:val="none"/>
                    </w:rPr>
                  </w:pPr>
                  <w:r>
                    <w:rPr>
                      <w:rFonts w:hint="eastAsia"/>
                      <w:snapToGrid w:val="0"/>
                      <w:color w:val="auto"/>
                      <w:kern w:val="0"/>
                      <w:szCs w:val="21"/>
                      <w:highlight w:val="none"/>
                    </w:rPr>
                    <w:t>邻近生活区的工业用地，禁止引进废气污染物排放量大、无组织污染严重的项目，居住用地周边</w:t>
                  </w:r>
                  <w:r>
                    <w:rPr>
                      <w:snapToGrid w:val="0"/>
                      <w:color w:val="auto"/>
                      <w:kern w:val="0"/>
                      <w:szCs w:val="21"/>
                      <w:highlight w:val="none"/>
                    </w:rPr>
                    <w:t>200m</w:t>
                  </w:r>
                  <w:r>
                    <w:rPr>
                      <w:rFonts w:hint="eastAsia"/>
                      <w:snapToGrid w:val="0"/>
                      <w:color w:val="auto"/>
                      <w:kern w:val="0"/>
                      <w:szCs w:val="21"/>
                      <w:highlight w:val="none"/>
                    </w:rPr>
                    <w:t>范围内禁止引进含喷涂、酸洗等排放异味气体的生产工序的项目。</w:t>
                  </w:r>
                </w:p>
              </w:tc>
              <w:tc>
                <w:tcPr>
                  <w:tcW w:w="1938" w:type="pct"/>
                  <w:vAlign w:val="center"/>
                </w:tcPr>
                <w:p w14:paraId="54E6B3B2">
                  <w:pPr>
                    <w:widowControl/>
                    <w:adjustRightInd w:val="0"/>
                    <w:snapToGrid w:val="0"/>
                    <w:jc w:val="center"/>
                    <w:rPr>
                      <w:snapToGrid w:val="0"/>
                      <w:color w:val="auto"/>
                      <w:kern w:val="0"/>
                      <w:szCs w:val="21"/>
                      <w:highlight w:val="none"/>
                    </w:rPr>
                  </w:pPr>
                  <w:r>
                    <w:rPr>
                      <w:rFonts w:hint="eastAsia"/>
                      <w:color w:val="auto"/>
                      <w:kern w:val="0"/>
                      <w:szCs w:val="21"/>
                      <w:highlight w:val="none"/>
                    </w:rPr>
                    <w:t>项目最近距离居民为西北侧</w:t>
                  </w:r>
                  <w:r>
                    <w:rPr>
                      <w:rFonts w:hint="eastAsia"/>
                      <w:color w:val="auto"/>
                      <w:kern w:val="0"/>
                      <w:szCs w:val="21"/>
                      <w:highlight w:val="none"/>
                      <w:lang w:eastAsia="zh-Hans"/>
                    </w:rPr>
                    <w:t>苏通花园</w:t>
                  </w:r>
                  <w:r>
                    <w:rPr>
                      <w:rFonts w:hint="eastAsia"/>
                      <w:color w:val="auto"/>
                      <w:kern w:val="0"/>
                      <w:szCs w:val="21"/>
                      <w:highlight w:val="none"/>
                    </w:rPr>
                    <w:t>，距离项目</w:t>
                  </w:r>
                  <w:r>
                    <w:rPr>
                      <w:color w:val="auto"/>
                      <w:kern w:val="0"/>
                      <w:szCs w:val="21"/>
                      <w:highlight w:val="none"/>
                    </w:rPr>
                    <w:t>410</w:t>
                  </w:r>
                  <w:r>
                    <w:rPr>
                      <w:rFonts w:hint="eastAsia"/>
                      <w:color w:val="auto"/>
                      <w:kern w:val="0"/>
                      <w:szCs w:val="21"/>
                      <w:highlight w:val="none"/>
                    </w:rPr>
                    <w:t>m。</w:t>
                  </w:r>
                </w:p>
              </w:tc>
              <w:tc>
                <w:tcPr>
                  <w:tcW w:w="396" w:type="pct"/>
                  <w:vAlign w:val="center"/>
                </w:tcPr>
                <w:p w14:paraId="3905AAC0">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02EDC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53B8D4FF">
                  <w:pPr>
                    <w:numPr>
                      <w:ilvl w:val="0"/>
                      <w:numId w:val="2"/>
                    </w:numPr>
                    <w:adjustRightInd w:val="0"/>
                    <w:snapToGrid w:val="0"/>
                    <w:jc w:val="center"/>
                    <w:rPr>
                      <w:snapToGrid w:val="0"/>
                      <w:color w:val="auto"/>
                      <w:kern w:val="0"/>
                      <w:szCs w:val="21"/>
                      <w:highlight w:val="none"/>
                    </w:rPr>
                  </w:pPr>
                </w:p>
              </w:tc>
              <w:tc>
                <w:tcPr>
                  <w:tcW w:w="2249" w:type="pct"/>
                  <w:vAlign w:val="center"/>
                </w:tcPr>
                <w:p w14:paraId="76FE73F6">
                  <w:pPr>
                    <w:adjustRightInd w:val="0"/>
                    <w:snapToGrid w:val="0"/>
                    <w:jc w:val="center"/>
                    <w:rPr>
                      <w:snapToGrid w:val="0"/>
                      <w:color w:val="auto"/>
                      <w:kern w:val="0"/>
                      <w:szCs w:val="21"/>
                      <w:highlight w:val="none"/>
                    </w:rPr>
                  </w:pPr>
                  <w:r>
                    <w:rPr>
                      <w:rFonts w:hint="eastAsia"/>
                      <w:snapToGrid w:val="0"/>
                      <w:color w:val="auto"/>
                      <w:kern w:val="0"/>
                      <w:szCs w:val="21"/>
                      <w:highlight w:val="none"/>
                    </w:rPr>
                    <w:t>对于规划发展的重点产业，具体项目引进在满足《产业结构调整指导目录（</w:t>
                  </w:r>
                  <w:r>
                    <w:rPr>
                      <w:snapToGrid w:val="0"/>
                      <w:color w:val="auto"/>
                      <w:kern w:val="0"/>
                      <w:szCs w:val="21"/>
                      <w:highlight w:val="none"/>
                    </w:rPr>
                    <w:t>2011</w:t>
                  </w:r>
                  <w:r>
                    <w:rPr>
                      <w:rFonts w:hint="eastAsia"/>
                      <w:snapToGrid w:val="0"/>
                      <w:color w:val="auto"/>
                      <w:kern w:val="0"/>
                      <w:szCs w:val="21"/>
                      <w:highlight w:val="none"/>
                    </w:rPr>
                    <w:t>年版）（修订）》、《禁止外商投资产业目录》、《江苏省工业和信息产业结构调整指导目录（</w:t>
                  </w:r>
                  <w:r>
                    <w:rPr>
                      <w:snapToGrid w:val="0"/>
                      <w:color w:val="auto"/>
                      <w:kern w:val="0"/>
                      <w:szCs w:val="21"/>
                      <w:highlight w:val="none"/>
                    </w:rPr>
                    <w:t>2012</w:t>
                  </w:r>
                  <w:r>
                    <w:rPr>
                      <w:rFonts w:hint="eastAsia"/>
                      <w:snapToGrid w:val="0"/>
                      <w:color w:val="auto"/>
                      <w:kern w:val="0"/>
                      <w:szCs w:val="21"/>
                      <w:highlight w:val="none"/>
                    </w:rPr>
                    <w:t>年本）》、《产业转移指导目录（</w:t>
                  </w:r>
                  <w:r>
                    <w:rPr>
                      <w:snapToGrid w:val="0"/>
                      <w:color w:val="auto"/>
                      <w:kern w:val="0"/>
                      <w:szCs w:val="21"/>
                      <w:highlight w:val="none"/>
                    </w:rPr>
                    <w:t>2012</w:t>
                  </w:r>
                  <w:r>
                    <w:rPr>
                      <w:rFonts w:hint="eastAsia"/>
                      <w:snapToGrid w:val="0"/>
                      <w:color w:val="auto"/>
                      <w:kern w:val="0"/>
                      <w:szCs w:val="21"/>
                      <w:highlight w:val="none"/>
                    </w:rPr>
                    <w:t>年本）》等产业相关法律、法规基础上，还应执行本次制定的重点发展产业优先、限制、禁止发展项目清单（表</w:t>
                  </w:r>
                  <w:r>
                    <w:rPr>
                      <w:snapToGrid w:val="0"/>
                      <w:color w:val="auto"/>
                      <w:kern w:val="0"/>
                      <w:szCs w:val="21"/>
                      <w:highlight w:val="none"/>
                    </w:rPr>
                    <w:t>10.1-2</w:t>
                  </w:r>
                  <w:r>
                    <w:rPr>
                      <w:rFonts w:hint="eastAsia"/>
                      <w:snapToGrid w:val="0"/>
                      <w:color w:val="auto"/>
                      <w:kern w:val="0"/>
                      <w:szCs w:val="21"/>
                      <w:highlight w:val="none"/>
                    </w:rPr>
                    <w:t>）</w:t>
                  </w:r>
                </w:p>
              </w:tc>
              <w:tc>
                <w:tcPr>
                  <w:tcW w:w="1938" w:type="pct"/>
                  <w:vAlign w:val="center"/>
                </w:tcPr>
                <w:p w14:paraId="5606C2A1">
                  <w:pPr>
                    <w:widowControl/>
                    <w:jc w:val="center"/>
                    <w:rPr>
                      <w:snapToGrid w:val="0"/>
                      <w:color w:val="auto"/>
                      <w:kern w:val="0"/>
                      <w:szCs w:val="21"/>
                      <w:highlight w:val="none"/>
                    </w:rPr>
                  </w:pPr>
                  <w:r>
                    <w:rPr>
                      <w:rFonts w:hint="eastAsia"/>
                      <w:color w:val="auto"/>
                      <w:kern w:val="0"/>
                      <w:szCs w:val="21"/>
                      <w:highlight w:val="none"/>
                    </w:rPr>
                    <w:t>本项目为内资，且不属于《产业结构调整指导目录（2019年本）》中淘汰类及限制类产业、《江苏省工业和信息产业结构调整指导目录(2012年本)》（苏政办发[2013]9号）及《关于修改&lt;江苏省工业和信息产业结构调整指导目录(2012年本)&gt;部分条目的通知》（苏经信产业[2013]183号）、《产业转移指导目录（2018年本）》等产业政策中限制类、淘汰类项目</w:t>
                  </w:r>
                </w:p>
              </w:tc>
              <w:tc>
                <w:tcPr>
                  <w:tcW w:w="396" w:type="pct"/>
                  <w:vAlign w:val="center"/>
                </w:tcPr>
                <w:p w14:paraId="4033EFBD">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3B854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663C87C4">
                  <w:pPr>
                    <w:numPr>
                      <w:ilvl w:val="0"/>
                      <w:numId w:val="2"/>
                    </w:numPr>
                    <w:adjustRightInd w:val="0"/>
                    <w:snapToGrid w:val="0"/>
                    <w:jc w:val="center"/>
                    <w:rPr>
                      <w:snapToGrid w:val="0"/>
                      <w:color w:val="auto"/>
                      <w:kern w:val="0"/>
                      <w:szCs w:val="21"/>
                      <w:highlight w:val="none"/>
                    </w:rPr>
                  </w:pPr>
                </w:p>
              </w:tc>
              <w:tc>
                <w:tcPr>
                  <w:tcW w:w="2249" w:type="pct"/>
                  <w:vAlign w:val="center"/>
                </w:tcPr>
                <w:p w14:paraId="710EDDF0">
                  <w:pPr>
                    <w:adjustRightInd w:val="0"/>
                    <w:snapToGrid w:val="0"/>
                    <w:jc w:val="center"/>
                    <w:rPr>
                      <w:snapToGrid w:val="0"/>
                      <w:color w:val="auto"/>
                      <w:kern w:val="0"/>
                      <w:szCs w:val="21"/>
                      <w:highlight w:val="none"/>
                    </w:rPr>
                  </w:pPr>
                  <w:r>
                    <w:rPr>
                      <w:rFonts w:hint="eastAsia"/>
                      <w:snapToGrid w:val="0"/>
                      <w:color w:val="auto"/>
                      <w:kern w:val="0"/>
                      <w:szCs w:val="21"/>
                      <w:highlight w:val="none"/>
                    </w:rPr>
                    <w:t>入区企业要严格执行环评、“三同时”制度，现有未及时履行验收手续的企业须按“清理整治环保违法违规建设项目”文件要求完成整改，定期开展区域环境质量跟踪监测，按要求公开区域环境质量情况</w:t>
                  </w:r>
                </w:p>
              </w:tc>
              <w:tc>
                <w:tcPr>
                  <w:tcW w:w="1938" w:type="pct"/>
                  <w:vAlign w:val="center"/>
                </w:tcPr>
                <w:p w14:paraId="79981C3A">
                  <w:pPr>
                    <w:widowControl/>
                    <w:adjustRightInd w:val="0"/>
                    <w:snapToGrid w:val="0"/>
                    <w:jc w:val="center"/>
                    <w:rPr>
                      <w:snapToGrid w:val="0"/>
                      <w:color w:val="auto"/>
                      <w:kern w:val="0"/>
                      <w:szCs w:val="21"/>
                      <w:highlight w:val="none"/>
                    </w:rPr>
                  </w:pPr>
                  <w:r>
                    <w:rPr>
                      <w:rFonts w:hint="eastAsia"/>
                      <w:color w:val="auto"/>
                      <w:kern w:val="0"/>
                      <w:szCs w:val="21"/>
                      <w:highlight w:val="none"/>
                    </w:rPr>
                    <w:t>项目将严格执行环评制度，建设完成达三同时验收条件时将及时开展“三同时”验收。</w:t>
                  </w:r>
                </w:p>
              </w:tc>
              <w:tc>
                <w:tcPr>
                  <w:tcW w:w="396" w:type="pct"/>
                  <w:vAlign w:val="center"/>
                </w:tcPr>
                <w:p w14:paraId="262D9B4A">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7B006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2F7DE3F9">
                  <w:pPr>
                    <w:numPr>
                      <w:ilvl w:val="0"/>
                      <w:numId w:val="2"/>
                    </w:numPr>
                    <w:adjustRightInd w:val="0"/>
                    <w:snapToGrid w:val="0"/>
                    <w:jc w:val="center"/>
                    <w:rPr>
                      <w:snapToGrid w:val="0"/>
                      <w:color w:val="auto"/>
                      <w:kern w:val="0"/>
                      <w:szCs w:val="21"/>
                      <w:highlight w:val="none"/>
                    </w:rPr>
                  </w:pPr>
                </w:p>
              </w:tc>
              <w:tc>
                <w:tcPr>
                  <w:tcW w:w="2249" w:type="pct"/>
                  <w:vAlign w:val="center"/>
                </w:tcPr>
                <w:p w14:paraId="42261E48">
                  <w:pPr>
                    <w:adjustRightInd w:val="0"/>
                    <w:snapToGrid w:val="0"/>
                    <w:jc w:val="center"/>
                    <w:rPr>
                      <w:snapToGrid w:val="0"/>
                      <w:color w:val="auto"/>
                      <w:kern w:val="0"/>
                      <w:szCs w:val="21"/>
                      <w:highlight w:val="none"/>
                    </w:rPr>
                  </w:pPr>
                  <w:r>
                    <w:rPr>
                      <w:rFonts w:hint="eastAsia"/>
                      <w:snapToGrid w:val="0"/>
                      <w:color w:val="auto"/>
                      <w:kern w:val="0"/>
                      <w:szCs w:val="21"/>
                      <w:highlight w:val="none"/>
                    </w:rPr>
                    <w:t>开发区实施集中供热，新入区企业禁止建设燃煤供热设施，确需自建供热设施的，必须使用清洁能源</w:t>
                  </w:r>
                </w:p>
              </w:tc>
              <w:tc>
                <w:tcPr>
                  <w:tcW w:w="1938" w:type="pct"/>
                  <w:vAlign w:val="center"/>
                </w:tcPr>
                <w:p w14:paraId="67CEC650">
                  <w:pPr>
                    <w:widowControl/>
                    <w:adjustRightInd w:val="0"/>
                    <w:snapToGrid w:val="0"/>
                    <w:jc w:val="center"/>
                    <w:rPr>
                      <w:snapToGrid w:val="0"/>
                      <w:color w:val="auto"/>
                      <w:kern w:val="0"/>
                      <w:szCs w:val="21"/>
                      <w:highlight w:val="none"/>
                    </w:rPr>
                  </w:pPr>
                  <w:r>
                    <w:rPr>
                      <w:rFonts w:hint="eastAsia"/>
                      <w:color w:val="auto"/>
                      <w:kern w:val="0"/>
                      <w:szCs w:val="21"/>
                      <w:highlight w:val="none"/>
                    </w:rPr>
                    <w:t>本项目烘干环节利用电加热，为清洁能源</w:t>
                  </w:r>
                </w:p>
              </w:tc>
              <w:tc>
                <w:tcPr>
                  <w:tcW w:w="396" w:type="pct"/>
                  <w:vAlign w:val="center"/>
                </w:tcPr>
                <w:p w14:paraId="06E9DDDB">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08A84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3546A8A7">
                  <w:pPr>
                    <w:numPr>
                      <w:ilvl w:val="0"/>
                      <w:numId w:val="2"/>
                    </w:numPr>
                    <w:adjustRightInd w:val="0"/>
                    <w:snapToGrid w:val="0"/>
                    <w:jc w:val="center"/>
                    <w:rPr>
                      <w:snapToGrid w:val="0"/>
                      <w:color w:val="auto"/>
                      <w:kern w:val="0"/>
                      <w:szCs w:val="21"/>
                      <w:highlight w:val="none"/>
                    </w:rPr>
                  </w:pPr>
                </w:p>
              </w:tc>
              <w:tc>
                <w:tcPr>
                  <w:tcW w:w="2249" w:type="pct"/>
                  <w:vAlign w:val="center"/>
                </w:tcPr>
                <w:p w14:paraId="3C187F03">
                  <w:pPr>
                    <w:adjustRightInd w:val="0"/>
                    <w:snapToGrid w:val="0"/>
                    <w:jc w:val="center"/>
                    <w:rPr>
                      <w:snapToGrid w:val="0"/>
                      <w:color w:val="auto"/>
                      <w:kern w:val="0"/>
                      <w:szCs w:val="21"/>
                      <w:highlight w:val="none"/>
                    </w:rPr>
                  </w:pPr>
                  <w:r>
                    <w:rPr>
                      <w:rFonts w:hint="eastAsia"/>
                      <w:snapToGrid w:val="0"/>
                      <w:color w:val="auto"/>
                      <w:kern w:val="0"/>
                      <w:szCs w:val="21"/>
                      <w:highlight w:val="none"/>
                    </w:rPr>
                    <w:t>持续完善区域污水管网建设，在工业企业废水接管率持续保持</w:t>
                  </w:r>
                  <w:r>
                    <w:rPr>
                      <w:snapToGrid w:val="0"/>
                      <w:color w:val="auto"/>
                      <w:kern w:val="0"/>
                      <w:szCs w:val="21"/>
                      <w:highlight w:val="none"/>
                    </w:rPr>
                    <w:t>100%</w:t>
                  </w:r>
                  <w:r>
                    <w:rPr>
                      <w:rFonts w:hint="eastAsia"/>
                      <w:snapToGrid w:val="0"/>
                      <w:color w:val="auto"/>
                      <w:kern w:val="0"/>
                      <w:szCs w:val="21"/>
                      <w:highlight w:val="none"/>
                    </w:rPr>
                    <w:t>的基础上积极提高区域再生水利用率，结合开发区内分散农村居民点集中安置，进一步提高生活污水集中处理率。积极推进东洲污水处理厂中水回用工程，中水回用率提高至</w:t>
                  </w:r>
                  <w:r>
                    <w:rPr>
                      <w:snapToGrid w:val="0"/>
                      <w:color w:val="auto"/>
                      <w:kern w:val="0"/>
                      <w:szCs w:val="21"/>
                      <w:highlight w:val="none"/>
                    </w:rPr>
                    <w:t>25%</w:t>
                  </w:r>
                  <w:r>
                    <w:rPr>
                      <w:rFonts w:hint="eastAsia"/>
                      <w:snapToGrid w:val="0"/>
                      <w:color w:val="auto"/>
                      <w:kern w:val="0"/>
                      <w:szCs w:val="21"/>
                      <w:highlight w:val="none"/>
                    </w:rPr>
                    <w:t>，有效减轻污水厂尾水集中排放对纳污河流水质的影响</w:t>
                  </w:r>
                </w:p>
              </w:tc>
              <w:tc>
                <w:tcPr>
                  <w:tcW w:w="1938" w:type="pct"/>
                  <w:vAlign w:val="center"/>
                </w:tcPr>
                <w:p w14:paraId="56F4FC95">
                  <w:pPr>
                    <w:widowControl/>
                    <w:adjustRightInd w:val="0"/>
                    <w:snapToGrid w:val="0"/>
                    <w:jc w:val="center"/>
                    <w:rPr>
                      <w:snapToGrid w:val="0"/>
                      <w:color w:val="auto"/>
                      <w:kern w:val="0"/>
                      <w:szCs w:val="21"/>
                      <w:highlight w:val="none"/>
                    </w:rPr>
                  </w:pPr>
                  <w:r>
                    <w:rPr>
                      <w:rFonts w:hint="eastAsia"/>
                      <w:color w:val="auto"/>
                      <w:kern w:val="0"/>
                      <w:szCs w:val="21"/>
                      <w:highlight w:val="none"/>
                    </w:rPr>
                    <w:t>本项目生活污水经化粪池预处理后接管海门市东洲水处理有限公司。</w:t>
                  </w:r>
                </w:p>
              </w:tc>
              <w:tc>
                <w:tcPr>
                  <w:tcW w:w="396" w:type="pct"/>
                  <w:vAlign w:val="center"/>
                </w:tcPr>
                <w:p w14:paraId="7E0C3249">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r w14:paraId="047AF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08069879">
                  <w:pPr>
                    <w:numPr>
                      <w:ilvl w:val="0"/>
                      <w:numId w:val="2"/>
                    </w:numPr>
                    <w:adjustRightInd w:val="0"/>
                    <w:snapToGrid w:val="0"/>
                    <w:jc w:val="center"/>
                    <w:rPr>
                      <w:snapToGrid w:val="0"/>
                      <w:color w:val="auto"/>
                      <w:kern w:val="0"/>
                      <w:szCs w:val="21"/>
                      <w:highlight w:val="none"/>
                    </w:rPr>
                  </w:pPr>
                </w:p>
              </w:tc>
              <w:tc>
                <w:tcPr>
                  <w:tcW w:w="2249" w:type="pct"/>
                  <w:vAlign w:val="center"/>
                </w:tcPr>
                <w:p w14:paraId="74EECDE6">
                  <w:pPr>
                    <w:adjustRightInd w:val="0"/>
                    <w:snapToGrid w:val="0"/>
                    <w:jc w:val="center"/>
                    <w:rPr>
                      <w:snapToGrid w:val="0"/>
                      <w:color w:val="auto"/>
                      <w:kern w:val="0"/>
                      <w:szCs w:val="21"/>
                      <w:highlight w:val="none"/>
                    </w:rPr>
                  </w:pPr>
                  <w:r>
                    <w:rPr>
                      <w:rFonts w:hint="eastAsia"/>
                      <w:snapToGrid w:val="0"/>
                      <w:color w:val="auto"/>
                      <w:kern w:val="0"/>
                      <w:szCs w:val="21"/>
                      <w:highlight w:val="none"/>
                    </w:rPr>
                    <w:t>排水量小、污染轻的项目优先引进；引进项目的生产工艺、设备、污染治理技术，以及单位产品能耗、物耗、污染物排放和资源利用效率等均需达到同行业先进水平；所有生产工艺废气必须达标排放；各类固体废物分质安全处置</w:t>
                  </w:r>
                </w:p>
              </w:tc>
              <w:tc>
                <w:tcPr>
                  <w:tcW w:w="1938" w:type="pct"/>
                  <w:vAlign w:val="center"/>
                </w:tcPr>
                <w:p w14:paraId="10413990">
                  <w:pPr>
                    <w:widowControl/>
                    <w:adjustRightInd w:val="0"/>
                    <w:snapToGrid w:val="0"/>
                    <w:jc w:val="center"/>
                    <w:rPr>
                      <w:snapToGrid w:val="0"/>
                      <w:color w:val="auto"/>
                      <w:kern w:val="0"/>
                      <w:szCs w:val="21"/>
                      <w:highlight w:val="none"/>
                    </w:rPr>
                  </w:pPr>
                  <w:r>
                    <w:rPr>
                      <w:rFonts w:hint="eastAsia"/>
                      <w:color w:val="auto"/>
                      <w:kern w:val="0"/>
                      <w:szCs w:val="21"/>
                      <w:highlight w:val="none"/>
                    </w:rPr>
                    <w:t>项目产生生活污水1200t/a、冷却塔排水600t/a、纯水制备弃水240t/a、初期雨水154</w:t>
                  </w:r>
                  <w:r>
                    <w:rPr>
                      <w:rFonts w:hint="default"/>
                      <w:color w:val="auto"/>
                      <w:kern w:val="0"/>
                      <w:szCs w:val="21"/>
                      <w:highlight w:val="none"/>
                    </w:rPr>
                    <w:t>6</w:t>
                  </w:r>
                  <w:r>
                    <w:rPr>
                      <w:rFonts w:hint="eastAsia"/>
                      <w:color w:val="auto"/>
                      <w:kern w:val="0"/>
                      <w:szCs w:val="21"/>
                      <w:highlight w:val="none"/>
                    </w:rPr>
                    <w:t>t/a，共计358</w:t>
                  </w:r>
                  <w:r>
                    <w:rPr>
                      <w:rFonts w:hint="default"/>
                      <w:color w:val="auto"/>
                      <w:kern w:val="0"/>
                      <w:szCs w:val="21"/>
                      <w:highlight w:val="none"/>
                    </w:rPr>
                    <w:t>6</w:t>
                  </w:r>
                  <w:r>
                    <w:rPr>
                      <w:rFonts w:hint="eastAsia"/>
                      <w:color w:val="auto"/>
                      <w:kern w:val="0"/>
                      <w:szCs w:val="21"/>
                      <w:highlight w:val="none"/>
                    </w:rPr>
                    <w:t>t/a，排水量较小。项目为C3670汽车零部件及配件制造，生产产品主要为 电机，产品可服务于区域先进装备制造和汽车生产。</w:t>
                  </w:r>
                </w:p>
              </w:tc>
              <w:tc>
                <w:tcPr>
                  <w:tcW w:w="396" w:type="pct"/>
                  <w:vAlign w:val="center"/>
                </w:tcPr>
                <w:p w14:paraId="23AC36E0">
                  <w:pPr>
                    <w:widowControl/>
                    <w:adjustRightInd w:val="0"/>
                    <w:snapToGrid w:val="0"/>
                    <w:jc w:val="center"/>
                    <w:rPr>
                      <w:snapToGrid w:val="0"/>
                      <w:color w:val="auto"/>
                      <w:kern w:val="0"/>
                      <w:szCs w:val="21"/>
                      <w:highlight w:val="none"/>
                    </w:rPr>
                  </w:pPr>
                  <w:r>
                    <w:rPr>
                      <w:rFonts w:hint="eastAsia"/>
                      <w:color w:val="auto"/>
                      <w:kern w:val="0"/>
                      <w:szCs w:val="21"/>
                      <w:highlight w:val="none"/>
                    </w:rPr>
                    <w:t>相符</w:t>
                  </w:r>
                </w:p>
              </w:tc>
            </w:tr>
          </w:tbl>
          <w:p w14:paraId="5C4172F6">
            <w:pPr>
              <w:adjustRightInd w:val="0"/>
              <w:snapToGrid w:val="0"/>
              <w:spacing w:line="360" w:lineRule="auto"/>
              <w:ind w:firstLine="480" w:firstLineChars="200"/>
              <w:rPr>
                <w:rFonts w:hAnsi="宋体"/>
                <w:color w:val="auto"/>
                <w:kern w:val="0"/>
                <w:sz w:val="24"/>
                <w:highlight w:val="none"/>
              </w:rPr>
            </w:pPr>
            <w:r>
              <w:rPr>
                <w:rFonts w:hint="eastAsia" w:hAnsi="宋体"/>
                <w:color w:val="auto"/>
                <w:kern w:val="0"/>
                <w:sz w:val="24"/>
                <w:highlight w:val="none"/>
              </w:rPr>
              <w:t>对照</w:t>
            </w:r>
            <w:r>
              <w:rPr>
                <w:rFonts w:hAnsi="宋体"/>
                <w:color w:val="auto"/>
                <w:kern w:val="0"/>
                <w:sz w:val="24"/>
                <w:highlight w:val="none"/>
              </w:rPr>
              <w:t>《〈长江经济带发展负面清单指南〉江苏省实施细则(试行）》（苏长江办发〔2019) 136号）</w:t>
            </w:r>
            <w:r>
              <w:rPr>
                <w:rFonts w:hint="eastAsia" w:hAnsi="宋体"/>
                <w:color w:val="auto"/>
                <w:kern w:val="0"/>
                <w:sz w:val="24"/>
                <w:highlight w:val="none"/>
              </w:rPr>
              <w:t>文的附件</w:t>
            </w:r>
            <w:r>
              <w:rPr>
                <w:color w:val="auto"/>
                <w:sz w:val="24"/>
                <w:highlight w:val="none"/>
              </w:rPr>
              <w:t>《&lt;长江经济带发展负面清单指南&gt;江苏省实施细则管控条款（试行）》进行相符性分析</w:t>
            </w:r>
            <w:r>
              <w:rPr>
                <w:rFonts w:hAnsi="宋体"/>
                <w:color w:val="auto"/>
                <w:kern w:val="0"/>
                <w:sz w:val="24"/>
                <w:highlight w:val="none"/>
              </w:rPr>
              <w:t>，具体见表1-</w:t>
            </w:r>
            <w:r>
              <w:rPr>
                <w:rFonts w:hint="eastAsia" w:hAnsi="宋体"/>
                <w:color w:val="auto"/>
                <w:kern w:val="0"/>
                <w:sz w:val="24"/>
                <w:highlight w:val="none"/>
              </w:rPr>
              <w:t>4</w:t>
            </w:r>
            <w:r>
              <w:rPr>
                <w:rFonts w:hAnsi="宋体"/>
                <w:color w:val="auto"/>
                <w:kern w:val="0"/>
                <w:sz w:val="24"/>
                <w:highlight w:val="none"/>
              </w:rPr>
              <w:t>。</w:t>
            </w:r>
          </w:p>
          <w:p w14:paraId="12FC25BD">
            <w:pPr>
              <w:widowControl/>
              <w:jc w:val="center"/>
              <w:rPr>
                <w:b/>
                <w:color w:val="auto"/>
                <w:kern w:val="0"/>
                <w:szCs w:val="21"/>
                <w:highlight w:val="none"/>
              </w:rPr>
            </w:pPr>
            <w:r>
              <w:rPr>
                <w:rFonts w:hAnsi="宋体"/>
                <w:b/>
                <w:color w:val="auto"/>
                <w:kern w:val="0"/>
                <w:sz w:val="24"/>
                <w:highlight w:val="none"/>
              </w:rPr>
              <w:t>表</w:t>
            </w:r>
            <w:r>
              <w:rPr>
                <w:b/>
                <w:color w:val="auto"/>
                <w:kern w:val="0"/>
                <w:sz w:val="24"/>
                <w:highlight w:val="none"/>
              </w:rPr>
              <w:t>1-</w:t>
            </w:r>
            <w:r>
              <w:rPr>
                <w:rFonts w:hint="eastAsia"/>
                <w:b/>
                <w:color w:val="auto"/>
                <w:kern w:val="0"/>
                <w:sz w:val="24"/>
                <w:highlight w:val="none"/>
              </w:rPr>
              <w:t>4</w:t>
            </w:r>
            <w:r>
              <w:rPr>
                <w:b/>
                <w:color w:val="auto"/>
                <w:kern w:val="0"/>
                <w:sz w:val="24"/>
                <w:highlight w:val="none"/>
              </w:rPr>
              <w:t xml:space="preserve"> </w:t>
            </w:r>
            <w:r>
              <w:rPr>
                <w:rFonts w:hAnsi="宋体"/>
                <w:b/>
                <w:color w:val="auto"/>
                <w:kern w:val="0"/>
                <w:sz w:val="24"/>
                <w:highlight w:val="none"/>
              </w:rPr>
              <w:t>与《长江经济带发展负面清单指南》相符性分析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9"/>
              <w:gridCol w:w="4373"/>
              <w:gridCol w:w="2777"/>
            </w:tblGrid>
            <w:tr w14:paraId="3B302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6F476E1D">
                  <w:pPr>
                    <w:adjustRightInd w:val="0"/>
                    <w:snapToGrid w:val="0"/>
                    <w:jc w:val="center"/>
                    <w:rPr>
                      <w:color w:val="auto"/>
                      <w:szCs w:val="21"/>
                      <w:highlight w:val="none"/>
                    </w:rPr>
                  </w:pPr>
                  <w:r>
                    <w:rPr>
                      <w:b/>
                      <w:bCs/>
                      <w:color w:val="auto"/>
                      <w:szCs w:val="21"/>
                      <w:highlight w:val="none"/>
                    </w:rPr>
                    <w:t>序号</w:t>
                  </w:r>
                </w:p>
              </w:tc>
              <w:tc>
                <w:tcPr>
                  <w:tcW w:w="2836" w:type="pct"/>
                  <w:vAlign w:val="center"/>
                </w:tcPr>
                <w:p w14:paraId="107BB68D">
                  <w:pPr>
                    <w:adjustRightInd w:val="0"/>
                    <w:snapToGrid w:val="0"/>
                    <w:jc w:val="center"/>
                    <w:rPr>
                      <w:color w:val="auto"/>
                      <w:szCs w:val="21"/>
                      <w:highlight w:val="none"/>
                    </w:rPr>
                  </w:pPr>
                  <w:r>
                    <w:rPr>
                      <w:b/>
                      <w:bCs/>
                      <w:color w:val="auto"/>
                      <w:szCs w:val="21"/>
                      <w:highlight w:val="none"/>
                    </w:rPr>
                    <w:t>内容</w:t>
                  </w:r>
                </w:p>
              </w:tc>
              <w:tc>
                <w:tcPr>
                  <w:tcW w:w="1802" w:type="pct"/>
                  <w:vAlign w:val="center"/>
                </w:tcPr>
                <w:p w14:paraId="0A3B8728">
                  <w:pPr>
                    <w:adjustRightInd w:val="0"/>
                    <w:snapToGrid w:val="0"/>
                    <w:jc w:val="center"/>
                    <w:rPr>
                      <w:color w:val="auto"/>
                      <w:szCs w:val="21"/>
                      <w:highlight w:val="none"/>
                    </w:rPr>
                  </w:pPr>
                  <w:r>
                    <w:rPr>
                      <w:b/>
                      <w:bCs/>
                      <w:color w:val="auto"/>
                      <w:szCs w:val="21"/>
                      <w:highlight w:val="none"/>
                    </w:rPr>
                    <w:t>相符性分析</w:t>
                  </w:r>
                </w:p>
              </w:tc>
            </w:tr>
            <w:tr w14:paraId="194AC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06FB1B77">
                  <w:pPr>
                    <w:adjustRightInd w:val="0"/>
                    <w:snapToGrid w:val="0"/>
                    <w:jc w:val="center"/>
                    <w:rPr>
                      <w:color w:val="auto"/>
                      <w:szCs w:val="21"/>
                      <w:highlight w:val="none"/>
                    </w:rPr>
                  </w:pPr>
                  <w:r>
                    <w:rPr>
                      <w:color w:val="auto"/>
                      <w:szCs w:val="21"/>
                      <w:highlight w:val="none"/>
                    </w:rPr>
                    <w:t>1</w:t>
                  </w:r>
                </w:p>
              </w:tc>
              <w:tc>
                <w:tcPr>
                  <w:tcW w:w="2836" w:type="pct"/>
                  <w:vAlign w:val="center"/>
                </w:tcPr>
                <w:p w14:paraId="3FE874A6">
                  <w:pPr>
                    <w:widowControl/>
                    <w:adjustRightInd w:val="0"/>
                    <w:snapToGrid w:val="0"/>
                    <w:jc w:val="center"/>
                    <w:rPr>
                      <w:color w:val="auto"/>
                      <w:szCs w:val="21"/>
                      <w:highlight w:val="none"/>
                    </w:rPr>
                  </w:pPr>
                  <w:r>
                    <w:rPr>
                      <w:color w:val="auto"/>
                      <w:kern w:val="0"/>
                      <w:szCs w:val="21"/>
                      <w:highlight w:val="none"/>
                    </w:rPr>
                    <w:t>禁止建设不符合国家港口布局规划和《江苏省沿江沿海港口布局规划（2015-2030年）》《江苏省内河港口布局规划（2017-2035 年）》以及我省有关港口总体规划的码头项目，禁止建设未纳入《长江干线过江通道布局规划》的过长江干线通道项目</w:t>
                  </w:r>
                </w:p>
              </w:tc>
              <w:tc>
                <w:tcPr>
                  <w:tcW w:w="1802" w:type="pct"/>
                  <w:vAlign w:val="center"/>
                </w:tcPr>
                <w:p w14:paraId="08A49E65">
                  <w:pPr>
                    <w:widowControl/>
                    <w:adjustRightInd w:val="0"/>
                    <w:snapToGrid w:val="0"/>
                    <w:jc w:val="center"/>
                    <w:rPr>
                      <w:color w:val="auto"/>
                      <w:szCs w:val="21"/>
                      <w:highlight w:val="none"/>
                    </w:rPr>
                  </w:pPr>
                  <w:r>
                    <w:rPr>
                      <w:color w:val="auto"/>
                      <w:kern w:val="0"/>
                      <w:szCs w:val="21"/>
                      <w:highlight w:val="none"/>
                    </w:rPr>
                    <w:t>本项目不属于码头及过长江干线通道项目，符合</w:t>
                  </w:r>
                </w:p>
              </w:tc>
            </w:tr>
            <w:tr w14:paraId="667D9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411D78CF">
                  <w:pPr>
                    <w:adjustRightInd w:val="0"/>
                    <w:snapToGrid w:val="0"/>
                    <w:jc w:val="center"/>
                    <w:rPr>
                      <w:color w:val="auto"/>
                      <w:szCs w:val="21"/>
                      <w:highlight w:val="none"/>
                    </w:rPr>
                  </w:pPr>
                  <w:r>
                    <w:rPr>
                      <w:color w:val="auto"/>
                      <w:szCs w:val="21"/>
                      <w:highlight w:val="none"/>
                    </w:rPr>
                    <w:t>2</w:t>
                  </w:r>
                </w:p>
              </w:tc>
              <w:tc>
                <w:tcPr>
                  <w:tcW w:w="2836" w:type="pct"/>
                  <w:vAlign w:val="center"/>
                </w:tcPr>
                <w:p w14:paraId="25209CE9">
                  <w:pPr>
                    <w:widowControl/>
                    <w:adjustRightInd w:val="0"/>
                    <w:snapToGrid w:val="0"/>
                    <w:jc w:val="center"/>
                    <w:rPr>
                      <w:color w:val="auto"/>
                      <w:szCs w:val="21"/>
                      <w:highlight w:val="none"/>
                    </w:rPr>
                  </w:pPr>
                  <w:r>
                    <w:rPr>
                      <w:color w:val="auto"/>
                      <w:kern w:val="0"/>
                      <w:szCs w:val="21"/>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802" w:type="pct"/>
                  <w:vAlign w:val="center"/>
                </w:tcPr>
                <w:p w14:paraId="27E37FBE">
                  <w:pPr>
                    <w:widowControl/>
                    <w:adjustRightInd w:val="0"/>
                    <w:snapToGrid w:val="0"/>
                    <w:jc w:val="center"/>
                    <w:rPr>
                      <w:color w:val="auto"/>
                      <w:szCs w:val="21"/>
                      <w:highlight w:val="none"/>
                    </w:rPr>
                  </w:pPr>
                  <w:r>
                    <w:rPr>
                      <w:color w:val="auto"/>
                      <w:kern w:val="0"/>
                      <w:szCs w:val="21"/>
                      <w:highlight w:val="none"/>
                    </w:rPr>
                    <w:t>本项目位于</w:t>
                  </w:r>
                  <w:r>
                    <w:rPr>
                      <w:rFonts w:hint="eastAsia"/>
                      <w:color w:val="auto"/>
                      <w:kern w:val="0"/>
                      <w:szCs w:val="21"/>
                      <w:highlight w:val="none"/>
                    </w:rPr>
                    <w:t>南通市海门市滨港大道2699号内52号楼</w:t>
                  </w:r>
                  <w:r>
                    <w:rPr>
                      <w:color w:val="auto"/>
                      <w:kern w:val="0"/>
                      <w:szCs w:val="21"/>
                      <w:highlight w:val="none"/>
                    </w:rPr>
                    <w:t>，不在自然保护区核心区、缓冲区的岸线和河段范围内，不在国家级和省级风景名胜区核心景区的岸线和河段范围内，符合</w:t>
                  </w:r>
                </w:p>
              </w:tc>
            </w:tr>
            <w:tr w14:paraId="1CAD5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11536BAE">
                  <w:pPr>
                    <w:adjustRightInd w:val="0"/>
                    <w:snapToGrid w:val="0"/>
                    <w:jc w:val="center"/>
                    <w:rPr>
                      <w:color w:val="auto"/>
                      <w:szCs w:val="21"/>
                      <w:highlight w:val="none"/>
                    </w:rPr>
                  </w:pPr>
                  <w:r>
                    <w:rPr>
                      <w:color w:val="auto"/>
                      <w:szCs w:val="21"/>
                      <w:highlight w:val="none"/>
                    </w:rPr>
                    <w:t>3</w:t>
                  </w:r>
                </w:p>
              </w:tc>
              <w:tc>
                <w:tcPr>
                  <w:tcW w:w="2836" w:type="pct"/>
                  <w:vAlign w:val="center"/>
                </w:tcPr>
                <w:p w14:paraId="1CA6E527">
                  <w:pPr>
                    <w:widowControl/>
                    <w:adjustRightInd w:val="0"/>
                    <w:snapToGrid w:val="0"/>
                    <w:jc w:val="center"/>
                    <w:rPr>
                      <w:color w:val="auto"/>
                      <w:szCs w:val="21"/>
                      <w:highlight w:val="none"/>
                    </w:rPr>
                  </w:pPr>
                  <w:r>
                    <w:rPr>
                      <w:color w:val="auto"/>
                      <w:kern w:val="0"/>
                      <w:szCs w:val="21"/>
                      <w:highlight w:val="none"/>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802" w:type="pct"/>
                  <w:vAlign w:val="center"/>
                </w:tcPr>
                <w:p w14:paraId="789E4855">
                  <w:pPr>
                    <w:widowControl/>
                    <w:adjustRightInd w:val="0"/>
                    <w:snapToGrid w:val="0"/>
                    <w:jc w:val="center"/>
                    <w:rPr>
                      <w:color w:val="auto"/>
                      <w:szCs w:val="21"/>
                      <w:highlight w:val="none"/>
                    </w:rPr>
                  </w:pPr>
                  <w:r>
                    <w:rPr>
                      <w:color w:val="auto"/>
                      <w:kern w:val="0"/>
                      <w:szCs w:val="21"/>
                      <w:highlight w:val="none"/>
                    </w:rPr>
                    <w:t>本项目位于</w:t>
                  </w:r>
                  <w:r>
                    <w:rPr>
                      <w:rFonts w:hint="eastAsia"/>
                      <w:color w:val="auto"/>
                      <w:kern w:val="0"/>
                      <w:szCs w:val="21"/>
                      <w:highlight w:val="none"/>
                    </w:rPr>
                    <w:t>南通市海门市滨港大道2699号内52号楼</w:t>
                  </w:r>
                  <w:r>
                    <w:rPr>
                      <w:color w:val="auto"/>
                      <w:kern w:val="0"/>
                      <w:szCs w:val="21"/>
                      <w:highlight w:val="none"/>
                    </w:rPr>
                    <w:t>，不在饮用水水源一级保护区的岸线和河段范围内，不在饮用水水源二级保护区的岸线和河段范围内，符合</w:t>
                  </w:r>
                </w:p>
              </w:tc>
            </w:tr>
            <w:tr w14:paraId="7CA93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695741C6">
                  <w:pPr>
                    <w:adjustRightInd w:val="0"/>
                    <w:snapToGrid w:val="0"/>
                    <w:jc w:val="center"/>
                    <w:rPr>
                      <w:color w:val="auto"/>
                      <w:szCs w:val="21"/>
                      <w:highlight w:val="none"/>
                    </w:rPr>
                  </w:pPr>
                  <w:r>
                    <w:rPr>
                      <w:color w:val="auto"/>
                      <w:szCs w:val="21"/>
                      <w:highlight w:val="none"/>
                    </w:rPr>
                    <w:t>4</w:t>
                  </w:r>
                </w:p>
              </w:tc>
              <w:tc>
                <w:tcPr>
                  <w:tcW w:w="2836" w:type="pct"/>
                  <w:vAlign w:val="center"/>
                </w:tcPr>
                <w:p w14:paraId="32C1106D">
                  <w:pPr>
                    <w:widowControl/>
                    <w:adjustRightInd w:val="0"/>
                    <w:snapToGrid w:val="0"/>
                    <w:jc w:val="center"/>
                    <w:rPr>
                      <w:color w:val="auto"/>
                      <w:szCs w:val="21"/>
                      <w:highlight w:val="none"/>
                    </w:rPr>
                  </w:pPr>
                  <w:r>
                    <w:rPr>
                      <w:color w:val="auto"/>
                      <w:kern w:val="0"/>
                      <w:szCs w:val="21"/>
                      <w:highlight w:val="none"/>
                    </w:rPr>
                    <w:t>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802" w:type="pct"/>
                  <w:vAlign w:val="center"/>
                </w:tcPr>
                <w:p w14:paraId="5565CB92">
                  <w:pPr>
                    <w:widowControl/>
                    <w:adjustRightInd w:val="0"/>
                    <w:snapToGrid w:val="0"/>
                    <w:jc w:val="center"/>
                    <w:rPr>
                      <w:color w:val="auto"/>
                      <w:szCs w:val="21"/>
                      <w:highlight w:val="none"/>
                    </w:rPr>
                  </w:pPr>
                  <w:r>
                    <w:rPr>
                      <w:color w:val="auto"/>
                      <w:kern w:val="0"/>
                      <w:szCs w:val="21"/>
                      <w:highlight w:val="none"/>
                    </w:rPr>
                    <w:t>本项目位于</w:t>
                  </w:r>
                  <w:r>
                    <w:rPr>
                      <w:rFonts w:hint="eastAsia"/>
                      <w:color w:val="auto"/>
                      <w:kern w:val="0"/>
                      <w:szCs w:val="21"/>
                      <w:highlight w:val="none"/>
                    </w:rPr>
                    <w:t>南通市海门市滨港大道2699号内52号楼</w:t>
                  </w:r>
                  <w:r>
                    <w:rPr>
                      <w:color w:val="auto"/>
                      <w:kern w:val="0"/>
                      <w:szCs w:val="21"/>
                      <w:highlight w:val="none"/>
                    </w:rPr>
                    <w:t>，不在国家级和省级水产种质资源保护区的岸线和河段范围内，不在国家湿地公园的岸线和河段范围内，符合</w:t>
                  </w:r>
                </w:p>
              </w:tc>
            </w:tr>
            <w:tr w14:paraId="10C91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7522CF9F">
                  <w:pPr>
                    <w:adjustRightInd w:val="0"/>
                    <w:snapToGrid w:val="0"/>
                    <w:jc w:val="center"/>
                    <w:rPr>
                      <w:color w:val="auto"/>
                      <w:szCs w:val="21"/>
                      <w:highlight w:val="none"/>
                    </w:rPr>
                  </w:pPr>
                  <w:r>
                    <w:rPr>
                      <w:color w:val="auto"/>
                      <w:szCs w:val="21"/>
                      <w:highlight w:val="none"/>
                    </w:rPr>
                    <w:t>5</w:t>
                  </w:r>
                </w:p>
              </w:tc>
              <w:tc>
                <w:tcPr>
                  <w:tcW w:w="2836" w:type="pct"/>
                  <w:vAlign w:val="center"/>
                </w:tcPr>
                <w:p w14:paraId="14AB6EDF">
                  <w:pPr>
                    <w:widowControl/>
                    <w:adjustRightInd w:val="0"/>
                    <w:snapToGrid w:val="0"/>
                    <w:jc w:val="center"/>
                    <w:rPr>
                      <w:color w:val="auto"/>
                      <w:szCs w:val="21"/>
                      <w:highlight w:val="none"/>
                    </w:rPr>
                  </w:pPr>
                  <w:r>
                    <w:rPr>
                      <w:color w:val="auto"/>
                      <w:kern w:val="0"/>
                      <w:szCs w:val="21"/>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投资建设不利于水资源及自然生态保护的项目</w:t>
                  </w:r>
                </w:p>
              </w:tc>
              <w:tc>
                <w:tcPr>
                  <w:tcW w:w="1802" w:type="pct"/>
                  <w:vAlign w:val="center"/>
                </w:tcPr>
                <w:p w14:paraId="7DCB028E">
                  <w:pPr>
                    <w:widowControl/>
                    <w:adjustRightInd w:val="0"/>
                    <w:snapToGrid w:val="0"/>
                    <w:jc w:val="center"/>
                    <w:rPr>
                      <w:color w:val="auto"/>
                      <w:szCs w:val="21"/>
                      <w:highlight w:val="none"/>
                    </w:rPr>
                  </w:pPr>
                  <w:r>
                    <w:rPr>
                      <w:color w:val="auto"/>
                      <w:kern w:val="0"/>
                      <w:szCs w:val="21"/>
                      <w:highlight w:val="none"/>
                    </w:rPr>
                    <w:t>本项目位于</w:t>
                  </w:r>
                  <w:r>
                    <w:rPr>
                      <w:rFonts w:hint="eastAsia"/>
                      <w:color w:val="auto"/>
                      <w:kern w:val="0"/>
                      <w:szCs w:val="21"/>
                      <w:highlight w:val="none"/>
                    </w:rPr>
                    <w:t>南通市海门市滨港大道2699号内52号楼</w:t>
                  </w:r>
                  <w:r>
                    <w:rPr>
                      <w:color w:val="auto"/>
                      <w:kern w:val="0"/>
                      <w:szCs w:val="21"/>
                      <w:highlight w:val="none"/>
                    </w:rPr>
                    <w:t>，不在《长江岸线保护和开发利用总体规划》划定的岸线保护区和岸线保留区内，不在《全国重要江河湖泊水功能区划》划定的河段保护区、保留区内，符合</w:t>
                  </w:r>
                </w:p>
              </w:tc>
            </w:tr>
            <w:tr w14:paraId="30669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4490B1F5">
                  <w:pPr>
                    <w:adjustRightInd w:val="0"/>
                    <w:snapToGrid w:val="0"/>
                    <w:jc w:val="center"/>
                    <w:rPr>
                      <w:color w:val="auto"/>
                      <w:szCs w:val="21"/>
                      <w:highlight w:val="none"/>
                    </w:rPr>
                  </w:pPr>
                  <w:r>
                    <w:rPr>
                      <w:color w:val="auto"/>
                      <w:szCs w:val="21"/>
                      <w:highlight w:val="none"/>
                    </w:rPr>
                    <w:t>6</w:t>
                  </w:r>
                </w:p>
              </w:tc>
              <w:tc>
                <w:tcPr>
                  <w:tcW w:w="2836" w:type="pct"/>
                  <w:vAlign w:val="center"/>
                </w:tcPr>
                <w:p w14:paraId="3CCFD198">
                  <w:pPr>
                    <w:widowControl/>
                    <w:adjustRightInd w:val="0"/>
                    <w:snapToGrid w:val="0"/>
                    <w:jc w:val="center"/>
                    <w:rPr>
                      <w:color w:val="auto"/>
                      <w:szCs w:val="21"/>
                      <w:highlight w:val="none"/>
                    </w:rPr>
                  </w:pPr>
                  <w:r>
                    <w:rPr>
                      <w:color w:val="auto"/>
                      <w:kern w:val="0"/>
                      <w:szCs w:val="21"/>
                      <w:highlight w:val="none"/>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802" w:type="pct"/>
                  <w:vAlign w:val="center"/>
                </w:tcPr>
                <w:p w14:paraId="17245E27">
                  <w:pPr>
                    <w:widowControl/>
                    <w:adjustRightInd w:val="0"/>
                    <w:snapToGrid w:val="0"/>
                    <w:jc w:val="center"/>
                    <w:rPr>
                      <w:color w:val="auto"/>
                      <w:szCs w:val="21"/>
                      <w:highlight w:val="none"/>
                    </w:rPr>
                  </w:pPr>
                  <w:r>
                    <w:rPr>
                      <w:color w:val="auto"/>
                      <w:kern w:val="0"/>
                      <w:szCs w:val="21"/>
                      <w:highlight w:val="none"/>
                    </w:rPr>
                    <w:t>本项目位于</w:t>
                  </w:r>
                  <w:r>
                    <w:rPr>
                      <w:rFonts w:hint="eastAsia"/>
                      <w:color w:val="auto"/>
                      <w:kern w:val="0"/>
                      <w:szCs w:val="21"/>
                      <w:highlight w:val="none"/>
                    </w:rPr>
                    <w:t>南通市海门市滨港大道2699号内52号楼</w:t>
                  </w:r>
                  <w:r>
                    <w:rPr>
                      <w:color w:val="auto"/>
                      <w:kern w:val="0"/>
                      <w:szCs w:val="21"/>
                      <w:highlight w:val="none"/>
                    </w:rPr>
                    <w:t>，不在国家确定的生态保护红线和永久基本农田范围内，符合</w:t>
                  </w:r>
                </w:p>
              </w:tc>
            </w:tr>
            <w:tr w14:paraId="381CA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52BC9736">
                  <w:pPr>
                    <w:adjustRightInd w:val="0"/>
                    <w:snapToGrid w:val="0"/>
                    <w:jc w:val="center"/>
                    <w:rPr>
                      <w:color w:val="auto"/>
                      <w:szCs w:val="21"/>
                      <w:highlight w:val="none"/>
                    </w:rPr>
                  </w:pPr>
                  <w:r>
                    <w:rPr>
                      <w:color w:val="auto"/>
                      <w:szCs w:val="21"/>
                      <w:highlight w:val="none"/>
                    </w:rPr>
                    <w:t>7</w:t>
                  </w:r>
                </w:p>
              </w:tc>
              <w:tc>
                <w:tcPr>
                  <w:tcW w:w="2836" w:type="pct"/>
                  <w:vAlign w:val="center"/>
                </w:tcPr>
                <w:p w14:paraId="68A07A98">
                  <w:pPr>
                    <w:widowControl/>
                    <w:adjustRightInd w:val="0"/>
                    <w:snapToGrid w:val="0"/>
                    <w:jc w:val="center"/>
                    <w:rPr>
                      <w:color w:val="auto"/>
                      <w:szCs w:val="21"/>
                      <w:highlight w:val="none"/>
                    </w:rPr>
                  </w:pPr>
                  <w:r>
                    <w:rPr>
                      <w:color w:val="auto"/>
                      <w:kern w:val="0"/>
                      <w:szCs w:val="21"/>
                      <w:highlight w:val="none"/>
                    </w:rPr>
                    <w:t>禁止在距离长江干流和京杭大运河（南水北调东线江苏段）、新沟河、新孟河、走马塘、望虞河、秦淮新河、城南河、德胜河、三茅大港、夹江（扬州）、润扬河、潘家河、蟛蜞港、泰州引江河1公里范围内新建、扩建化工园区和化工项目。长江干支流1公里按照长江干支流岸线边界（即水利部门河道管理范围边界）向陆域纵深1公里执行。严格落实国家和省关于水源地保护、岸线利用项目清理整治、沿江重化产能转型升级等相关政策文件要求，对长江干支流两岸排污行为实行严格监管，对违法违规工业园区和企业依法淘汰取缔</w:t>
                  </w:r>
                </w:p>
              </w:tc>
              <w:tc>
                <w:tcPr>
                  <w:tcW w:w="1802" w:type="pct"/>
                  <w:vAlign w:val="center"/>
                </w:tcPr>
                <w:p w14:paraId="4F21DD05">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C3670汽车零部件及配件制造，本项目距离长江5.1km</w:t>
                  </w:r>
                  <w:r>
                    <w:rPr>
                      <w:snapToGrid w:val="0"/>
                      <w:color w:val="auto"/>
                      <w:kern w:val="0"/>
                      <w:szCs w:val="21"/>
                      <w:highlight w:val="none"/>
                    </w:rPr>
                    <w:t>，</w:t>
                  </w:r>
                  <w:r>
                    <w:rPr>
                      <w:color w:val="auto"/>
                      <w:kern w:val="0"/>
                      <w:szCs w:val="21"/>
                      <w:highlight w:val="none"/>
                    </w:rPr>
                    <w:t>不属于化工项目，符合</w:t>
                  </w:r>
                </w:p>
              </w:tc>
            </w:tr>
            <w:tr w14:paraId="6EBB4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0D67FB7C">
                  <w:pPr>
                    <w:adjustRightInd w:val="0"/>
                    <w:snapToGrid w:val="0"/>
                    <w:jc w:val="center"/>
                    <w:rPr>
                      <w:color w:val="auto"/>
                      <w:szCs w:val="21"/>
                      <w:highlight w:val="none"/>
                    </w:rPr>
                  </w:pPr>
                  <w:r>
                    <w:rPr>
                      <w:color w:val="auto"/>
                      <w:szCs w:val="21"/>
                      <w:highlight w:val="none"/>
                    </w:rPr>
                    <w:t>8</w:t>
                  </w:r>
                </w:p>
              </w:tc>
              <w:tc>
                <w:tcPr>
                  <w:tcW w:w="2836" w:type="pct"/>
                  <w:vAlign w:val="center"/>
                </w:tcPr>
                <w:p w14:paraId="5BBEE103">
                  <w:pPr>
                    <w:widowControl/>
                    <w:adjustRightInd w:val="0"/>
                    <w:snapToGrid w:val="0"/>
                    <w:jc w:val="center"/>
                    <w:rPr>
                      <w:color w:val="auto"/>
                      <w:szCs w:val="21"/>
                      <w:highlight w:val="none"/>
                    </w:rPr>
                  </w:pPr>
                  <w:r>
                    <w:rPr>
                      <w:color w:val="auto"/>
                      <w:kern w:val="0"/>
                      <w:szCs w:val="21"/>
                      <w:highlight w:val="none"/>
                    </w:rPr>
                    <w:t>禁止在距离长江干流岸线3公里范围内新建、改建、扩建尾矿库</w:t>
                  </w:r>
                </w:p>
              </w:tc>
              <w:tc>
                <w:tcPr>
                  <w:tcW w:w="1802" w:type="pct"/>
                  <w:vAlign w:val="center"/>
                </w:tcPr>
                <w:p w14:paraId="0082D340">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不属于尾矿库项目，符合</w:t>
                  </w:r>
                </w:p>
              </w:tc>
            </w:tr>
            <w:tr w14:paraId="49E18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4BF4F120">
                  <w:pPr>
                    <w:adjustRightInd w:val="0"/>
                    <w:snapToGrid w:val="0"/>
                    <w:jc w:val="center"/>
                    <w:rPr>
                      <w:color w:val="auto"/>
                      <w:szCs w:val="21"/>
                      <w:highlight w:val="none"/>
                    </w:rPr>
                  </w:pPr>
                  <w:r>
                    <w:rPr>
                      <w:color w:val="auto"/>
                      <w:szCs w:val="21"/>
                      <w:highlight w:val="none"/>
                    </w:rPr>
                    <w:t>9</w:t>
                  </w:r>
                </w:p>
              </w:tc>
              <w:tc>
                <w:tcPr>
                  <w:tcW w:w="2836" w:type="pct"/>
                  <w:vAlign w:val="center"/>
                </w:tcPr>
                <w:p w14:paraId="4E181BF2">
                  <w:pPr>
                    <w:widowControl/>
                    <w:adjustRightInd w:val="0"/>
                    <w:snapToGrid w:val="0"/>
                    <w:jc w:val="center"/>
                    <w:rPr>
                      <w:color w:val="auto"/>
                      <w:szCs w:val="21"/>
                      <w:highlight w:val="none"/>
                    </w:rPr>
                  </w:pPr>
                  <w:r>
                    <w:rPr>
                      <w:color w:val="auto"/>
                      <w:kern w:val="0"/>
                      <w:szCs w:val="21"/>
                      <w:highlight w:val="none"/>
                    </w:rPr>
                    <w:t>禁止在沿江地区新建、扩建未纳入国家和</w:t>
                  </w:r>
                </w:p>
                <w:p w14:paraId="43A8BDA0">
                  <w:pPr>
                    <w:widowControl/>
                    <w:adjustRightInd w:val="0"/>
                    <w:snapToGrid w:val="0"/>
                    <w:jc w:val="center"/>
                    <w:rPr>
                      <w:color w:val="auto"/>
                      <w:szCs w:val="21"/>
                      <w:highlight w:val="none"/>
                    </w:rPr>
                  </w:pPr>
                  <w:r>
                    <w:rPr>
                      <w:color w:val="auto"/>
                      <w:kern w:val="0"/>
                      <w:szCs w:val="21"/>
                      <w:highlight w:val="none"/>
                    </w:rPr>
                    <w:t>省布局规划的燃煤发电项目</w:t>
                  </w:r>
                </w:p>
              </w:tc>
              <w:tc>
                <w:tcPr>
                  <w:tcW w:w="1802" w:type="pct"/>
                  <w:vAlign w:val="center"/>
                </w:tcPr>
                <w:p w14:paraId="76D17C6A">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不属于燃煤发电项目，符合</w:t>
                  </w:r>
                </w:p>
              </w:tc>
            </w:tr>
            <w:tr w14:paraId="5103C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50BC3DA1">
                  <w:pPr>
                    <w:adjustRightInd w:val="0"/>
                    <w:snapToGrid w:val="0"/>
                    <w:jc w:val="center"/>
                    <w:rPr>
                      <w:color w:val="auto"/>
                      <w:szCs w:val="21"/>
                      <w:highlight w:val="none"/>
                    </w:rPr>
                  </w:pPr>
                  <w:r>
                    <w:rPr>
                      <w:color w:val="auto"/>
                      <w:szCs w:val="21"/>
                      <w:highlight w:val="none"/>
                    </w:rPr>
                    <w:t>10</w:t>
                  </w:r>
                </w:p>
              </w:tc>
              <w:tc>
                <w:tcPr>
                  <w:tcW w:w="2836" w:type="pct"/>
                  <w:vAlign w:val="center"/>
                </w:tcPr>
                <w:p w14:paraId="2921F11D">
                  <w:pPr>
                    <w:widowControl/>
                    <w:adjustRightInd w:val="0"/>
                    <w:snapToGrid w:val="0"/>
                    <w:jc w:val="center"/>
                    <w:rPr>
                      <w:color w:val="auto"/>
                      <w:szCs w:val="21"/>
                      <w:highlight w:val="none"/>
                    </w:rPr>
                  </w:pPr>
                  <w:r>
                    <w:rPr>
                      <w:color w:val="auto"/>
                      <w:kern w:val="0"/>
                      <w:szCs w:val="21"/>
                      <w:highlight w:val="none"/>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802" w:type="pct"/>
                  <w:vAlign w:val="center"/>
                </w:tcPr>
                <w:p w14:paraId="16546B4F">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不属于《环境保护综合名录》中所列高污染项目，符合</w:t>
                  </w:r>
                </w:p>
              </w:tc>
            </w:tr>
            <w:tr w14:paraId="381B5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5D9E93C1">
                  <w:pPr>
                    <w:adjustRightInd w:val="0"/>
                    <w:snapToGrid w:val="0"/>
                    <w:jc w:val="center"/>
                    <w:rPr>
                      <w:color w:val="auto"/>
                      <w:szCs w:val="21"/>
                      <w:highlight w:val="none"/>
                    </w:rPr>
                  </w:pPr>
                  <w:r>
                    <w:rPr>
                      <w:color w:val="auto"/>
                      <w:szCs w:val="21"/>
                      <w:highlight w:val="none"/>
                    </w:rPr>
                    <w:t>11</w:t>
                  </w:r>
                </w:p>
              </w:tc>
              <w:tc>
                <w:tcPr>
                  <w:tcW w:w="2836" w:type="pct"/>
                  <w:vAlign w:val="center"/>
                </w:tcPr>
                <w:p w14:paraId="04BCA9FC">
                  <w:pPr>
                    <w:widowControl/>
                    <w:adjustRightInd w:val="0"/>
                    <w:snapToGrid w:val="0"/>
                    <w:jc w:val="center"/>
                    <w:rPr>
                      <w:color w:val="auto"/>
                      <w:szCs w:val="21"/>
                      <w:highlight w:val="none"/>
                    </w:rPr>
                  </w:pPr>
                  <w:r>
                    <w:rPr>
                      <w:color w:val="auto"/>
                      <w:kern w:val="0"/>
                      <w:szCs w:val="21"/>
                      <w:highlight w:val="none"/>
                    </w:rPr>
                    <w:t>禁止在取消化工定位的园区（集中区）内新建化工项目</w:t>
                  </w:r>
                </w:p>
              </w:tc>
              <w:tc>
                <w:tcPr>
                  <w:tcW w:w="1802" w:type="pct"/>
                  <w:vAlign w:val="center"/>
                </w:tcPr>
                <w:p w14:paraId="0CD44D80">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不属于化工项目，符合</w:t>
                  </w:r>
                </w:p>
              </w:tc>
            </w:tr>
            <w:tr w14:paraId="0E3EF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4BCFBAF0">
                  <w:pPr>
                    <w:adjustRightInd w:val="0"/>
                    <w:snapToGrid w:val="0"/>
                    <w:jc w:val="center"/>
                    <w:rPr>
                      <w:color w:val="auto"/>
                      <w:szCs w:val="21"/>
                      <w:highlight w:val="none"/>
                    </w:rPr>
                  </w:pPr>
                  <w:r>
                    <w:rPr>
                      <w:color w:val="auto"/>
                      <w:szCs w:val="21"/>
                      <w:highlight w:val="none"/>
                    </w:rPr>
                    <w:t>12</w:t>
                  </w:r>
                </w:p>
              </w:tc>
              <w:tc>
                <w:tcPr>
                  <w:tcW w:w="2836" w:type="pct"/>
                  <w:vAlign w:val="center"/>
                </w:tcPr>
                <w:p w14:paraId="082A8569">
                  <w:pPr>
                    <w:widowControl/>
                    <w:adjustRightInd w:val="0"/>
                    <w:snapToGrid w:val="0"/>
                    <w:jc w:val="center"/>
                    <w:rPr>
                      <w:color w:val="auto"/>
                      <w:szCs w:val="21"/>
                      <w:highlight w:val="none"/>
                    </w:rPr>
                  </w:pPr>
                  <w:r>
                    <w:rPr>
                      <w:color w:val="auto"/>
                      <w:kern w:val="0"/>
                      <w:szCs w:val="21"/>
                      <w:highlight w:val="none"/>
                    </w:rPr>
                    <w:t>禁止在化工集中区内新建、改建、扩建生产和使用《危险化学品目录》中具有爆炸特性化学品的项目</w:t>
                  </w:r>
                </w:p>
              </w:tc>
              <w:tc>
                <w:tcPr>
                  <w:tcW w:w="1802" w:type="pct"/>
                  <w:vAlign w:val="center"/>
                </w:tcPr>
                <w:p w14:paraId="2CDF7A9B">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不生产和使用《危险化学品目录》中具有爆炸特性的化学品，符合</w:t>
                  </w:r>
                </w:p>
              </w:tc>
            </w:tr>
            <w:tr w14:paraId="22CCA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0A08164D">
                  <w:pPr>
                    <w:adjustRightInd w:val="0"/>
                    <w:snapToGrid w:val="0"/>
                    <w:jc w:val="center"/>
                    <w:rPr>
                      <w:color w:val="auto"/>
                      <w:szCs w:val="21"/>
                      <w:highlight w:val="none"/>
                    </w:rPr>
                  </w:pPr>
                  <w:r>
                    <w:rPr>
                      <w:color w:val="auto"/>
                      <w:szCs w:val="21"/>
                      <w:highlight w:val="none"/>
                    </w:rPr>
                    <w:t>13</w:t>
                  </w:r>
                </w:p>
              </w:tc>
              <w:tc>
                <w:tcPr>
                  <w:tcW w:w="2836" w:type="pct"/>
                  <w:vAlign w:val="center"/>
                </w:tcPr>
                <w:p w14:paraId="1E330F8C">
                  <w:pPr>
                    <w:widowControl/>
                    <w:adjustRightInd w:val="0"/>
                    <w:snapToGrid w:val="0"/>
                    <w:jc w:val="center"/>
                    <w:rPr>
                      <w:color w:val="auto"/>
                      <w:szCs w:val="21"/>
                      <w:highlight w:val="none"/>
                    </w:rPr>
                  </w:pPr>
                  <w:r>
                    <w:rPr>
                      <w:color w:val="auto"/>
                      <w:kern w:val="0"/>
                      <w:szCs w:val="21"/>
                      <w:highlight w:val="none"/>
                    </w:rPr>
                    <w:t>禁止在化工企业周边建设不符合安全距离规定的劳动密集型的非化工项目和其他人员密集的公共设施项目</w:t>
                  </w:r>
                </w:p>
              </w:tc>
              <w:tc>
                <w:tcPr>
                  <w:tcW w:w="1802" w:type="pct"/>
                  <w:vAlign w:val="center"/>
                </w:tcPr>
                <w:p w14:paraId="3232BE3D">
                  <w:pPr>
                    <w:widowControl/>
                    <w:adjustRightInd w:val="0"/>
                    <w:snapToGrid w:val="0"/>
                    <w:jc w:val="center"/>
                    <w:rPr>
                      <w:color w:val="auto"/>
                      <w:szCs w:val="21"/>
                      <w:highlight w:val="none"/>
                    </w:rPr>
                  </w:pPr>
                  <w:r>
                    <w:rPr>
                      <w:color w:val="auto"/>
                      <w:kern w:val="0"/>
                      <w:szCs w:val="21"/>
                      <w:highlight w:val="none"/>
                    </w:rPr>
                    <w:t>本项目周边无化工企业，符合</w:t>
                  </w:r>
                </w:p>
              </w:tc>
            </w:tr>
            <w:tr w14:paraId="5D61D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7A2BA850">
                  <w:pPr>
                    <w:adjustRightInd w:val="0"/>
                    <w:snapToGrid w:val="0"/>
                    <w:jc w:val="center"/>
                    <w:rPr>
                      <w:color w:val="auto"/>
                      <w:szCs w:val="21"/>
                      <w:highlight w:val="none"/>
                    </w:rPr>
                  </w:pPr>
                  <w:r>
                    <w:rPr>
                      <w:color w:val="auto"/>
                      <w:szCs w:val="21"/>
                      <w:highlight w:val="none"/>
                    </w:rPr>
                    <w:t>14</w:t>
                  </w:r>
                </w:p>
              </w:tc>
              <w:tc>
                <w:tcPr>
                  <w:tcW w:w="2836" w:type="pct"/>
                  <w:vAlign w:val="center"/>
                </w:tcPr>
                <w:p w14:paraId="1E7D94A4">
                  <w:pPr>
                    <w:widowControl/>
                    <w:adjustRightInd w:val="0"/>
                    <w:snapToGrid w:val="0"/>
                    <w:jc w:val="center"/>
                    <w:rPr>
                      <w:color w:val="auto"/>
                      <w:szCs w:val="21"/>
                      <w:highlight w:val="none"/>
                    </w:rPr>
                  </w:pPr>
                  <w:r>
                    <w:rPr>
                      <w:color w:val="auto"/>
                      <w:kern w:val="0"/>
                      <w:szCs w:val="21"/>
                      <w:highlight w:val="none"/>
                    </w:rPr>
                    <w:t>禁止在太湖流域一、二、三级保护区内开展《江苏省太湖水污染防治条例》禁止的投资建设活动</w:t>
                  </w:r>
                </w:p>
              </w:tc>
              <w:tc>
                <w:tcPr>
                  <w:tcW w:w="1802" w:type="pct"/>
                  <w:vAlign w:val="center"/>
                </w:tcPr>
                <w:p w14:paraId="24972C6E">
                  <w:pPr>
                    <w:widowControl/>
                    <w:adjustRightInd w:val="0"/>
                    <w:snapToGrid w:val="0"/>
                    <w:jc w:val="center"/>
                    <w:rPr>
                      <w:color w:val="auto"/>
                      <w:szCs w:val="21"/>
                      <w:highlight w:val="none"/>
                    </w:rPr>
                  </w:pPr>
                  <w:r>
                    <w:rPr>
                      <w:color w:val="auto"/>
                      <w:kern w:val="0"/>
                      <w:szCs w:val="21"/>
                      <w:highlight w:val="none"/>
                    </w:rPr>
                    <w:t>本项目位于</w:t>
                  </w:r>
                  <w:r>
                    <w:rPr>
                      <w:rFonts w:hint="eastAsia"/>
                      <w:color w:val="auto"/>
                      <w:kern w:val="0"/>
                      <w:szCs w:val="21"/>
                      <w:highlight w:val="none"/>
                    </w:rPr>
                    <w:t>南通市海门市滨港大道2699号内52号楼</w:t>
                  </w:r>
                  <w:r>
                    <w:rPr>
                      <w:color w:val="auto"/>
                      <w:kern w:val="0"/>
                      <w:szCs w:val="21"/>
                      <w:highlight w:val="none"/>
                    </w:rPr>
                    <w:t>，不属于太湖流域，符合</w:t>
                  </w:r>
                </w:p>
              </w:tc>
            </w:tr>
            <w:tr w14:paraId="6915C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7843247A">
                  <w:pPr>
                    <w:adjustRightInd w:val="0"/>
                    <w:snapToGrid w:val="0"/>
                    <w:jc w:val="center"/>
                    <w:rPr>
                      <w:color w:val="auto"/>
                      <w:szCs w:val="21"/>
                      <w:highlight w:val="none"/>
                    </w:rPr>
                  </w:pPr>
                  <w:r>
                    <w:rPr>
                      <w:color w:val="auto"/>
                      <w:szCs w:val="21"/>
                      <w:highlight w:val="none"/>
                    </w:rPr>
                    <w:t>15</w:t>
                  </w:r>
                </w:p>
              </w:tc>
              <w:tc>
                <w:tcPr>
                  <w:tcW w:w="2836" w:type="pct"/>
                  <w:vAlign w:val="center"/>
                </w:tcPr>
                <w:p w14:paraId="63B44D6E">
                  <w:pPr>
                    <w:widowControl/>
                    <w:adjustRightInd w:val="0"/>
                    <w:snapToGrid w:val="0"/>
                    <w:jc w:val="center"/>
                    <w:rPr>
                      <w:color w:val="auto"/>
                      <w:szCs w:val="21"/>
                      <w:highlight w:val="none"/>
                    </w:rPr>
                  </w:pPr>
                  <w:r>
                    <w:rPr>
                      <w:color w:val="auto"/>
                      <w:kern w:val="0"/>
                      <w:szCs w:val="21"/>
                      <w:highlight w:val="none"/>
                    </w:rPr>
                    <w:t>禁止新建、扩建尿素、磷铵、电石、烧碱、聚氯乙烯、纯碱新增产能项目</w:t>
                  </w:r>
                </w:p>
              </w:tc>
              <w:tc>
                <w:tcPr>
                  <w:tcW w:w="1802" w:type="pct"/>
                  <w:vAlign w:val="center"/>
                </w:tcPr>
                <w:p w14:paraId="5DFDF938">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不属于尿素、磷铵、电石、烧碱、聚氯乙烯、纯碱项目，符合</w:t>
                  </w:r>
                </w:p>
              </w:tc>
            </w:tr>
            <w:tr w14:paraId="020FC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399565D3">
                  <w:pPr>
                    <w:adjustRightInd w:val="0"/>
                    <w:snapToGrid w:val="0"/>
                    <w:jc w:val="center"/>
                    <w:rPr>
                      <w:color w:val="auto"/>
                      <w:szCs w:val="21"/>
                      <w:highlight w:val="none"/>
                    </w:rPr>
                  </w:pPr>
                  <w:r>
                    <w:rPr>
                      <w:color w:val="auto"/>
                      <w:szCs w:val="21"/>
                      <w:highlight w:val="none"/>
                    </w:rPr>
                    <w:t>16</w:t>
                  </w:r>
                </w:p>
              </w:tc>
              <w:tc>
                <w:tcPr>
                  <w:tcW w:w="2836" w:type="pct"/>
                  <w:vAlign w:val="center"/>
                </w:tcPr>
                <w:p w14:paraId="605CE0D9">
                  <w:pPr>
                    <w:widowControl/>
                    <w:adjustRightInd w:val="0"/>
                    <w:snapToGrid w:val="0"/>
                    <w:jc w:val="center"/>
                    <w:rPr>
                      <w:color w:val="auto"/>
                      <w:szCs w:val="21"/>
                      <w:highlight w:val="none"/>
                    </w:rPr>
                  </w:pPr>
                  <w:r>
                    <w:rPr>
                      <w:color w:val="auto"/>
                      <w:kern w:val="0"/>
                      <w:szCs w:val="21"/>
                      <w:highlight w:val="none"/>
                    </w:rPr>
                    <w:t>禁止新建、改建、扩建高毒、高残留以及对环境影响大的农药原药项目，禁止新建、扩建农药、医药和染料中间体化工项目</w:t>
                  </w:r>
                </w:p>
              </w:tc>
              <w:tc>
                <w:tcPr>
                  <w:tcW w:w="1802" w:type="pct"/>
                  <w:vAlign w:val="center"/>
                </w:tcPr>
                <w:p w14:paraId="20BC1290">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不属于农药原药项目，不属于农药、医药和染料中间体化工项目，符合</w:t>
                  </w:r>
                </w:p>
              </w:tc>
            </w:tr>
            <w:tr w14:paraId="7C975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172F27E4">
                  <w:pPr>
                    <w:adjustRightInd w:val="0"/>
                    <w:snapToGrid w:val="0"/>
                    <w:jc w:val="center"/>
                    <w:rPr>
                      <w:color w:val="auto"/>
                      <w:szCs w:val="21"/>
                      <w:highlight w:val="none"/>
                    </w:rPr>
                  </w:pPr>
                  <w:r>
                    <w:rPr>
                      <w:color w:val="auto"/>
                      <w:szCs w:val="21"/>
                      <w:highlight w:val="none"/>
                    </w:rPr>
                    <w:t>17</w:t>
                  </w:r>
                </w:p>
              </w:tc>
              <w:tc>
                <w:tcPr>
                  <w:tcW w:w="2836" w:type="pct"/>
                  <w:vAlign w:val="center"/>
                </w:tcPr>
                <w:p w14:paraId="2D272ECA">
                  <w:pPr>
                    <w:widowControl/>
                    <w:adjustRightInd w:val="0"/>
                    <w:snapToGrid w:val="0"/>
                    <w:jc w:val="center"/>
                    <w:rPr>
                      <w:color w:val="auto"/>
                      <w:szCs w:val="21"/>
                      <w:highlight w:val="none"/>
                    </w:rPr>
                  </w:pPr>
                  <w:r>
                    <w:rPr>
                      <w:color w:val="auto"/>
                      <w:kern w:val="0"/>
                      <w:szCs w:val="21"/>
                      <w:highlight w:val="none"/>
                    </w:rPr>
                    <w:t>禁止新建不符合行业准入条件的合成氨、对二甲苯二硫化碳、氟化氢、轮胎等项目</w:t>
                  </w:r>
                </w:p>
              </w:tc>
              <w:tc>
                <w:tcPr>
                  <w:tcW w:w="1802" w:type="pct"/>
                  <w:vAlign w:val="center"/>
                </w:tcPr>
                <w:p w14:paraId="009F4B10">
                  <w:pPr>
                    <w:widowControl/>
                    <w:adjustRightInd w:val="0"/>
                    <w:snapToGrid w:val="0"/>
                    <w:jc w:val="center"/>
                    <w:rPr>
                      <w:color w:val="auto"/>
                      <w:szCs w:val="21"/>
                      <w:highlight w:val="none"/>
                    </w:rPr>
                  </w:pPr>
                  <w:r>
                    <w:rPr>
                      <w:color w:val="auto"/>
                      <w:kern w:val="0"/>
                      <w:szCs w:val="21"/>
                      <w:highlight w:val="none"/>
                    </w:rPr>
                    <w:t>本项目不属于合成氨、对二甲苯二硫化碳、氟化氢、轮胎等项目，符合</w:t>
                  </w:r>
                </w:p>
              </w:tc>
            </w:tr>
            <w:tr w14:paraId="59A35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3EF02458">
                  <w:pPr>
                    <w:adjustRightInd w:val="0"/>
                    <w:snapToGrid w:val="0"/>
                    <w:jc w:val="center"/>
                    <w:rPr>
                      <w:color w:val="auto"/>
                      <w:szCs w:val="21"/>
                      <w:highlight w:val="none"/>
                    </w:rPr>
                  </w:pPr>
                  <w:r>
                    <w:rPr>
                      <w:color w:val="auto"/>
                      <w:szCs w:val="21"/>
                      <w:highlight w:val="none"/>
                    </w:rPr>
                    <w:t>18</w:t>
                  </w:r>
                </w:p>
              </w:tc>
              <w:tc>
                <w:tcPr>
                  <w:tcW w:w="2836" w:type="pct"/>
                  <w:vAlign w:val="center"/>
                </w:tcPr>
                <w:p w14:paraId="06939F04">
                  <w:pPr>
                    <w:widowControl/>
                    <w:adjustRightInd w:val="0"/>
                    <w:snapToGrid w:val="0"/>
                    <w:jc w:val="center"/>
                    <w:rPr>
                      <w:color w:val="auto"/>
                      <w:szCs w:val="21"/>
                      <w:highlight w:val="none"/>
                    </w:rPr>
                  </w:pPr>
                  <w:r>
                    <w:rPr>
                      <w:color w:val="auto"/>
                      <w:kern w:val="0"/>
                      <w:szCs w:val="21"/>
                      <w:highlight w:val="none"/>
                    </w:rPr>
                    <w:t>禁止新建、扩建不符合国家石化、现代煤化工等产业布局规划的项目，禁止新建独立焦化项目</w:t>
                  </w:r>
                </w:p>
              </w:tc>
              <w:tc>
                <w:tcPr>
                  <w:tcW w:w="1802" w:type="pct"/>
                  <w:vAlign w:val="center"/>
                </w:tcPr>
                <w:p w14:paraId="19C20BAB">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不属于国家石化、现代煤化工等产业，不属于独立焦化项目，符合</w:t>
                  </w:r>
                </w:p>
              </w:tc>
            </w:tr>
            <w:tr w14:paraId="4658A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60CB94BF">
                  <w:pPr>
                    <w:adjustRightInd w:val="0"/>
                    <w:snapToGrid w:val="0"/>
                    <w:jc w:val="center"/>
                    <w:rPr>
                      <w:color w:val="auto"/>
                      <w:szCs w:val="21"/>
                      <w:highlight w:val="none"/>
                    </w:rPr>
                  </w:pPr>
                  <w:r>
                    <w:rPr>
                      <w:color w:val="auto"/>
                      <w:szCs w:val="21"/>
                      <w:highlight w:val="none"/>
                    </w:rPr>
                    <w:t>19</w:t>
                  </w:r>
                </w:p>
              </w:tc>
              <w:tc>
                <w:tcPr>
                  <w:tcW w:w="2836" w:type="pct"/>
                  <w:vAlign w:val="center"/>
                </w:tcPr>
                <w:p w14:paraId="262AE36A">
                  <w:pPr>
                    <w:widowControl/>
                    <w:adjustRightInd w:val="0"/>
                    <w:snapToGrid w:val="0"/>
                    <w:jc w:val="center"/>
                    <w:rPr>
                      <w:color w:val="auto"/>
                      <w:szCs w:val="21"/>
                      <w:highlight w:val="none"/>
                    </w:rPr>
                  </w:pPr>
                  <w:r>
                    <w:rPr>
                      <w:color w:val="auto"/>
                      <w:kern w:val="0"/>
                      <w:szCs w:val="21"/>
                      <w:highlight w:val="none"/>
                    </w:rPr>
                    <w:t>禁止新建、扩建不符合国家产能置换要求的严重过剩产能行业的项目</w:t>
                  </w:r>
                </w:p>
              </w:tc>
              <w:tc>
                <w:tcPr>
                  <w:tcW w:w="1802" w:type="pct"/>
                  <w:vAlign w:val="center"/>
                </w:tcPr>
                <w:p w14:paraId="612564C2">
                  <w:pPr>
                    <w:widowControl/>
                    <w:adjustRightInd w:val="0"/>
                    <w:snapToGrid w:val="0"/>
                    <w:jc w:val="center"/>
                    <w:rPr>
                      <w:color w:val="auto"/>
                      <w:szCs w:val="21"/>
                      <w:highlight w:val="none"/>
                    </w:rPr>
                  </w:pPr>
                  <w:r>
                    <w:rPr>
                      <w:color w:val="auto"/>
                      <w:kern w:val="0"/>
                      <w:szCs w:val="21"/>
                      <w:highlight w:val="none"/>
                    </w:rPr>
                    <w:t>本项目为</w:t>
                  </w:r>
                  <w:r>
                    <w:rPr>
                      <w:rFonts w:hint="eastAsia"/>
                      <w:snapToGrid w:val="0"/>
                      <w:color w:val="auto"/>
                      <w:kern w:val="0"/>
                      <w:szCs w:val="21"/>
                      <w:highlight w:val="none"/>
                    </w:rPr>
                    <w:t>C3670汽车零部件及配件制造</w:t>
                  </w:r>
                  <w:r>
                    <w:rPr>
                      <w:snapToGrid w:val="0"/>
                      <w:color w:val="auto"/>
                      <w:kern w:val="0"/>
                      <w:szCs w:val="21"/>
                      <w:highlight w:val="none"/>
                    </w:rPr>
                    <w:t>，</w:t>
                  </w:r>
                  <w:r>
                    <w:rPr>
                      <w:color w:val="auto"/>
                      <w:kern w:val="0"/>
                      <w:szCs w:val="21"/>
                      <w:highlight w:val="none"/>
                    </w:rPr>
                    <w:t>不属于国家产能置换要求的严重过剩产能行业的项目，符合</w:t>
                  </w:r>
                </w:p>
              </w:tc>
            </w:tr>
            <w:tr w14:paraId="042F0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3" w:type="pct"/>
                  <w:vAlign w:val="center"/>
                </w:tcPr>
                <w:p w14:paraId="1BD2CACF">
                  <w:pPr>
                    <w:adjustRightInd w:val="0"/>
                    <w:snapToGrid w:val="0"/>
                    <w:jc w:val="center"/>
                    <w:rPr>
                      <w:color w:val="auto"/>
                      <w:szCs w:val="21"/>
                      <w:highlight w:val="none"/>
                    </w:rPr>
                  </w:pPr>
                  <w:r>
                    <w:rPr>
                      <w:color w:val="auto"/>
                      <w:szCs w:val="21"/>
                      <w:highlight w:val="none"/>
                    </w:rPr>
                    <w:t>20</w:t>
                  </w:r>
                </w:p>
              </w:tc>
              <w:tc>
                <w:tcPr>
                  <w:tcW w:w="2836" w:type="pct"/>
                  <w:vAlign w:val="center"/>
                </w:tcPr>
                <w:p w14:paraId="0C4384AF">
                  <w:pPr>
                    <w:widowControl/>
                    <w:adjustRightInd w:val="0"/>
                    <w:snapToGrid w:val="0"/>
                    <w:jc w:val="center"/>
                    <w:rPr>
                      <w:color w:val="auto"/>
                      <w:szCs w:val="21"/>
                      <w:highlight w:val="none"/>
                    </w:rPr>
                  </w:pPr>
                  <w:r>
                    <w:rPr>
                      <w:color w:val="auto"/>
                      <w:kern w:val="0"/>
                      <w:szCs w:val="21"/>
                      <w:highlight w:val="none"/>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802" w:type="pct"/>
                  <w:vAlign w:val="center"/>
                </w:tcPr>
                <w:p w14:paraId="6B7DBED3">
                  <w:pPr>
                    <w:widowControl/>
                    <w:adjustRightInd w:val="0"/>
                    <w:snapToGrid w:val="0"/>
                    <w:jc w:val="center"/>
                    <w:rPr>
                      <w:color w:val="auto"/>
                      <w:szCs w:val="21"/>
                      <w:highlight w:val="none"/>
                    </w:rPr>
                  </w:pPr>
                  <w:r>
                    <w:rPr>
                      <w:color w:val="auto"/>
                      <w:kern w:val="0"/>
                      <w:szCs w:val="21"/>
                      <w:highlight w:val="none"/>
                    </w:rPr>
                    <w:t>本项目不属于《产业结构调整指导目录》、《江苏省产业结构调整限制、淘汰和禁止目录》及其他相关法律法规中的限制类、淘汰类、禁止类项目</w:t>
                  </w:r>
                </w:p>
              </w:tc>
            </w:tr>
          </w:tbl>
          <w:p w14:paraId="2022DE2F">
            <w:pPr>
              <w:adjustRightInd w:val="0"/>
              <w:snapToGrid w:val="0"/>
              <w:spacing w:line="360" w:lineRule="auto"/>
              <w:ind w:firstLine="482" w:firstLineChars="201"/>
              <w:rPr>
                <w:b/>
                <w:snapToGrid w:val="0"/>
                <w:color w:val="auto"/>
                <w:kern w:val="0"/>
                <w:sz w:val="24"/>
                <w:highlight w:val="none"/>
              </w:rPr>
            </w:pPr>
            <w:r>
              <w:rPr>
                <w:rFonts w:hAnsi="宋体"/>
                <w:bCs/>
                <w:snapToGrid w:val="0"/>
                <w:color w:val="auto"/>
                <w:kern w:val="0"/>
                <w:sz w:val="24"/>
                <w:highlight w:val="none"/>
              </w:rPr>
              <w:t>与《</w:t>
            </w:r>
            <w:bookmarkStart w:id="2" w:name="OLE_LINK4"/>
            <w:r>
              <w:rPr>
                <w:rFonts w:hAnsi="宋体"/>
                <w:bCs/>
                <w:snapToGrid w:val="0"/>
                <w:color w:val="auto"/>
                <w:kern w:val="0"/>
                <w:sz w:val="24"/>
                <w:highlight w:val="none"/>
              </w:rPr>
              <w:t>江苏省</w:t>
            </w:r>
            <w:r>
              <w:rPr>
                <w:bCs/>
                <w:snapToGrid w:val="0"/>
                <w:color w:val="auto"/>
                <w:kern w:val="0"/>
                <w:sz w:val="24"/>
                <w:highlight w:val="none"/>
              </w:rPr>
              <w:t>“</w:t>
            </w:r>
            <w:r>
              <w:rPr>
                <w:rFonts w:hAnsi="宋体"/>
                <w:bCs/>
                <w:snapToGrid w:val="0"/>
                <w:color w:val="auto"/>
                <w:kern w:val="0"/>
                <w:sz w:val="24"/>
                <w:highlight w:val="none"/>
              </w:rPr>
              <w:t>三线一单</w:t>
            </w:r>
            <w:r>
              <w:rPr>
                <w:bCs/>
                <w:snapToGrid w:val="0"/>
                <w:color w:val="auto"/>
                <w:kern w:val="0"/>
                <w:sz w:val="24"/>
                <w:highlight w:val="none"/>
              </w:rPr>
              <w:t>”</w:t>
            </w:r>
            <w:r>
              <w:rPr>
                <w:rFonts w:hAnsi="宋体"/>
                <w:bCs/>
                <w:snapToGrid w:val="0"/>
                <w:color w:val="auto"/>
                <w:kern w:val="0"/>
                <w:sz w:val="24"/>
                <w:highlight w:val="none"/>
              </w:rPr>
              <w:t>生态环境分区管控方案</w:t>
            </w:r>
            <w:bookmarkEnd w:id="2"/>
            <w:r>
              <w:rPr>
                <w:rFonts w:hAnsi="宋体"/>
                <w:bCs/>
                <w:snapToGrid w:val="0"/>
                <w:color w:val="auto"/>
                <w:kern w:val="0"/>
                <w:sz w:val="24"/>
                <w:highlight w:val="none"/>
              </w:rPr>
              <w:t>》（苏政发</w:t>
            </w:r>
            <w:r>
              <w:rPr>
                <w:bCs/>
                <w:snapToGrid w:val="0"/>
                <w:color w:val="auto"/>
                <w:kern w:val="0"/>
                <w:sz w:val="24"/>
                <w:highlight w:val="none"/>
              </w:rPr>
              <w:t>[2020]49</w:t>
            </w:r>
            <w:r>
              <w:rPr>
                <w:rFonts w:hAnsi="宋体"/>
                <w:bCs/>
                <w:snapToGrid w:val="0"/>
                <w:color w:val="auto"/>
                <w:kern w:val="0"/>
                <w:sz w:val="24"/>
                <w:highlight w:val="none"/>
              </w:rPr>
              <w:t>号）</w:t>
            </w:r>
            <w:r>
              <w:rPr>
                <w:rFonts w:hint="eastAsia" w:hAnsi="宋体"/>
                <w:bCs/>
                <w:snapToGrid w:val="0"/>
                <w:color w:val="auto"/>
                <w:kern w:val="0"/>
                <w:sz w:val="24"/>
                <w:highlight w:val="none"/>
              </w:rPr>
              <w:t>、</w:t>
            </w:r>
            <w:bookmarkStart w:id="3" w:name="OLE_LINK10"/>
            <w:r>
              <w:rPr>
                <w:rFonts w:hint="eastAsia" w:hAnsi="宋体"/>
                <w:bCs/>
                <w:snapToGrid w:val="0"/>
                <w:color w:val="auto"/>
                <w:kern w:val="0"/>
                <w:sz w:val="24"/>
                <w:highlight w:val="none"/>
              </w:rPr>
              <w:t>《市政府办公室关于印发</w:t>
            </w:r>
            <w:bookmarkStart w:id="4" w:name="OLE_LINK5"/>
            <w:r>
              <w:rPr>
                <w:rFonts w:hint="eastAsia" w:hAnsi="宋体"/>
                <w:bCs/>
                <w:snapToGrid w:val="0"/>
                <w:color w:val="auto"/>
                <w:kern w:val="0"/>
                <w:sz w:val="24"/>
                <w:highlight w:val="none"/>
              </w:rPr>
              <w:t>南通市“三线一单”生态环境分区管控实施方案</w:t>
            </w:r>
            <w:bookmarkEnd w:id="4"/>
            <w:r>
              <w:rPr>
                <w:rFonts w:hint="eastAsia" w:hAnsi="宋体"/>
                <w:bCs/>
                <w:snapToGrid w:val="0"/>
                <w:color w:val="auto"/>
                <w:kern w:val="0"/>
                <w:sz w:val="24"/>
                <w:highlight w:val="none"/>
              </w:rPr>
              <w:t>的通知》</w:t>
            </w:r>
            <w:bookmarkStart w:id="5" w:name="OLE_LINK6"/>
            <w:r>
              <w:rPr>
                <w:rFonts w:hint="eastAsia" w:hAnsi="宋体"/>
                <w:bCs/>
                <w:snapToGrid w:val="0"/>
                <w:color w:val="auto"/>
                <w:kern w:val="0"/>
                <w:sz w:val="24"/>
                <w:highlight w:val="none"/>
              </w:rPr>
              <w:t>（通政办规[2021]4号）</w:t>
            </w:r>
            <w:bookmarkEnd w:id="3"/>
            <w:bookmarkEnd w:id="5"/>
            <w:r>
              <w:rPr>
                <w:rFonts w:hAnsi="宋体"/>
                <w:bCs/>
                <w:snapToGrid w:val="0"/>
                <w:color w:val="auto"/>
                <w:kern w:val="0"/>
                <w:sz w:val="24"/>
                <w:highlight w:val="none"/>
              </w:rPr>
              <w:t>相符性分析</w:t>
            </w:r>
            <w:r>
              <w:rPr>
                <w:rFonts w:hint="eastAsia" w:hAnsi="宋体"/>
                <w:bCs/>
                <w:snapToGrid w:val="0"/>
                <w:color w:val="auto"/>
                <w:kern w:val="0"/>
                <w:sz w:val="24"/>
                <w:highlight w:val="none"/>
              </w:rPr>
              <w:t>见表1-2。</w:t>
            </w:r>
          </w:p>
          <w:p w14:paraId="4050F7B1">
            <w:pPr>
              <w:adjustRightInd w:val="0"/>
              <w:snapToGrid w:val="0"/>
              <w:spacing w:line="348" w:lineRule="auto"/>
              <w:ind w:firstLine="482" w:firstLineChars="201"/>
              <w:rPr>
                <w:rFonts w:hAnsi="宋体"/>
                <w:snapToGrid w:val="0"/>
                <w:color w:val="auto"/>
                <w:kern w:val="0"/>
                <w:sz w:val="24"/>
                <w:highlight w:val="none"/>
              </w:rPr>
            </w:pPr>
            <w:r>
              <w:rPr>
                <w:rFonts w:hint="eastAsia" w:hAnsi="宋体"/>
                <w:snapToGrid w:val="0"/>
                <w:color w:val="auto"/>
                <w:kern w:val="0"/>
                <w:sz w:val="24"/>
                <w:highlight w:val="none"/>
              </w:rPr>
              <w:t>根据《江苏省政府关于印发江苏省“三线一单”生态环境分区管控方案的通知》</w:t>
            </w:r>
            <w:r>
              <w:rPr>
                <w:rFonts w:hAnsi="宋体"/>
                <w:snapToGrid w:val="0"/>
                <w:color w:val="auto"/>
                <w:kern w:val="0"/>
                <w:sz w:val="24"/>
                <w:highlight w:val="none"/>
              </w:rPr>
              <w:t>(</w:t>
            </w:r>
            <w:r>
              <w:rPr>
                <w:rFonts w:hint="eastAsia" w:hAnsi="宋体"/>
                <w:snapToGrid w:val="0"/>
                <w:color w:val="auto"/>
                <w:kern w:val="0"/>
                <w:sz w:val="24"/>
                <w:highlight w:val="none"/>
              </w:rPr>
              <w:t>苏政发</w:t>
            </w:r>
            <w:r>
              <w:rPr>
                <w:rFonts w:hAnsi="宋体"/>
                <w:snapToGrid w:val="0"/>
                <w:color w:val="auto"/>
                <w:kern w:val="0"/>
                <w:sz w:val="24"/>
                <w:highlight w:val="none"/>
              </w:rPr>
              <w:t>(2020)49</w:t>
            </w:r>
            <w:r>
              <w:rPr>
                <w:rFonts w:hint="eastAsia" w:hAnsi="宋体"/>
                <w:snapToGrid w:val="0"/>
                <w:color w:val="auto"/>
                <w:kern w:val="0"/>
                <w:sz w:val="24"/>
                <w:highlight w:val="none"/>
              </w:rPr>
              <w:t>号</w:t>
            </w:r>
            <w:r>
              <w:rPr>
                <w:rFonts w:hAnsi="宋体"/>
                <w:snapToGrid w:val="0"/>
                <w:color w:val="auto"/>
                <w:kern w:val="0"/>
                <w:sz w:val="24"/>
                <w:highlight w:val="none"/>
              </w:rPr>
              <w:t>)</w:t>
            </w:r>
            <w:r>
              <w:rPr>
                <w:rFonts w:hint="eastAsia" w:hAnsi="宋体"/>
                <w:snapToGrid w:val="0"/>
                <w:color w:val="auto"/>
                <w:kern w:val="0"/>
                <w:sz w:val="24"/>
                <w:highlight w:val="none"/>
              </w:rPr>
              <w:t>、《南通市“三线一单”生态环境分区管控实施方案》(通政办规[2021]4号)，本项目</w:t>
            </w:r>
            <w:r>
              <w:rPr>
                <w:rFonts w:hAnsi="宋体"/>
                <w:snapToGrid w:val="0"/>
                <w:color w:val="auto"/>
                <w:kern w:val="0"/>
                <w:sz w:val="24"/>
                <w:highlight w:val="none"/>
              </w:rPr>
              <w:t>位于江苏省海门经济技术开发区河海东路99号，属于</w:t>
            </w:r>
            <w:r>
              <w:rPr>
                <w:rFonts w:hint="eastAsia" w:hAnsi="宋体"/>
                <w:snapToGrid w:val="0"/>
                <w:color w:val="auto"/>
                <w:kern w:val="0"/>
                <w:sz w:val="24"/>
                <w:highlight w:val="none"/>
              </w:rPr>
              <w:t>重点</w:t>
            </w:r>
            <w:r>
              <w:rPr>
                <w:rFonts w:hAnsi="宋体"/>
                <w:snapToGrid w:val="0"/>
                <w:color w:val="auto"/>
                <w:kern w:val="0"/>
                <w:sz w:val="24"/>
                <w:highlight w:val="none"/>
              </w:rPr>
              <w:t>管控单元</w:t>
            </w:r>
            <w:r>
              <w:rPr>
                <w:rFonts w:hint="eastAsia" w:hAnsi="宋体"/>
                <w:snapToGrid w:val="0"/>
                <w:color w:val="auto"/>
                <w:kern w:val="0"/>
                <w:sz w:val="24"/>
                <w:highlight w:val="none"/>
              </w:rPr>
              <w:t>。重点管控单元主要推进产业布局优化、转型升级，不断提高资源利用效率，加强污染物排放控制和环境风险防控，解决突出生态环境问题。项目各工艺废气经有效收集处理后达标排放，对周围环境空气质量影响不大，不会降低当地环境质量功能，符合《江苏省“三线一单”生态环境分区管控方案》、《南通市“三线一单”生态环境分区管控实施方案》的要求。</w:t>
            </w:r>
          </w:p>
          <w:p w14:paraId="449DF0F2">
            <w:pPr>
              <w:adjustRightInd w:val="0"/>
              <w:snapToGrid w:val="0"/>
              <w:spacing w:line="348" w:lineRule="auto"/>
              <w:ind w:firstLine="482" w:firstLineChars="201"/>
              <w:rPr>
                <w:snapToGrid w:val="0"/>
                <w:color w:val="auto"/>
                <w:kern w:val="0"/>
                <w:sz w:val="24"/>
                <w:highlight w:val="none"/>
              </w:rPr>
            </w:pPr>
            <w:r>
              <w:rPr>
                <w:snapToGrid w:val="0"/>
                <w:color w:val="auto"/>
                <w:kern w:val="0"/>
                <w:sz w:val="24"/>
                <w:highlight w:val="none"/>
              </w:rPr>
              <w:t>根据《江苏省“三线一单”生态环境分区管控方案》(苏政发(2020)49号)中</w:t>
            </w:r>
            <w:r>
              <w:rPr>
                <w:snapToGrid w:val="0"/>
                <w:color w:val="auto"/>
                <w:sz w:val="24"/>
                <w:highlight w:val="none"/>
              </w:rPr>
              <w:t>长江流域生态环境分区重点管控要求</w:t>
            </w:r>
            <w:r>
              <w:rPr>
                <w:snapToGrid w:val="0"/>
                <w:color w:val="auto"/>
                <w:kern w:val="0"/>
                <w:sz w:val="24"/>
                <w:highlight w:val="none"/>
              </w:rPr>
              <w:t>，具体分析如下：</w:t>
            </w:r>
          </w:p>
          <w:p w14:paraId="6D0C54E6">
            <w:pPr>
              <w:adjustRightInd w:val="0"/>
              <w:snapToGrid w:val="0"/>
              <w:jc w:val="center"/>
              <w:rPr>
                <w:b/>
                <w:snapToGrid w:val="0"/>
                <w:color w:val="auto"/>
                <w:kern w:val="0"/>
                <w:sz w:val="24"/>
                <w:highlight w:val="none"/>
              </w:rPr>
            </w:pPr>
            <w:r>
              <w:rPr>
                <w:b/>
                <w:snapToGrid w:val="0"/>
                <w:color w:val="auto"/>
                <w:kern w:val="0"/>
                <w:sz w:val="24"/>
                <w:highlight w:val="none"/>
              </w:rPr>
              <w:t>表1-</w:t>
            </w:r>
            <w:r>
              <w:rPr>
                <w:rFonts w:hint="eastAsia"/>
                <w:b/>
                <w:snapToGrid w:val="0"/>
                <w:color w:val="auto"/>
                <w:kern w:val="0"/>
                <w:sz w:val="24"/>
                <w:highlight w:val="none"/>
              </w:rPr>
              <w:t>5</w:t>
            </w:r>
            <w:r>
              <w:rPr>
                <w:b/>
                <w:snapToGrid w:val="0"/>
                <w:color w:val="auto"/>
                <w:kern w:val="0"/>
                <w:sz w:val="24"/>
                <w:highlight w:val="none"/>
              </w:rPr>
              <w:t xml:space="preserve"> 与江苏省“三线一单”生态环境分区管控实施方案相符性</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993"/>
              <w:gridCol w:w="4681"/>
              <w:gridCol w:w="2035"/>
            </w:tblGrid>
            <w:tr w14:paraId="5E352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Align w:val="center"/>
                </w:tcPr>
                <w:p w14:paraId="23551AEE">
                  <w:pPr>
                    <w:adjustRightInd w:val="0"/>
                    <w:snapToGrid w:val="0"/>
                    <w:jc w:val="center"/>
                    <w:rPr>
                      <w:b/>
                      <w:snapToGrid w:val="0"/>
                      <w:color w:val="auto"/>
                      <w:kern w:val="0"/>
                      <w:szCs w:val="21"/>
                      <w:highlight w:val="none"/>
                    </w:rPr>
                  </w:pPr>
                  <w:r>
                    <w:rPr>
                      <w:b/>
                      <w:snapToGrid w:val="0"/>
                      <w:color w:val="auto"/>
                      <w:kern w:val="0"/>
                      <w:szCs w:val="21"/>
                      <w:highlight w:val="none"/>
                    </w:rPr>
                    <w:t>管控类别</w:t>
                  </w:r>
                </w:p>
              </w:tc>
              <w:tc>
                <w:tcPr>
                  <w:tcW w:w="3036" w:type="pct"/>
                  <w:vAlign w:val="center"/>
                </w:tcPr>
                <w:p w14:paraId="213C73FF">
                  <w:pPr>
                    <w:adjustRightInd w:val="0"/>
                    <w:snapToGrid w:val="0"/>
                    <w:jc w:val="center"/>
                    <w:rPr>
                      <w:b/>
                      <w:snapToGrid w:val="0"/>
                      <w:color w:val="auto"/>
                      <w:kern w:val="0"/>
                      <w:szCs w:val="21"/>
                      <w:highlight w:val="none"/>
                    </w:rPr>
                  </w:pPr>
                  <w:r>
                    <w:rPr>
                      <w:b/>
                      <w:snapToGrid w:val="0"/>
                      <w:color w:val="auto"/>
                      <w:kern w:val="0"/>
                      <w:szCs w:val="21"/>
                      <w:highlight w:val="none"/>
                    </w:rPr>
                    <w:t>管控要求</w:t>
                  </w:r>
                </w:p>
              </w:tc>
              <w:tc>
                <w:tcPr>
                  <w:tcW w:w="1320" w:type="pct"/>
                  <w:vAlign w:val="center"/>
                </w:tcPr>
                <w:p w14:paraId="60765128">
                  <w:pPr>
                    <w:adjustRightInd w:val="0"/>
                    <w:snapToGrid w:val="0"/>
                    <w:jc w:val="center"/>
                    <w:rPr>
                      <w:b/>
                      <w:snapToGrid w:val="0"/>
                      <w:color w:val="auto"/>
                      <w:kern w:val="0"/>
                      <w:szCs w:val="21"/>
                      <w:highlight w:val="none"/>
                    </w:rPr>
                  </w:pPr>
                  <w:r>
                    <w:rPr>
                      <w:b/>
                      <w:snapToGrid w:val="0"/>
                      <w:color w:val="auto"/>
                      <w:kern w:val="0"/>
                      <w:szCs w:val="21"/>
                      <w:highlight w:val="none"/>
                    </w:rPr>
                    <w:t>相符性分析</w:t>
                  </w:r>
                </w:p>
              </w:tc>
            </w:tr>
            <w:tr w14:paraId="473C2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restart"/>
                  <w:vAlign w:val="center"/>
                </w:tcPr>
                <w:p w14:paraId="658351D1">
                  <w:pPr>
                    <w:adjustRightInd w:val="0"/>
                    <w:snapToGrid w:val="0"/>
                    <w:jc w:val="center"/>
                    <w:rPr>
                      <w:snapToGrid w:val="0"/>
                      <w:color w:val="auto"/>
                      <w:kern w:val="0"/>
                      <w:szCs w:val="21"/>
                      <w:highlight w:val="none"/>
                    </w:rPr>
                  </w:pPr>
                  <w:r>
                    <w:rPr>
                      <w:snapToGrid w:val="0"/>
                      <w:color w:val="auto"/>
                      <w:kern w:val="0"/>
                      <w:szCs w:val="21"/>
                      <w:highlight w:val="none"/>
                    </w:rPr>
                    <w:t>空间布局约束</w:t>
                  </w:r>
                </w:p>
              </w:tc>
              <w:tc>
                <w:tcPr>
                  <w:tcW w:w="3036" w:type="pct"/>
                  <w:vAlign w:val="center"/>
                </w:tcPr>
                <w:p w14:paraId="4F1DD912">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1.始终把长江生态修复放在首位，坚持共抓大保护、不搞大开发，引导长江流域产业转型升级和布局优化调整，实现科学发展、有序发展、高质量发展。</w:t>
                  </w:r>
                </w:p>
              </w:tc>
              <w:tc>
                <w:tcPr>
                  <w:tcW w:w="1320" w:type="pct"/>
                  <w:vMerge w:val="restart"/>
                  <w:vAlign w:val="center"/>
                </w:tcPr>
                <w:p w14:paraId="0673281C">
                  <w:pPr>
                    <w:adjustRightInd w:val="0"/>
                    <w:snapToGrid w:val="0"/>
                    <w:jc w:val="center"/>
                    <w:rPr>
                      <w:snapToGrid w:val="0"/>
                      <w:color w:val="auto"/>
                      <w:kern w:val="0"/>
                      <w:szCs w:val="21"/>
                      <w:highlight w:val="none"/>
                    </w:rPr>
                  </w:pPr>
                  <w:r>
                    <w:rPr>
                      <w:snapToGrid w:val="0"/>
                      <w:color w:val="auto"/>
                      <w:kern w:val="0"/>
                      <w:szCs w:val="21"/>
                      <w:highlight w:val="none"/>
                    </w:rPr>
                    <w:t>本项目位于南通市海门经济开发区滨港大道2699号，所在区域属于江苏省重点区域(流域)生态环境分区，须执行重点管控要求，本项目主要从事电机制造，选址不在国家确定的生态保护红线和永久基本农田范围内，不属于石油加工、石油化工、基础有机无机化工、煤化工项目，不属于危化品码头项目，不属于过江干线通道项目，因此本项目的建设符合苏政发[2020]49号文件的相关要求</w:t>
                  </w:r>
                </w:p>
              </w:tc>
            </w:tr>
            <w:tr w14:paraId="61074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continue"/>
                  <w:vAlign w:val="center"/>
                </w:tcPr>
                <w:p w14:paraId="3621BD89">
                  <w:pPr>
                    <w:adjustRightInd w:val="0"/>
                    <w:snapToGrid w:val="0"/>
                    <w:jc w:val="center"/>
                    <w:rPr>
                      <w:snapToGrid w:val="0"/>
                      <w:color w:val="auto"/>
                      <w:kern w:val="0"/>
                      <w:szCs w:val="21"/>
                      <w:highlight w:val="none"/>
                    </w:rPr>
                  </w:pPr>
                </w:p>
              </w:tc>
              <w:tc>
                <w:tcPr>
                  <w:tcW w:w="3036" w:type="pct"/>
                  <w:vAlign w:val="center"/>
                </w:tcPr>
                <w:p w14:paraId="38EFD3D7">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320" w:type="pct"/>
                  <w:vMerge w:val="continue"/>
                  <w:vAlign w:val="center"/>
                </w:tcPr>
                <w:p w14:paraId="35F80254">
                  <w:pPr>
                    <w:adjustRightInd w:val="0"/>
                    <w:snapToGrid w:val="0"/>
                    <w:jc w:val="center"/>
                    <w:rPr>
                      <w:snapToGrid w:val="0"/>
                      <w:color w:val="auto"/>
                      <w:kern w:val="0"/>
                      <w:szCs w:val="21"/>
                      <w:highlight w:val="none"/>
                    </w:rPr>
                  </w:pPr>
                </w:p>
              </w:tc>
            </w:tr>
            <w:tr w14:paraId="2DC8B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continue"/>
                  <w:vAlign w:val="center"/>
                </w:tcPr>
                <w:p w14:paraId="50D1C839">
                  <w:pPr>
                    <w:adjustRightInd w:val="0"/>
                    <w:snapToGrid w:val="0"/>
                    <w:jc w:val="center"/>
                    <w:rPr>
                      <w:snapToGrid w:val="0"/>
                      <w:color w:val="auto"/>
                      <w:kern w:val="0"/>
                      <w:szCs w:val="21"/>
                      <w:highlight w:val="none"/>
                    </w:rPr>
                  </w:pPr>
                </w:p>
              </w:tc>
              <w:tc>
                <w:tcPr>
                  <w:tcW w:w="3036" w:type="pct"/>
                  <w:vAlign w:val="center"/>
                </w:tcPr>
                <w:p w14:paraId="1DB98417">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3.禁止在沿江地区新建或扩建化学工业园区，禁止新建或扩建以大宗进口油气资源为原料的石油加工、石油化工、基础有机无机化工、煤化工项目；禁止在长江干流和主要支流岸线1公里范围内新建危化品码头。</w:t>
                  </w:r>
                </w:p>
              </w:tc>
              <w:tc>
                <w:tcPr>
                  <w:tcW w:w="1320" w:type="pct"/>
                  <w:vMerge w:val="continue"/>
                  <w:vAlign w:val="center"/>
                </w:tcPr>
                <w:p w14:paraId="24AF1787">
                  <w:pPr>
                    <w:adjustRightInd w:val="0"/>
                    <w:snapToGrid w:val="0"/>
                    <w:jc w:val="center"/>
                    <w:rPr>
                      <w:snapToGrid w:val="0"/>
                      <w:color w:val="auto"/>
                      <w:kern w:val="0"/>
                      <w:szCs w:val="21"/>
                      <w:highlight w:val="none"/>
                    </w:rPr>
                  </w:pPr>
                </w:p>
              </w:tc>
            </w:tr>
            <w:tr w14:paraId="3B406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continue"/>
                  <w:vAlign w:val="center"/>
                </w:tcPr>
                <w:p w14:paraId="7AE097DE">
                  <w:pPr>
                    <w:adjustRightInd w:val="0"/>
                    <w:snapToGrid w:val="0"/>
                    <w:jc w:val="center"/>
                    <w:rPr>
                      <w:snapToGrid w:val="0"/>
                      <w:color w:val="auto"/>
                      <w:kern w:val="0"/>
                      <w:szCs w:val="21"/>
                      <w:highlight w:val="none"/>
                    </w:rPr>
                  </w:pPr>
                </w:p>
              </w:tc>
              <w:tc>
                <w:tcPr>
                  <w:tcW w:w="3036" w:type="pct"/>
                  <w:vAlign w:val="center"/>
                </w:tcPr>
                <w:p w14:paraId="1CA55EA7">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tc>
              <w:tc>
                <w:tcPr>
                  <w:tcW w:w="1320" w:type="pct"/>
                  <w:vMerge w:val="continue"/>
                  <w:vAlign w:val="center"/>
                </w:tcPr>
                <w:p w14:paraId="0FE645D6">
                  <w:pPr>
                    <w:adjustRightInd w:val="0"/>
                    <w:snapToGrid w:val="0"/>
                    <w:jc w:val="center"/>
                    <w:rPr>
                      <w:snapToGrid w:val="0"/>
                      <w:color w:val="auto"/>
                      <w:kern w:val="0"/>
                      <w:szCs w:val="21"/>
                      <w:highlight w:val="none"/>
                    </w:rPr>
                  </w:pPr>
                </w:p>
              </w:tc>
            </w:tr>
            <w:tr w14:paraId="175EE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continue"/>
                  <w:vAlign w:val="center"/>
                </w:tcPr>
                <w:p w14:paraId="1A985D71">
                  <w:pPr>
                    <w:adjustRightInd w:val="0"/>
                    <w:snapToGrid w:val="0"/>
                    <w:jc w:val="center"/>
                    <w:rPr>
                      <w:snapToGrid w:val="0"/>
                      <w:color w:val="auto"/>
                      <w:kern w:val="0"/>
                      <w:szCs w:val="21"/>
                      <w:highlight w:val="none"/>
                    </w:rPr>
                  </w:pPr>
                </w:p>
              </w:tc>
              <w:tc>
                <w:tcPr>
                  <w:tcW w:w="3036" w:type="pct"/>
                  <w:vAlign w:val="center"/>
                </w:tcPr>
                <w:p w14:paraId="5EC8A17C">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5.禁止新建独立焦化项目。</w:t>
                  </w:r>
                </w:p>
              </w:tc>
              <w:tc>
                <w:tcPr>
                  <w:tcW w:w="1320" w:type="pct"/>
                  <w:vMerge w:val="continue"/>
                  <w:vAlign w:val="center"/>
                </w:tcPr>
                <w:p w14:paraId="6A0185D4">
                  <w:pPr>
                    <w:adjustRightInd w:val="0"/>
                    <w:snapToGrid w:val="0"/>
                    <w:jc w:val="center"/>
                    <w:rPr>
                      <w:snapToGrid w:val="0"/>
                      <w:color w:val="auto"/>
                      <w:kern w:val="0"/>
                      <w:szCs w:val="21"/>
                      <w:highlight w:val="none"/>
                    </w:rPr>
                  </w:pPr>
                </w:p>
              </w:tc>
            </w:tr>
            <w:tr w14:paraId="73BA7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restart"/>
                  <w:vAlign w:val="center"/>
                </w:tcPr>
                <w:p w14:paraId="5C2960CD">
                  <w:pPr>
                    <w:adjustRightInd w:val="0"/>
                    <w:snapToGrid w:val="0"/>
                    <w:jc w:val="center"/>
                    <w:rPr>
                      <w:snapToGrid w:val="0"/>
                      <w:color w:val="auto"/>
                      <w:kern w:val="0"/>
                      <w:szCs w:val="21"/>
                      <w:highlight w:val="none"/>
                    </w:rPr>
                  </w:pPr>
                  <w:r>
                    <w:rPr>
                      <w:snapToGrid w:val="0"/>
                      <w:color w:val="auto"/>
                      <w:kern w:val="0"/>
                      <w:szCs w:val="21"/>
                      <w:highlight w:val="none"/>
                    </w:rPr>
                    <w:t>污染物排放管控</w:t>
                  </w:r>
                </w:p>
              </w:tc>
              <w:tc>
                <w:tcPr>
                  <w:tcW w:w="3036" w:type="pct"/>
                  <w:vAlign w:val="center"/>
                </w:tcPr>
                <w:p w14:paraId="0AECFF38">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1.根据《江苏省长江水污染防治条例》实施污染物总量控制制度。</w:t>
                  </w:r>
                </w:p>
              </w:tc>
              <w:tc>
                <w:tcPr>
                  <w:tcW w:w="1320" w:type="pct"/>
                  <w:vMerge w:val="restart"/>
                  <w:vAlign w:val="center"/>
                </w:tcPr>
                <w:p w14:paraId="33372BDA">
                  <w:pPr>
                    <w:adjustRightInd w:val="0"/>
                    <w:snapToGrid w:val="0"/>
                    <w:jc w:val="center"/>
                    <w:rPr>
                      <w:snapToGrid w:val="0"/>
                      <w:color w:val="auto"/>
                      <w:kern w:val="0"/>
                      <w:szCs w:val="21"/>
                      <w:highlight w:val="none"/>
                    </w:rPr>
                  </w:pPr>
                  <w:r>
                    <w:rPr>
                      <w:snapToGrid w:val="0"/>
                      <w:color w:val="auto"/>
                      <w:kern w:val="0"/>
                      <w:szCs w:val="21"/>
                      <w:highlight w:val="none"/>
                    </w:rPr>
                    <w:t>本项目不涉及</w:t>
                  </w:r>
                </w:p>
              </w:tc>
            </w:tr>
            <w:tr w14:paraId="75D3C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continue"/>
                  <w:vAlign w:val="center"/>
                </w:tcPr>
                <w:p w14:paraId="31CDA44D">
                  <w:pPr>
                    <w:adjustRightInd w:val="0"/>
                    <w:snapToGrid w:val="0"/>
                    <w:jc w:val="center"/>
                    <w:rPr>
                      <w:snapToGrid w:val="0"/>
                      <w:color w:val="auto"/>
                      <w:kern w:val="0"/>
                      <w:szCs w:val="21"/>
                      <w:highlight w:val="none"/>
                    </w:rPr>
                  </w:pPr>
                </w:p>
              </w:tc>
              <w:tc>
                <w:tcPr>
                  <w:tcW w:w="3036" w:type="pct"/>
                  <w:vAlign w:val="center"/>
                </w:tcPr>
                <w:p w14:paraId="31E3D54D">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2.全面加强和规范长江入河排污口管理，有效管控入河污染物排放，形成权责清晰、监控到位、管理规范的长江入河排污口监管体系，加快改善长江水环境质量。</w:t>
                  </w:r>
                </w:p>
              </w:tc>
              <w:tc>
                <w:tcPr>
                  <w:tcW w:w="1320" w:type="pct"/>
                  <w:vMerge w:val="continue"/>
                  <w:vAlign w:val="center"/>
                </w:tcPr>
                <w:p w14:paraId="6B49F718">
                  <w:pPr>
                    <w:adjustRightInd w:val="0"/>
                    <w:snapToGrid w:val="0"/>
                    <w:jc w:val="center"/>
                    <w:rPr>
                      <w:snapToGrid w:val="0"/>
                      <w:color w:val="auto"/>
                      <w:kern w:val="0"/>
                      <w:szCs w:val="21"/>
                      <w:highlight w:val="none"/>
                    </w:rPr>
                  </w:pPr>
                </w:p>
              </w:tc>
            </w:tr>
            <w:tr w14:paraId="32E97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restart"/>
                  <w:vAlign w:val="center"/>
                </w:tcPr>
                <w:p w14:paraId="28D1C880">
                  <w:pPr>
                    <w:adjustRightInd w:val="0"/>
                    <w:snapToGrid w:val="0"/>
                    <w:jc w:val="center"/>
                    <w:rPr>
                      <w:snapToGrid w:val="0"/>
                      <w:color w:val="auto"/>
                      <w:kern w:val="0"/>
                      <w:szCs w:val="21"/>
                      <w:highlight w:val="none"/>
                    </w:rPr>
                  </w:pPr>
                  <w:r>
                    <w:rPr>
                      <w:snapToGrid w:val="0"/>
                      <w:color w:val="auto"/>
                      <w:kern w:val="0"/>
                      <w:szCs w:val="21"/>
                      <w:highlight w:val="none"/>
                    </w:rPr>
                    <w:t>环境风险防控</w:t>
                  </w:r>
                </w:p>
              </w:tc>
              <w:tc>
                <w:tcPr>
                  <w:tcW w:w="3036" w:type="pct"/>
                  <w:vAlign w:val="center"/>
                </w:tcPr>
                <w:p w14:paraId="3012D33F">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1.防范沿江环境风险。深化沿江石化、化工、医药、纺织、印染、化纤、危化品和石油类仓储、涉重金属和危险废物处置等重点企业环境风险防控</w:t>
                  </w:r>
                </w:p>
              </w:tc>
              <w:tc>
                <w:tcPr>
                  <w:tcW w:w="1320" w:type="pct"/>
                  <w:vMerge w:val="restart"/>
                  <w:vAlign w:val="center"/>
                </w:tcPr>
                <w:p w14:paraId="729EA286">
                  <w:pPr>
                    <w:adjustRightInd w:val="0"/>
                    <w:snapToGrid w:val="0"/>
                    <w:jc w:val="center"/>
                    <w:rPr>
                      <w:snapToGrid w:val="0"/>
                      <w:color w:val="auto"/>
                      <w:kern w:val="0"/>
                      <w:szCs w:val="21"/>
                      <w:highlight w:val="none"/>
                    </w:rPr>
                  </w:pPr>
                  <w:r>
                    <w:rPr>
                      <w:snapToGrid w:val="0"/>
                      <w:color w:val="auto"/>
                      <w:kern w:val="0"/>
                      <w:szCs w:val="21"/>
                      <w:highlight w:val="none"/>
                    </w:rPr>
                    <w:t>本项目不涉及</w:t>
                  </w:r>
                </w:p>
              </w:tc>
            </w:tr>
            <w:tr w14:paraId="5D181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Merge w:val="continue"/>
                  <w:vAlign w:val="center"/>
                </w:tcPr>
                <w:p w14:paraId="403FFC2B">
                  <w:pPr>
                    <w:adjustRightInd w:val="0"/>
                    <w:snapToGrid w:val="0"/>
                    <w:jc w:val="center"/>
                    <w:rPr>
                      <w:snapToGrid w:val="0"/>
                      <w:color w:val="auto"/>
                      <w:kern w:val="0"/>
                      <w:szCs w:val="21"/>
                      <w:highlight w:val="none"/>
                    </w:rPr>
                  </w:pPr>
                </w:p>
              </w:tc>
              <w:tc>
                <w:tcPr>
                  <w:tcW w:w="3036" w:type="pct"/>
                  <w:vAlign w:val="center"/>
                </w:tcPr>
                <w:p w14:paraId="1780773F">
                  <w:pPr>
                    <w:adjustRightInd w:val="0"/>
                    <w:snapToGrid w:val="0"/>
                    <w:jc w:val="center"/>
                    <w:rPr>
                      <w:snapToGrid w:val="0"/>
                      <w:color w:val="auto"/>
                      <w:kern w:val="0"/>
                      <w:szCs w:val="21"/>
                      <w:highlight w:val="none"/>
                    </w:rPr>
                  </w:pPr>
                  <w:r>
                    <w:rPr>
                      <w:snapToGrid w:val="0"/>
                      <w:color w:val="auto"/>
                      <w:kern w:val="0"/>
                      <w:szCs w:val="21"/>
                      <w:highlight w:val="none"/>
                    </w:rPr>
                    <w:t>2.加强饮用水水源保护。优化水源保护区划定，推动饮用水水源地规范化建设。</w:t>
                  </w:r>
                </w:p>
              </w:tc>
              <w:tc>
                <w:tcPr>
                  <w:tcW w:w="1320" w:type="pct"/>
                  <w:vMerge w:val="continue"/>
                  <w:vAlign w:val="center"/>
                </w:tcPr>
                <w:p w14:paraId="1A8FF671">
                  <w:pPr>
                    <w:adjustRightInd w:val="0"/>
                    <w:snapToGrid w:val="0"/>
                    <w:jc w:val="center"/>
                    <w:rPr>
                      <w:snapToGrid w:val="0"/>
                      <w:color w:val="auto"/>
                      <w:kern w:val="0"/>
                      <w:szCs w:val="21"/>
                      <w:highlight w:val="none"/>
                    </w:rPr>
                  </w:pPr>
                </w:p>
              </w:tc>
            </w:tr>
            <w:tr w14:paraId="4A3BE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44" w:type="pct"/>
                  <w:vAlign w:val="center"/>
                </w:tcPr>
                <w:p w14:paraId="57A34F01">
                  <w:pPr>
                    <w:adjustRightInd w:val="0"/>
                    <w:snapToGrid w:val="0"/>
                    <w:jc w:val="center"/>
                    <w:rPr>
                      <w:snapToGrid w:val="0"/>
                      <w:color w:val="auto"/>
                      <w:kern w:val="0"/>
                      <w:szCs w:val="21"/>
                      <w:highlight w:val="none"/>
                    </w:rPr>
                  </w:pPr>
                  <w:r>
                    <w:rPr>
                      <w:snapToGrid w:val="0"/>
                      <w:color w:val="auto"/>
                      <w:kern w:val="0"/>
                      <w:szCs w:val="21"/>
                      <w:highlight w:val="none"/>
                    </w:rPr>
                    <w:t>资源利用效率要求</w:t>
                  </w:r>
                </w:p>
              </w:tc>
              <w:tc>
                <w:tcPr>
                  <w:tcW w:w="3036" w:type="pct"/>
                  <w:vAlign w:val="center"/>
                </w:tcPr>
                <w:p w14:paraId="730CBE00">
                  <w:pPr>
                    <w:pStyle w:val="67"/>
                    <w:snapToGrid w:val="0"/>
                    <w:jc w:val="center"/>
                    <w:rPr>
                      <w:rFonts w:ascii="Times New Roman"/>
                      <w:snapToGrid w:val="0"/>
                      <w:color w:val="auto"/>
                      <w:sz w:val="21"/>
                      <w:szCs w:val="21"/>
                      <w:highlight w:val="none"/>
                    </w:rPr>
                  </w:pPr>
                  <w:r>
                    <w:rPr>
                      <w:rFonts w:ascii="Times New Roman"/>
                      <w:snapToGrid w:val="0"/>
                      <w:color w:val="auto"/>
                      <w:sz w:val="21"/>
                      <w:szCs w:val="21"/>
                      <w:highlight w:val="none"/>
                    </w:rPr>
                    <w:t>到2020年长江干支流自然岸线保有率达到国家要求。</w:t>
                  </w:r>
                </w:p>
              </w:tc>
              <w:tc>
                <w:tcPr>
                  <w:tcW w:w="1320" w:type="pct"/>
                  <w:vAlign w:val="center"/>
                </w:tcPr>
                <w:p w14:paraId="63DF8611">
                  <w:pPr>
                    <w:adjustRightInd w:val="0"/>
                    <w:snapToGrid w:val="0"/>
                    <w:jc w:val="center"/>
                    <w:rPr>
                      <w:snapToGrid w:val="0"/>
                      <w:color w:val="auto"/>
                      <w:kern w:val="0"/>
                      <w:szCs w:val="21"/>
                      <w:highlight w:val="none"/>
                    </w:rPr>
                  </w:pPr>
                  <w:r>
                    <w:rPr>
                      <w:snapToGrid w:val="0"/>
                      <w:color w:val="auto"/>
                      <w:kern w:val="0"/>
                      <w:szCs w:val="21"/>
                      <w:highlight w:val="none"/>
                    </w:rPr>
                    <w:t>本项目不涉及</w:t>
                  </w:r>
                </w:p>
              </w:tc>
            </w:tr>
          </w:tbl>
          <w:p w14:paraId="4E36EEA1">
            <w:pPr>
              <w:adjustRightInd w:val="0"/>
              <w:snapToGrid w:val="0"/>
              <w:spacing w:line="360" w:lineRule="auto"/>
              <w:ind w:firstLine="482" w:firstLineChars="201"/>
              <w:rPr>
                <w:rFonts w:hAnsi="宋体"/>
                <w:snapToGrid w:val="0"/>
                <w:color w:val="auto"/>
                <w:kern w:val="0"/>
                <w:sz w:val="24"/>
                <w:highlight w:val="none"/>
              </w:rPr>
            </w:pPr>
            <w:r>
              <w:rPr>
                <w:rFonts w:hint="eastAsia" w:hAnsi="宋体"/>
                <w:snapToGrid w:val="0"/>
                <w:color w:val="auto"/>
                <w:kern w:val="0"/>
                <w:sz w:val="24"/>
                <w:highlight w:val="none"/>
              </w:rPr>
              <w:t>根据《南通市“三线一单”生态环境分区管控实施方案》(通政办规[2021]4号)中要求，具体分析见下表。</w:t>
            </w:r>
          </w:p>
          <w:p w14:paraId="5D3C5F3F">
            <w:pPr>
              <w:adjustRightInd w:val="0"/>
              <w:snapToGrid w:val="0"/>
              <w:jc w:val="center"/>
              <w:rPr>
                <w:rFonts w:hAnsi="宋体"/>
                <w:b/>
                <w:snapToGrid w:val="0"/>
                <w:color w:val="auto"/>
                <w:kern w:val="0"/>
                <w:sz w:val="24"/>
                <w:highlight w:val="none"/>
              </w:rPr>
            </w:pPr>
            <w:r>
              <w:rPr>
                <w:rFonts w:hint="eastAsia" w:hAnsi="宋体"/>
                <w:b/>
                <w:snapToGrid w:val="0"/>
                <w:color w:val="auto"/>
                <w:kern w:val="0"/>
                <w:sz w:val="24"/>
                <w:highlight w:val="none"/>
              </w:rPr>
              <w:t>表1-6 与南通市“三线一单”生态环境分区管控实施方案相符性</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918"/>
              <w:gridCol w:w="3623"/>
              <w:gridCol w:w="3168"/>
            </w:tblGrid>
            <w:tr w14:paraId="7246D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Align w:val="center"/>
                </w:tcPr>
                <w:p w14:paraId="7AF22E3A">
                  <w:pPr>
                    <w:adjustRightInd w:val="0"/>
                    <w:snapToGrid w:val="0"/>
                    <w:jc w:val="center"/>
                    <w:rPr>
                      <w:b/>
                      <w:snapToGrid w:val="0"/>
                      <w:color w:val="auto"/>
                      <w:kern w:val="0"/>
                      <w:szCs w:val="21"/>
                      <w:highlight w:val="none"/>
                    </w:rPr>
                  </w:pPr>
                  <w:r>
                    <w:rPr>
                      <w:rFonts w:hint="eastAsia" w:hAnsi="宋体"/>
                      <w:b/>
                      <w:snapToGrid w:val="0"/>
                      <w:color w:val="auto"/>
                      <w:kern w:val="0"/>
                      <w:szCs w:val="21"/>
                      <w:highlight w:val="none"/>
                    </w:rPr>
                    <w:t>管控类别</w:t>
                  </w:r>
                </w:p>
              </w:tc>
              <w:tc>
                <w:tcPr>
                  <w:tcW w:w="2349" w:type="pct"/>
                  <w:vAlign w:val="center"/>
                </w:tcPr>
                <w:p w14:paraId="7F0C3AF0">
                  <w:pPr>
                    <w:adjustRightInd w:val="0"/>
                    <w:snapToGrid w:val="0"/>
                    <w:jc w:val="center"/>
                    <w:rPr>
                      <w:b/>
                      <w:snapToGrid w:val="0"/>
                      <w:color w:val="auto"/>
                      <w:kern w:val="0"/>
                      <w:szCs w:val="21"/>
                      <w:highlight w:val="none"/>
                    </w:rPr>
                  </w:pPr>
                  <w:r>
                    <w:rPr>
                      <w:rFonts w:hint="eastAsia" w:hAnsi="宋体"/>
                      <w:b/>
                      <w:snapToGrid w:val="0"/>
                      <w:color w:val="auto"/>
                      <w:kern w:val="0"/>
                      <w:szCs w:val="21"/>
                      <w:highlight w:val="none"/>
                    </w:rPr>
                    <w:t>管控要求</w:t>
                  </w:r>
                </w:p>
              </w:tc>
              <w:tc>
                <w:tcPr>
                  <w:tcW w:w="2054" w:type="pct"/>
                  <w:vAlign w:val="center"/>
                </w:tcPr>
                <w:p w14:paraId="6BB53562">
                  <w:pPr>
                    <w:adjustRightInd w:val="0"/>
                    <w:snapToGrid w:val="0"/>
                    <w:jc w:val="center"/>
                    <w:rPr>
                      <w:b/>
                      <w:snapToGrid w:val="0"/>
                      <w:color w:val="auto"/>
                      <w:kern w:val="0"/>
                      <w:szCs w:val="21"/>
                      <w:highlight w:val="none"/>
                    </w:rPr>
                  </w:pPr>
                  <w:r>
                    <w:rPr>
                      <w:rFonts w:hAnsi="宋体"/>
                      <w:b/>
                      <w:snapToGrid w:val="0"/>
                      <w:color w:val="auto"/>
                      <w:kern w:val="0"/>
                      <w:szCs w:val="21"/>
                      <w:highlight w:val="none"/>
                    </w:rPr>
                    <w:t>相符性分析</w:t>
                  </w:r>
                </w:p>
              </w:tc>
            </w:tr>
            <w:tr w14:paraId="7439A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595" w:type="pct"/>
                  <w:vAlign w:val="center"/>
                </w:tcPr>
                <w:p w14:paraId="47EF4D5A">
                  <w:pPr>
                    <w:adjustRightInd w:val="0"/>
                    <w:snapToGrid w:val="0"/>
                    <w:jc w:val="center"/>
                    <w:rPr>
                      <w:snapToGrid w:val="0"/>
                      <w:color w:val="auto"/>
                      <w:kern w:val="0"/>
                      <w:szCs w:val="21"/>
                      <w:highlight w:val="none"/>
                    </w:rPr>
                  </w:pPr>
                  <w:r>
                    <w:rPr>
                      <w:rFonts w:hAnsi="宋体"/>
                      <w:snapToGrid w:val="0"/>
                      <w:color w:val="auto"/>
                      <w:kern w:val="0"/>
                      <w:szCs w:val="21"/>
                      <w:highlight w:val="none"/>
                    </w:rPr>
                    <w:t>空间布局约束</w:t>
                  </w:r>
                </w:p>
              </w:tc>
              <w:tc>
                <w:tcPr>
                  <w:tcW w:w="2349" w:type="pct"/>
                  <w:vAlign w:val="center"/>
                </w:tcPr>
                <w:p w14:paraId="4398BDF7">
                  <w:pPr>
                    <w:pStyle w:val="67"/>
                    <w:snapToGrid w:val="0"/>
                    <w:jc w:val="center"/>
                    <w:rPr>
                      <w:rFonts w:ascii="Times New Roman"/>
                      <w:snapToGrid w:val="0"/>
                      <w:color w:val="auto"/>
                      <w:kern w:val="2"/>
                      <w:sz w:val="21"/>
                      <w:szCs w:val="21"/>
                      <w:highlight w:val="none"/>
                    </w:rPr>
                  </w:pPr>
                  <w:r>
                    <w:rPr>
                      <w:rFonts w:ascii="Times New Roman" w:hAnsi="宋体"/>
                      <w:color w:val="auto"/>
                      <w:kern w:val="2"/>
                      <w:sz w:val="21"/>
                      <w:szCs w:val="21"/>
                      <w:highlight w:val="none"/>
                    </w:rPr>
                    <w:t>空间布局：进一步优化各分区的功能定位和产业结构，加快推进开发区内产业集聚和转型升级。统筹开发区内现有金属加工及制品、电子机械等产业的布局，进一步优化中心商务城用地布局，优化、整合滨江工业城各工业园区产业发展方向与结构，减缓对区域人居环境、水环境的影响。</w:t>
                  </w:r>
                </w:p>
              </w:tc>
              <w:tc>
                <w:tcPr>
                  <w:tcW w:w="2054" w:type="pct"/>
                  <w:vAlign w:val="center"/>
                </w:tcPr>
                <w:p w14:paraId="6F9C9CBF">
                  <w:pPr>
                    <w:adjustRightInd w:val="0"/>
                    <w:snapToGrid w:val="0"/>
                    <w:jc w:val="center"/>
                    <w:rPr>
                      <w:snapToGrid w:val="0"/>
                      <w:color w:val="auto"/>
                      <w:kern w:val="0"/>
                      <w:szCs w:val="21"/>
                      <w:highlight w:val="none"/>
                    </w:rPr>
                  </w:pPr>
                  <w:r>
                    <w:rPr>
                      <w:rFonts w:hint="eastAsia"/>
                      <w:snapToGrid w:val="0"/>
                      <w:color w:val="auto"/>
                      <w:kern w:val="0"/>
                      <w:szCs w:val="21"/>
                      <w:highlight w:val="none"/>
                    </w:rPr>
                    <w:t>本项目</w:t>
                  </w:r>
                  <w:r>
                    <w:rPr>
                      <w:color w:val="auto"/>
                      <w:kern w:val="0"/>
                      <w:szCs w:val="21"/>
                      <w:highlight w:val="none"/>
                    </w:rPr>
                    <w:t>位于</w:t>
                  </w:r>
                  <w:r>
                    <w:rPr>
                      <w:rFonts w:hint="eastAsia"/>
                      <w:color w:val="auto"/>
                      <w:kern w:val="0"/>
                      <w:szCs w:val="21"/>
                      <w:highlight w:val="none"/>
                    </w:rPr>
                    <w:t>南通市海门市经济开发区滨港大道2699号内52号楼，为C3670汽车零部件及配件制造，</w:t>
                  </w:r>
                  <w:r>
                    <w:rPr>
                      <w:snapToGrid w:val="0"/>
                      <w:color w:val="auto"/>
                      <w:kern w:val="0"/>
                      <w:szCs w:val="21"/>
                      <w:highlight w:val="none"/>
                    </w:rPr>
                    <w:t>不属于《产业结构调整指导目录》、《江苏省产业结构调整限制、淘汰和禁止目录》及其他相关法律法规中的限制类、淘汰类、禁止类项目</w:t>
                  </w:r>
                </w:p>
              </w:tc>
            </w:tr>
            <w:tr w14:paraId="1255B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Align w:val="center"/>
                </w:tcPr>
                <w:p w14:paraId="1573BBF7">
                  <w:pPr>
                    <w:adjustRightInd w:val="0"/>
                    <w:snapToGrid w:val="0"/>
                    <w:jc w:val="center"/>
                    <w:rPr>
                      <w:snapToGrid w:val="0"/>
                      <w:color w:val="auto"/>
                      <w:kern w:val="0"/>
                      <w:szCs w:val="21"/>
                      <w:highlight w:val="none"/>
                    </w:rPr>
                  </w:pPr>
                  <w:r>
                    <w:rPr>
                      <w:rFonts w:hAnsi="宋体"/>
                      <w:snapToGrid w:val="0"/>
                      <w:color w:val="auto"/>
                      <w:kern w:val="0"/>
                      <w:szCs w:val="21"/>
                      <w:highlight w:val="none"/>
                    </w:rPr>
                    <w:t>污染物排放管控</w:t>
                  </w:r>
                </w:p>
              </w:tc>
              <w:tc>
                <w:tcPr>
                  <w:tcW w:w="2349" w:type="pct"/>
                  <w:vAlign w:val="center"/>
                </w:tcPr>
                <w:p w14:paraId="65BB74E0">
                  <w:pPr>
                    <w:pStyle w:val="67"/>
                    <w:snapToGrid w:val="0"/>
                    <w:jc w:val="center"/>
                    <w:rPr>
                      <w:rFonts w:ascii="Times New Roman"/>
                      <w:snapToGrid w:val="0"/>
                      <w:color w:val="auto"/>
                      <w:kern w:val="2"/>
                      <w:sz w:val="21"/>
                      <w:szCs w:val="21"/>
                      <w:highlight w:val="none"/>
                    </w:rPr>
                  </w:pPr>
                  <w:r>
                    <w:rPr>
                      <w:rFonts w:ascii="Times New Roman" w:hAnsi="宋体"/>
                      <w:snapToGrid w:val="0"/>
                      <w:color w:val="auto"/>
                      <w:kern w:val="2"/>
                      <w:sz w:val="21"/>
                      <w:szCs w:val="21"/>
                      <w:highlight w:val="none"/>
                    </w:rPr>
                    <w:t>以规划环评（跟踪评价）及批复文件为准。</w:t>
                  </w:r>
                </w:p>
              </w:tc>
              <w:tc>
                <w:tcPr>
                  <w:tcW w:w="2054" w:type="pct"/>
                  <w:vAlign w:val="center"/>
                </w:tcPr>
                <w:p w14:paraId="3411A83D">
                  <w:pPr>
                    <w:adjustRightInd w:val="0"/>
                    <w:snapToGrid w:val="0"/>
                    <w:jc w:val="center"/>
                    <w:rPr>
                      <w:snapToGrid w:val="0"/>
                      <w:color w:val="auto"/>
                      <w:kern w:val="0"/>
                      <w:szCs w:val="21"/>
                      <w:highlight w:val="none"/>
                    </w:rPr>
                  </w:pPr>
                  <w:r>
                    <w:rPr>
                      <w:rFonts w:hint="eastAsia"/>
                      <w:snapToGrid w:val="0"/>
                      <w:color w:val="auto"/>
                      <w:kern w:val="0"/>
                      <w:szCs w:val="21"/>
                      <w:highlight w:val="none"/>
                    </w:rPr>
                    <w:t>本</w:t>
                  </w:r>
                  <w:r>
                    <w:rPr>
                      <w:snapToGrid w:val="0"/>
                      <w:color w:val="auto"/>
                      <w:kern w:val="0"/>
                      <w:szCs w:val="21"/>
                      <w:highlight w:val="none"/>
                    </w:rPr>
                    <w:t>项目总量在</w:t>
                  </w:r>
                  <w:r>
                    <w:rPr>
                      <w:rFonts w:hint="eastAsia"/>
                      <w:snapToGrid w:val="0"/>
                      <w:color w:val="auto"/>
                      <w:kern w:val="0"/>
                      <w:szCs w:val="21"/>
                      <w:highlight w:val="none"/>
                    </w:rPr>
                    <w:t>海门经济技术开发区</w:t>
                  </w:r>
                  <w:r>
                    <w:rPr>
                      <w:snapToGrid w:val="0"/>
                      <w:color w:val="auto"/>
                      <w:kern w:val="0"/>
                      <w:szCs w:val="21"/>
                      <w:highlight w:val="none"/>
                    </w:rPr>
                    <w:t>范围内平衡，不突破区域排放总量</w:t>
                  </w:r>
                </w:p>
              </w:tc>
            </w:tr>
            <w:tr w14:paraId="6DFBB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Merge w:val="restart"/>
                  <w:vAlign w:val="center"/>
                </w:tcPr>
                <w:p w14:paraId="1D958454">
                  <w:pPr>
                    <w:adjustRightInd w:val="0"/>
                    <w:snapToGrid w:val="0"/>
                    <w:jc w:val="center"/>
                    <w:rPr>
                      <w:snapToGrid w:val="0"/>
                      <w:color w:val="auto"/>
                      <w:kern w:val="0"/>
                      <w:szCs w:val="21"/>
                      <w:highlight w:val="none"/>
                    </w:rPr>
                  </w:pPr>
                  <w:r>
                    <w:rPr>
                      <w:rFonts w:hAnsi="宋体"/>
                      <w:snapToGrid w:val="0"/>
                      <w:color w:val="auto"/>
                      <w:kern w:val="0"/>
                      <w:szCs w:val="21"/>
                      <w:highlight w:val="none"/>
                    </w:rPr>
                    <w:t>环境风险防控</w:t>
                  </w:r>
                </w:p>
              </w:tc>
              <w:tc>
                <w:tcPr>
                  <w:tcW w:w="2349" w:type="pct"/>
                  <w:vAlign w:val="center"/>
                </w:tcPr>
                <w:p w14:paraId="12126EBA">
                  <w:pPr>
                    <w:pStyle w:val="67"/>
                    <w:snapToGrid w:val="0"/>
                    <w:jc w:val="center"/>
                    <w:rPr>
                      <w:rFonts w:ascii="Times New Roman"/>
                      <w:snapToGrid w:val="0"/>
                      <w:color w:val="auto"/>
                      <w:kern w:val="2"/>
                      <w:sz w:val="21"/>
                      <w:szCs w:val="21"/>
                      <w:highlight w:val="none"/>
                    </w:rPr>
                  </w:pPr>
                  <w:r>
                    <w:rPr>
                      <w:rFonts w:ascii="Times New Roman"/>
                      <w:snapToGrid w:val="0"/>
                      <w:color w:val="auto"/>
                      <w:kern w:val="2"/>
                      <w:sz w:val="21"/>
                      <w:szCs w:val="21"/>
                      <w:highlight w:val="none"/>
                    </w:rPr>
                    <w:t>1.</w:t>
                  </w:r>
                  <w:r>
                    <w:rPr>
                      <w:rFonts w:ascii="Times New Roman" w:hAnsi="宋体"/>
                      <w:snapToGrid w:val="0"/>
                      <w:color w:val="auto"/>
                      <w:kern w:val="2"/>
                      <w:sz w:val="21"/>
                      <w:szCs w:val="21"/>
                      <w:highlight w:val="none"/>
                    </w:rPr>
                    <w:t>建立健全区域环境风险防范体系和生态安全保障体系，建立应急响应联动机制，完善应急预案，提升开发区环境风险防控和应急响应能力，保障区域环境安全。</w:t>
                  </w:r>
                </w:p>
              </w:tc>
              <w:tc>
                <w:tcPr>
                  <w:tcW w:w="2054" w:type="pct"/>
                  <w:vAlign w:val="center"/>
                </w:tcPr>
                <w:p w14:paraId="4702F3B0">
                  <w:pPr>
                    <w:adjustRightInd w:val="0"/>
                    <w:snapToGrid w:val="0"/>
                    <w:jc w:val="center"/>
                    <w:rPr>
                      <w:snapToGrid w:val="0"/>
                      <w:color w:val="auto"/>
                      <w:kern w:val="0"/>
                      <w:szCs w:val="21"/>
                      <w:highlight w:val="none"/>
                    </w:rPr>
                  </w:pPr>
                  <w:r>
                    <w:rPr>
                      <w:rFonts w:hint="eastAsia"/>
                      <w:snapToGrid w:val="0"/>
                      <w:color w:val="auto"/>
                      <w:kern w:val="0"/>
                      <w:szCs w:val="21"/>
                      <w:highlight w:val="none"/>
                    </w:rPr>
                    <w:t>园区已落实</w:t>
                  </w:r>
                </w:p>
              </w:tc>
            </w:tr>
            <w:tr w14:paraId="4ACA0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Merge w:val="continue"/>
                  <w:vAlign w:val="center"/>
                </w:tcPr>
                <w:p w14:paraId="70FDAFD1">
                  <w:pPr>
                    <w:adjustRightInd w:val="0"/>
                    <w:snapToGrid w:val="0"/>
                    <w:jc w:val="center"/>
                    <w:rPr>
                      <w:snapToGrid w:val="0"/>
                      <w:color w:val="auto"/>
                      <w:kern w:val="0"/>
                      <w:szCs w:val="21"/>
                      <w:highlight w:val="none"/>
                    </w:rPr>
                  </w:pPr>
                </w:p>
              </w:tc>
              <w:tc>
                <w:tcPr>
                  <w:tcW w:w="2349" w:type="pct"/>
                  <w:vAlign w:val="center"/>
                </w:tcPr>
                <w:p w14:paraId="75033EA8">
                  <w:pPr>
                    <w:adjustRightInd w:val="0"/>
                    <w:snapToGrid w:val="0"/>
                    <w:jc w:val="center"/>
                    <w:rPr>
                      <w:snapToGrid w:val="0"/>
                      <w:color w:val="auto"/>
                      <w:kern w:val="0"/>
                      <w:szCs w:val="21"/>
                      <w:highlight w:val="none"/>
                    </w:rPr>
                  </w:pPr>
                  <w:r>
                    <w:rPr>
                      <w:snapToGrid w:val="0"/>
                      <w:color w:val="auto"/>
                      <w:szCs w:val="21"/>
                      <w:highlight w:val="none"/>
                    </w:rPr>
                    <w:t>2.</w:t>
                  </w:r>
                  <w:r>
                    <w:rPr>
                      <w:rFonts w:hAnsi="宋体"/>
                      <w:snapToGrid w:val="0"/>
                      <w:color w:val="auto"/>
                      <w:szCs w:val="21"/>
                      <w:highlight w:val="none"/>
                    </w:rPr>
                    <w:t>建立完善包括环境空气、地表水、地下水、土壤等环境要素的监控体系，做好长期跟踪监测与管理。</w:t>
                  </w:r>
                </w:p>
              </w:tc>
              <w:tc>
                <w:tcPr>
                  <w:tcW w:w="2054" w:type="pct"/>
                  <w:vAlign w:val="center"/>
                </w:tcPr>
                <w:p w14:paraId="6920F0BB">
                  <w:pPr>
                    <w:adjustRightInd w:val="0"/>
                    <w:snapToGrid w:val="0"/>
                    <w:jc w:val="center"/>
                    <w:rPr>
                      <w:snapToGrid w:val="0"/>
                      <w:color w:val="auto"/>
                      <w:kern w:val="0"/>
                      <w:szCs w:val="21"/>
                      <w:highlight w:val="none"/>
                    </w:rPr>
                  </w:pPr>
                  <w:r>
                    <w:rPr>
                      <w:rFonts w:hint="eastAsia"/>
                      <w:snapToGrid w:val="0"/>
                      <w:color w:val="auto"/>
                      <w:kern w:val="0"/>
                      <w:szCs w:val="21"/>
                      <w:highlight w:val="none"/>
                    </w:rPr>
                    <w:t>本项目不涉及</w:t>
                  </w:r>
                </w:p>
              </w:tc>
            </w:tr>
            <w:tr w14:paraId="7C958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Merge w:val="continue"/>
                  <w:vAlign w:val="center"/>
                </w:tcPr>
                <w:p w14:paraId="3808A0AD">
                  <w:pPr>
                    <w:adjustRightInd w:val="0"/>
                    <w:snapToGrid w:val="0"/>
                    <w:jc w:val="center"/>
                    <w:rPr>
                      <w:snapToGrid w:val="0"/>
                      <w:color w:val="auto"/>
                      <w:kern w:val="0"/>
                      <w:szCs w:val="21"/>
                      <w:highlight w:val="none"/>
                    </w:rPr>
                  </w:pPr>
                </w:p>
              </w:tc>
              <w:tc>
                <w:tcPr>
                  <w:tcW w:w="2349" w:type="pct"/>
                  <w:vAlign w:val="center"/>
                </w:tcPr>
                <w:p w14:paraId="01DA6405">
                  <w:pPr>
                    <w:adjustRightInd w:val="0"/>
                    <w:snapToGrid w:val="0"/>
                    <w:jc w:val="center"/>
                    <w:rPr>
                      <w:snapToGrid w:val="0"/>
                      <w:color w:val="auto"/>
                      <w:kern w:val="0"/>
                      <w:szCs w:val="21"/>
                      <w:highlight w:val="none"/>
                    </w:rPr>
                  </w:pPr>
                  <w:r>
                    <w:rPr>
                      <w:snapToGrid w:val="0"/>
                      <w:color w:val="auto"/>
                      <w:szCs w:val="21"/>
                      <w:highlight w:val="none"/>
                    </w:rPr>
                    <w:t>3.</w:t>
                  </w:r>
                  <w:r>
                    <w:rPr>
                      <w:rFonts w:hAnsi="宋体"/>
                      <w:snapToGrid w:val="0"/>
                      <w:color w:val="auto"/>
                      <w:szCs w:val="21"/>
                      <w:highlight w:val="none"/>
                    </w:rPr>
                    <w:t>按照相关管理要求申报、处置废弃危险化学品。强化对危险废物的收集、贮存和处置的监督管理，实现危险废物监管无盲区、无死角。</w:t>
                  </w:r>
                </w:p>
              </w:tc>
              <w:tc>
                <w:tcPr>
                  <w:tcW w:w="2054" w:type="pct"/>
                  <w:vAlign w:val="center"/>
                </w:tcPr>
                <w:p w14:paraId="1C006E60">
                  <w:pPr>
                    <w:adjustRightInd w:val="0"/>
                    <w:snapToGrid w:val="0"/>
                    <w:jc w:val="center"/>
                    <w:rPr>
                      <w:snapToGrid w:val="0"/>
                      <w:color w:val="auto"/>
                      <w:kern w:val="0"/>
                      <w:szCs w:val="21"/>
                      <w:highlight w:val="none"/>
                    </w:rPr>
                  </w:pPr>
                  <w:r>
                    <w:rPr>
                      <w:rFonts w:hint="eastAsia"/>
                      <w:snapToGrid w:val="0"/>
                      <w:color w:val="auto"/>
                      <w:kern w:val="0"/>
                      <w:szCs w:val="21"/>
                      <w:highlight w:val="none"/>
                    </w:rPr>
                    <w:t>本项目拟按照</w:t>
                  </w:r>
                  <w:r>
                    <w:rPr>
                      <w:snapToGrid w:val="0"/>
                      <w:color w:val="auto"/>
                      <w:kern w:val="0"/>
                      <w:szCs w:val="21"/>
                      <w:highlight w:val="none"/>
                    </w:rPr>
                    <w:t>《危险废物贮存污染控制标准》(GB18597-2001)及修改单、《省生态环境厅关于进一步加强危险废物污染防治工作的实施意见》（苏环办[2019]327号）要求</w:t>
                  </w:r>
                  <w:r>
                    <w:rPr>
                      <w:rFonts w:hint="eastAsia"/>
                      <w:snapToGrid w:val="0"/>
                      <w:color w:val="auto"/>
                      <w:kern w:val="0"/>
                      <w:szCs w:val="21"/>
                      <w:highlight w:val="none"/>
                    </w:rPr>
                    <w:t>建成一个30m</w:t>
                  </w:r>
                  <w:r>
                    <w:rPr>
                      <w:rFonts w:hint="eastAsia"/>
                      <w:snapToGrid w:val="0"/>
                      <w:color w:val="auto"/>
                      <w:kern w:val="0"/>
                      <w:szCs w:val="21"/>
                      <w:highlight w:val="none"/>
                      <w:vertAlign w:val="superscript"/>
                    </w:rPr>
                    <w:t>2</w:t>
                  </w:r>
                  <w:r>
                    <w:rPr>
                      <w:rFonts w:hint="eastAsia"/>
                      <w:snapToGrid w:val="0"/>
                      <w:color w:val="auto"/>
                      <w:kern w:val="0"/>
                      <w:szCs w:val="21"/>
                      <w:highlight w:val="none"/>
                    </w:rPr>
                    <w:t>的危废仓库，危险废物经收集后暂存于危废仓库，定期委托有资质单位处置</w:t>
                  </w:r>
                </w:p>
              </w:tc>
            </w:tr>
            <w:tr w14:paraId="32066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Merge w:val="restart"/>
                  <w:vAlign w:val="center"/>
                </w:tcPr>
                <w:p w14:paraId="3780E5DE">
                  <w:pPr>
                    <w:adjustRightInd w:val="0"/>
                    <w:snapToGrid w:val="0"/>
                    <w:jc w:val="center"/>
                    <w:rPr>
                      <w:snapToGrid w:val="0"/>
                      <w:color w:val="auto"/>
                      <w:kern w:val="0"/>
                      <w:szCs w:val="21"/>
                      <w:highlight w:val="none"/>
                    </w:rPr>
                  </w:pPr>
                  <w:r>
                    <w:rPr>
                      <w:rFonts w:hAnsi="宋体"/>
                      <w:snapToGrid w:val="0"/>
                      <w:color w:val="auto"/>
                      <w:kern w:val="0"/>
                      <w:szCs w:val="21"/>
                      <w:highlight w:val="none"/>
                    </w:rPr>
                    <w:t>资源开发效率要求</w:t>
                  </w:r>
                </w:p>
              </w:tc>
              <w:tc>
                <w:tcPr>
                  <w:tcW w:w="2349" w:type="pct"/>
                  <w:vAlign w:val="center"/>
                </w:tcPr>
                <w:p w14:paraId="2271127D">
                  <w:pPr>
                    <w:pStyle w:val="67"/>
                    <w:snapToGrid w:val="0"/>
                    <w:jc w:val="center"/>
                    <w:rPr>
                      <w:rFonts w:ascii="Times New Roman"/>
                      <w:snapToGrid w:val="0"/>
                      <w:color w:val="auto"/>
                      <w:kern w:val="2"/>
                      <w:sz w:val="21"/>
                      <w:szCs w:val="21"/>
                      <w:highlight w:val="none"/>
                    </w:rPr>
                  </w:pPr>
                  <w:r>
                    <w:rPr>
                      <w:rFonts w:ascii="Times New Roman"/>
                      <w:snapToGrid w:val="0"/>
                      <w:color w:val="auto"/>
                      <w:kern w:val="2"/>
                      <w:sz w:val="21"/>
                      <w:szCs w:val="21"/>
                      <w:highlight w:val="none"/>
                    </w:rPr>
                    <w:t>1.</w:t>
                  </w:r>
                  <w:r>
                    <w:rPr>
                      <w:rFonts w:ascii="Times New Roman" w:hAnsi="宋体"/>
                      <w:snapToGrid w:val="0"/>
                      <w:color w:val="auto"/>
                      <w:kern w:val="2"/>
                      <w:sz w:val="21"/>
                      <w:szCs w:val="21"/>
                      <w:highlight w:val="none"/>
                    </w:rPr>
                    <w:t>结合区域环境质量改善目标要求，衔接区域水资源、能源利用总量管控目标，进一步优化开发区内能源结构，提升水资源、能源利用效率。引进项目的生产工艺、污染治理技术，以及单位产品能耗、物耗、污染物排放强度和资源利用效率等均需达到同行业先进水平。</w:t>
                  </w:r>
                </w:p>
              </w:tc>
              <w:tc>
                <w:tcPr>
                  <w:tcW w:w="2054" w:type="pct"/>
                  <w:vAlign w:val="center"/>
                </w:tcPr>
                <w:p w14:paraId="5FB8ACAD">
                  <w:pPr>
                    <w:adjustRightInd w:val="0"/>
                    <w:snapToGrid w:val="0"/>
                    <w:jc w:val="center"/>
                    <w:rPr>
                      <w:snapToGrid w:val="0"/>
                      <w:color w:val="auto"/>
                      <w:kern w:val="0"/>
                      <w:szCs w:val="21"/>
                      <w:highlight w:val="none"/>
                    </w:rPr>
                  </w:pPr>
                  <w:r>
                    <w:rPr>
                      <w:snapToGrid w:val="0"/>
                      <w:color w:val="auto"/>
                      <w:kern w:val="0"/>
                      <w:szCs w:val="21"/>
                      <w:highlight w:val="none"/>
                    </w:rPr>
                    <w:t>本项目所使用的能源主要为水和电能，物耗及能耗水平均较低。本项目所选工艺设备选用了高效、先进的设备，自动化程度较高，提高了生产效率，减少了产品的损耗率，减少了原料的用量和废料的产生量</w:t>
                  </w:r>
                </w:p>
              </w:tc>
            </w:tr>
            <w:tr w14:paraId="5113D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95" w:type="pct"/>
                  <w:vMerge w:val="continue"/>
                  <w:vAlign w:val="center"/>
                </w:tcPr>
                <w:p w14:paraId="7D133B58">
                  <w:pPr>
                    <w:adjustRightInd w:val="0"/>
                    <w:snapToGrid w:val="0"/>
                    <w:jc w:val="center"/>
                    <w:rPr>
                      <w:snapToGrid w:val="0"/>
                      <w:color w:val="auto"/>
                      <w:kern w:val="0"/>
                      <w:szCs w:val="21"/>
                      <w:highlight w:val="none"/>
                    </w:rPr>
                  </w:pPr>
                </w:p>
              </w:tc>
              <w:tc>
                <w:tcPr>
                  <w:tcW w:w="2349" w:type="pct"/>
                  <w:vAlign w:val="center"/>
                </w:tcPr>
                <w:p w14:paraId="02148BD8">
                  <w:pPr>
                    <w:adjustRightInd w:val="0"/>
                    <w:snapToGrid w:val="0"/>
                    <w:jc w:val="center"/>
                    <w:rPr>
                      <w:snapToGrid w:val="0"/>
                      <w:color w:val="auto"/>
                      <w:kern w:val="0"/>
                      <w:szCs w:val="21"/>
                      <w:highlight w:val="none"/>
                    </w:rPr>
                  </w:pPr>
                  <w:r>
                    <w:rPr>
                      <w:snapToGrid w:val="0"/>
                      <w:color w:val="auto"/>
                      <w:szCs w:val="21"/>
                      <w:highlight w:val="none"/>
                    </w:rPr>
                    <w:t>2.</w:t>
                  </w:r>
                  <w:r>
                    <w:rPr>
                      <w:rFonts w:hAnsi="宋体"/>
                      <w:snapToGrid w:val="0"/>
                      <w:color w:val="auto"/>
                      <w:szCs w:val="21"/>
                      <w:highlight w:val="none"/>
                    </w:rPr>
                    <w:t>禁止销售使用燃料为</w:t>
                  </w:r>
                  <w:r>
                    <w:rPr>
                      <w:snapToGrid w:val="0"/>
                      <w:color w:val="auto"/>
                      <w:szCs w:val="21"/>
                      <w:highlight w:val="none"/>
                    </w:rPr>
                    <w:t>“</w:t>
                  </w:r>
                  <w:r>
                    <w:rPr>
                      <w:rFonts w:hAnsi="宋体"/>
                      <w:snapToGrid w:val="0"/>
                      <w:color w:val="auto"/>
                      <w:szCs w:val="21"/>
                      <w:highlight w:val="none"/>
                    </w:rPr>
                    <w:t>Ⅲ类</w:t>
                  </w:r>
                  <w:r>
                    <w:rPr>
                      <w:snapToGrid w:val="0"/>
                      <w:color w:val="auto"/>
                      <w:szCs w:val="21"/>
                      <w:highlight w:val="none"/>
                    </w:rPr>
                    <w:t>”</w:t>
                  </w:r>
                  <w:r>
                    <w:rPr>
                      <w:rFonts w:hAnsi="宋体"/>
                      <w:snapToGrid w:val="0"/>
                      <w:color w:val="auto"/>
                      <w:szCs w:val="21"/>
                      <w:highlight w:val="none"/>
                    </w:rPr>
                    <w:t>（严格），具体包括：（</w:t>
                  </w:r>
                  <w:r>
                    <w:rPr>
                      <w:snapToGrid w:val="0"/>
                      <w:color w:val="auto"/>
                      <w:szCs w:val="21"/>
                      <w:highlight w:val="none"/>
                    </w:rPr>
                    <w:t>1</w:t>
                  </w:r>
                  <w:r>
                    <w:rPr>
                      <w:rFonts w:hAnsi="宋体"/>
                      <w:snapToGrid w:val="0"/>
                      <w:color w:val="auto"/>
                      <w:szCs w:val="21"/>
                      <w:highlight w:val="none"/>
                    </w:rPr>
                    <w:t>）煤炭及其制品（包括原煤、散煤、煤矸石、煤泥、煤粉、水煤浆、型煤、焦炭、兰炭等）；（</w:t>
                  </w:r>
                  <w:r>
                    <w:rPr>
                      <w:snapToGrid w:val="0"/>
                      <w:color w:val="auto"/>
                      <w:szCs w:val="21"/>
                      <w:highlight w:val="none"/>
                    </w:rPr>
                    <w:t>2</w:t>
                  </w:r>
                  <w:r>
                    <w:rPr>
                      <w:rFonts w:hAnsi="宋体"/>
                      <w:snapToGrid w:val="0"/>
                      <w:color w:val="auto"/>
                      <w:szCs w:val="21"/>
                      <w:highlight w:val="none"/>
                    </w:rPr>
                    <w:t>）石油焦、油页岩、原油、重油、渣油、煤焦油；（</w:t>
                  </w:r>
                  <w:r>
                    <w:rPr>
                      <w:snapToGrid w:val="0"/>
                      <w:color w:val="auto"/>
                      <w:szCs w:val="21"/>
                      <w:highlight w:val="none"/>
                    </w:rPr>
                    <w:t>3</w:t>
                  </w:r>
                  <w:r>
                    <w:rPr>
                      <w:rFonts w:hAnsi="宋体"/>
                      <w:snapToGrid w:val="0"/>
                      <w:color w:val="auto"/>
                      <w:szCs w:val="21"/>
                      <w:highlight w:val="none"/>
                    </w:rPr>
                    <w:t>）非专用锅炉或未配置高效除尘设施的专用锅炉燃用的生物质成型燃料；（</w:t>
                  </w:r>
                  <w:r>
                    <w:rPr>
                      <w:snapToGrid w:val="0"/>
                      <w:color w:val="auto"/>
                      <w:szCs w:val="21"/>
                      <w:highlight w:val="none"/>
                    </w:rPr>
                    <w:t>4</w:t>
                  </w:r>
                  <w:r>
                    <w:rPr>
                      <w:rFonts w:hAnsi="宋体"/>
                      <w:snapToGrid w:val="0"/>
                      <w:color w:val="auto"/>
                      <w:szCs w:val="21"/>
                      <w:highlight w:val="none"/>
                    </w:rPr>
                    <w:t>）国家规定的其它高污染燃料。</w:t>
                  </w:r>
                </w:p>
              </w:tc>
              <w:tc>
                <w:tcPr>
                  <w:tcW w:w="2054" w:type="pct"/>
                  <w:vAlign w:val="center"/>
                </w:tcPr>
                <w:p w14:paraId="7F0C6187">
                  <w:pPr>
                    <w:adjustRightInd w:val="0"/>
                    <w:snapToGrid w:val="0"/>
                    <w:jc w:val="center"/>
                    <w:rPr>
                      <w:snapToGrid w:val="0"/>
                      <w:color w:val="auto"/>
                      <w:kern w:val="0"/>
                      <w:szCs w:val="21"/>
                      <w:highlight w:val="none"/>
                    </w:rPr>
                  </w:pPr>
                  <w:r>
                    <w:rPr>
                      <w:rFonts w:hint="eastAsia"/>
                      <w:snapToGrid w:val="0"/>
                      <w:color w:val="auto"/>
                      <w:kern w:val="0"/>
                      <w:szCs w:val="21"/>
                      <w:highlight w:val="none"/>
                    </w:rPr>
                    <w:t>本项目不涉及</w:t>
                  </w:r>
                </w:p>
              </w:tc>
            </w:tr>
          </w:tbl>
          <w:p w14:paraId="1B84D6EE">
            <w:pPr>
              <w:adjustRightInd w:val="0"/>
              <w:snapToGrid w:val="0"/>
              <w:rPr>
                <w:rFonts w:hAnsi="宋体"/>
                <w:snapToGrid w:val="0"/>
                <w:color w:val="auto"/>
                <w:kern w:val="0"/>
                <w:sz w:val="10"/>
                <w:szCs w:val="10"/>
                <w:highlight w:val="none"/>
              </w:rPr>
            </w:pPr>
          </w:p>
          <w:p w14:paraId="087B4F96">
            <w:pPr>
              <w:adjustRightInd w:val="0"/>
              <w:snapToGrid w:val="0"/>
              <w:spacing w:line="360" w:lineRule="auto"/>
              <w:ind w:firstLine="480" w:firstLineChars="200"/>
              <w:rPr>
                <w:rFonts w:hAnsi="宋体"/>
                <w:color w:val="auto"/>
                <w:szCs w:val="21"/>
                <w:highlight w:val="none"/>
              </w:rPr>
            </w:pPr>
            <w:r>
              <w:rPr>
                <w:rFonts w:hint="eastAsia" w:hAnsi="宋体"/>
                <w:snapToGrid w:val="0"/>
                <w:color w:val="auto"/>
                <w:kern w:val="0"/>
                <w:sz w:val="24"/>
                <w:highlight w:val="none"/>
              </w:rPr>
              <w:t>本项目与《南通市“三线一单”生态环境分区管控实施方案》(通政办规[2021]4号)中要求相符。</w:t>
            </w:r>
          </w:p>
          <w:p w14:paraId="1116DC28">
            <w:pPr>
              <w:adjustRightInd w:val="0"/>
              <w:snapToGrid w:val="0"/>
              <w:spacing w:line="360" w:lineRule="auto"/>
              <w:ind w:firstLine="480" w:firstLineChars="200"/>
              <w:rPr>
                <w:color w:val="auto"/>
                <w:sz w:val="24"/>
                <w:highlight w:val="none"/>
              </w:rPr>
            </w:pPr>
            <w:r>
              <w:rPr>
                <w:rFonts w:hAnsi="宋体"/>
                <w:color w:val="auto"/>
                <w:sz w:val="24"/>
                <w:highlight w:val="none"/>
              </w:rPr>
              <w:t>综上所述，本项目符合</w:t>
            </w:r>
            <w:r>
              <w:rPr>
                <w:color w:val="auto"/>
                <w:sz w:val="24"/>
                <w:highlight w:val="none"/>
              </w:rPr>
              <w:t>“</w:t>
            </w:r>
            <w:r>
              <w:rPr>
                <w:rFonts w:hAnsi="宋体"/>
                <w:color w:val="auto"/>
                <w:sz w:val="24"/>
                <w:highlight w:val="none"/>
              </w:rPr>
              <w:t>三线一单</w:t>
            </w:r>
            <w:r>
              <w:rPr>
                <w:color w:val="auto"/>
                <w:sz w:val="24"/>
                <w:highlight w:val="none"/>
              </w:rPr>
              <w:t>”</w:t>
            </w:r>
            <w:r>
              <w:rPr>
                <w:rFonts w:hAnsi="宋体"/>
                <w:color w:val="auto"/>
                <w:sz w:val="24"/>
                <w:highlight w:val="none"/>
              </w:rPr>
              <w:t>要求。</w:t>
            </w:r>
          </w:p>
          <w:p w14:paraId="6FA2F0CD">
            <w:pPr>
              <w:adjustRightInd w:val="0"/>
              <w:snapToGrid w:val="0"/>
              <w:spacing w:line="348" w:lineRule="auto"/>
              <w:ind w:firstLine="424" w:firstLineChars="201"/>
              <w:rPr>
                <w:b/>
                <w:snapToGrid w:val="0"/>
                <w:color w:val="auto"/>
                <w:sz w:val="24"/>
                <w:highlight w:val="none"/>
                <w:lang w:val="zh-CN"/>
              </w:rPr>
            </w:pPr>
            <w:r>
              <w:rPr>
                <w:rFonts w:hint="eastAsia" w:hAnsi="宋体"/>
                <w:b/>
                <w:snapToGrid w:val="0"/>
                <w:color w:val="auto"/>
                <w:kern w:val="0"/>
                <w:szCs w:val="21"/>
                <w:highlight w:val="none"/>
              </w:rPr>
              <w:t>（2）</w:t>
            </w:r>
            <w:r>
              <w:rPr>
                <w:rFonts w:hAnsi="宋体"/>
                <w:b/>
                <w:snapToGrid w:val="0"/>
                <w:color w:val="auto"/>
                <w:sz w:val="24"/>
                <w:highlight w:val="none"/>
                <w:lang w:val="zh-CN"/>
              </w:rPr>
              <w:t>与</w:t>
            </w:r>
            <w:r>
              <w:rPr>
                <w:b/>
                <w:snapToGrid w:val="0"/>
                <w:color w:val="auto"/>
                <w:sz w:val="24"/>
                <w:highlight w:val="none"/>
                <w:lang w:val="zh-CN"/>
              </w:rPr>
              <w:t>“</w:t>
            </w:r>
            <w:r>
              <w:rPr>
                <w:rFonts w:hAnsi="宋体"/>
                <w:b/>
                <w:snapToGrid w:val="0"/>
                <w:color w:val="auto"/>
                <w:sz w:val="24"/>
                <w:highlight w:val="none"/>
                <w:lang w:val="zh-CN"/>
              </w:rPr>
              <w:t>两减六治三提升</w:t>
            </w:r>
            <w:r>
              <w:rPr>
                <w:b/>
                <w:snapToGrid w:val="0"/>
                <w:color w:val="auto"/>
                <w:sz w:val="24"/>
                <w:highlight w:val="none"/>
                <w:lang w:val="zh-CN"/>
              </w:rPr>
              <w:t>”</w:t>
            </w:r>
            <w:r>
              <w:rPr>
                <w:rFonts w:hAnsi="宋体"/>
                <w:b/>
                <w:snapToGrid w:val="0"/>
                <w:color w:val="auto"/>
                <w:sz w:val="24"/>
                <w:highlight w:val="none"/>
                <w:lang w:val="zh-CN"/>
              </w:rPr>
              <w:t>专项行动相符性分析</w:t>
            </w:r>
          </w:p>
          <w:p w14:paraId="11CB542C">
            <w:pPr>
              <w:adjustRightInd w:val="0"/>
              <w:snapToGrid w:val="0"/>
              <w:spacing w:line="360" w:lineRule="auto"/>
              <w:ind w:firstLine="482" w:firstLineChars="201"/>
              <w:rPr>
                <w:snapToGrid w:val="0"/>
                <w:color w:val="auto"/>
                <w:kern w:val="0"/>
                <w:sz w:val="24"/>
                <w:highlight w:val="none"/>
              </w:rPr>
            </w:pPr>
            <w:r>
              <w:rPr>
                <w:rFonts w:hAnsi="宋体"/>
                <w:snapToGrid w:val="0"/>
                <w:color w:val="auto"/>
                <w:kern w:val="0"/>
                <w:sz w:val="24"/>
                <w:highlight w:val="none"/>
              </w:rPr>
              <w:t>对照《中共江苏省委江苏省人民政府关于印发两减六治三提升专项行动方案的通知》（苏发</w:t>
            </w:r>
            <w:r>
              <w:rPr>
                <w:snapToGrid w:val="0"/>
                <w:color w:val="auto"/>
                <w:kern w:val="0"/>
                <w:sz w:val="24"/>
                <w:highlight w:val="none"/>
              </w:rPr>
              <w:t>[2016]47</w:t>
            </w:r>
            <w:r>
              <w:rPr>
                <w:rFonts w:hAnsi="宋体"/>
                <w:snapToGrid w:val="0"/>
                <w:color w:val="auto"/>
                <w:kern w:val="0"/>
                <w:sz w:val="24"/>
                <w:highlight w:val="none"/>
              </w:rPr>
              <w:t>号）中江苏省挥发性有机物污染治理专项行动实施方案、《南通市</w:t>
            </w:r>
            <w:r>
              <w:rPr>
                <w:snapToGrid w:val="0"/>
                <w:color w:val="auto"/>
                <w:kern w:val="0"/>
                <w:sz w:val="24"/>
                <w:highlight w:val="none"/>
              </w:rPr>
              <w:t>“</w:t>
            </w:r>
            <w:r>
              <w:rPr>
                <w:rFonts w:hAnsi="宋体"/>
                <w:snapToGrid w:val="0"/>
                <w:color w:val="auto"/>
                <w:kern w:val="0"/>
                <w:sz w:val="24"/>
                <w:highlight w:val="none"/>
              </w:rPr>
              <w:t>两减六治三提升</w:t>
            </w:r>
            <w:r>
              <w:rPr>
                <w:snapToGrid w:val="0"/>
                <w:color w:val="auto"/>
                <w:kern w:val="0"/>
                <w:sz w:val="24"/>
                <w:highlight w:val="none"/>
              </w:rPr>
              <w:t>”</w:t>
            </w:r>
            <w:r>
              <w:rPr>
                <w:rFonts w:hAnsi="宋体"/>
                <w:snapToGrid w:val="0"/>
                <w:color w:val="auto"/>
                <w:kern w:val="0"/>
                <w:sz w:val="24"/>
                <w:highlight w:val="none"/>
              </w:rPr>
              <w:t>专项行动实施方案》（通政办发</w:t>
            </w:r>
            <w:r>
              <w:rPr>
                <w:snapToGrid w:val="0"/>
                <w:color w:val="auto"/>
                <w:kern w:val="0"/>
                <w:sz w:val="24"/>
                <w:highlight w:val="none"/>
              </w:rPr>
              <w:t>[2017]55</w:t>
            </w:r>
            <w:r>
              <w:rPr>
                <w:rFonts w:hAnsi="宋体"/>
                <w:snapToGrid w:val="0"/>
                <w:color w:val="auto"/>
                <w:kern w:val="0"/>
                <w:sz w:val="24"/>
                <w:highlight w:val="none"/>
              </w:rPr>
              <w:t>号）要求，</w:t>
            </w:r>
            <w:r>
              <w:rPr>
                <w:snapToGrid w:val="0"/>
                <w:color w:val="auto"/>
                <w:kern w:val="0"/>
                <w:sz w:val="24"/>
                <w:highlight w:val="none"/>
              </w:rPr>
              <w:t>“2017</w:t>
            </w:r>
            <w:r>
              <w:rPr>
                <w:rFonts w:hAnsi="宋体"/>
                <w:snapToGrid w:val="0"/>
                <w:color w:val="auto"/>
                <w:kern w:val="0"/>
                <w:sz w:val="24"/>
                <w:highlight w:val="none"/>
              </w:rPr>
              <w:t>年底前，包装印刷、集装箱、交通工具、机械设备、人造板、家具、船舶制造等行业，全面使用低</w:t>
            </w:r>
            <w:r>
              <w:rPr>
                <w:snapToGrid w:val="0"/>
                <w:color w:val="auto"/>
                <w:kern w:val="0"/>
                <w:sz w:val="24"/>
                <w:highlight w:val="none"/>
              </w:rPr>
              <w:t>VOCs</w:t>
            </w:r>
            <w:r>
              <w:rPr>
                <w:rFonts w:hAnsi="宋体"/>
                <w:snapToGrid w:val="0"/>
                <w:color w:val="auto"/>
                <w:kern w:val="0"/>
                <w:sz w:val="24"/>
                <w:highlight w:val="none"/>
              </w:rPr>
              <w:t>含量的涂料、胶黏剂、清洗剂、油墨替代原有的有机溶剂</w:t>
            </w:r>
            <w:r>
              <w:rPr>
                <w:snapToGrid w:val="0"/>
                <w:color w:val="auto"/>
                <w:kern w:val="0"/>
                <w:sz w:val="24"/>
                <w:highlight w:val="none"/>
              </w:rPr>
              <w:t>”</w:t>
            </w:r>
            <w:r>
              <w:rPr>
                <w:rFonts w:hAnsi="宋体"/>
                <w:snapToGrid w:val="0"/>
                <w:color w:val="auto"/>
                <w:kern w:val="0"/>
                <w:sz w:val="24"/>
                <w:highlight w:val="none"/>
              </w:rPr>
              <w:t>。</w:t>
            </w:r>
          </w:p>
          <w:p w14:paraId="41DF7C47">
            <w:pPr>
              <w:adjustRightInd w:val="0"/>
              <w:snapToGrid w:val="0"/>
              <w:spacing w:line="360" w:lineRule="auto"/>
              <w:ind w:firstLine="482" w:firstLineChars="201"/>
              <w:rPr>
                <w:color w:val="auto"/>
                <w:sz w:val="24"/>
                <w:highlight w:val="none"/>
              </w:rPr>
            </w:pPr>
            <w:r>
              <w:rPr>
                <w:rFonts w:hAnsi="宋体"/>
                <w:snapToGrid w:val="0"/>
                <w:color w:val="auto"/>
                <w:kern w:val="0"/>
                <w:sz w:val="24"/>
                <w:highlight w:val="none"/>
              </w:rPr>
              <w:t>本项目为汽车零部件及配件制造项目</w:t>
            </w:r>
            <w:r>
              <w:rPr>
                <w:rFonts w:hint="eastAsia" w:hAnsi="宋体"/>
                <w:snapToGrid w:val="0"/>
                <w:color w:val="auto"/>
                <w:kern w:val="0"/>
                <w:sz w:val="24"/>
                <w:highlight w:val="none"/>
              </w:rPr>
              <w:t>，不属于</w:t>
            </w:r>
            <w:r>
              <w:rPr>
                <w:rFonts w:hAnsi="宋体"/>
                <w:snapToGrid w:val="0"/>
                <w:color w:val="auto"/>
                <w:sz w:val="24"/>
                <w:highlight w:val="none"/>
              </w:rPr>
              <w:t>包装印刷、集装箱、交通工具、机械设备、人造板、家具、船舶制造等行业</w:t>
            </w:r>
            <w:r>
              <w:rPr>
                <w:rFonts w:hAnsi="宋体"/>
                <w:snapToGrid w:val="0"/>
                <w:color w:val="auto"/>
                <w:kern w:val="0"/>
                <w:sz w:val="24"/>
                <w:highlight w:val="none"/>
              </w:rPr>
              <w:t>，</w:t>
            </w:r>
            <w:r>
              <w:rPr>
                <w:rFonts w:hint="eastAsia" w:hAnsi="宋体"/>
                <w:snapToGrid w:val="0"/>
                <w:color w:val="auto"/>
                <w:kern w:val="0"/>
                <w:sz w:val="24"/>
                <w:highlight w:val="none"/>
              </w:rPr>
              <w:t>本项目转子生产使用聚酯树脂胶，定子生产使用浸渍树脂胶，根据聚酯树脂胶、浸渍树脂MSDS，聚酯树脂胶中可挥发性有机成分二甲苯占0.3%，则挥发性有机物（VOCs）含量约为3.15g/L，浸渍树脂中可挥发性有机成分检测报告，挥发性有机物（VOCs）含量约为122g/L，因此使用的聚氨酯树脂、</w:t>
            </w:r>
            <w:r>
              <w:rPr>
                <w:rFonts w:hint="eastAsia"/>
                <w:snapToGrid w:val="0"/>
                <w:color w:val="auto"/>
                <w:kern w:val="0"/>
                <w:sz w:val="24"/>
                <w:highlight w:val="none"/>
              </w:rPr>
              <w:t>浸渍树脂胶均为低VOCs物料</w:t>
            </w:r>
            <w:r>
              <w:rPr>
                <w:rFonts w:hAnsi="宋体"/>
                <w:snapToGrid w:val="0"/>
                <w:color w:val="auto"/>
                <w:kern w:val="0"/>
                <w:sz w:val="24"/>
                <w:highlight w:val="none"/>
              </w:rPr>
              <w:t>，</w:t>
            </w:r>
            <w:r>
              <w:rPr>
                <w:rFonts w:hint="eastAsia" w:hAnsi="宋体"/>
                <w:snapToGrid w:val="0"/>
                <w:color w:val="auto"/>
                <w:kern w:val="0"/>
                <w:sz w:val="24"/>
                <w:highlight w:val="none"/>
              </w:rPr>
              <w:t>生产工艺</w:t>
            </w:r>
            <w:r>
              <w:rPr>
                <w:rFonts w:hAnsi="宋体"/>
                <w:snapToGrid w:val="0"/>
                <w:color w:val="auto"/>
                <w:kern w:val="0"/>
                <w:sz w:val="24"/>
                <w:highlight w:val="none"/>
              </w:rPr>
              <w:t>产生的有机废气经集气罩</w:t>
            </w:r>
            <w:r>
              <w:rPr>
                <w:rFonts w:hint="eastAsia" w:hAnsi="宋体"/>
                <w:snapToGrid w:val="0"/>
                <w:color w:val="auto"/>
                <w:kern w:val="0"/>
                <w:sz w:val="24"/>
                <w:highlight w:val="none"/>
              </w:rPr>
              <w:t>、设备密闭管道</w:t>
            </w:r>
            <w:r>
              <w:rPr>
                <w:rFonts w:hAnsi="宋体"/>
                <w:snapToGrid w:val="0"/>
                <w:color w:val="auto"/>
                <w:kern w:val="0"/>
                <w:sz w:val="24"/>
                <w:highlight w:val="none"/>
              </w:rPr>
              <w:t>收集（收集效率</w:t>
            </w:r>
            <w:r>
              <w:rPr>
                <w:snapToGrid w:val="0"/>
                <w:color w:val="auto"/>
                <w:kern w:val="0"/>
                <w:sz w:val="24"/>
                <w:highlight w:val="none"/>
              </w:rPr>
              <w:t>90%</w:t>
            </w:r>
            <w:r>
              <w:rPr>
                <w:rFonts w:hAnsi="宋体"/>
                <w:snapToGrid w:val="0"/>
                <w:color w:val="auto"/>
                <w:kern w:val="0"/>
                <w:sz w:val="24"/>
                <w:highlight w:val="none"/>
              </w:rPr>
              <w:t>）后经</w:t>
            </w:r>
            <w:r>
              <w:rPr>
                <w:rStyle w:val="29"/>
                <w:rFonts w:hint="default"/>
                <w:color w:val="auto"/>
                <w:kern w:val="0"/>
                <w:sz w:val="24"/>
                <w:highlight w:val="none"/>
              </w:rPr>
              <w:t>三级活性炭</w:t>
            </w:r>
            <w:r>
              <w:rPr>
                <w:rFonts w:hint="eastAsia" w:hAnsi="宋体"/>
                <w:snapToGrid w:val="0"/>
                <w:color w:val="auto"/>
                <w:kern w:val="0"/>
                <w:sz w:val="24"/>
                <w:highlight w:val="none"/>
              </w:rPr>
              <w:t>吸附</w:t>
            </w:r>
            <w:r>
              <w:rPr>
                <w:rFonts w:hAnsi="宋体"/>
                <w:snapToGrid w:val="0"/>
                <w:color w:val="auto"/>
                <w:kern w:val="0"/>
                <w:sz w:val="24"/>
                <w:highlight w:val="none"/>
              </w:rPr>
              <w:t>装置（处理效率</w:t>
            </w:r>
            <w:r>
              <w:rPr>
                <w:snapToGrid w:val="0"/>
                <w:color w:val="auto"/>
                <w:kern w:val="0"/>
                <w:sz w:val="24"/>
                <w:highlight w:val="none"/>
              </w:rPr>
              <w:t>93%</w:t>
            </w:r>
            <w:r>
              <w:rPr>
                <w:rFonts w:hAnsi="宋体"/>
                <w:snapToGrid w:val="0"/>
                <w:color w:val="auto"/>
                <w:kern w:val="0"/>
                <w:sz w:val="24"/>
                <w:highlight w:val="none"/>
              </w:rPr>
              <w:t>）处理后达标排放。因此，本项目符合《</w:t>
            </w:r>
            <w:r>
              <w:rPr>
                <w:snapToGrid w:val="0"/>
                <w:color w:val="auto"/>
                <w:kern w:val="0"/>
                <w:sz w:val="24"/>
                <w:highlight w:val="none"/>
              </w:rPr>
              <w:t>“</w:t>
            </w:r>
            <w:r>
              <w:rPr>
                <w:rFonts w:hAnsi="宋体"/>
                <w:snapToGrid w:val="0"/>
                <w:color w:val="auto"/>
                <w:kern w:val="0"/>
                <w:sz w:val="24"/>
                <w:highlight w:val="none"/>
              </w:rPr>
              <w:t>两减六治三提升</w:t>
            </w:r>
            <w:r>
              <w:rPr>
                <w:snapToGrid w:val="0"/>
                <w:color w:val="auto"/>
                <w:kern w:val="0"/>
                <w:sz w:val="24"/>
                <w:highlight w:val="none"/>
              </w:rPr>
              <w:t>”</w:t>
            </w:r>
            <w:r>
              <w:rPr>
                <w:rFonts w:hAnsi="宋体"/>
                <w:snapToGrid w:val="0"/>
                <w:color w:val="auto"/>
                <w:kern w:val="0"/>
                <w:sz w:val="24"/>
                <w:highlight w:val="none"/>
              </w:rPr>
              <w:t>专项行动方案》。</w:t>
            </w:r>
          </w:p>
          <w:p w14:paraId="0E1BE5BC">
            <w:pPr>
              <w:adjustRightInd w:val="0"/>
              <w:snapToGrid w:val="0"/>
              <w:spacing w:line="360" w:lineRule="auto"/>
              <w:ind w:firstLine="484" w:firstLineChars="201"/>
              <w:rPr>
                <w:b/>
                <w:snapToGrid w:val="0"/>
                <w:color w:val="auto"/>
                <w:kern w:val="0"/>
                <w:sz w:val="24"/>
                <w:highlight w:val="none"/>
              </w:rPr>
            </w:pPr>
            <w:r>
              <w:rPr>
                <w:rFonts w:hAnsi="宋体"/>
                <w:b/>
                <w:snapToGrid w:val="0"/>
                <w:color w:val="auto"/>
                <w:kern w:val="0"/>
                <w:sz w:val="24"/>
                <w:highlight w:val="none"/>
              </w:rPr>
              <w:t>（</w:t>
            </w:r>
            <w:r>
              <w:rPr>
                <w:b/>
                <w:snapToGrid w:val="0"/>
                <w:color w:val="auto"/>
                <w:kern w:val="0"/>
                <w:sz w:val="24"/>
                <w:highlight w:val="none"/>
              </w:rPr>
              <w:t>3</w:t>
            </w:r>
            <w:r>
              <w:rPr>
                <w:rFonts w:hAnsi="宋体"/>
                <w:b/>
                <w:snapToGrid w:val="0"/>
                <w:color w:val="auto"/>
                <w:kern w:val="0"/>
                <w:sz w:val="24"/>
                <w:highlight w:val="none"/>
              </w:rPr>
              <w:t>）与《国务院关于印发打赢蓝天保卫战三年行动计划的通知》(国发</w:t>
            </w:r>
            <w:r>
              <w:rPr>
                <w:b/>
                <w:snapToGrid w:val="0"/>
                <w:color w:val="auto"/>
                <w:kern w:val="0"/>
                <w:sz w:val="24"/>
                <w:highlight w:val="none"/>
              </w:rPr>
              <w:t>[2018]22</w:t>
            </w:r>
            <w:r>
              <w:rPr>
                <w:rFonts w:hAnsi="宋体"/>
                <w:b/>
                <w:snapToGrid w:val="0"/>
                <w:color w:val="auto"/>
                <w:kern w:val="0"/>
                <w:sz w:val="24"/>
                <w:highlight w:val="none"/>
              </w:rPr>
              <w:t>号)、《省政府关于印发打赢蓝天保卫战三年行动计划实施方案的通知》(苏政发</w:t>
            </w:r>
            <w:r>
              <w:rPr>
                <w:b/>
                <w:snapToGrid w:val="0"/>
                <w:color w:val="auto"/>
                <w:kern w:val="0"/>
                <w:sz w:val="24"/>
                <w:highlight w:val="none"/>
              </w:rPr>
              <w:t>[2018]122</w:t>
            </w:r>
            <w:r>
              <w:rPr>
                <w:rFonts w:hAnsi="宋体"/>
                <w:b/>
                <w:snapToGrid w:val="0"/>
                <w:color w:val="auto"/>
                <w:kern w:val="0"/>
                <w:sz w:val="24"/>
                <w:highlight w:val="none"/>
              </w:rPr>
              <w:t>号)相符性</w:t>
            </w:r>
          </w:p>
          <w:p w14:paraId="71A58E19">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根据《打赢蓝天保卫战三年行动方案》内容，江苏省属于重点区域范围，文件相符性分析详见表</w:t>
            </w:r>
            <w:r>
              <w:rPr>
                <w:snapToGrid w:val="0"/>
                <w:color w:val="auto"/>
                <w:kern w:val="0"/>
                <w:sz w:val="24"/>
                <w:highlight w:val="none"/>
              </w:rPr>
              <w:t>1-</w:t>
            </w:r>
            <w:r>
              <w:rPr>
                <w:rFonts w:hint="eastAsia"/>
                <w:snapToGrid w:val="0"/>
                <w:color w:val="auto"/>
                <w:kern w:val="0"/>
                <w:sz w:val="24"/>
                <w:highlight w:val="none"/>
              </w:rPr>
              <w:t>7</w:t>
            </w:r>
            <w:r>
              <w:rPr>
                <w:rFonts w:hAnsi="宋体"/>
                <w:snapToGrid w:val="0"/>
                <w:color w:val="auto"/>
                <w:kern w:val="0"/>
                <w:sz w:val="24"/>
                <w:highlight w:val="none"/>
              </w:rPr>
              <w:t>。</w:t>
            </w:r>
          </w:p>
          <w:p w14:paraId="401F68C9">
            <w:pPr>
              <w:adjustRightInd w:val="0"/>
              <w:snapToGrid w:val="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1-</w:t>
            </w:r>
            <w:r>
              <w:rPr>
                <w:rFonts w:hint="eastAsia"/>
                <w:b/>
                <w:snapToGrid w:val="0"/>
                <w:color w:val="auto"/>
                <w:kern w:val="0"/>
                <w:sz w:val="24"/>
                <w:highlight w:val="none"/>
              </w:rPr>
              <w:t xml:space="preserve">7 </w:t>
            </w:r>
            <w:r>
              <w:rPr>
                <w:b/>
                <w:snapToGrid w:val="0"/>
                <w:color w:val="auto"/>
                <w:kern w:val="0"/>
                <w:sz w:val="24"/>
                <w:highlight w:val="none"/>
              </w:rPr>
              <w:t xml:space="preserve">  </w:t>
            </w:r>
            <w:r>
              <w:rPr>
                <w:rFonts w:hAnsi="宋体"/>
                <w:b/>
                <w:snapToGrid w:val="0"/>
                <w:color w:val="auto"/>
                <w:kern w:val="0"/>
                <w:sz w:val="24"/>
                <w:highlight w:val="none"/>
              </w:rPr>
              <w:t>项目与</w:t>
            </w:r>
            <w:r>
              <w:rPr>
                <w:b/>
                <w:snapToGrid w:val="0"/>
                <w:color w:val="auto"/>
                <w:kern w:val="0"/>
                <w:sz w:val="24"/>
                <w:highlight w:val="none"/>
              </w:rPr>
              <w:t>“</w:t>
            </w:r>
            <w:r>
              <w:rPr>
                <w:rFonts w:hAnsi="宋体"/>
                <w:b/>
                <w:snapToGrid w:val="0"/>
                <w:color w:val="auto"/>
                <w:kern w:val="0"/>
                <w:sz w:val="24"/>
                <w:highlight w:val="none"/>
              </w:rPr>
              <w:t>蓝天保卫战三年行动计划</w:t>
            </w:r>
            <w:r>
              <w:rPr>
                <w:b/>
                <w:snapToGrid w:val="0"/>
                <w:color w:val="auto"/>
                <w:kern w:val="0"/>
                <w:sz w:val="24"/>
                <w:highlight w:val="none"/>
              </w:rPr>
              <w:t>”</w:t>
            </w:r>
            <w:r>
              <w:rPr>
                <w:rFonts w:hAnsi="宋体"/>
                <w:b/>
                <w:snapToGrid w:val="0"/>
                <w:color w:val="auto"/>
                <w:kern w:val="0"/>
                <w:sz w:val="24"/>
                <w:highlight w:val="none"/>
              </w:rPr>
              <w:t>相符性分析表</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2"/>
              <w:gridCol w:w="4348"/>
              <w:gridCol w:w="1814"/>
              <w:gridCol w:w="905"/>
            </w:tblGrid>
            <w:tr w14:paraId="17DAF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Align w:val="center"/>
                </w:tcPr>
                <w:p w14:paraId="689972E9">
                  <w:pPr>
                    <w:adjustRightInd w:val="0"/>
                    <w:snapToGrid w:val="0"/>
                    <w:jc w:val="center"/>
                    <w:rPr>
                      <w:b/>
                      <w:snapToGrid w:val="0"/>
                      <w:color w:val="auto"/>
                      <w:kern w:val="0"/>
                      <w:szCs w:val="21"/>
                      <w:highlight w:val="none"/>
                    </w:rPr>
                  </w:pPr>
                  <w:r>
                    <w:rPr>
                      <w:rFonts w:hAnsi="宋体"/>
                      <w:b/>
                      <w:snapToGrid w:val="0"/>
                      <w:color w:val="auto"/>
                      <w:kern w:val="0"/>
                      <w:szCs w:val="21"/>
                      <w:highlight w:val="none"/>
                    </w:rPr>
                    <w:t>文件</w:t>
                  </w:r>
                </w:p>
              </w:tc>
              <w:tc>
                <w:tcPr>
                  <w:tcW w:w="2819" w:type="pct"/>
                  <w:vAlign w:val="center"/>
                </w:tcPr>
                <w:p w14:paraId="30DBB9B4">
                  <w:pPr>
                    <w:adjustRightInd w:val="0"/>
                    <w:snapToGrid w:val="0"/>
                    <w:jc w:val="center"/>
                    <w:rPr>
                      <w:b/>
                      <w:snapToGrid w:val="0"/>
                      <w:color w:val="auto"/>
                      <w:kern w:val="0"/>
                      <w:szCs w:val="21"/>
                      <w:highlight w:val="none"/>
                    </w:rPr>
                  </w:pPr>
                  <w:r>
                    <w:rPr>
                      <w:rFonts w:hAnsi="宋体"/>
                      <w:b/>
                      <w:snapToGrid w:val="0"/>
                      <w:color w:val="auto"/>
                      <w:kern w:val="0"/>
                      <w:szCs w:val="21"/>
                      <w:highlight w:val="none"/>
                    </w:rPr>
                    <w:t>相关内容</w:t>
                  </w:r>
                </w:p>
              </w:tc>
              <w:tc>
                <w:tcPr>
                  <w:tcW w:w="1176" w:type="pct"/>
                  <w:vAlign w:val="center"/>
                </w:tcPr>
                <w:p w14:paraId="3F3BAE08">
                  <w:pPr>
                    <w:adjustRightInd w:val="0"/>
                    <w:snapToGrid w:val="0"/>
                    <w:jc w:val="center"/>
                    <w:rPr>
                      <w:b/>
                      <w:snapToGrid w:val="0"/>
                      <w:color w:val="auto"/>
                      <w:kern w:val="0"/>
                      <w:szCs w:val="21"/>
                      <w:highlight w:val="none"/>
                    </w:rPr>
                  </w:pPr>
                  <w:r>
                    <w:rPr>
                      <w:rFonts w:hAnsi="宋体"/>
                      <w:b/>
                      <w:snapToGrid w:val="0"/>
                      <w:color w:val="auto"/>
                      <w:kern w:val="0"/>
                      <w:szCs w:val="21"/>
                      <w:highlight w:val="none"/>
                    </w:rPr>
                    <w:t>相符性分析</w:t>
                  </w:r>
                </w:p>
              </w:tc>
              <w:tc>
                <w:tcPr>
                  <w:tcW w:w="587" w:type="pct"/>
                  <w:vAlign w:val="center"/>
                </w:tcPr>
                <w:p w14:paraId="5E3D9192">
                  <w:pPr>
                    <w:adjustRightInd w:val="0"/>
                    <w:snapToGrid w:val="0"/>
                    <w:jc w:val="center"/>
                    <w:rPr>
                      <w:b/>
                      <w:snapToGrid w:val="0"/>
                      <w:color w:val="auto"/>
                      <w:kern w:val="0"/>
                      <w:szCs w:val="21"/>
                      <w:highlight w:val="none"/>
                    </w:rPr>
                  </w:pPr>
                  <w:r>
                    <w:rPr>
                      <w:rFonts w:hAnsi="宋体"/>
                      <w:b/>
                      <w:snapToGrid w:val="0"/>
                      <w:color w:val="auto"/>
                      <w:kern w:val="0"/>
                      <w:szCs w:val="21"/>
                      <w:highlight w:val="none"/>
                    </w:rPr>
                    <w:t>是否相符</w:t>
                  </w:r>
                </w:p>
              </w:tc>
            </w:tr>
            <w:tr w14:paraId="3189A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restart"/>
                  <w:vAlign w:val="center"/>
                </w:tcPr>
                <w:p w14:paraId="49350E75">
                  <w:pPr>
                    <w:adjustRightInd w:val="0"/>
                    <w:snapToGrid w:val="0"/>
                    <w:jc w:val="center"/>
                    <w:rPr>
                      <w:snapToGrid w:val="0"/>
                      <w:color w:val="auto"/>
                      <w:kern w:val="0"/>
                      <w:szCs w:val="21"/>
                      <w:highlight w:val="none"/>
                    </w:rPr>
                  </w:pPr>
                  <w:r>
                    <w:rPr>
                      <w:rFonts w:hAnsi="宋体"/>
                      <w:snapToGrid w:val="0"/>
                      <w:color w:val="auto"/>
                      <w:kern w:val="0"/>
                      <w:szCs w:val="21"/>
                      <w:highlight w:val="none"/>
                    </w:rPr>
                    <w:t>《国务院关于印发打赢蓝天保卫战三年行动计划的通知》</w:t>
                  </w:r>
                </w:p>
              </w:tc>
              <w:tc>
                <w:tcPr>
                  <w:tcW w:w="2819" w:type="pct"/>
                  <w:vAlign w:val="center"/>
                </w:tcPr>
                <w:p w14:paraId="77DCE729">
                  <w:pPr>
                    <w:adjustRightInd w:val="0"/>
                    <w:snapToGrid w:val="0"/>
                    <w:jc w:val="center"/>
                    <w:rPr>
                      <w:snapToGrid w:val="0"/>
                      <w:color w:val="auto"/>
                      <w:kern w:val="0"/>
                      <w:szCs w:val="21"/>
                      <w:highlight w:val="none"/>
                    </w:rPr>
                  </w:pPr>
                  <w:r>
                    <w:rPr>
                      <w:rFonts w:hAnsi="宋体"/>
                      <w:snapToGrid w:val="0"/>
                      <w:color w:val="auto"/>
                      <w:kern w:val="0"/>
                      <w:szCs w:val="21"/>
                      <w:highlight w:val="none"/>
                    </w:rPr>
                    <w:t>重点区域严禁新增钢铁、焦化、电解铝、铸造、水泥和平板玻璃等产能；严格执行钢铁、水泥、平板玻璃等行业产能置换实施办法；新、改、扩建涉及大宗物料运输的建设项目，原则上不得采用公路运输</w:t>
                  </w:r>
                </w:p>
              </w:tc>
              <w:tc>
                <w:tcPr>
                  <w:tcW w:w="1176" w:type="pct"/>
                  <w:vAlign w:val="center"/>
                </w:tcPr>
                <w:p w14:paraId="7C2CD231">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本项目不属于钢铁、焦化、电解铝、铸造、水泥和平板玻璃项目</w:t>
                  </w:r>
                </w:p>
              </w:tc>
              <w:tc>
                <w:tcPr>
                  <w:tcW w:w="587" w:type="pct"/>
                  <w:vAlign w:val="center"/>
                </w:tcPr>
                <w:p w14:paraId="133D3D6F">
                  <w:pPr>
                    <w:adjustRightInd w:val="0"/>
                    <w:snapToGrid w:val="0"/>
                    <w:jc w:val="center"/>
                    <w:rPr>
                      <w:snapToGrid w:val="0"/>
                      <w:color w:val="auto"/>
                      <w:kern w:val="0"/>
                      <w:szCs w:val="21"/>
                      <w:highlight w:val="none"/>
                    </w:rPr>
                  </w:pPr>
                  <w:r>
                    <w:rPr>
                      <w:rFonts w:hAnsi="宋体"/>
                      <w:snapToGrid w:val="0"/>
                      <w:color w:val="auto"/>
                      <w:kern w:val="0"/>
                      <w:szCs w:val="21"/>
                      <w:highlight w:val="none"/>
                    </w:rPr>
                    <w:t>相符</w:t>
                  </w:r>
                </w:p>
              </w:tc>
            </w:tr>
            <w:tr w14:paraId="66A13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55A671B7">
                  <w:pPr>
                    <w:adjustRightInd w:val="0"/>
                    <w:snapToGrid w:val="0"/>
                    <w:jc w:val="center"/>
                    <w:rPr>
                      <w:snapToGrid w:val="0"/>
                      <w:color w:val="auto"/>
                      <w:kern w:val="0"/>
                      <w:szCs w:val="21"/>
                      <w:highlight w:val="none"/>
                    </w:rPr>
                  </w:pPr>
                </w:p>
              </w:tc>
              <w:tc>
                <w:tcPr>
                  <w:tcW w:w="2819" w:type="pct"/>
                  <w:vAlign w:val="center"/>
                </w:tcPr>
                <w:p w14:paraId="2758DB56">
                  <w:pPr>
                    <w:adjustRightInd w:val="0"/>
                    <w:snapToGrid w:val="0"/>
                    <w:jc w:val="center"/>
                    <w:rPr>
                      <w:snapToGrid w:val="0"/>
                      <w:color w:val="auto"/>
                      <w:kern w:val="0"/>
                      <w:szCs w:val="21"/>
                      <w:highlight w:val="none"/>
                    </w:rPr>
                  </w:pPr>
                  <w:r>
                    <w:rPr>
                      <w:rFonts w:hAnsi="宋体"/>
                      <w:snapToGrid w:val="0"/>
                      <w:color w:val="auto"/>
                      <w:kern w:val="0"/>
                      <w:szCs w:val="21"/>
                      <w:highlight w:val="none"/>
                    </w:rPr>
                    <w:t>全面开战</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企业及集群综合整治行动。根据产业政策、产业布局规划，以及土地、环保、质量、安全、能耗等要求，制定</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企业及集群整治标准。实行拉网式排查，建立管理台账。按照</w:t>
                  </w:r>
                  <w:r>
                    <w:rPr>
                      <w:snapToGrid w:val="0"/>
                      <w:color w:val="auto"/>
                      <w:kern w:val="0"/>
                      <w:szCs w:val="21"/>
                      <w:highlight w:val="none"/>
                    </w:rPr>
                    <w:t>“</w:t>
                  </w:r>
                  <w:r>
                    <w:rPr>
                      <w:rFonts w:hAnsi="宋体"/>
                      <w:snapToGrid w:val="0"/>
                      <w:color w:val="auto"/>
                      <w:kern w:val="0"/>
                      <w:szCs w:val="21"/>
                      <w:highlight w:val="none"/>
                    </w:rPr>
                    <w:t>先停后置</w:t>
                  </w:r>
                  <w:r>
                    <w:rPr>
                      <w:snapToGrid w:val="0"/>
                      <w:color w:val="auto"/>
                      <w:kern w:val="0"/>
                      <w:szCs w:val="21"/>
                      <w:highlight w:val="none"/>
                    </w:rPr>
                    <w:t>”</w:t>
                  </w:r>
                  <w:r>
                    <w:rPr>
                      <w:rFonts w:hAnsi="宋体"/>
                      <w:snapToGrid w:val="0"/>
                      <w:color w:val="auto"/>
                      <w:kern w:val="0"/>
                      <w:szCs w:val="21"/>
                      <w:highlight w:val="none"/>
                    </w:rPr>
                    <w:t>的原则，实施分类处置。列入关停取缔类的，基本做到</w:t>
                  </w:r>
                  <w:r>
                    <w:rPr>
                      <w:snapToGrid w:val="0"/>
                      <w:color w:val="auto"/>
                      <w:kern w:val="0"/>
                      <w:szCs w:val="21"/>
                      <w:highlight w:val="none"/>
                    </w:rPr>
                    <w:t>“</w:t>
                  </w:r>
                  <w:r>
                    <w:rPr>
                      <w:rFonts w:hAnsi="宋体"/>
                      <w:snapToGrid w:val="0"/>
                      <w:color w:val="auto"/>
                      <w:kern w:val="0"/>
                      <w:szCs w:val="21"/>
                      <w:highlight w:val="none"/>
                    </w:rPr>
                    <w:t>两断三清</w:t>
                  </w:r>
                  <w:r>
                    <w:rPr>
                      <w:snapToGrid w:val="0"/>
                      <w:color w:val="auto"/>
                      <w:kern w:val="0"/>
                      <w:szCs w:val="21"/>
                      <w:highlight w:val="none"/>
                    </w:rPr>
                    <w:t>”</w:t>
                  </w:r>
                  <w:r>
                    <w:rPr>
                      <w:rFonts w:hAnsi="宋体"/>
                      <w:snapToGrid w:val="0"/>
                      <w:color w:val="auto"/>
                      <w:kern w:val="0"/>
                      <w:szCs w:val="21"/>
                      <w:highlight w:val="none"/>
                    </w:rPr>
                    <w:t>（切断工业用水、用电，清除原料、产品、生产设备）；列入整合搬迁类的，要按照产业发展化规模化、现代化的原则，搬迁至工业园区并实施升级改造；列入升级改造类的，树立行业标杆，实施清洁生产技术改造，全面提升污染治理水平。建立</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企业动态管理机制，坚决杜绝</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企业项目建设和已取缔的</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企业异地转移、死灰复燃</w:t>
                  </w:r>
                </w:p>
              </w:tc>
              <w:tc>
                <w:tcPr>
                  <w:tcW w:w="1176" w:type="pct"/>
                  <w:vAlign w:val="center"/>
                </w:tcPr>
                <w:p w14:paraId="728AC968">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本项目位于</w:t>
                  </w:r>
                  <w:r>
                    <w:rPr>
                      <w:rFonts w:hAnsi="宋体"/>
                      <w:bCs/>
                      <w:snapToGrid w:val="0"/>
                      <w:color w:val="auto"/>
                      <w:kern w:val="0"/>
                      <w:szCs w:val="21"/>
                      <w:highlight w:val="none"/>
                    </w:rPr>
                    <w:t>南通市海门市</w:t>
                  </w:r>
                  <w:r>
                    <w:rPr>
                      <w:rFonts w:hint="eastAsia" w:hAnsi="宋体"/>
                      <w:bCs/>
                      <w:snapToGrid w:val="0"/>
                      <w:color w:val="auto"/>
                      <w:kern w:val="0"/>
                      <w:szCs w:val="21"/>
                      <w:highlight w:val="none"/>
                    </w:rPr>
                    <w:t>经济开发区</w:t>
                  </w:r>
                  <w:r>
                    <w:rPr>
                      <w:rFonts w:hAnsi="宋体"/>
                      <w:bCs/>
                      <w:snapToGrid w:val="0"/>
                      <w:color w:val="auto"/>
                      <w:kern w:val="0"/>
                      <w:szCs w:val="21"/>
                      <w:highlight w:val="none"/>
                    </w:rPr>
                    <w:t>滨港大道2699号内52号楼</w:t>
                  </w:r>
                  <w:r>
                    <w:rPr>
                      <w:rFonts w:hAnsi="宋体"/>
                      <w:snapToGrid w:val="0"/>
                      <w:color w:val="auto"/>
                      <w:kern w:val="0"/>
                      <w:szCs w:val="21"/>
                      <w:highlight w:val="none"/>
                    </w:rPr>
                    <w:t>，项目符合国家和地方的产业政策，污染防治措施完备，项目污染物可以稳定达标排放，不属于</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w:t>
                  </w:r>
                </w:p>
              </w:tc>
              <w:tc>
                <w:tcPr>
                  <w:tcW w:w="587" w:type="pct"/>
                  <w:vAlign w:val="center"/>
                </w:tcPr>
                <w:p w14:paraId="57F78B18">
                  <w:pPr>
                    <w:adjustRightInd w:val="0"/>
                    <w:snapToGrid w:val="0"/>
                    <w:jc w:val="center"/>
                    <w:rPr>
                      <w:snapToGrid w:val="0"/>
                      <w:color w:val="auto"/>
                      <w:kern w:val="0"/>
                      <w:szCs w:val="21"/>
                      <w:highlight w:val="none"/>
                    </w:rPr>
                  </w:pPr>
                  <w:r>
                    <w:rPr>
                      <w:rFonts w:hAnsi="宋体"/>
                      <w:snapToGrid w:val="0"/>
                      <w:color w:val="auto"/>
                      <w:kern w:val="0"/>
                      <w:szCs w:val="21"/>
                      <w:highlight w:val="none"/>
                    </w:rPr>
                    <w:t>符合</w:t>
                  </w:r>
                </w:p>
              </w:tc>
            </w:tr>
            <w:tr w14:paraId="0E537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07B0FCF5">
                  <w:pPr>
                    <w:adjustRightInd w:val="0"/>
                    <w:snapToGrid w:val="0"/>
                    <w:jc w:val="center"/>
                    <w:rPr>
                      <w:snapToGrid w:val="0"/>
                      <w:color w:val="auto"/>
                      <w:kern w:val="0"/>
                      <w:szCs w:val="21"/>
                      <w:highlight w:val="none"/>
                    </w:rPr>
                  </w:pPr>
                </w:p>
              </w:tc>
              <w:tc>
                <w:tcPr>
                  <w:tcW w:w="2819" w:type="pct"/>
                  <w:vAlign w:val="center"/>
                </w:tcPr>
                <w:p w14:paraId="59624DAB">
                  <w:pPr>
                    <w:adjustRightInd w:val="0"/>
                    <w:snapToGrid w:val="0"/>
                    <w:jc w:val="center"/>
                    <w:rPr>
                      <w:snapToGrid w:val="0"/>
                      <w:color w:val="auto"/>
                      <w:kern w:val="0"/>
                      <w:szCs w:val="21"/>
                      <w:highlight w:val="none"/>
                    </w:rPr>
                  </w:pPr>
                  <w:r>
                    <w:rPr>
                      <w:rFonts w:hAnsi="宋体"/>
                      <w:snapToGrid w:val="0"/>
                      <w:color w:val="auto"/>
                      <w:kern w:val="0"/>
                      <w:szCs w:val="21"/>
                      <w:highlight w:val="none"/>
                    </w:rPr>
                    <w:t>到</w:t>
                  </w:r>
                  <w:r>
                    <w:rPr>
                      <w:snapToGrid w:val="0"/>
                      <w:color w:val="auto"/>
                      <w:kern w:val="0"/>
                      <w:szCs w:val="21"/>
                      <w:highlight w:val="none"/>
                    </w:rPr>
                    <w:t>2020</w:t>
                  </w:r>
                  <w:r>
                    <w:rPr>
                      <w:rFonts w:hAnsi="宋体"/>
                      <w:snapToGrid w:val="0"/>
                      <w:color w:val="auto"/>
                      <w:kern w:val="0"/>
                      <w:szCs w:val="21"/>
                      <w:highlight w:val="none"/>
                    </w:rPr>
                    <w:t>年，全国煤炭占能源消费总量比打重下降到</w:t>
                  </w:r>
                  <w:r>
                    <w:rPr>
                      <w:snapToGrid w:val="0"/>
                      <w:color w:val="auto"/>
                      <w:kern w:val="0"/>
                      <w:szCs w:val="21"/>
                      <w:highlight w:val="none"/>
                    </w:rPr>
                    <w:t>58%</w:t>
                  </w:r>
                  <w:r>
                    <w:rPr>
                      <w:rFonts w:hAnsi="宋体"/>
                      <w:snapToGrid w:val="0"/>
                      <w:color w:val="auto"/>
                      <w:kern w:val="0"/>
                      <w:szCs w:val="21"/>
                      <w:highlight w:val="none"/>
                    </w:rPr>
                    <w:t>以下；北京、天津、河北、蓝山东、河南五省</w:t>
                  </w:r>
                  <w:r>
                    <w:rPr>
                      <w:snapToGrid w:val="0"/>
                      <w:color w:val="auto"/>
                      <w:kern w:val="0"/>
                      <w:szCs w:val="21"/>
                      <w:highlight w:val="none"/>
                    </w:rPr>
                    <w:t>(</w:t>
                  </w:r>
                  <w:r>
                    <w:rPr>
                      <w:rFonts w:hAnsi="宋体"/>
                      <w:snapToGrid w:val="0"/>
                      <w:color w:val="auto"/>
                      <w:kern w:val="0"/>
                      <w:szCs w:val="21"/>
                      <w:highlight w:val="none"/>
                    </w:rPr>
                    <w:t>直辖市</w:t>
                  </w:r>
                  <w:r>
                    <w:rPr>
                      <w:snapToGrid w:val="0"/>
                      <w:color w:val="auto"/>
                      <w:kern w:val="0"/>
                      <w:szCs w:val="21"/>
                      <w:highlight w:val="none"/>
                    </w:rPr>
                    <w:t>)</w:t>
                  </w:r>
                  <w:r>
                    <w:rPr>
                      <w:rFonts w:hAnsi="宋体"/>
                      <w:snapToGrid w:val="0"/>
                      <w:color w:val="auto"/>
                      <w:kern w:val="0"/>
                      <w:szCs w:val="21"/>
                      <w:highlight w:val="none"/>
                    </w:rPr>
                    <w:t>煤炭消费总量保</w:t>
                  </w:r>
                  <w:r>
                    <w:rPr>
                      <w:snapToGrid w:val="0"/>
                      <w:color w:val="auto"/>
                      <w:kern w:val="0"/>
                      <w:szCs w:val="21"/>
                      <w:highlight w:val="none"/>
                    </w:rPr>
                    <w:t>2015</w:t>
                  </w:r>
                  <w:r>
                    <w:rPr>
                      <w:rFonts w:hAnsi="宋体"/>
                      <w:snapToGrid w:val="0"/>
                      <w:color w:val="auto"/>
                      <w:kern w:val="0"/>
                      <w:szCs w:val="21"/>
                      <w:highlight w:val="none"/>
                    </w:rPr>
                    <w:t>年下降</w:t>
                  </w:r>
                  <w:r>
                    <w:rPr>
                      <w:snapToGrid w:val="0"/>
                      <w:color w:val="auto"/>
                      <w:kern w:val="0"/>
                      <w:szCs w:val="21"/>
                      <w:highlight w:val="none"/>
                    </w:rPr>
                    <w:t>10%</w:t>
                  </w:r>
                  <w:r>
                    <w:rPr>
                      <w:rFonts w:hAnsi="宋体"/>
                      <w:snapToGrid w:val="0"/>
                      <w:color w:val="auto"/>
                      <w:kern w:val="0"/>
                      <w:szCs w:val="21"/>
                      <w:highlight w:val="none"/>
                    </w:rPr>
                    <w:t>，长三角地区下降</w:t>
                  </w:r>
                  <w:r>
                    <w:rPr>
                      <w:snapToGrid w:val="0"/>
                      <w:color w:val="auto"/>
                      <w:kern w:val="0"/>
                      <w:szCs w:val="21"/>
                      <w:highlight w:val="none"/>
                    </w:rPr>
                    <w:t>5%</w:t>
                  </w:r>
                  <w:r>
                    <w:rPr>
                      <w:rFonts w:hAnsi="宋体"/>
                      <w:snapToGrid w:val="0"/>
                      <w:color w:val="auto"/>
                      <w:kern w:val="0"/>
                      <w:szCs w:val="21"/>
                      <w:highlight w:val="none"/>
                    </w:rPr>
                    <w:t>，汾渭平原实现负增长；新建耗煤项年目实行煤炭减量替代。按照煤炭集中使用、清洁利用的原则，重点削减非电力用煤，提高电力用煤比例，</w:t>
                  </w:r>
                  <w:r>
                    <w:rPr>
                      <w:snapToGrid w:val="0"/>
                      <w:color w:val="auto"/>
                      <w:kern w:val="0"/>
                      <w:szCs w:val="21"/>
                      <w:highlight w:val="none"/>
                    </w:rPr>
                    <w:t>2020</w:t>
                  </w:r>
                  <w:r>
                    <w:rPr>
                      <w:rFonts w:hAnsi="宋体"/>
                      <w:snapToGrid w:val="0"/>
                      <w:color w:val="auto"/>
                      <w:kern w:val="0"/>
                      <w:szCs w:val="21"/>
                      <w:highlight w:val="none"/>
                    </w:rPr>
                    <w:t>年全国电力用煤占煤炭消费总量比重达到</w:t>
                  </w:r>
                  <w:r>
                    <w:rPr>
                      <w:snapToGrid w:val="0"/>
                      <w:color w:val="auto"/>
                      <w:kern w:val="0"/>
                      <w:szCs w:val="21"/>
                      <w:highlight w:val="none"/>
                    </w:rPr>
                    <w:t>55%</w:t>
                  </w:r>
                  <w:r>
                    <w:rPr>
                      <w:rFonts w:hAnsi="宋体"/>
                      <w:snapToGrid w:val="0"/>
                      <w:color w:val="auto"/>
                      <w:kern w:val="0"/>
                      <w:szCs w:val="21"/>
                      <w:highlight w:val="none"/>
                    </w:rPr>
                    <w:t>以上。继续推进电进电能替代燃煤和燃油，替代规模达到</w:t>
                  </w:r>
                  <w:r>
                    <w:rPr>
                      <w:snapToGrid w:val="0"/>
                      <w:color w:val="auto"/>
                      <w:kern w:val="0"/>
                      <w:szCs w:val="21"/>
                      <w:highlight w:val="none"/>
                    </w:rPr>
                    <w:t>1000</w:t>
                  </w:r>
                  <w:r>
                    <w:rPr>
                      <w:rFonts w:hAnsi="宋体"/>
                      <w:snapToGrid w:val="0"/>
                      <w:color w:val="auto"/>
                      <w:kern w:val="0"/>
                      <w:szCs w:val="21"/>
                      <w:highlight w:val="none"/>
                    </w:rPr>
                    <w:t>亿度以上</w:t>
                  </w:r>
                </w:p>
              </w:tc>
              <w:tc>
                <w:tcPr>
                  <w:tcW w:w="1176" w:type="pct"/>
                  <w:vAlign w:val="center"/>
                </w:tcPr>
                <w:p w14:paraId="392BAA2A">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本项目不使用煤炭</w:t>
                  </w:r>
                </w:p>
              </w:tc>
              <w:tc>
                <w:tcPr>
                  <w:tcW w:w="587" w:type="pct"/>
                  <w:vAlign w:val="center"/>
                </w:tcPr>
                <w:p w14:paraId="3FF6956C">
                  <w:pPr>
                    <w:adjustRightInd w:val="0"/>
                    <w:snapToGrid w:val="0"/>
                    <w:jc w:val="center"/>
                    <w:rPr>
                      <w:snapToGrid w:val="0"/>
                      <w:color w:val="auto"/>
                      <w:kern w:val="0"/>
                      <w:szCs w:val="21"/>
                      <w:highlight w:val="none"/>
                    </w:rPr>
                  </w:pPr>
                  <w:r>
                    <w:rPr>
                      <w:rFonts w:hAnsi="宋体"/>
                      <w:snapToGrid w:val="0"/>
                      <w:color w:val="auto"/>
                      <w:kern w:val="0"/>
                      <w:szCs w:val="21"/>
                      <w:highlight w:val="none"/>
                    </w:rPr>
                    <w:t>符合</w:t>
                  </w:r>
                </w:p>
              </w:tc>
            </w:tr>
            <w:tr w14:paraId="4F6AC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62432006">
                  <w:pPr>
                    <w:adjustRightInd w:val="0"/>
                    <w:snapToGrid w:val="0"/>
                    <w:jc w:val="center"/>
                    <w:rPr>
                      <w:snapToGrid w:val="0"/>
                      <w:color w:val="auto"/>
                      <w:kern w:val="0"/>
                      <w:szCs w:val="21"/>
                      <w:highlight w:val="none"/>
                    </w:rPr>
                  </w:pPr>
                </w:p>
              </w:tc>
              <w:tc>
                <w:tcPr>
                  <w:tcW w:w="2819" w:type="pct"/>
                  <w:vAlign w:val="center"/>
                </w:tcPr>
                <w:p w14:paraId="77B7AE6D">
                  <w:pPr>
                    <w:adjustRightInd w:val="0"/>
                    <w:snapToGrid w:val="0"/>
                    <w:jc w:val="center"/>
                    <w:rPr>
                      <w:snapToGrid w:val="0"/>
                      <w:color w:val="auto"/>
                      <w:kern w:val="0"/>
                      <w:szCs w:val="21"/>
                      <w:highlight w:val="none"/>
                    </w:rPr>
                  </w:pPr>
                  <w:r>
                    <w:rPr>
                      <w:rFonts w:hAnsi="宋体"/>
                      <w:snapToGrid w:val="0"/>
                      <w:color w:val="auto"/>
                      <w:kern w:val="0"/>
                      <w:szCs w:val="21"/>
                      <w:highlight w:val="none"/>
                    </w:rPr>
                    <w:t>加大燃煤小锅炉淘汰力度。县级及以上城市建成区基本淘汰每小时</w:t>
                  </w:r>
                  <w:r>
                    <w:rPr>
                      <w:snapToGrid w:val="0"/>
                      <w:color w:val="auto"/>
                      <w:kern w:val="0"/>
                      <w:szCs w:val="21"/>
                      <w:highlight w:val="none"/>
                    </w:rPr>
                    <w:t>10</w:t>
                  </w:r>
                  <w:r>
                    <w:rPr>
                      <w:rFonts w:hAnsi="宋体"/>
                      <w:snapToGrid w:val="0"/>
                      <w:color w:val="auto"/>
                      <w:kern w:val="0"/>
                      <w:szCs w:val="21"/>
                      <w:highlight w:val="none"/>
                    </w:rPr>
                    <w:t>蒸吨及以下燃煤锅炉及茶水炉、经营性炉灶、储粮烘干设备等燃煤设施，原则上不再新建每小时</w:t>
                  </w:r>
                  <w:r>
                    <w:rPr>
                      <w:snapToGrid w:val="0"/>
                      <w:color w:val="auto"/>
                      <w:kern w:val="0"/>
                      <w:szCs w:val="21"/>
                      <w:highlight w:val="none"/>
                    </w:rPr>
                    <w:t>35</w:t>
                  </w:r>
                  <w:r>
                    <w:rPr>
                      <w:rFonts w:hAnsi="宋体"/>
                      <w:snapToGrid w:val="0"/>
                      <w:color w:val="auto"/>
                      <w:kern w:val="0"/>
                      <w:szCs w:val="21"/>
                      <w:highlight w:val="none"/>
                    </w:rPr>
                    <w:t>蒸吨以下的燃煤锅炉，其他地区原则上不再新建每小时</w:t>
                  </w:r>
                  <w:r>
                    <w:rPr>
                      <w:snapToGrid w:val="0"/>
                      <w:color w:val="auto"/>
                      <w:kern w:val="0"/>
                      <w:szCs w:val="21"/>
                      <w:highlight w:val="none"/>
                    </w:rPr>
                    <w:t>10</w:t>
                  </w:r>
                  <w:r>
                    <w:rPr>
                      <w:rFonts w:hAnsi="宋体"/>
                      <w:snapToGrid w:val="0"/>
                      <w:color w:val="auto"/>
                      <w:kern w:val="0"/>
                      <w:szCs w:val="21"/>
                      <w:highlight w:val="none"/>
                    </w:rPr>
                    <w:t>蒸吨以下的燃煤锅炉。环境空气质量未达标城市应进一步加大淘汰力度。重点区域基本淘汰每小时</w:t>
                  </w:r>
                  <w:r>
                    <w:rPr>
                      <w:snapToGrid w:val="0"/>
                      <w:color w:val="auto"/>
                      <w:kern w:val="0"/>
                      <w:szCs w:val="21"/>
                      <w:highlight w:val="none"/>
                    </w:rPr>
                    <w:t>35</w:t>
                  </w:r>
                  <w:r>
                    <w:rPr>
                      <w:rFonts w:hAnsi="宋体"/>
                      <w:snapToGrid w:val="0"/>
                      <w:color w:val="auto"/>
                      <w:kern w:val="0"/>
                      <w:szCs w:val="21"/>
                      <w:highlight w:val="none"/>
                    </w:rPr>
                    <w:t>蒸吨以下燃煤锅炉，每小时</w:t>
                  </w:r>
                  <w:r>
                    <w:rPr>
                      <w:snapToGrid w:val="0"/>
                      <w:color w:val="auto"/>
                      <w:kern w:val="0"/>
                      <w:szCs w:val="21"/>
                      <w:highlight w:val="none"/>
                    </w:rPr>
                    <w:t>65</w:t>
                  </w:r>
                  <w:r>
                    <w:rPr>
                      <w:rFonts w:hAnsi="宋体"/>
                      <w:snapToGrid w:val="0"/>
                      <w:color w:val="auto"/>
                      <w:kern w:val="0"/>
                      <w:szCs w:val="21"/>
                      <w:highlight w:val="none"/>
                    </w:rPr>
                    <w:t>蒸吨及以上燃煤锅炉全部完成节能和超低排放改造；燃气锅炉基本完成低氮改造；城市建成区生物质锅炉实施超低排放改造</w:t>
                  </w:r>
                </w:p>
              </w:tc>
              <w:tc>
                <w:tcPr>
                  <w:tcW w:w="1176" w:type="pct"/>
                  <w:vAlign w:val="center"/>
                </w:tcPr>
                <w:p w14:paraId="3B69B290">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本项目不使用煤炭</w:t>
                  </w:r>
                </w:p>
              </w:tc>
              <w:tc>
                <w:tcPr>
                  <w:tcW w:w="587" w:type="pct"/>
                  <w:vAlign w:val="center"/>
                </w:tcPr>
                <w:p w14:paraId="505BAA63">
                  <w:pPr>
                    <w:adjustRightInd w:val="0"/>
                    <w:snapToGrid w:val="0"/>
                    <w:jc w:val="center"/>
                    <w:rPr>
                      <w:snapToGrid w:val="0"/>
                      <w:color w:val="auto"/>
                      <w:kern w:val="0"/>
                      <w:szCs w:val="21"/>
                      <w:highlight w:val="none"/>
                    </w:rPr>
                  </w:pPr>
                  <w:r>
                    <w:rPr>
                      <w:rFonts w:hAnsi="宋体"/>
                      <w:snapToGrid w:val="0"/>
                      <w:color w:val="auto"/>
                      <w:kern w:val="0"/>
                      <w:szCs w:val="21"/>
                      <w:highlight w:val="none"/>
                    </w:rPr>
                    <w:t>符合</w:t>
                  </w:r>
                </w:p>
              </w:tc>
            </w:tr>
            <w:tr w14:paraId="62417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689177F4">
                  <w:pPr>
                    <w:adjustRightInd w:val="0"/>
                    <w:snapToGrid w:val="0"/>
                    <w:jc w:val="center"/>
                    <w:rPr>
                      <w:snapToGrid w:val="0"/>
                      <w:color w:val="auto"/>
                      <w:kern w:val="0"/>
                      <w:szCs w:val="21"/>
                      <w:highlight w:val="none"/>
                    </w:rPr>
                  </w:pPr>
                </w:p>
              </w:tc>
              <w:tc>
                <w:tcPr>
                  <w:tcW w:w="2819" w:type="pct"/>
                  <w:vAlign w:val="center"/>
                </w:tcPr>
                <w:p w14:paraId="0B9B7C15">
                  <w:pPr>
                    <w:adjustRightInd w:val="0"/>
                    <w:snapToGrid w:val="0"/>
                    <w:jc w:val="center"/>
                    <w:rPr>
                      <w:rFonts w:hAnsi="宋体"/>
                      <w:snapToGrid w:val="0"/>
                      <w:color w:val="auto"/>
                      <w:kern w:val="0"/>
                      <w:szCs w:val="21"/>
                      <w:highlight w:val="none"/>
                    </w:rPr>
                  </w:pPr>
                  <w:r>
                    <w:rPr>
                      <w:rFonts w:hAnsi="宋体"/>
                      <w:snapToGrid w:val="0"/>
                      <w:color w:val="auto"/>
                      <w:kern w:val="0"/>
                      <w:szCs w:val="21"/>
                      <w:highlight w:val="none"/>
                    </w:rPr>
                    <w:t>重点区域禁止建设生产和使用高VOCs含量的溶剂型涂料、油墨、胶粘剂等项目，加大餐饮油烟治理力度</w:t>
                  </w:r>
                </w:p>
              </w:tc>
              <w:tc>
                <w:tcPr>
                  <w:tcW w:w="1176" w:type="pct"/>
                  <w:vAlign w:val="center"/>
                </w:tcPr>
                <w:p w14:paraId="3BC58050">
                  <w:pPr>
                    <w:adjustRightInd w:val="0"/>
                    <w:snapToGrid w:val="0"/>
                    <w:jc w:val="center"/>
                    <w:rPr>
                      <w:rFonts w:hAnsi="宋体"/>
                      <w:snapToGrid w:val="0"/>
                      <w:color w:val="auto"/>
                      <w:kern w:val="0"/>
                      <w:szCs w:val="21"/>
                      <w:highlight w:val="none"/>
                    </w:rPr>
                  </w:pPr>
                  <w:r>
                    <w:rPr>
                      <w:rFonts w:hAnsi="宋体"/>
                      <w:bCs/>
                      <w:snapToGrid w:val="0"/>
                      <w:color w:val="auto"/>
                      <w:kern w:val="0"/>
                      <w:szCs w:val="21"/>
                      <w:highlight w:val="none"/>
                    </w:rPr>
                    <w:t>本项目</w:t>
                  </w:r>
                  <w:r>
                    <w:rPr>
                      <w:rFonts w:hint="eastAsia" w:hAnsi="宋体"/>
                      <w:bCs/>
                      <w:snapToGrid w:val="0"/>
                      <w:color w:val="auto"/>
                      <w:kern w:val="0"/>
                      <w:szCs w:val="21"/>
                      <w:highlight w:val="none"/>
                    </w:rPr>
                    <w:t>不涉及</w:t>
                  </w:r>
                  <w:r>
                    <w:rPr>
                      <w:rFonts w:hAnsi="宋体"/>
                      <w:bCs/>
                      <w:snapToGrid w:val="0"/>
                      <w:color w:val="auto"/>
                      <w:kern w:val="0"/>
                      <w:szCs w:val="21"/>
                      <w:highlight w:val="none"/>
                    </w:rPr>
                    <w:t>溶剂型</w:t>
                  </w:r>
                  <w:r>
                    <w:rPr>
                      <w:rFonts w:hint="eastAsia" w:hAnsi="宋体"/>
                      <w:bCs/>
                      <w:snapToGrid w:val="0"/>
                      <w:color w:val="auto"/>
                      <w:kern w:val="0"/>
                      <w:szCs w:val="21"/>
                      <w:highlight w:val="none"/>
                    </w:rPr>
                    <w:t>涂料、油墨、胶黏剂、清洗剂等的使用，本项目</w:t>
                  </w:r>
                  <w:r>
                    <w:rPr>
                      <w:rFonts w:hAnsi="宋体"/>
                      <w:bCs/>
                      <w:snapToGrid w:val="0"/>
                      <w:color w:val="auto"/>
                      <w:kern w:val="0"/>
                      <w:szCs w:val="21"/>
                      <w:highlight w:val="none"/>
                    </w:rPr>
                    <w:t>原辅料均为低VOCs含量的原辅料</w:t>
                  </w:r>
                </w:p>
              </w:tc>
              <w:tc>
                <w:tcPr>
                  <w:tcW w:w="587" w:type="pct"/>
                  <w:vAlign w:val="center"/>
                </w:tcPr>
                <w:p w14:paraId="609FA089">
                  <w:pPr>
                    <w:adjustRightInd w:val="0"/>
                    <w:snapToGrid w:val="0"/>
                    <w:jc w:val="center"/>
                    <w:rPr>
                      <w:rFonts w:hAnsi="宋体"/>
                      <w:snapToGrid w:val="0"/>
                      <w:color w:val="auto"/>
                      <w:kern w:val="0"/>
                      <w:szCs w:val="21"/>
                      <w:highlight w:val="none"/>
                    </w:rPr>
                  </w:pPr>
                  <w:r>
                    <w:rPr>
                      <w:rFonts w:hAnsi="宋体"/>
                      <w:snapToGrid w:val="0"/>
                      <w:color w:val="auto"/>
                      <w:kern w:val="0"/>
                      <w:szCs w:val="21"/>
                      <w:highlight w:val="none"/>
                    </w:rPr>
                    <w:t>符合</w:t>
                  </w:r>
                </w:p>
              </w:tc>
            </w:tr>
            <w:tr w14:paraId="2A642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restart"/>
                  <w:vAlign w:val="center"/>
                </w:tcPr>
                <w:p w14:paraId="4512CB8E">
                  <w:pPr>
                    <w:adjustRightInd w:val="0"/>
                    <w:snapToGrid w:val="0"/>
                    <w:jc w:val="center"/>
                    <w:rPr>
                      <w:snapToGrid w:val="0"/>
                      <w:color w:val="auto"/>
                      <w:kern w:val="0"/>
                      <w:szCs w:val="21"/>
                      <w:highlight w:val="none"/>
                    </w:rPr>
                  </w:pPr>
                  <w:r>
                    <w:rPr>
                      <w:rFonts w:hAnsi="宋体"/>
                      <w:snapToGrid w:val="0"/>
                      <w:color w:val="auto"/>
                      <w:kern w:val="0"/>
                      <w:szCs w:val="21"/>
                      <w:highlight w:val="none"/>
                    </w:rPr>
                    <w:t>江苏省打赢蓝天保卫战三年行动计划实施方案</w:t>
                  </w:r>
                </w:p>
              </w:tc>
              <w:tc>
                <w:tcPr>
                  <w:tcW w:w="2819" w:type="pct"/>
                  <w:vAlign w:val="center"/>
                </w:tcPr>
                <w:p w14:paraId="626040A9">
                  <w:pPr>
                    <w:adjustRightInd w:val="0"/>
                    <w:snapToGrid w:val="0"/>
                    <w:jc w:val="center"/>
                    <w:rPr>
                      <w:snapToGrid w:val="0"/>
                      <w:color w:val="auto"/>
                      <w:kern w:val="0"/>
                      <w:szCs w:val="21"/>
                      <w:highlight w:val="none"/>
                    </w:rPr>
                  </w:pPr>
                  <w:r>
                    <w:rPr>
                      <w:rFonts w:hAnsi="宋体"/>
                      <w:snapToGrid w:val="0"/>
                      <w:color w:val="auto"/>
                      <w:kern w:val="0"/>
                      <w:szCs w:val="21"/>
                      <w:highlight w:val="none"/>
                    </w:rPr>
                    <w:t>严控</w:t>
                  </w:r>
                  <w:r>
                    <w:rPr>
                      <w:snapToGrid w:val="0"/>
                      <w:color w:val="auto"/>
                      <w:kern w:val="0"/>
                      <w:szCs w:val="21"/>
                      <w:highlight w:val="none"/>
                    </w:rPr>
                    <w:t>“</w:t>
                  </w:r>
                  <w:r>
                    <w:rPr>
                      <w:rFonts w:hAnsi="宋体"/>
                      <w:snapToGrid w:val="0"/>
                      <w:color w:val="auto"/>
                      <w:kern w:val="0"/>
                      <w:szCs w:val="21"/>
                      <w:highlight w:val="none"/>
                    </w:rPr>
                    <w:t>两高</w:t>
                  </w:r>
                  <w:r>
                    <w:rPr>
                      <w:snapToGrid w:val="0"/>
                      <w:color w:val="auto"/>
                      <w:kern w:val="0"/>
                      <w:szCs w:val="21"/>
                      <w:highlight w:val="none"/>
                    </w:rPr>
                    <w:t>”</w:t>
                  </w:r>
                  <w:r>
                    <w:rPr>
                      <w:rFonts w:hAnsi="宋体"/>
                      <w:snapToGrid w:val="0"/>
                      <w:color w:val="auto"/>
                      <w:kern w:val="0"/>
                      <w:szCs w:val="21"/>
                      <w:highlight w:val="none"/>
                    </w:rPr>
                    <w:t>行业产能。严禁新增钢铁、焦化、电解铝、铸造、水泥和平板玻璃等产能。严格执行钢铁、水泥、平板玻璃等行业产能置换实施办法</w:t>
                  </w:r>
                </w:p>
              </w:tc>
              <w:tc>
                <w:tcPr>
                  <w:tcW w:w="1176" w:type="pct"/>
                  <w:vAlign w:val="center"/>
                </w:tcPr>
                <w:p w14:paraId="1EDC7DC9">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本项目不属于钢铁、焦化、电解铝、铸造、水泥和平板玻璃项目</w:t>
                  </w:r>
                </w:p>
              </w:tc>
              <w:tc>
                <w:tcPr>
                  <w:tcW w:w="587" w:type="pct"/>
                  <w:vAlign w:val="center"/>
                </w:tcPr>
                <w:p w14:paraId="6C1A2EF2">
                  <w:pPr>
                    <w:adjustRightInd w:val="0"/>
                    <w:snapToGrid w:val="0"/>
                    <w:jc w:val="center"/>
                    <w:rPr>
                      <w:snapToGrid w:val="0"/>
                      <w:color w:val="auto"/>
                      <w:kern w:val="0"/>
                      <w:szCs w:val="21"/>
                      <w:highlight w:val="none"/>
                    </w:rPr>
                  </w:pPr>
                  <w:r>
                    <w:rPr>
                      <w:rFonts w:hAnsi="宋体"/>
                      <w:snapToGrid w:val="0"/>
                      <w:color w:val="auto"/>
                      <w:kern w:val="0"/>
                      <w:szCs w:val="21"/>
                      <w:highlight w:val="none"/>
                    </w:rPr>
                    <w:t>符合</w:t>
                  </w:r>
                </w:p>
              </w:tc>
            </w:tr>
            <w:tr w14:paraId="4B0EA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4985176B">
                  <w:pPr>
                    <w:adjustRightInd w:val="0"/>
                    <w:snapToGrid w:val="0"/>
                    <w:jc w:val="center"/>
                    <w:rPr>
                      <w:snapToGrid w:val="0"/>
                      <w:color w:val="auto"/>
                      <w:kern w:val="0"/>
                      <w:szCs w:val="21"/>
                      <w:highlight w:val="none"/>
                    </w:rPr>
                  </w:pPr>
                </w:p>
              </w:tc>
              <w:tc>
                <w:tcPr>
                  <w:tcW w:w="2819" w:type="pct"/>
                  <w:vAlign w:val="center"/>
                </w:tcPr>
                <w:p w14:paraId="78D59FB2">
                  <w:pPr>
                    <w:adjustRightInd w:val="0"/>
                    <w:snapToGrid w:val="0"/>
                    <w:jc w:val="center"/>
                    <w:rPr>
                      <w:snapToGrid w:val="0"/>
                      <w:color w:val="auto"/>
                      <w:kern w:val="0"/>
                      <w:szCs w:val="21"/>
                      <w:highlight w:val="none"/>
                    </w:rPr>
                  </w:pPr>
                  <w:r>
                    <w:rPr>
                      <w:rFonts w:hAnsi="宋体"/>
                      <w:snapToGrid w:val="0"/>
                      <w:color w:val="auto"/>
                      <w:kern w:val="0"/>
                      <w:szCs w:val="21"/>
                      <w:highlight w:val="none"/>
                    </w:rPr>
                    <w:t>全面开展</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企业及集群综合整治行动，根据产业政策、产业布局规划，以及土地、环保、质量、安全、能耗等要求，制定</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企业及集群整治工作要求。实行拉网式排查和清单式、台账式、网格化管理，</w:t>
                  </w:r>
                  <w:r>
                    <w:rPr>
                      <w:snapToGrid w:val="0"/>
                      <w:color w:val="auto"/>
                      <w:kern w:val="0"/>
                      <w:szCs w:val="21"/>
                      <w:highlight w:val="none"/>
                    </w:rPr>
                    <w:t>2018</w:t>
                  </w:r>
                  <w:r>
                    <w:rPr>
                      <w:rFonts w:hAnsi="宋体"/>
                      <w:snapToGrid w:val="0"/>
                      <w:color w:val="auto"/>
                      <w:kern w:val="0"/>
                      <w:szCs w:val="21"/>
                      <w:highlight w:val="none"/>
                    </w:rPr>
                    <w:t>年完成摸底排查工作。</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企业列入升级改造类的，树立行业标杆，实施清洁生产技术改造。建立</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企业动态管理机制，坚决杜绝</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企业项目建设和已取缔的</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企业异地转移、死灰复燃</w:t>
                  </w:r>
                </w:p>
              </w:tc>
              <w:tc>
                <w:tcPr>
                  <w:tcW w:w="1176" w:type="pct"/>
                  <w:vAlign w:val="center"/>
                </w:tcPr>
                <w:p w14:paraId="7F783064">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本项目位于</w:t>
                  </w:r>
                  <w:r>
                    <w:rPr>
                      <w:rFonts w:hAnsi="宋体"/>
                      <w:bCs/>
                      <w:snapToGrid w:val="0"/>
                      <w:color w:val="auto"/>
                      <w:kern w:val="0"/>
                      <w:szCs w:val="21"/>
                      <w:highlight w:val="none"/>
                    </w:rPr>
                    <w:t>南通市海门市</w:t>
                  </w:r>
                  <w:r>
                    <w:rPr>
                      <w:rFonts w:hint="eastAsia" w:hAnsi="宋体"/>
                      <w:bCs/>
                      <w:snapToGrid w:val="0"/>
                      <w:color w:val="auto"/>
                      <w:kern w:val="0"/>
                      <w:szCs w:val="21"/>
                      <w:highlight w:val="none"/>
                    </w:rPr>
                    <w:t>经济开发区</w:t>
                  </w:r>
                  <w:r>
                    <w:rPr>
                      <w:rFonts w:hAnsi="宋体"/>
                      <w:bCs/>
                      <w:snapToGrid w:val="0"/>
                      <w:color w:val="auto"/>
                      <w:kern w:val="0"/>
                      <w:szCs w:val="21"/>
                      <w:highlight w:val="none"/>
                    </w:rPr>
                    <w:t>滨港大道2699号内52号楼</w:t>
                  </w:r>
                  <w:r>
                    <w:rPr>
                      <w:rFonts w:hAnsi="宋体"/>
                      <w:snapToGrid w:val="0"/>
                      <w:color w:val="auto"/>
                      <w:kern w:val="0"/>
                      <w:szCs w:val="21"/>
                      <w:highlight w:val="none"/>
                    </w:rPr>
                    <w:t>，项目符合国家和地方的产业政策，污染防治措施完备，项目污染物可以稳定达标排放，不属于</w:t>
                  </w:r>
                  <w:r>
                    <w:rPr>
                      <w:snapToGrid w:val="0"/>
                      <w:color w:val="auto"/>
                      <w:kern w:val="0"/>
                      <w:szCs w:val="21"/>
                      <w:highlight w:val="none"/>
                    </w:rPr>
                    <w:t>“</w:t>
                  </w:r>
                  <w:r>
                    <w:rPr>
                      <w:rFonts w:hAnsi="宋体"/>
                      <w:snapToGrid w:val="0"/>
                      <w:color w:val="auto"/>
                      <w:kern w:val="0"/>
                      <w:szCs w:val="21"/>
                      <w:highlight w:val="none"/>
                    </w:rPr>
                    <w:t>散乱污</w:t>
                  </w:r>
                  <w:r>
                    <w:rPr>
                      <w:snapToGrid w:val="0"/>
                      <w:color w:val="auto"/>
                      <w:kern w:val="0"/>
                      <w:szCs w:val="21"/>
                      <w:highlight w:val="none"/>
                    </w:rPr>
                    <w:t>”</w:t>
                  </w:r>
                  <w:r>
                    <w:rPr>
                      <w:rFonts w:hAnsi="宋体"/>
                      <w:snapToGrid w:val="0"/>
                      <w:color w:val="auto"/>
                      <w:kern w:val="0"/>
                      <w:szCs w:val="21"/>
                      <w:highlight w:val="none"/>
                    </w:rPr>
                    <w:t>企业</w:t>
                  </w:r>
                </w:p>
              </w:tc>
              <w:tc>
                <w:tcPr>
                  <w:tcW w:w="587" w:type="pct"/>
                  <w:vAlign w:val="center"/>
                </w:tcPr>
                <w:p w14:paraId="68476452">
                  <w:pPr>
                    <w:adjustRightInd w:val="0"/>
                    <w:snapToGrid w:val="0"/>
                    <w:jc w:val="center"/>
                    <w:rPr>
                      <w:snapToGrid w:val="0"/>
                      <w:color w:val="auto"/>
                      <w:kern w:val="0"/>
                      <w:szCs w:val="21"/>
                      <w:highlight w:val="none"/>
                    </w:rPr>
                  </w:pPr>
                  <w:r>
                    <w:rPr>
                      <w:rFonts w:hAnsi="宋体"/>
                      <w:snapToGrid w:val="0"/>
                      <w:color w:val="auto"/>
                      <w:kern w:val="0"/>
                      <w:szCs w:val="21"/>
                      <w:highlight w:val="none"/>
                    </w:rPr>
                    <w:t>符合</w:t>
                  </w:r>
                </w:p>
              </w:tc>
            </w:tr>
            <w:tr w14:paraId="63202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27028018">
                  <w:pPr>
                    <w:adjustRightInd w:val="0"/>
                    <w:snapToGrid w:val="0"/>
                    <w:jc w:val="center"/>
                    <w:rPr>
                      <w:snapToGrid w:val="0"/>
                      <w:color w:val="auto"/>
                      <w:kern w:val="0"/>
                      <w:szCs w:val="21"/>
                      <w:highlight w:val="none"/>
                    </w:rPr>
                  </w:pPr>
                </w:p>
              </w:tc>
              <w:tc>
                <w:tcPr>
                  <w:tcW w:w="2819" w:type="pct"/>
                  <w:vAlign w:val="center"/>
                </w:tcPr>
                <w:p w14:paraId="7E13BE57">
                  <w:pPr>
                    <w:adjustRightInd w:val="0"/>
                    <w:snapToGrid w:val="0"/>
                    <w:jc w:val="center"/>
                    <w:rPr>
                      <w:snapToGrid w:val="0"/>
                      <w:color w:val="auto"/>
                      <w:kern w:val="0"/>
                      <w:szCs w:val="21"/>
                      <w:highlight w:val="none"/>
                    </w:rPr>
                  </w:pPr>
                  <w:r>
                    <w:rPr>
                      <w:rFonts w:hAnsi="宋体"/>
                      <w:snapToGrid w:val="0"/>
                      <w:color w:val="auto"/>
                      <w:kern w:val="0"/>
                      <w:szCs w:val="21"/>
                      <w:highlight w:val="none"/>
                    </w:rPr>
                    <w:t>开展燃煤锅炉综合整治。</w:t>
                  </w:r>
                  <w:r>
                    <w:rPr>
                      <w:snapToGrid w:val="0"/>
                      <w:color w:val="auto"/>
                      <w:kern w:val="0"/>
                      <w:szCs w:val="21"/>
                      <w:highlight w:val="none"/>
                    </w:rPr>
                    <w:t>2019</w:t>
                  </w:r>
                  <w:r>
                    <w:rPr>
                      <w:rFonts w:hAnsi="宋体"/>
                      <w:snapToGrid w:val="0"/>
                      <w:color w:val="auto"/>
                      <w:kern w:val="0"/>
                      <w:szCs w:val="21"/>
                      <w:highlight w:val="none"/>
                    </w:rPr>
                    <w:t>年底前，实施</w:t>
                  </w:r>
                  <w:r>
                    <w:rPr>
                      <w:snapToGrid w:val="0"/>
                      <w:color w:val="auto"/>
                      <w:kern w:val="0"/>
                      <w:szCs w:val="21"/>
                      <w:highlight w:val="none"/>
                    </w:rPr>
                    <w:t>35</w:t>
                  </w:r>
                  <w:r>
                    <w:rPr>
                      <w:rFonts w:hAnsi="宋体"/>
                      <w:snapToGrid w:val="0"/>
                      <w:color w:val="auto"/>
                      <w:kern w:val="0"/>
                      <w:szCs w:val="21"/>
                      <w:highlight w:val="none"/>
                    </w:rPr>
                    <w:t>蒸吨</w:t>
                  </w:r>
                  <w:r>
                    <w:rPr>
                      <w:snapToGrid w:val="0"/>
                      <w:color w:val="auto"/>
                      <w:kern w:val="0"/>
                      <w:szCs w:val="21"/>
                      <w:highlight w:val="none"/>
                    </w:rPr>
                    <w:t>/</w:t>
                  </w:r>
                  <w:r>
                    <w:rPr>
                      <w:rFonts w:hAnsi="宋体"/>
                      <w:snapToGrid w:val="0"/>
                      <w:color w:val="auto"/>
                      <w:kern w:val="0"/>
                      <w:szCs w:val="21"/>
                      <w:highlight w:val="none"/>
                    </w:rPr>
                    <w:t>小时及以下燃煤锅炉全部淘汰方案或实施清洁能源替代，按照宜电则电、宜气则气等原则进行整治，鼓励使用太阳能、生物质能等；推进煤炭清洁化利用，推广清洁高效燃煤锅炉，</w:t>
                  </w:r>
                  <w:r>
                    <w:rPr>
                      <w:snapToGrid w:val="0"/>
                      <w:color w:val="auto"/>
                      <w:kern w:val="0"/>
                      <w:szCs w:val="21"/>
                      <w:highlight w:val="none"/>
                    </w:rPr>
                    <w:t>65</w:t>
                  </w:r>
                  <w:r>
                    <w:rPr>
                      <w:rFonts w:hAnsi="宋体"/>
                      <w:snapToGrid w:val="0"/>
                      <w:color w:val="auto"/>
                      <w:kern w:val="0"/>
                      <w:szCs w:val="21"/>
                      <w:highlight w:val="none"/>
                    </w:rPr>
                    <w:t>蒸吨</w:t>
                  </w:r>
                  <w:r>
                    <w:rPr>
                      <w:snapToGrid w:val="0"/>
                      <w:color w:val="auto"/>
                      <w:kern w:val="0"/>
                      <w:szCs w:val="21"/>
                      <w:highlight w:val="none"/>
                    </w:rPr>
                    <w:t>/</w:t>
                  </w:r>
                  <w:r>
                    <w:rPr>
                      <w:rFonts w:hAnsi="宋体"/>
                      <w:snapToGrid w:val="0"/>
                      <w:color w:val="auto"/>
                      <w:kern w:val="0"/>
                      <w:szCs w:val="21"/>
                      <w:highlight w:val="none"/>
                    </w:rPr>
                    <w:t>小时及以上的燃煤锅炉全部完成节能和超低排放改造；燃气锅炉基本完成低氮改造；城市建成区生物质锅炉实施超低排放改造；其余燃煤锅炉全部达到特别排放限值要求</w:t>
                  </w:r>
                </w:p>
              </w:tc>
              <w:tc>
                <w:tcPr>
                  <w:tcW w:w="1176" w:type="pct"/>
                  <w:vAlign w:val="center"/>
                </w:tcPr>
                <w:p w14:paraId="7F9DF512">
                  <w:pPr>
                    <w:adjustRightInd w:val="0"/>
                    <w:snapToGrid w:val="0"/>
                    <w:jc w:val="center"/>
                    <w:rPr>
                      <w:snapToGrid w:val="0"/>
                      <w:color w:val="auto"/>
                      <w:kern w:val="0"/>
                      <w:szCs w:val="21"/>
                      <w:highlight w:val="none"/>
                    </w:rPr>
                  </w:pPr>
                  <w:r>
                    <w:rPr>
                      <w:rFonts w:hAnsi="宋体"/>
                      <w:snapToGrid w:val="0"/>
                      <w:color w:val="auto"/>
                      <w:kern w:val="0"/>
                      <w:szCs w:val="21"/>
                      <w:highlight w:val="none"/>
                    </w:rPr>
                    <w:t>本项目不使用煤炭</w:t>
                  </w:r>
                </w:p>
              </w:tc>
              <w:tc>
                <w:tcPr>
                  <w:tcW w:w="587" w:type="pct"/>
                  <w:vAlign w:val="center"/>
                </w:tcPr>
                <w:p w14:paraId="5EFD6D50">
                  <w:pPr>
                    <w:adjustRightInd w:val="0"/>
                    <w:snapToGrid w:val="0"/>
                    <w:jc w:val="center"/>
                    <w:rPr>
                      <w:snapToGrid w:val="0"/>
                      <w:color w:val="auto"/>
                      <w:kern w:val="0"/>
                      <w:szCs w:val="21"/>
                      <w:highlight w:val="none"/>
                    </w:rPr>
                  </w:pPr>
                  <w:r>
                    <w:rPr>
                      <w:rFonts w:hAnsi="宋体"/>
                      <w:snapToGrid w:val="0"/>
                      <w:color w:val="auto"/>
                      <w:kern w:val="0"/>
                      <w:szCs w:val="21"/>
                      <w:highlight w:val="none"/>
                    </w:rPr>
                    <w:t>符合</w:t>
                  </w:r>
                </w:p>
              </w:tc>
            </w:tr>
            <w:tr w14:paraId="089BC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vMerge w:val="continue"/>
                  <w:vAlign w:val="center"/>
                </w:tcPr>
                <w:p w14:paraId="6E0A7B9A">
                  <w:pPr>
                    <w:adjustRightInd w:val="0"/>
                    <w:snapToGrid w:val="0"/>
                    <w:jc w:val="center"/>
                    <w:rPr>
                      <w:snapToGrid w:val="0"/>
                      <w:color w:val="auto"/>
                      <w:kern w:val="0"/>
                      <w:szCs w:val="21"/>
                      <w:highlight w:val="none"/>
                    </w:rPr>
                  </w:pPr>
                </w:p>
              </w:tc>
              <w:tc>
                <w:tcPr>
                  <w:tcW w:w="4342" w:type="dxa"/>
                  <w:vAlign w:val="center"/>
                </w:tcPr>
                <w:p w14:paraId="59AE065B">
                  <w:pPr>
                    <w:adjustRightInd w:val="0"/>
                    <w:snapToGrid w:val="0"/>
                    <w:jc w:val="center"/>
                    <w:rPr>
                      <w:rFonts w:hAnsi="宋体"/>
                      <w:snapToGrid w:val="0"/>
                      <w:color w:val="auto"/>
                      <w:kern w:val="0"/>
                      <w:szCs w:val="21"/>
                      <w:highlight w:val="none"/>
                    </w:rPr>
                  </w:pPr>
                  <w:r>
                    <w:rPr>
                      <w:rFonts w:hAnsi="宋体"/>
                      <w:snapToGrid w:val="0"/>
                      <w:color w:val="auto"/>
                      <w:kern w:val="0"/>
                      <w:szCs w:val="21"/>
                      <w:highlight w:val="none"/>
                    </w:rPr>
                    <w:t>重点区域禁止建设生产和使用高VOCs含量的溶剂型涂料、油墨、胶粘剂等项目，加大餐饮油烟治理力度</w:t>
                  </w:r>
                </w:p>
              </w:tc>
              <w:tc>
                <w:tcPr>
                  <w:tcW w:w="1812" w:type="dxa"/>
                  <w:vAlign w:val="center"/>
                </w:tcPr>
                <w:p w14:paraId="0815978A">
                  <w:pPr>
                    <w:adjustRightInd w:val="0"/>
                    <w:snapToGrid w:val="0"/>
                    <w:jc w:val="center"/>
                    <w:rPr>
                      <w:rFonts w:hAnsi="宋体"/>
                      <w:snapToGrid w:val="0"/>
                      <w:color w:val="auto"/>
                      <w:kern w:val="0"/>
                      <w:szCs w:val="21"/>
                      <w:highlight w:val="none"/>
                    </w:rPr>
                  </w:pPr>
                  <w:r>
                    <w:rPr>
                      <w:rFonts w:hAnsi="宋体"/>
                      <w:bCs/>
                      <w:snapToGrid w:val="0"/>
                      <w:color w:val="auto"/>
                      <w:kern w:val="0"/>
                      <w:szCs w:val="21"/>
                      <w:highlight w:val="none"/>
                    </w:rPr>
                    <w:t>本项目</w:t>
                  </w:r>
                  <w:r>
                    <w:rPr>
                      <w:rFonts w:hint="eastAsia" w:hAnsi="宋体"/>
                      <w:bCs/>
                      <w:snapToGrid w:val="0"/>
                      <w:color w:val="auto"/>
                      <w:kern w:val="0"/>
                      <w:szCs w:val="21"/>
                      <w:highlight w:val="none"/>
                    </w:rPr>
                    <w:t>不涉及</w:t>
                  </w:r>
                  <w:r>
                    <w:rPr>
                      <w:rFonts w:hAnsi="宋体"/>
                      <w:bCs/>
                      <w:snapToGrid w:val="0"/>
                      <w:color w:val="auto"/>
                      <w:kern w:val="0"/>
                      <w:szCs w:val="21"/>
                      <w:highlight w:val="none"/>
                    </w:rPr>
                    <w:t>溶剂型</w:t>
                  </w:r>
                  <w:r>
                    <w:rPr>
                      <w:rFonts w:hint="eastAsia" w:hAnsi="宋体"/>
                      <w:bCs/>
                      <w:snapToGrid w:val="0"/>
                      <w:color w:val="auto"/>
                      <w:kern w:val="0"/>
                      <w:szCs w:val="21"/>
                      <w:highlight w:val="none"/>
                    </w:rPr>
                    <w:t>涂料、油墨、胶黏剂、清洗剂等的使用，本项目</w:t>
                  </w:r>
                  <w:r>
                    <w:rPr>
                      <w:rFonts w:hAnsi="宋体"/>
                      <w:bCs/>
                      <w:snapToGrid w:val="0"/>
                      <w:color w:val="auto"/>
                      <w:kern w:val="0"/>
                      <w:szCs w:val="21"/>
                      <w:highlight w:val="none"/>
                    </w:rPr>
                    <w:t>原辅料均为低VOCs含量的原辅料</w:t>
                  </w:r>
                </w:p>
              </w:tc>
              <w:tc>
                <w:tcPr>
                  <w:tcW w:w="904" w:type="dxa"/>
                  <w:vAlign w:val="center"/>
                </w:tcPr>
                <w:p w14:paraId="6DB4C602">
                  <w:pPr>
                    <w:adjustRightInd w:val="0"/>
                    <w:snapToGrid w:val="0"/>
                    <w:jc w:val="center"/>
                    <w:rPr>
                      <w:rFonts w:hAnsi="宋体"/>
                      <w:snapToGrid w:val="0"/>
                      <w:color w:val="auto"/>
                      <w:kern w:val="0"/>
                      <w:szCs w:val="21"/>
                      <w:highlight w:val="none"/>
                    </w:rPr>
                  </w:pPr>
                  <w:r>
                    <w:rPr>
                      <w:rFonts w:hAnsi="宋体"/>
                      <w:snapToGrid w:val="0"/>
                      <w:color w:val="auto"/>
                      <w:kern w:val="0"/>
                      <w:szCs w:val="21"/>
                      <w:highlight w:val="none"/>
                    </w:rPr>
                    <w:t>符合</w:t>
                  </w:r>
                </w:p>
              </w:tc>
            </w:tr>
          </w:tbl>
          <w:p w14:paraId="29C98CC6">
            <w:pPr>
              <w:adjustRightInd w:val="0"/>
              <w:snapToGrid w:val="0"/>
              <w:ind w:firstLine="200" w:firstLineChars="200"/>
              <w:rPr>
                <w:snapToGrid w:val="0"/>
                <w:color w:val="auto"/>
                <w:kern w:val="0"/>
                <w:sz w:val="10"/>
                <w:szCs w:val="10"/>
                <w:highlight w:val="none"/>
              </w:rPr>
            </w:pPr>
          </w:p>
          <w:p w14:paraId="73D335BA">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根据上表分析结果，本项目符合《国务院关于印发打赢蓝天保卫战三年行动计划的通知》（国发</w:t>
            </w:r>
            <w:r>
              <w:rPr>
                <w:snapToGrid w:val="0"/>
                <w:color w:val="auto"/>
                <w:kern w:val="0"/>
                <w:sz w:val="24"/>
                <w:highlight w:val="none"/>
              </w:rPr>
              <w:t>[2018]22</w:t>
            </w:r>
            <w:r>
              <w:rPr>
                <w:rFonts w:hAnsi="宋体"/>
                <w:snapToGrid w:val="0"/>
                <w:color w:val="auto"/>
                <w:kern w:val="0"/>
                <w:sz w:val="24"/>
                <w:highlight w:val="none"/>
              </w:rPr>
              <w:t>号）、《省政府关于印发打赢蓝天保卫战三年行动计划实施方案的通知》（苏政发</w:t>
            </w:r>
            <w:r>
              <w:rPr>
                <w:snapToGrid w:val="0"/>
                <w:color w:val="auto"/>
                <w:kern w:val="0"/>
                <w:sz w:val="24"/>
                <w:highlight w:val="none"/>
              </w:rPr>
              <w:t>[2018]122</w:t>
            </w:r>
            <w:r>
              <w:rPr>
                <w:rFonts w:hAnsi="宋体"/>
                <w:snapToGrid w:val="0"/>
                <w:color w:val="auto"/>
                <w:kern w:val="0"/>
                <w:sz w:val="24"/>
                <w:highlight w:val="none"/>
              </w:rPr>
              <w:t>号）的相关要求。</w:t>
            </w:r>
          </w:p>
          <w:p w14:paraId="4987DD73">
            <w:pPr>
              <w:adjustRightInd w:val="0"/>
              <w:snapToGrid w:val="0"/>
              <w:spacing w:line="360" w:lineRule="auto"/>
              <w:ind w:firstLine="484" w:firstLineChars="201"/>
              <w:rPr>
                <w:b/>
                <w:color w:val="auto"/>
                <w:kern w:val="0"/>
                <w:sz w:val="24"/>
                <w:highlight w:val="none"/>
              </w:rPr>
            </w:pPr>
            <w:r>
              <w:rPr>
                <w:rFonts w:hint="eastAsia" w:hAnsi="宋体"/>
                <w:b/>
                <w:color w:val="auto"/>
                <w:kern w:val="0"/>
                <w:sz w:val="24"/>
                <w:highlight w:val="none"/>
                <w:lang w:eastAsia="zh-Hans"/>
              </w:rPr>
              <w:t>（</w:t>
            </w:r>
            <w:r>
              <w:rPr>
                <w:rFonts w:hAnsi="宋体"/>
                <w:b/>
                <w:color w:val="auto"/>
                <w:kern w:val="0"/>
                <w:sz w:val="24"/>
                <w:highlight w:val="none"/>
                <w:lang w:eastAsia="zh-Hans"/>
              </w:rPr>
              <w:t>4</w:t>
            </w:r>
            <w:r>
              <w:rPr>
                <w:rFonts w:hint="eastAsia" w:hAnsi="宋体"/>
                <w:b/>
                <w:color w:val="auto"/>
                <w:kern w:val="0"/>
                <w:sz w:val="24"/>
                <w:highlight w:val="none"/>
                <w:lang w:eastAsia="zh-Hans"/>
              </w:rPr>
              <w:t>）</w:t>
            </w:r>
            <w:r>
              <w:rPr>
                <w:rFonts w:hAnsi="宋体"/>
                <w:b/>
                <w:color w:val="auto"/>
                <w:kern w:val="0"/>
                <w:sz w:val="24"/>
                <w:highlight w:val="none"/>
              </w:rPr>
              <w:t>与《重点行业挥发性有机物综合治理方案》</w:t>
            </w:r>
            <w:r>
              <w:rPr>
                <w:rFonts w:hAnsi="宋体"/>
                <w:b/>
                <w:bCs/>
                <w:color w:val="auto"/>
                <w:kern w:val="0"/>
                <w:sz w:val="24"/>
                <w:highlight w:val="none"/>
              </w:rPr>
              <w:t>（环大气</w:t>
            </w:r>
            <w:r>
              <w:rPr>
                <w:b/>
                <w:bCs/>
                <w:color w:val="auto"/>
                <w:kern w:val="0"/>
                <w:sz w:val="24"/>
                <w:highlight w:val="none"/>
              </w:rPr>
              <w:t>[2019]53</w:t>
            </w:r>
            <w:r>
              <w:rPr>
                <w:rFonts w:hAnsi="宋体"/>
                <w:b/>
                <w:bCs/>
                <w:color w:val="auto"/>
                <w:kern w:val="0"/>
                <w:sz w:val="24"/>
                <w:highlight w:val="none"/>
              </w:rPr>
              <w:t>号）</w:t>
            </w:r>
            <w:r>
              <w:rPr>
                <w:rFonts w:hAnsi="宋体"/>
                <w:b/>
                <w:color w:val="auto"/>
                <w:kern w:val="0"/>
                <w:sz w:val="24"/>
                <w:highlight w:val="none"/>
              </w:rPr>
              <w:t>相符性分析</w:t>
            </w:r>
          </w:p>
          <w:p w14:paraId="5BFE5DC7">
            <w:pPr>
              <w:adjustRightInd w:val="0"/>
              <w:snapToGrid w:val="0"/>
              <w:spacing w:line="360" w:lineRule="auto"/>
              <w:ind w:firstLine="482" w:firstLineChars="201"/>
              <w:rPr>
                <w:color w:val="auto"/>
                <w:kern w:val="0"/>
                <w:sz w:val="24"/>
                <w:highlight w:val="none"/>
              </w:rPr>
            </w:pPr>
            <w:r>
              <w:rPr>
                <w:rFonts w:hAnsi="宋体"/>
                <w:color w:val="auto"/>
                <w:kern w:val="0"/>
                <w:sz w:val="24"/>
                <w:highlight w:val="none"/>
              </w:rPr>
              <w:t>方案要求：大力推进源头替代。通过使用水性、粉末、高固体分、无溶剂、辐射固化等低</w:t>
            </w:r>
            <w:r>
              <w:rPr>
                <w:color w:val="auto"/>
                <w:kern w:val="0"/>
                <w:sz w:val="24"/>
                <w:highlight w:val="none"/>
              </w:rPr>
              <w:t>VOCs</w:t>
            </w:r>
            <w:r>
              <w:rPr>
                <w:rFonts w:hAnsi="宋体"/>
                <w:color w:val="auto"/>
                <w:kern w:val="0"/>
                <w:sz w:val="24"/>
                <w:highlight w:val="none"/>
              </w:rPr>
              <w:t>含量的涂料，水基、热熔、无溶剂、辐射固化、改性、生物降解等低</w:t>
            </w:r>
            <w:r>
              <w:rPr>
                <w:color w:val="auto"/>
                <w:kern w:val="0"/>
                <w:sz w:val="24"/>
                <w:highlight w:val="none"/>
              </w:rPr>
              <w:t>VOCs</w:t>
            </w:r>
            <w:r>
              <w:rPr>
                <w:rFonts w:hAnsi="宋体"/>
                <w:color w:val="auto"/>
                <w:kern w:val="0"/>
                <w:sz w:val="24"/>
                <w:highlight w:val="none"/>
              </w:rPr>
              <w:t>含量的胶黏剂，以及低</w:t>
            </w:r>
            <w:r>
              <w:rPr>
                <w:color w:val="auto"/>
                <w:kern w:val="0"/>
                <w:sz w:val="24"/>
                <w:highlight w:val="none"/>
              </w:rPr>
              <w:t>VOCs</w:t>
            </w:r>
            <w:r>
              <w:rPr>
                <w:rFonts w:hAnsi="宋体"/>
                <w:color w:val="auto"/>
                <w:kern w:val="0"/>
                <w:sz w:val="24"/>
                <w:highlight w:val="none"/>
              </w:rPr>
              <w:t>含量、低反应活性的清洗剂等，替代溶剂型涂料、胶黏剂等，从源头减少</w:t>
            </w:r>
            <w:r>
              <w:rPr>
                <w:color w:val="auto"/>
                <w:kern w:val="0"/>
                <w:sz w:val="24"/>
                <w:highlight w:val="none"/>
              </w:rPr>
              <w:t>VOCs</w:t>
            </w:r>
            <w:r>
              <w:rPr>
                <w:rFonts w:hAnsi="宋体"/>
                <w:color w:val="auto"/>
                <w:kern w:val="0"/>
                <w:sz w:val="24"/>
                <w:highlight w:val="none"/>
              </w:rPr>
              <w:t>产生。</w:t>
            </w:r>
          </w:p>
          <w:p w14:paraId="6FB27AFD">
            <w:pPr>
              <w:adjustRightInd w:val="0"/>
              <w:snapToGrid w:val="0"/>
              <w:spacing w:line="360" w:lineRule="auto"/>
              <w:ind w:firstLine="482" w:firstLineChars="201"/>
              <w:rPr>
                <w:color w:val="auto"/>
                <w:kern w:val="0"/>
                <w:sz w:val="24"/>
                <w:highlight w:val="none"/>
              </w:rPr>
            </w:pPr>
            <w:r>
              <w:rPr>
                <w:rFonts w:hint="eastAsia" w:hAnsi="宋体"/>
                <w:snapToGrid w:val="0"/>
                <w:color w:val="auto"/>
                <w:kern w:val="0"/>
                <w:sz w:val="24"/>
                <w:highlight w:val="none"/>
              </w:rPr>
              <w:t>本项目转子生产使用聚酯树脂胶，定子生产使用浸渍树脂胶，根据聚酯树脂胶、浸渍树脂MSDS，聚酯树脂胶中可挥发性有机成分二甲苯占0.3%，则挥发性有机物（VOCs）含量约为3.15g/L，浸渍树脂中可挥发性有机成分检测报告，挥发性有机物（VOCs）含量约为122g/L，因此使用的聚氨酯树脂、</w:t>
            </w:r>
            <w:r>
              <w:rPr>
                <w:rFonts w:hint="eastAsia"/>
                <w:snapToGrid w:val="0"/>
                <w:color w:val="auto"/>
                <w:kern w:val="0"/>
                <w:sz w:val="24"/>
                <w:highlight w:val="none"/>
              </w:rPr>
              <w:t>浸渍树脂胶均为低VOCs物料</w:t>
            </w:r>
            <w:r>
              <w:rPr>
                <w:rFonts w:hAnsi="宋体"/>
                <w:color w:val="auto"/>
                <w:kern w:val="0"/>
                <w:sz w:val="24"/>
                <w:highlight w:val="none"/>
              </w:rPr>
              <w:t>，</w:t>
            </w:r>
            <w:r>
              <w:rPr>
                <w:rFonts w:hint="eastAsia" w:hAnsi="宋体"/>
                <w:color w:val="auto"/>
                <w:kern w:val="0"/>
                <w:sz w:val="24"/>
                <w:highlight w:val="none"/>
              </w:rPr>
              <w:t>生产工艺产生的有机废气经集气罩、设备密闭管道收集（收集效率90%）</w:t>
            </w:r>
            <w:r>
              <w:rPr>
                <w:rFonts w:hAnsi="宋体"/>
                <w:color w:val="auto"/>
                <w:kern w:val="0"/>
                <w:sz w:val="24"/>
                <w:highlight w:val="none"/>
              </w:rPr>
              <w:t>后经</w:t>
            </w:r>
            <w:r>
              <w:rPr>
                <w:rFonts w:hint="default" w:hAnsi="宋体"/>
                <w:snapToGrid w:val="0"/>
                <w:color w:val="auto"/>
                <w:kern w:val="0"/>
                <w:sz w:val="24"/>
                <w:highlight w:val="none"/>
              </w:rPr>
              <w:t>三级活性炭</w:t>
            </w:r>
            <w:r>
              <w:rPr>
                <w:rFonts w:hint="eastAsia" w:hAnsi="宋体"/>
                <w:snapToGrid w:val="0"/>
                <w:color w:val="auto"/>
                <w:kern w:val="0"/>
                <w:sz w:val="24"/>
                <w:highlight w:val="none"/>
              </w:rPr>
              <w:t>吸附</w:t>
            </w:r>
            <w:r>
              <w:rPr>
                <w:rFonts w:hAnsi="宋体"/>
                <w:snapToGrid w:val="0"/>
                <w:color w:val="auto"/>
                <w:kern w:val="0"/>
                <w:sz w:val="24"/>
                <w:highlight w:val="none"/>
              </w:rPr>
              <w:t>装置</w:t>
            </w:r>
            <w:r>
              <w:rPr>
                <w:rFonts w:hAnsi="宋体"/>
                <w:color w:val="auto"/>
                <w:kern w:val="0"/>
                <w:sz w:val="24"/>
                <w:highlight w:val="none"/>
              </w:rPr>
              <w:t>（处理效率</w:t>
            </w:r>
            <w:r>
              <w:rPr>
                <w:color w:val="auto"/>
                <w:kern w:val="0"/>
                <w:sz w:val="24"/>
                <w:highlight w:val="none"/>
              </w:rPr>
              <w:t>93%</w:t>
            </w:r>
            <w:r>
              <w:rPr>
                <w:rFonts w:hAnsi="宋体"/>
                <w:color w:val="auto"/>
                <w:kern w:val="0"/>
                <w:sz w:val="24"/>
                <w:highlight w:val="none"/>
              </w:rPr>
              <w:t>）处理后达标排放。因此，本项目符合《重点行业挥发性有机物综合治理方案》（环大气</w:t>
            </w:r>
            <w:r>
              <w:rPr>
                <w:color w:val="auto"/>
                <w:kern w:val="0"/>
                <w:sz w:val="24"/>
                <w:highlight w:val="none"/>
              </w:rPr>
              <w:t>[2019]53</w:t>
            </w:r>
            <w:r>
              <w:rPr>
                <w:rFonts w:hAnsi="宋体"/>
                <w:color w:val="auto"/>
                <w:kern w:val="0"/>
                <w:sz w:val="24"/>
                <w:highlight w:val="none"/>
              </w:rPr>
              <w:t>号）中相关要求。</w:t>
            </w:r>
          </w:p>
          <w:p w14:paraId="4516C992">
            <w:pPr>
              <w:adjustRightInd w:val="0"/>
              <w:snapToGrid w:val="0"/>
              <w:spacing w:line="360" w:lineRule="auto"/>
              <w:ind w:firstLine="484" w:firstLineChars="201"/>
              <w:rPr>
                <w:b/>
                <w:snapToGrid w:val="0"/>
                <w:color w:val="auto"/>
                <w:kern w:val="0"/>
                <w:sz w:val="24"/>
                <w:highlight w:val="none"/>
              </w:rPr>
            </w:pPr>
            <w:r>
              <w:rPr>
                <w:rFonts w:hAnsi="宋体"/>
                <w:b/>
                <w:color w:val="auto"/>
                <w:kern w:val="0"/>
                <w:sz w:val="24"/>
                <w:highlight w:val="none"/>
              </w:rPr>
              <w:t>（5）</w:t>
            </w:r>
            <w:r>
              <w:rPr>
                <w:rFonts w:hAnsi="宋体"/>
                <w:b/>
                <w:bCs/>
                <w:snapToGrid w:val="0"/>
                <w:color w:val="auto"/>
                <w:kern w:val="0"/>
                <w:sz w:val="24"/>
                <w:highlight w:val="none"/>
              </w:rPr>
              <w:t>与</w:t>
            </w:r>
            <w:bookmarkStart w:id="6" w:name="_Hlk45025157"/>
            <w:r>
              <w:rPr>
                <w:rFonts w:hAnsi="宋体"/>
                <w:b/>
                <w:bCs/>
                <w:snapToGrid w:val="0"/>
                <w:color w:val="auto"/>
                <w:kern w:val="0"/>
                <w:sz w:val="24"/>
                <w:highlight w:val="none"/>
              </w:rPr>
              <w:t>《江苏省重点行业挥发性有机物污染控制指南》（苏政办</w:t>
            </w:r>
            <w:r>
              <w:rPr>
                <w:b/>
                <w:bCs/>
                <w:snapToGrid w:val="0"/>
                <w:color w:val="auto"/>
                <w:kern w:val="0"/>
                <w:sz w:val="24"/>
                <w:highlight w:val="none"/>
              </w:rPr>
              <w:t>[2014]128</w:t>
            </w:r>
            <w:r>
              <w:rPr>
                <w:rFonts w:hAnsi="宋体"/>
                <w:b/>
                <w:bCs/>
                <w:snapToGrid w:val="0"/>
                <w:color w:val="auto"/>
                <w:kern w:val="0"/>
                <w:sz w:val="24"/>
                <w:highlight w:val="none"/>
              </w:rPr>
              <w:t>号）</w:t>
            </w:r>
            <w:bookmarkEnd w:id="6"/>
            <w:r>
              <w:rPr>
                <w:rFonts w:hAnsi="宋体"/>
                <w:b/>
                <w:bCs/>
                <w:snapToGrid w:val="0"/>
                <w:color w:val="auto"/>
                <w:kern w:val="0"/>
                <w:sz w:val="24"/>
                <w:highlight w:val="none"/>
              </w:rPr>
              <w:t>相符性分析</w:t>
            </w:r>
          </w:p>
          <w:p w14:paraId="23E7AC6D">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本项目与《江苏省重点行业挥发性有机物污染控制指南》（苏政办</w:t>
            </w:r>
            <w:r>
              <w:rPr>
                <w:snapToGrid w:val="0"/>
                <w:color w:val="auto"/>
                <w:kern w:val="0"/>
                <w:sz w:val="24"/>
                <w:highlight w:val="none"/>
              </w:rPr>
              <w:t>[2014]128</w:t>
            </w:r>
            <w:r>
              <w:rPr>
                <w:rFonts w:hAnsi="宋体"/>
                <w:snapToGrid w:val="0"/>
                <w:color w:val="auto"/>
                <w:kern w:val="0"/>
                <w:sz w:val="24"/>
                <w:highlight w:val="none"/>
              </w:rPr>
              <w:t>号）相符性分析见</w:t>
            </w:r>
            <w:r>
              <w:rPr>
                <w:snapToGrid w:val="0"/>
                <w:color w:val="auto"/>
                <w:kern w:val="0"/>
                <w:sz w:val="24"/>
                <w:highlight w:val="none"/>
              </w:rPr>
              <w:t>表1-</w:t>
            </w:r>
            <w:r>
              <w:rPr>
                <w:rFonts w:hint="eastAsia"/>
                <w:snapToGrid w:val="0"/>
                <w:color w:val="auto"/>
                <w:kern w:val="0"/>
                <w:sz w:val="24"/>
                <w:highlight w:val="none"/>
              </w:rPr>
              <w:t>8</w:t>
            </w:r>
            <w:r>
              <w:rPr>
                <w:snapToGrid w:val="0"/>
                <w:color w:val="auto"/>
                <w:kern w:val="0"/>
                <w:sz w:val="24"/>
                <w:highlight w:val="none"/>
              </w:rPr>
              <w:t>。</w:t>
            </w:r>
          </w:p>
          <w:p w14:paraId="0A6D8FC8">
            <w:pPr>
              <w:adjustRightInd w:val="0"/>
              <w:snapToGrid w:val="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1-</w:t>
            </w:r>
            <w:r>
              <w:rPr>
                <w:rFonts w:hint="eastAsia"/>
                <w:b/>
                <w:snapToGrid w:val="0"/>
                <w:color w:val="auto"/>
                <w:kern w:val="0"/>
                <w:sz w:val="24"/>
                <w:highlight w:val="none"/>
              </w:rPr>
              <w:t>8</w:t>
            </w:r>
            <w:r>
              <w:rPr>
                <w:b/>
                <w:snapToGrid w:val="0"/>
                <w:color w:val="auto"/>
                <w:kern w:val="0"/>
                <w:sz w:val="24"/>
                <w:highlight w:val="none"/>
              </w:rPr>
              <w:t xml:space="preserve"> </w:t>
            </w:r>
            <w:r>
              <w:rPr>
                <w:rFonts w:hAnsi="宋体"/>
                <w:b/>
                <w:snapToGrid w:val="0"/>
                <w:color w:val="auto"/>
                <w:kern w:val="0"/>
                <w:sz w:val="24"/>
                <w:highlight w:val="none"/>
              </w:rPr>
              <w:t>与《江苏省重点行业挥发性有机物污染控制指南》相符性分析表</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4"/>
              <w:gridCol w:w="3070"/>
              <w:gridCol w:w="3189"/>
              <w:gridCol w:w="906"/>
            </w:tblGrid>
            <w:tr w14:paraId="1E7BB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3" w:type="pct"/>
                  <w:vAlign w:val="center"/>
                </w:tcPr>
                <w:p w14:paraId="108B12AD">
                  <w:pPr>
                    <w:adjustRightInd w:val="0"/>
                    <w:snapToGrid w:val="0"/>
                    <w:jc w:val="center"/>
                    <w:rPr>
                      <w:b/>
                      <w:snapToGrid w:val="0"/>
                      <w:color w:val="auto"/>
                      <w:kern w:val="0"/>
                      <w:szCs w:val="21"/>
                      <w:highlight w:val="none"/>
                    </w:rPr>
                  </w:pPr>
                  <w:r>
                    <w:rPr>
                      <w:rFonts w:hAnsi="宋体"/>
                      <w:b/>
                      <w:snapToGrid w:val="0"/>
                      <w:color w:val="auto"/>
                      <w:kern w:val="0"/>
                      <w:szCs w:val="21"/>
                      <w:highlight w:val="none"/>
                    </w:rPr>
                    <w:t>文件</w:t>
                  </w:r>
                </w:p>
              </w:tc>
              <w:tc>
                <w:tcPr>
                  <w:tcW w:w="1990" w:type="pct"/>
                  <w:vAlign w:val="center"/>
                </w:tcPr>
                <w:p w14:paraId="74E290D9">
                  <w:pPr>
                    <w:adjustRightInd w:val="0"/>
                    <w:snapToGrid w:val="0"/>
                    <w:jc w:val="center"/>
                    <w:rPr>
                      <w:b/>
                      <w:snapToGrid w:val="0"/>
                      <w:color w:val="auto"/>
                      <w:kern w:val="0"/>
                      <w:szCs w:val="21"/>
                      <w:highlight w:val="none"/>
                    </w:rPr>
                  </w:pPr>
                  <w:r>
                    <w:rPr>
                      <w:rFonts w:hAnsi="宋体"/>
                      <w:b/>
                      <w:snapToGrid w:val="0"/>
                      <w:color w:val="auto"/>
                      <w:kern w:val="0"/>
                      <w:szCs w:val="21"/>
                      <w:highlight w:val="none"/>
                    </w:rPr>
                    <w:t>相关内容</w:t>
                  </w:r>
                </w:p>
              </w:tc>
              <w:tc>
                <w:tcPr>
                  <w:tcW w:w="2067" w:type="pct"/>
                  <w:vAlign w:val="center"/>
                </w:tcPr>
                <w:p w14:paraId="4F765CA3">
                  <w:pPr>
                    <w:adjustRightInd w:val="0"/>
                    <w:snapToGrid w:val="0"/>
                    <w:jc w:val="center"/>
                    <w:rPr>
                      <w:b/>
                      <w:snapToGrid w:val="0"/>
                      <w:color w:val="auto"/>
                      <w:kern w:val="0"/>
                      <w:szCs w:val="21"/>
                      <w:highlight w:val="none"/>
                    </w:rPr>
                  </w:pPr>
                  <w:r>
                    <w:rPr>
                      <w:rFonts w:hAnsi="宋体"/>
                      <w:b/>
                      <w:snapToGrid w:val="0"/>
                      <w:color w:val="auto"/>
                      <w:kern w:val="0"/>
                      <w:szCs w:val="21"/>
                      <w:highlight w:val="none"/>
                    </w:rPr>
                    <w:t>相符性分析</w:t>
                  </w:r>
                </w:p>
              </w:tc>
              <w:tc>
                <w:tcPr>
                  <w:tcW w:w="587" w:type="pct"/>
                  <w:vAlign w:val="center"/>
                </w:tcPr>
                <w:p w14:paraId="35A78A65">
                  <w:pPr>
                    <w:adjustRightInd w:val="0"/>
                    <w:snapToGrid w:val="0"/>
                    <w:jc w:val="center"/>
                    <w:rPr>
                      <w:b/>
                      <w:snapToGrid w:val="0"/>
                      <w:color w:val="auto"/>
                      <w:kern w:val="0"/>
                      <w:szCs w:val="21"/>
                      <w:highlight w:val="none"/>
                    </w:rPr>
                  </w:pPr>
                  <w:r>
                    <w:rPr>
                      <w:rFonts w:hAnsi="宋体"/>
                      <w:b/>
                      <w:snapToGrid w:val="0"/>
                      <w:color w:val="auto"/>
                      <w:kern w:val="0"/>
                      <w:szCs w:val="21"/>
                      <w:highlight w:val="none"/>
                    </w:rPr>
                    <w:t>是否相符</w:t>
                  </w:r>
                </w:p>
              </w:tc>
            </w:tr>
            <w:tr w14:paraId="75287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3" w:type="pct"/>
                  <w:vMerge w:val="restart"/>
                  <w:vAlign w:val="center"/>
                </w:tcPr>
                <w:p w14:paraId="1584A579">
                  <w:pPr>
                    <w:adjustRightInd w:val="0"/>
                    <w:snapToGrid w:val="0"/>
                    <w:jc w:val="center"/>
                    <w:rPr>
                      <w:snapToGrid w:val="0"/>
                      <w:color w:val="auto"/>
                      <w:kern w:val="0"/>
                      <w:szCs w:val="21"/>
                      <w:highlight w:val="none"/>
                    </w:rPr>
                  </w:pPr>
                  <w:r>
                    <w:rPr>
                      <w:rFonts w:hAnsi="宋体"/>
                      <w:snapToGrid w:val="0"/>
                      <w:color w:val="auto"/>
                      <w:kern w:val="0"/>
                      <w:szCs w:val="21"/>
                      <w:highlight w:val="none"/>
                    </w:rPr>
                    <w:t>《江苏省重点行业挥发性有机物污染控制指南》</w:t>
                  </w:r>
                </w:p>
              </w:tc>
              <w:tc>
                <w:tcPr>
                  <w:tcW w:w="1990" w:type="pct"/>
                  <w:vAlign w:val="center"/>
                </w:tcPr>
                <w:p w14:paraId="1A3F067B">
                  <w:pPr>
                    <w:adjustRightInd w:val="0"/>
                    <w:snapToGrid w:val="0"/>
                    <w:jc w:val="center"/>
                    <w:rPr>
                      <w:snapToGrid w:val="0"/>
                      <w:color w:val="auto"/>
                      <w:kern w:val="0"/>
                      <w:szCs w:val="21"/>
                      <w:highlight w:val="none"/>
                    </w:rPr>
                  </w:pPr>
                  <w:r>
                    <w:rPr>
                      <w:rFonts w:hAnsi="宋体"/>
                      <w:snapToGrid w:val="0"/>
                      <w:color w:val="auto"/>
                      <w:kern w:val="0"/>
                      <w:szCs w:val="21"/>
                      <w:highlight w:val="none"/>
                    </w:rPr>
                    <w:t>所有产生有机废气污染的企业，应优先采用环保型原辅料、生产工艺和装备，对相应生产单元或设施进行密闭，从源头控制</w:t>
                  </w:r>
                  <w:r>
                    <w:rPr>
                      <w:snapToGrid w:val="0"/>
                      <w:color w:val="auto"/>
                      <w:kern w:val="0"/>
                      <w:szCs w:val="21"/>
                      <w:highlight w:val="none"/>
                    </w:rPr>
                    <w:t>VOCs</w:t>
                  </w:r>
                  <w:r>
                    <w:rPr>
                      <w:rFonts w:hAnsi="宋体"/>
                      <w:snapToGrid w:val="0"/>
                      <w:color w:val="auto"/>
                      <w:kern w:val="0"/>
                      <w:szCs w:val="21"/>
                      <w:highlight w:val="none"/>
                    </w:rPr>
                    <w:t>的产生，减少废气污染物排放</w:t>
                  </w:r>
                </w:p>
              </w:tc>
              <w:tc>
                <w:tcPr>
                  <w:tcW w:w="2067" w:type="pct"/>
                  <w:vAlign w:val="center"/>
                </w:tcPr>
                <w:p w14:paraId="4FE2F811">
                  <w:pPr>
                    <w:adjustRightInd w:val="0"/>
                    <w:snapToGrid w:val="0"/>
                    <w:jc w:val="center"/>
                    <w:rPr>
                      <w:snapToGrid w:val="0"/>
                      <w:color w:val="auto"/>
                      <w:kern w:val="0"/>
                      <w:szCs w:val="21"/>
                      <w:highlight w:val="none"/>
                    </w:rPr>
                  </w:pPr>
                  <w:r>
                    <w:rPr>
                      <w:rFonts w:hint="eastAsia" w:hAnsi="宋体"/>
                      <w:snapToGrid w:val="0"/>
                      <w:color w:val="auto"/>
                      <w:kern w:val="0"/>
                      <w:szCs w:val="21"/>
                      <w:highlight w:val="none"/>
                    </w:rPr>
                    <w:t>本项目转子生产使用聚酯树脂胶，定子生产使用浸渍树脂胶，根据聚酯树脂胶、浸渍树脂MSDS，聚酯树脂胶中可挥发性有机成分二甲苯占0.3%，则挥发性有机物（VOCs）含量约为3.15g/L，浸渍树脂中可挥发性有机成分检测报告，挥发性有机物（VOCs）含量约为122g/L，因此使用的聚氨酯树脂、</w:t>
                  </w:r>
                  <w:r>
                    <w:rPr>
                      <w:rFonts w:hint="eastAsia"/>
                      <w:snapToGrid w:val="0"/>
                      <w:color w:val="auto"/>
                      <w:kern w:val="0"/>
                      <w:szCs w:val="21"/>
                      <w:highlight w:val="none"/>
                    </w:rPr>
                    <w:t>浸渍树脂胶均为低VOCs物料</w:t>
                  </w:r>
                  <w:r>
                    <w:rPr>
                      <w:rFonts w:hAnsi="宋体"/>
                      <w:snapToGrid w:val="0"/>
                      <w:color w:val="auto"/>
                      <w:kern w:val="0"/>
                      <w:szCs w:val="21"/>
                      <w:highlight w:val="none"/>
                    </w:rPr>
                    <w:t>，生产工艺产生的有机废气经集气罩、设备密闭</w:t>
                  </w:r>
                  <w:r>
                    <w:rPr>
                      <w:rFonts w:hint="eastAsia" w:hAnsi="宋体"/>
                      <w:snapToGrid w:val="0"/>
                      <w:color w:val="auto"/>
                      <w:kern w:val="0"/>
                      <w:szCs w:val="21"/>
                      <w:highlight w:val="none"/>
                    </w:rPr>
                    <w:t>管道</w:t>
                  </w:r>
                  <w:r>
                    <w:rPr>
                      <w:rFonts w:hAnsi="宋体"/>
                      <w:snapToGrid w:val="0"/>
                      <w:color w:val="auto"/>
                      <w:kern w:val="0"/>
                      <w:szCs w:val="21"/>
                      <w:highlight w:val="none"/>
                    </w:rPr>
                    <w:t>收集（收集效率90%），同时配置一套</w:t>
                  </w:r>
                  <w:r>
                    <w:rPr>
                      <w:rFonts w:hint="default" w:hAnsi="宋体"/>
                      <w:snapToGrid w:val="0"/>
                      <w:color w:val="auto"/>
                      <w:kern w:val="0"/>
                      <w:szCs w:val="21"/>
                      <w:highlight w:val="none"/>
                    </w:rPr>
                    <w:t>三级活性炭</w:t>
                  </w:r>
                  <w:r>
                    <w:rPr>
                      <w:rFonts w:hint="eastAsia" w:hAnsi="宋体"/>
                      <w:snapToGrid w:val="0"/>
                      <w:color w:val="auto"/>
                      <w:kern w:val="0"/>
                      <w:szCs w:val="21"/>
                      <w:highlight w:val="none"/>
                    </w:rPr>
                    <w:t>吸附</w:t>
                  </w:r>
                  <w:r>
                    <w:rPr>
                      <w:rFonts w:hAnsi="宋体"/>
                      <w:snapToGrid w:val="0"/>
                      <w:color w:val="auto"/>
                      <w:kern w:val="0"/>
                      <w:szCs w:val="21"/>
                      <w:highlight w:val="none"/>
                    </w:rPr>
                    <w:t>装置处理，处理效率达</w:t>
                  </w:r>
                  <w:r>
                    <w:rPr>
                      <w:snapToGrid w:val="0"/>
                      <w:color w:val="auto"/>
                      <w:kern w:val="0"/>
                      <w:szCs w:val="21"/>
                      <w:highlight w:val="none"/>
                    </w:rPr>
                    <w:t>93%</w:t>
                  </w:r>
                </w:p>
              </w:tc>
              <w:tc>
                <w:tcPr>
                  <w:tcW w:w="587" w:type="pct"/>
                  <w:vAlign w:val="center"/>
                </w:tcPr>
                <w:p w14:paraId="02CF8783">
                  <w:pPr>
                    <w:adjustRightInd w:val="0"/>
                    <w:snapToGrid w:val="0"/>
                    <w:jc w:val="center"/>
                    <w:rPr>
                      <w:snapToGrid w:val="0"/>
                      <w:color w:val="auto"/>
                      <w:kern w:val="0"/>
                      <w:szCs w:val="21"/>
                      <w:highlight w:val="none"/>
                    </w:rPr>
                  </w:pPr>
                  <w:r>
                    <w:rPr>
                      <w:rFonts w:hAnsi="宋体"/>
                      <w:snapToGrid w:val="0"/>
                      <w:color w:val="auto"/>
                      <w:kern w:val="0"/>
                      <w:szCs w:val="21"/>
                      <w:highlight w:val="none"/>
                    </w:rPr>
                    <w:t>相符</w:t>
                  </w:r>
                </w:p>
              </w:tc>
            </w:tr>
            <w:tr w14:paraId="54B7F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3" w:type="pct"/>
                  <w:vMerge w:val="continue"/>
                  <w:vAlign w:val="center"/>
                </w:tcPr>
                <w:p w14:paraId="7E6A3FAD">
                  <w:pPr>
                    <w:adjustRightInd w:val="0"/>
                    <w:snapToGrid w:val="0"/>
                    <w:jc w:val="center"/>
                    <w:rPr>
                      <w:snapToGrid w:val="0"/>
                      <w:color w:val="auto"/>
                      <w:kern w:val="0"/>
                      <w:szCs w:val="21"/>
                      <w:highlight w:val="none"/>
                    </w:rPr>
                  </w:pPr>
                </w:p>
              </w:tc>
              <w:tc>
                <w:tcPr>
                  <w:tcW w:w="1990" w:type="pct"/>
                  <w:vAlign w:val="center"/>
                </w:tcPr>
                <w:p w14:paraId="295ED535">
                  <w:pPr>
                    <w:adjustRightInd w:val="0"/>
                    <w:snapToGrid w:val="0"/>
                    <w:jc w:val="center"/>
                    <w:rPr>
                      <w:snapToGrid w:val="0"/>
                      <w:color w:val="auto"/>
                      <w:kern w:val="0"/>
                      <w:szCs w:val="21"/>
                      <w:highlight w:val="none"/>
                    </w:rPr>
                  </w:pPr>
                  <w:bookmarkStart w:id="7" w:name="_Hlk45025177"/>
                  <w:r>
                    <w:rPr>
                      <w:rFonts w:hAnsi="宋体"/>
                      <w:snapToGrid w:val="0"/>
                      <w:color w:val="auto"/>
                      <w:kern w:val="0"/>
                      <w:szCs w:val="21"/>
                      <w:highlight w:val="none"/>
                    </w:rPr>
                    <w:t>鼓励对排放的</w:t>
                  </w:r>
                  <w:r>
                    <w:rPr>
                      <w:snapToGrid w:val="0"/>
                      <w:color w:val="auto"/>
                      <w:kern w:val="0"/>
                      <w:szCs w:val="21"/>
                      <w:highlight w:val="none"/>
                    </w:rPr>
                    <w:t>VOCs</w:t>
                  </w:r>
                  <w:r>
                    <w:rPr>
                      <w:rFonts w:hAnsi="宋体"/>
                      <w:snapToGrid w:val="0"/>
                      <w:color w:val="auto"/>
                      <w:kern w:val="0"/>
                      <w:szCs w:val="21"/>
                      <w:highlight w:val="none"/>
                    </w:rPr>
                    <w:t>进行回收利用，并优先在生产系统内回用。对浓度、性状差异较大的废气应分类收集，并采用适宜的方式进行有效处理，确保</w:t>
                  </w:r>
                  <w:r>
                    <w:rPr>
                      <w:snapToGrid w:val="0"/>
                      <w:color w:val="auto"/>
                      <w:kern w:val="0"/>
                      <w:szCs w:val="21"/>
                      <w:highlight w:val="none"/>
                    </w:rPr>
                    <w:t>VOCs</w:t>
                  </w:r>
                  <w:r>
                    <w:rPr>
                      <w:rFonts w:hAnsi="宋体"/>
                      <w:snapToGrid w:val="0"/>
                      <w:color w:val="auto"/>
                      <w:kern w:val="0"/>
                      <w:szCs w:val="21"/>
                      <w:highlight w:val="none"/>
                    </w:rPr>
                    <w:t>总去除率满足管理要求，其中有机化工、医药化工、橡胶和塑料制品（有溶剂浸胶工艺）、溶剂型涂料表面涂装、包装印刷业的</w:t>
                  </w:r>
                  <w:r>
                    <w:rPr>
                      <w:snapToGrid w:val="0"/>
                      <w:color w:val="auto"/>
                      <w:kern w:val="0"/>
                      <w:szCs w:val="21"/>
                      <w:highlight w:val="none"/>
                    </w:rPr>
                    <w:t>VOCs</w:t>
                  </w:r>
                  <w:r>
                    <w:rPr>
                      <w:rFonts w:hAnsi="宋体"/>
                      <w:snapToGrid w:val="0"/>
                      <w:color w:val="auto"/>
                      <w:kern w:val="0"/>
                      <w:szCs w:val="21"/>
                      <w:highlight w:val="none"/>
                    </w:rPr>
                    <w:t>总收集、净化处理率均不低于</w:t>
                  </w:r>
                  <w:r>
                    <w:rPr>
                      <w:snapToGrid w:val="0"/>
                      <w:color w:val="auto"/>
                      <w:kern w:val="0"/>
                      <w:szCs w:val="21"/>
                      <w:highlight w:val="none"/>
                    </w:rPr>
                    <w:t>90%</w:t>
                  </w:r>
                  <w:r>
                    <w:rPr>
                      <w:rFonts w:hAnsi="宋体"/>
                      <w:snapToGrid w:val="0"/>
                      <w:color w:val="auto"/>
                      <w:kern w:val="0"/>
                      <w:szCs w:val="21"/>
                      <w:highlight w:val="none"/>
                    </w:rPr>
                    <w:t>，其他行业原则上不低于</w:t>
                  </w:r>
                  <w:r>
                    <w:rPr>
                      <w:snapToGrid w:val="0"/>
                      <w:color w:val="auto"/>
                      <w:kern w:val="0"/>
                      <w:szCs w:val="21"/>
                      <w:highlight w:val="none"/>
                    </w:rPr>
                    <w:t>75%</w:t>
                  </w:r>
                  <w:bookmarkEnd w:id="7"/>
                </w:p>
              </w:tc>
              <w:tc>
                <w:tcPr>
                  <w:tcW w:w="2067" w:type="pct"/>
                  <w:vMerge w:val="restart"/>
                  <w:vAlign w:val="center"/>
                </w:tcPr>
                <w:p w14:paraId="684683E6">
                  <w:pPr>
                    <w:adjustRightInd w:val="0"/>
                    <w:snapToGrid w:val="0"/>
                    <w:jc w:val="center"/>
                    <w:rPr>
                      <w:snapToGrid w:val="0"/>
                      <w:color w:val="auto"/>
                      <w:kern w:val="0"/>
                      <w:szCs w:val="21"/>
                      <w:highlight w:val="none"/>
                    </w:rPr>
                  </w:pPr>
                  <w:r>
                    <w:rPr>
                      <w:rFonts w:hAnsi="宋体"/>
                      <w:snapToGrid w:val="0"/>
                      <w:color w:val="auto"/>
                      <w:kern w:val="0"/>
                      <w:szCs w:val="21"/>
                      <w:highlight w:val="none"/>
                    </w:rPr>
                    <w:t>本项目生产工艺产生的有机废气经集气罩、设备密闭</w:t>
                  </w:r>
                  <w:r>
                    <w:rPr>
                      <w:rFonts w:hint="eastAsia" w:hAnsi="宋体"/>
                      <w:snapToGrid w:val="0"/>
                      <w:color w:val="auto"/>
                      <w:kern w:val="0"/>
                      <w:szCs w:val="21"/>
                      <w:highlight w:val="none"/>
                    </w:rPr>
                    <w:t>管道</w:t>
                  </w:r>
                  <w:r>
                    <w:rPr>
                      <w:rFonts w:hAnsi="宋体"/>
                      <w:snapToGrid w:val="0"/>
                      <w:color w:val="auto"/>
                      <w:kern w:val="0"/>
                      <w:szCs w:val="21"/>
                      <w:highlight w:val="none"/>
                    </w:rPr>
                    <w:t>收集（收集效率90%），同时配置一套</w:t>
                  </w:r>
                  <w:r>
                    <w:rPr>
                      <w:rFonts w:hint="default" w:hAnsi="宋体"/>
                      <w:snapToGrid w:val="0"/>
                      <w:color w:val="auto"/>
                      <w:kern w:val="0"/>
                      <w:szCs w:val="21"/>
                      <w:highlight w:val="none"/>
                    </w:rPr>
                    <w:t>三级活性炭</w:t>
                  </w:r>
                  <w:r>
                    <w:rPr>
                      <w:rFonts w:hint="eastAsia" w:hAnsi="宋体"/>
                      <w:snapToGrid w:val="0"/>
                      <w:color w:val="auto"/>
                      <w:kern w:val="0"/>
                      <w:szCs w:val="21"/>
                      <w:highlight w:val="none"/>
                    </w:rPr>
                    <w:t>吸附</w:t>
                  </w:r>
                  <w:r>
                    <w:rPr>
                      <w:rFonts w:hAnsi="宋体"/>
                      <w:snapToGrid w:val="0"/>
                      <w:color w:val="auto"/>
                      <w:kern w:val="0"/>
                      <w:szCs w:val="21"/>
                      <w:highlight w:val="none"/>
                    </w:rPr>
                    <w:t>装置处理，处理效率达</w:t>
                  </w:r>
                  <w:r>
                    <w:rPr>
                      <w:snapToGrid w:val="0"/>
                      <w:color w:val="auto"/>
                      <w:kern w:val="0"/>
                      <w:szCs w:val="21"/>
                      <w:highlight w:val="none"/>
                    </w:rPr>
                    <w:t>93%</w:t>
                  </w:r>
                  <w:r>
                    <w:rPr>
                      <w:rFonts w:hAnsi="宋体"/>
                      <w:snapToGrid w:val="0"/>
                      <w:color w:val="auto"/>
                      <w:kern w:val="0"/>
                      <w:szCs w:val="21"/>
                      <w:highlight w:val="none"/>
                    </w:rPr>
                    <w:t>，满足</w:t>
                  </w:r>
                  <w:r>
                    <w:rPr>
                      <w:snapToGrid w:val="0"/>
                      <w:color w:val="auto"/>
                      <w:kern w:val="0"/>
                      <w:szCs w:val="21"/>
                      <w:highlight w:val="none"/>
                    </w:rPr>
                    <w:t>“</w:t>
                  </w:r>
                  <w:r>
                    <w:rPr>
                      <w:rFonts w:hAnsi="宋体"/>
                      <w:snapToGrid w:val="0"/>
                      <w:color w:val="auto"/>
                      <w:kern w:val="0"/>
                      <w:szCs w:val="21"/>
                      <w:highlight w:val="none"/>
                    </w:rPr>
                    <w:t>其他行业</w:t>
                  </w:r>
                  <w:r>
                    <w:rPr>
                      <w:snapToGrid w:val="0"/>
                      <w:color w:val="auto"/>
                      <w:kern w:val="0"/>
                      <w:szCs w:val="21"/>
                      <w:highlight w:val="none"/>
                    </w:rPr>
                    <w:t>”</w:t>
                  </w:r>
                  <w:r>
                    <w:rPr>
                      <w:rFonts w:hAnsi="宋体"/>
                      <w:snapToGrid w:val="0"/>
                      <w:color w:val="auto"/>
                      <w:kern w:val="0"/>
                      <w:szCs w:val="21"/>
                      <w:highlight w:val="none"/>
                    </w:rPr>
                    <w:t>要求。</w:t>
                  </w:r>
                </w:p>
                <w:p w14:paraId="2B52B221">
                  <w:pPr>
                    <w:adjustRightInd w:val="0"/>
                    <w:snapToGrid w:val="0"/>
                    <w:jc w:val="center"/>
                    <w:rPr>
                      <w:snapToGrid w:val="0"/>
                      <w:color w:val="auto"/>
                      <w:kern w:val="0"/>
                      <w:szCs w:val="21"/>
                      <w:highlight w:val="none"/>
                    </w:rPr>
                  </w:pPr>
                  <w:r>
                    <w:rPr>
                      <w:rFonts w:hAnsi="宋体"/>
                      <w:snapToGrid w:val="0"/>
                      <w:color w:val="auto"/>
                      <w:kern w:val="0"/>
                      <w:szCs w:val="21"/>
                      <w:highlight w:val="none"/>
                    </w:rPr>
                    <w:t>企业定期委托监测单位对废气排口进行监测并安排专人进行管理</w:t>
                  </w:r>
                </w:p>
              </w:tc>
              <w:tc>
                <w:tcPr>
                  <w:tcW w:w="587" w:type="pct"/>
                  <w:vAlign w:val="center"/>
                </w:tcPr>
                <w:p w14:paraId="1D8E7E53">
                  <w:pPr>
                    <w:adjustRightInd w:val="0"/>
                    <w:snapToGrid w:val="0"/>
                    <w:jc w:val="center"/>
                    <w:rPr>
                      <w:snapToGrid w:val="0"/>
                      <w:color w:val="auto"/>
                      <w:kern w:val="0"/>
                      <w:szCs w:val="21"/>
                      <w:highlight w:val="none"/>
                    </w:rPr>
                  </w:pPr>
                  <w:r>
                    <w:rPr>
                      <w:rFonts w:hAnsi="宋体"/>
                      <w:snapToGrid w:val="0"/>
                      <w:color w:val="auto"/>
                      <w:kern w:val="0"/>
                      <w:szCs w:val="21"/>
                      <w:highlight w:val="none"/>
                    </w:rPr>
                    <w:t>相符</w:t>
                  </w:r>
                </w:p>
              </w:tc>
            </w:tr>
            <w:tr w14:paraId="5A871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3" w:type="pct"/>
                  <w:vMerge w:val="continue"/>
                  <w:vAlign w:val="center"/>
                </w:tcPr>
                <w:p w14:paraId="72A27D9C">
                  <w:pPr>
                    <w:adjustRightInd w:val="0"/>
                    <w:snapToGrid w:val="0"/>
                    <w:jc w:val="center"/>
                    <w:rPr>
                      <w:snapToGrid w:val="0"/>
                      <w:color w:val="auto"/>
                      <w:kern w:val="0"/>
                      <w:szCs w:val="21"/>
                      <w:highlight w:val="none"/>
                    </w:rPr>
                  </w:pPr>
                </w:p>
              </w:tc>
              <w:tc>
                <w:tcPr>
                  <w:tcW w:w="1990" w:type="pct"/>
                  <w:vAlign w:val="center"/>
                </w:tcPr>
                <w:p w14:paraId="1B5874E8">
                  <w:pPr>
                    <w:adjustRightInd w:val="0"/>
                    <w:snapToGrid w:val="0"/>
                    <w:jc w:val="center"/>
                    <w:rPr>
                      <w:snapToGrid w:val="0"/>
                      <w:color w:val="auto"/>
                      <w:kern w:val="0"/>
                      <w:szCs w:val="21"/>
                      <w:highlight w:val="none"/>
                    </w:rPr>
                  </w:pPr>
                  <w:r>
                    <w:rPr>
                      <w:rFonts w:hAnsi="宋体"/>
                      <w:snapToGrid w:val="0"/>
                      <w:color w:val="auto"/>
                      <w:kern w:val="0"/>
                      <w:szCs w:val="21"/>
                      <w:highlight w:val="none"/>
                    </w:rPr>
                    <w:t>废气处理的工艺路线应根据废气产生量、污染物组分和性质、温度、压力等因素，综合分析后合理选择：对于</w:t>
                  </w:r>
                  <w:r>
                    <w:rPr>
                      <w:snapToGrid w:val="0"/>
                      <w:color w:val="auto"/>
                      <w:kern w:val="0"/>
                      <w:szCs w:val="21"/>
                      <w:highlight w:val="none"/>
                    </w:rPr>
                    <w:t>1000ppm</w:t>
                  </w:r>
                  <w:r>
                    <w:rPr>
                      <w:rFonts w:hAnsi="宋体"/>
                      <w:snapToGrid w:val="0"/>
                      <w:color w:val="auto"/>
                      <w:kern w:val="0"/>
                      <w:szCs w:val="21"/>
                      <w:highlight w:val="none"/>
                    </w:rPr>
                    <w:t>以下的低浓度</w:t>
                  </w:r>
                  <w:r>
                    <w:rPr>
                      <w:snapToGrid w:val="0"/>
                      <w:color w:val="auto"/>
                      <w:kern w:val="0"/>
                      <w:szCs w:val="21"/>
                      <w:highlight w:val="none"/>
                    </w:rPr>
                    <w:t>VOCs</w:t>
                  </w:r>
                  <w:r>
                    <w:rPr>
                      <w:rFonts w:hAnsi="宋体"/>
                      <w:snapToGrid w:val="0"/>
                      <w:color w:val="auto"/>
                      <w:kern w:val="0"/>
                      <w:szCs w:val="21"/>
                      <w:highlight w:val="none"/>
                    </w:rPr>
                    <w:t>废气，有回收价值时宜采用吸附技术回收处理，无回收价值时优先采用吸附浓缩</w:t>
                  </w:r>
                  <w:r>
                    <w:rPr>
                      <w:snapToGrid w:val="0"/>
                      <w:color w:val="auto"/>
                      <w:kern w:val="0"/>
                      <w:szCs w:val="21"/>
                      <w:highlight w:val="none"/>
                    </w:rPr>
                    <w:t>-</w:t>
                  </w:r>
                  <w:r>
                    <w:rPr>
                      <w:rFonts w:hAnsi="宋体"/>
                      <w:snapToGrid w:val="0"/>
                      <w:color w:val="auto"/>
                      <w:kern w:val="0"/>
                      <w:szCs w:val="21"/>
                      <w:highlight w:val="none"/>
                    </w:rPr>
                    <w:t>高温燃烧、微生物处理、填料塔吸收等技术净化处理后达标排放</w:t>
                  </w:r>
                </w:p>
              </w:tc>
              <w:tc>
                <w:tcPr>
                  <w:tcW w:w="2067" w:type="pct"/>
                  <w:vMerge w:val="continue"/>
                  <w:vAlign w:val="center"/>
                </w:tcPr>
                <w:p w14:paraId="067B0CD4">
                  <w:pPr>
                    <w:adjustRightInd w:val="0"/>
                    <w:snapToGrid w:val="0"/>
                    <w:jc w:val="center"/>
                    <w:rPr>
                      <w:snapToGrid w:val="0"/>
                      <w:color w:val="auto"/>
                      <w:kern w:val="0"/>
                      <w:szCs w:val="21"/>
                      <w:highlight w:val="none"/>
                    </w:rPr>
                  </w:pPr>
                </w:p>
              </w:tc>
              <w:tc>
                <w:tcPr>
                  <w:tcW w:w="587" w:type="pct"/>
                  <w:vAlign w:val="center"/>
                </w:tcPr>
                <w:p w14:paraId="6A2E56A8">
                  <w:pPr>
                    <w:adjustRightInd w:val="0"/>
                    <w:snapToGrid w:val="0"/>
                    <w:jc w:val="center"/>
                    <w:rPr>
                      <w:snapToGrid w:val="0"/>
                      <w:color w:val="auto"/>
                      <w:kern w:val="0"/>
                      <w:szCs w:val="21"/>
                      <w:highlight w:val="none"/>
                    </w:rPr>
                  </w:pPr>
                  <w:r>
                    <w:rPr>
                      <w:rFonts w:hAnsi="宋体"/>
                      <w:snapToGrid w:val="0"/>
                      <w:color w:val="auto"/>
                      <w:kern w:val="0"/>
                      <w:szCs w:val="21"/>
                      <w:highlight w:val="none"/>
                    </w:rPr>
                    <w:t>相符</w:t>
                  </w:r>
                </w:p>
              </w:tc>
            </w:tr>
            <w:tr w14:paraId="79019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3" w:type="pct"/>
                  <w:vMerge w:val="continue"/>
                  <w:vAlign w:val="center"/>
                </w:tcPr>
                <w:p w14:paraId="0EF7D0C5">
                  <w:pPr>
                    <w:adjustRightInd w:val="0"/>
                    <w:snapToGrid w:val="0"/>
                    <w:jc w:val="center"/>
                    <w:rPr>
                      <w:snapToGrid w:val="0"/>
                      <w:color w:val="auto"/>
                      <w:kern w:val="0"/>
                      <w:szCs w:val="21"/>
                      <w:highlight w:val="none"/>
                    </w:rPr>
                  </w:pPr>
                </w:p>
              </w:tc>
              <w:tc>
                <w:tcPr>
                  <w:tcW w:w="1990" w:type="pct"/>
                  <w:vAlign w:val="center"/>
                </w:tcPr>
                <w:p w14:paraId="62FD0DBA">
                  <w:pPr>
                    <w:adjustRightInd w:val="0"/>
                    <w:snapToGrid w:val="0"/>
                    <w:jc w:val="center"/>
                    <w:rPr>
                      <w:snapToGrid w:val="0"/>
                      <w:color w:val="auto"/>
                      <w:kern w:val="0"/>
                      <w:szCs w:val="21"/>
                      <w:highlight w:val="none"/>
                    </w:rPr>
                  </w:pPr>
                  <w:r>
                    <w:rPr>
                      <w:rFonts w:hAnsi="宋体"/>
                      <w:snapToGrid w:val="0"/>
                      <w:color w:val="auto"/>
                      <w:kern w:val="0"/>
                      <w:szCs w:val="21"/>
                      <w:highlight w:val="none"/>
                    </w:rPr>
                    <w:t>企业应提出针对</w:t>
                  </w:r>
                  <w:r>
                    <w:rPr>
                      <w:snapToGrid w:val="0"/>
                      <w:color w:val="auto"/>
                      <w:kern w:val="0"/>
                      <w:szCs w:val="21"/>
                      <w:highlight w:val="none"/>
                    </w:rPr>
                    <w:t>VOCs</w:t>
                  </w:r>
                  <w:r>
                    <w:rPr>
                      <w:rFonts w:hAnsi="宋体"/>
                      <w:snapToGrid w:val="0"/>
                      <w:color w:val="auto"/>
                      <w:kern w:val="0"/>
                      <w:szCs w:val="21"/>
                      <w:highlight w:val="none"/>
                    </w:rPr>
                    <w:t>的废气处理方案，明确处理装置有效运行的管理方案和监控方案</w:t>
                  </w:r>
                </w:p>
              </w:tc>
              <w:tc>
                <w:tcPr>
                  <w:tcW w:w="2067" w:type="pct"/>
                  <w:vMerge w:val="continue"/>
                  <w:vAlign w:val="center"/>
                </w:tcPr>
                <w:p w14:paraId="44286C0C">
                  <w:pPr>
                    <w:adjustRightInd w:val="0"/>
                    <w:snapToGrid w:val="0"/>
                    <w:jc w:val="center"/>
                    <w:rPr>
                      <w:snapToGrid w:val="0"/>
                      <w:color w:val="auto"/>
                      <w:kern w:val="0"/>
                      <w:szCs w:val="21"/>
                      <w:highlight w:val="none"/>
                    </w:rPr>
                  </w:pPr>
                </w:p>
              </w:tc>
              <w:tc>
                <w:tcPr>
                  <w:tcW w:w="587" w:type="pct"/>
                  <w:vAlign w:val="center"/>
                </w:tcPr>
                <w:p w14:paraId="017BA788">
                  <w:pPr>
                    <w:adjustRightInd w:val="0"/>
                    <w:snapToGrid w:val="0"/>
                    <w:jc w:val="center"/>
                    <w:rPr>
                      <w:snapToGrid w:val="0"/>
                      <w:color w:val="auto"/>
                      <w:kern w:val="0"/>
                      <w:szCs w:val="21"/>
                      <w:highlight w:val="none"/>
                    </w:rPr>
                  </w:pPr>
                  <w:r>
                    <w:rPr>
                      <w:rFonts w:hAnsi="宋体"/>
                      <w:snapToGrid w:val="0"/>
                      <w:color w:val="auto"/>
                      <w:kern w:val="0"/>
                      <w:szCs w:val="21"/>
                      <w:highlight w:val="none"/>
                    </w:rPr>
                    <w:t>相符</w:t>
                  </w:r>
                </w:p>
              </w:tc>
            </w:tr>
          </w:tbl>
          <w:p w14:paraId="16D8E1B0">
            <w:pPr>
              <w:adjustRightInd w:val="0"/>
              <w:snapToGrid w:val="0"/>
              <w:ind w:firstLine="200" w:firstLineChars="201"/>
              <w:rPr>
                <w:rFonts w:hAnsi="宋体"/>
                <w:snapToGrid w:val="0"/>
                <w:color w:val="auto"/>
                <w:kern w:val="0"/>
                <w:sz w:val="10"/>
                <w:szCs w:val="10"/>
                <w:highlight w:val="none"/>
              </w:rPr>
            </w:pPr>
          </w:p>
          <w:p w14:paraId="24C35D99">
            <w:pPr>
              <w:adjustRightInd w:val="0"/>
              <w:snapToGrid w:val="0"/>
              <w:spacing w:line="360" w:lineRule="auto"/>
              <w:ind w:firstLine="482" w:firstLineChars="201"/>
              <w:rPr>
                <w:snapToGrid w:val="0"/>
                <w:color w:val="auto"/>
                <w:kern w:val="0"/>
                <w:sz w:val="24"/>
                <w:highlight w:val="none"/>
              </w:rPr>
            </w:pPr>
            <w:r>
              <w:rPr>
                <w:rFonts w:hAnsi="宋体"/>
                <w:snapToGrid w:val="0"/>
                <w:color w:val="auto"/>
                <w:kern w:val="0"/>
                <w:sz w:val="24"/>
                <w:highlight w:val="none"/>
              </w:rPr>
              <w:t>根据上表，本项目符合《江苏省重点行业挥发性有机物污染控制指南》相关要求。</w:t>
            </w:r>
          </w:p>
          <w:p w14:paraId="44605CF5">
            <w:pPr>
              <w:adjustRightInd w:val="0"/>
              <w:snapToGrid w:val="0"/>
              <w:spacing w:line="360" w:lineRule="auto"/>
              <w:ind w:firstLine="472" w:firstLineChars="196"/>
              <w:rPr>
                <w:b/>
                <w:snapToGrid w:val="0"/>
                <w:color w:val="auto"/>
                <w:kern w:val="0"/>
                <w:sz w:val="24"/>
                <w:highlight w:val="none"/>
              </w:rPr>
            </w:pPr>
            <w:r>
              <w:rPr>
                <w:rFonts w:hAnsi="宋体"/>
                <w:b/>
                <w:snapToGrid w:val="0"/>
                <w:color w:val="auto"/>
                <w:kern w:val="0"/>
                <w:sz w:val="24"/>
                <w:highlight w:val="none"/>
              </w:rPr>
              <w:t>（6）与《江苏省重点行业挥发性有机物污染整治方案》相符性分析</w:t>
            </w:r>
          </w:p>
          <w:p w14:paraId="0816FACB">
            <w:pPr>
              <w:adjustRightInd w:val="0"/>
              <w:snapToGrid w:val="0"/>
              <w:spacing w:line="360" w:lineRule="auto"/>
              <w:ind w:firstLine="470" w:firstLineChars="196"/>
              <w:rPr>
                <w:snapToGrid w:val="0"/>
                <w:color w:val="auto"/>
                <w:kern w:val="0"/>
                <w:sz w:val="24"/>
                <w:highlight w:val="none"/>
              </w:rPr>
            </w:pPr>
            <w:r>
              <w:rPr>
                <w:rFonts w:hAnsi="宋体"/>
                <w:snapToGrid w:val="0"/>
                <w:color w:val="auto"/>
                <w:kern w:val="0"/>
                <w:sz w:val="24"/>
                <w:highlight w:val="none"/>
              </w:rPr>
              <w:t>方案要求：大力推进清洁生产，强化</w:t>
            </w:r>
            <w:r>
              <w:rPr>
                <w:snapToGrid w:val="0"/>
                <w:color w:val="auto"/>
                <w:kern w:val="0"/>
                <w:sz w:val="24"/>
                <w:highlight w:val="none"/>
              </w:rPr>
              <w:t>VOCs</w:t>
            </w:r>
            <w:r>
              <w:rPr>
                <w:rFonts w:hAnsi="宋体"/>
                <w:snapToGrid w:val="0"/>
                <w:color w:val="auto"/>
                <w:kern w:val="0"/>
                <w:sz w:val="24"/>
                <w:highlight w:val="none"/>
              </w:rPr>
              <w:t>源头削减；积极推进汽车制造、船舶制造、集装箱、电子元器件、电子设备、电线电缆、家具制造等行业表面涂装工艺</w:t>
            </w:r>
            <w:r>
              <w:rPr>
                <w:snapToGrid w:val="0"/>
                <w:color w:val="auto"/>
                <w:kern w:val="0"/>
                <w:sz w:val="24"/>
                <w:highlight w:val="none"/>
              </w:rPr>
              <w:t xml:space="preserve">VOCs </w:t>
            </w:r>
            <w:r>
              <w:rPr>
                <w:rFonts w:hAnsi="宋体"/>
                <w:snapToGrid w:val="0"/>
                <w:color w:val="auto"/>
                <w:kern w:val="0"/>
                <w:sz w:val="24"/>
                <w:highlight w:val="none"/>
              </w:rPr>
              <w:t>污染控制；逐步提高水性等低</w:t>
            </w:r>
            <w:r>
              <w:rPr>
                <w:snapToGrid w:val="0"/>
                <w:color w:val="auto"/>
                <w:kern w:val="0"/>
                <w:sz w:val="24"/>
                <w:highlight w:val="none"/>
              </w:rPr>
              <w:t xml:space="preserve">VOCs </w:t>
            </w:r>
            <w:r>
              <w:rPr>
                <w:rFonts w:hAnsi="宋体"/>
                <w:snapToGrid w:val="0"/>
                <w:color w:val="auto"/>
                <w:kern w:val="0"/>
                <w:sz w:val="24"/>
                <w:highlight w:val="none"/>
              </w:rPr>
              <w:t>含量涂料的使用比例。确保</w:t>
            </w:r>
            <w:r>
              <w:rPr>
                <w:snapToGrid w:val="0"/>
                <w:color w:val="auto"/>
                <w:kern w:val="0"/>
                <w:sz w:val="24"/>
                <w:highlight w:val="none"/>
              </w:rPr>
              <w:t>VOCs</w:t>
            </w:r>
            <w:r>
              <w:rPr>
                <w:rFonts w:hAnsi="宋体"/>
                <w:snapToGrid w:val="0"/>
                <w:color w:val="auto"/>
                <w:kern w:val="0"/>
                <w:sz w:val="24"/>
                <w:highlight w:val="none"/>
              </w:rPr>
              <w:t>处理装置运行效果，实现达标排放。</w:t>
            </w:r>
          </w:p>
          <w:p w14:paraId="232FDACB">
            <w:pPr>
              <w:adjustRightInd w:val="0"/>
              <w:snapToGrid w:val="0"/>
              <w:spacing w:line="360" w:lineRule="auto"/>
              <w:ind w:firstLine="470" w:firstLineChars="196"/>
              <w:rPr>
                <w:snapToGrid w:val="0"/>
                <w:color w:val="auto"/>
                <w:kern w:val="0"/>
                <w:sz w:val="24"/>
                <w:highlight w:val="none"/>
              </w:rPr>
            </w:pPr>
            <w:r>
              <w:rPr>
                <w:rFonts w:hint="eastAsia" w:hAnsi="宋体"/>
                <w:snapToGrid w:val="0"/>
                <w:color w:val="auto"/>
                <w:kern w:val="0"/>
                <w:sz w:val="24"/>
                <w:highlight w:val="none"/>
              </w:rPr>
              <w:t>本项目转子生产使用聚酯树脂胶，定子生产使用浸渍树脂胶，根据聚酯树脂胶、浸渍树脂MSDS，聚酯树脂胶中可挥发性有机成分二甲苯占0.3%，则挥发性有机物（VOCs）含量约为3.15g/L，浸渍树脂中可挥发性有机成分检测报告，挥发性有机物（VOCs）含量约为122g/L，因此使用的聚氨酯树脂、</w:t>
            </w:r>
            <w:r>
              <w:rPr>
                <w:rFonts w:hint="eastAsia"/>
                <w:snapToGrid w:val="0"/>
                <w:color w:val="auto"/>
                <w:kern w:val="0"/>
                <w:sz w:val="24"/>
                <w:highlight w:val="none"/>
              </w:rPr>
              <w:t>浸渍树脂胶均为低VOCs物料</w:t>
            </w:r>
            <w:r>
              <w:rPr>
                <w:rFonts w:hAnsi="宋体"/>
                <w:snapToGrid w:val="0"/>
                <w:color w:val="auto"/>
                <w:kern w:val="0"/>
                <w:sz w:val="24"/>
                <w:highlight w:val="none"/>
              </w:rPr>
              <w:t>，生产工艺产生的有机废气经集气罩、设备密闭</w:t>
            </w:r>
            <w:r>
              <w:rPr>
                <w:rFonts w:hint="eastAsia" w:hAnsi="宋体"/>
                <w:snapToGrid w:val="0"/>
                <w:color w:val="auto"/>
                <w:kern w:val="0"/>
                <w:sz w:val="24"/>
                <w:highlight w:val="none"/>
              </w:rPr>
              <w:t>管道</w:t>
            </w:r>
            <w:r>
              <w:rPr>
                <w:rFonts w:hAnsi="宋体"/>
                <w:snapToGrid w:val="0"/>
                <w:color w:val="auto"/>
                <w:kern w:val="0"/>
                <w:sz w:val="24"/>
                <w:highlight w:val="none"/>
              </w:rPr>
              <w:t>收集（收集效率90%）后经</w:t>
            </w:r>
            <w:r>
              <w:rPr>
                <w:rFonts w:hint="default" w:hAnsi="宋体"/>
                <w:snapToGrid w:val="0"/>
                <w:color w:val="auto"/>
                <w:kern w:val="0"/>
                <w:sz w:val="24"/>
                <w:highlight w:val="none"/>
              </w:rPr>
              <w:t>三级活性炭</w:t>
            </w:r>
            <w:r>
              <w:rPr>
                <w:rFonts w:hAnsi="宋体"/>
                <w:snapToGrid w:val="0"/>
                <w:color w:val="auto"/>
                <w:kern w:val="0"/>
                <w:sz w:val="24"/>
                <w:highlight w:val="none"/>
              </w:rPr>
              <w:t>吸附装置（处理效率</w:t>
            </w:r>
            <w:r>
              <w:rPr>
                <w:snapToGrid w:val="0"/>
                <w:color w:val="auto"/>
                <w:kern w:val="0"/>
                <w:sz w:val="24"/>
                <w:highlight w:val="none"/>
              </w:rPr>
              <w:t>93%</w:t>
            </w:r>
            <w:r>
              <w:rPr>
                <w:rFonts w:hAnsi="宋体"/>
                <w:snapToGrid w:val="0"/>
                <w:color w:val="auto"/>
                <w:kern w:val="0"/>
                <w:sz w:val="24"/>
                <w:highlight w:val="none"/>
              </w:rPr>
              <w:t>）处理后达标排放。因此，本项目符合《江苏省重点行业挥发性有机物污染整治方案》中相关要求。</w:t>
            </w:r>
          </w:p>
          <w:p w14:paraId="41C88C0A">
            <w:pPr>
              <w:pStyle w:val="5"/>
              <w:adjustRightInd w:val="0"/>
              <w:spacing w:before="0" w:after="0" w:line="360" w:lineRule="auto"/>
              <w:ind w:right="0" w:firstLine="482" w:firstLineChars="200"/>
              <w:rPr>
                <w:b/>
                <w:snapToGrid w:val="0"/>
                <w:color w:val="auto"/>
                <w:sz w:val="24"/>
                <w:szCs w:val="24"/>
                <w:highlight w:val="none"/>
                <w:lang w:val="en-US"/>
              </w:rPr>
            </w:pPr>
            <w:r>
              <w:rPr>
                <w:rFonts w:hAnsi="宋体"/>
                <w:b/>
                <w:snapToGrid w:val="0"/>
                <w:color w:val="auto"/>
                <w:sz w:val="24"/>
                <w:szCs w:val="24"/>
                <w:highlight w:val="none"/>
                <w:lang w:val="en-US"/>
              </w:rPr>
              <w:t>（</w:t>
            </w:r>
            <w:r>
              <w:rPr>
                <w:rFonts w:hAnsi="宋体"/>
                <w:b/>
                <w:snapToGrid w:val="0"/>
                <w:color w:val="auto"/>
                <w:sz w:val="24"/>
                <w:szCs w:val="24"/>
                <w:highlight w:val="none"/>
              </w:rPr>
              <w:t>7</w:t>
            </w:r>
            <w:r>
              <w:rPr>
                <w:rFonts w:hAnsi="宋体"/>
                <w:b/>
                <w:snapToGrid w:val="0"/>
                <w:color w:val="auto"/>
                <w:sz w:val="24"/>
                <w:szCs w:val="24"/>
                <w:highlight w:val="none"/>
                <w:lang w:val="en-US"/>
              </w:rPr>
              <w:t>）《</w:t>
            </w:r>
            <w:r>
              <w:rPr>
                <w:b/>
                <w:snapToGrid w:val="0"/>
                <w:color w:val="auto"/>
                <w:sz w:val="24"/>
                <w:szCs w:val="24"/>
                <w:highlight w:val="none"/>
                <w:lang w:val="en-US"/>
              </w:rPr>
              <w:t>2020</w:t>
            </w:r>
            <w:r>
              <w:rPr>
                <w:rFonts w:hAnsi="宋体"/>
                <w:b/>
                <w:snapToGrid w:val="0"/>
                <w:color w:val="auto"/>
                <w:sz w:val="24"/>
                <w:szCs w:val="24"/>
                <w:highlight w:val="none"/>
                <w:lang w:val="en-US"/>
              </w:rPr>
              <w:t>年挥发性有机物治理攻坚方案》相符性分析</w:t>
            </w:r>
          </w:p>
          <w:p w14:paraId="739FC30C">
            <w:pPr>
              <w:autoSpaceDE w:val="0"/>
              <w:autoSpaceDN w:val="0"/>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本项目与生态环境部办公厅文件《</w:t>
            </w:r>
            <w:r>
              <w:rPr>
                <w:snapToGrid w:val="0"/>
                <w:color w:val="auto"/>
                <w:kern w:val="0"/>
                <w:sz w:val="24"/>
                <w:highlight w:val="none"/>
              </w:rPr>
              <w:t>2020</w:t>
            </w:r>
            <w:r>
              <w:rPr>
                <w:rFonts w:hAnsi="宋体"/>
                <w:snapToGrid w:val="0"/>
                <w:color w:val="auto"/>
                <w:kern w:val="0"/>
                <w:sz w:val="24"/>
                <w:highlight w:val="none"/>
              </w:rPr>
              <w:t>年挥发性有机物治理攻坚方案》（环大气〔</w:t>
            </w:r>
            <w:r>
              <w:rPr>
                <w:snapToGrid w:val="0"/>
                <w:color w:val="auto"/>
                <w:kern w:val="0"/>
                <w:sz w:val="24"/>
                <w:highlight w:val="none"/>
              </w:rPr>
              <w:t>2020</w:t>
            </w:r>
            <w:r>
              <w:rPr>
                <w:rFonts w:hAnsi="宋体"/>
                <w:snapToGrid w:val="0"/>
                <w:color w:val="auto"/>
                <w:kern w:val="0"/>
                <w:sz w:val="24"/>
                <w:highlight w:val="none"/>
              </w:rPr>
              <w:t>〕</w:t>
            </w:r>
            <w:r>
              <w:rPr>
                <w:snapToGrid w:val="0"/>
                <w:color w:val="auto"/>
                <w:kern w:val="0"/>
                <w:sz w:val="24"/>
                <w:highlight w:val="none"/>
              </w:rPr>
              <w:t>33</w:t>
            </w:r>
            <w:r>
              <w:rPr>
                <w:rFonts w:hAnsi="宋体"/>
                <w:snapToGrid w:val="0"/>
                <w:color w:val="auto"/>
                <w:kern w:val="0"/>
                <w:sz w:val="24"/>
                <w:highlight w:val="none"/>
              </w:rPr>
              <w:t>号）中有关要求进行相符性分析，具体见下表。</w:t>
            </w:r>
          </w:p>
          <w:p w14:paraId="2ECEF37E">
            <w:pPr>
              <w:widowControl/>
              <w:adjustRightInd w:val="0"/>
              <w:snapToGrid w:val="0"/>
              <w:jc w:val="center"/>
              <w:rPr>
                <w:color w:val="auto"/>
                <w:sz w:val="24"/>
                <w:highlight w:val="none"/>
              </w:rPr>
            </w:pPr>
            <w:r>
              <w:rPr>
                <w:rFonts w:hAnsi="宋体"/>
                <w:b/>
                <w:bCs/>
                <w:color w:val="auto"/>
                <w:sz w:val="24"/>
                <w:highlight w:val="none"/>
              </w:rPr>
              <w:t>表</w:t>
            </w:r>
            <w:r>
              <w:rPr>
                <w:b/>
                <w:bCs/>
                <w:color w:val="auto"/>
                <w:sz w:val="24"/>
                <w:highlight w:val="none"/>
              </w:rPr>
              <w:t>1-</w:t>
            </w:r>
            <w:r>
              <w:rPr>
                <w:rFonts w:hint="eastAsia"/>
                <w:b/>
                <w:bCs/>
                <w:color w:val="auto"/>
                <w:sz w:val="24"/>
                <w:highlight w:val="none"/>
              </w:rPr>
              <w:t>9</w:t>
            </w:r>
            <w:r>
              <w:rPr>
                <w:b/>
                <w:bCs/>
                <w:color w:val="auto"/>
                <w:sz w:val="24"/>
                <w:highlight w:val="none"/>
              </w:rPr>
              <w:t xml:space="preserve"> </w:t>
            </w:r>
            <w:r>
              <w:rPr>
                <w:rFonts w:hAnsi="宋体"/>
                <w:b/>
                <w:color w:val="auto"/>
                <w:kern w:val="0"/>
                <w:sz w:val="24"/>
                <w:highlight w:val="none"/>
              </w:rPr>
              <w:t>与</w:t>
            </w:r>
            <w:r>
              <w:rPr>
                <w:rFonts w:hAnsi="宋体"/>
                <w:b/>
                <w:color w:val="auto"/>
                <w:sz w:val="24"/>
                <w:highlight w:val="none"/>
              </w:rPr>
              <w:t>《</w:t>
            </w:r>
            <w:r>
              <w:rPr>
                <w:b/>
                <w:color w:val="auto"/>
                <w:sz w:val="24"/>
                <w:highlight w:val="none"/>
              </w:rPr>
              <w:t>2020</w:t>
            </w:r>
            <w:r>
              <w:rPr>
                <w:rFonts w:hAnsi="宋体"/>
                <w:b/>
                <w:color w:val="auto"/>
                <w:sz w:val="24"/>
                <w:highlight w:val="none"/>
              </w:rPr>
              <w:t>年挥发性有机物治理攻坚方案》</w:t>
            </w:r>
            <w:r>
              <w:rPr>
                <w:rFonts w:hAnsi="宋体"/>
                <w:b/>
                <w:color w:val="auto"/>
                <w:kern w:val="0"/>
                <w:sz w:val="24"/>
                <w:highlight w:val="none"/>
              </w:rPr>
              <w:t>相符性分析</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7"/>
              <w:gridCol w:w="5363"/>
              <w:gridCol w:w="1480"/>
              <w:gridCol w:w="579"/>
            </w:tblGrid>
            <w:tr w14:paraId="11C1A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5" w:type="pct"/>
                  <w:vAlign w:val="center"/>
                </w:tcPr>
                <w:p w14:paraId="4B93E4ED">
                  <w:pPr>
                    <w:pStyle w:val="5"/>
                    <w:adjustRightInd w:val="0"/>
                    <w:spacing w:before="0" w:after="0" w:line="240" w:lineRule="auto"/>
                    <w:ind w:right="0"/>
                    <w:jc w:val="center"/>
                    <w:rPr>
                      <w:b/>
                      <w:bCs/>
                      <w:color w:val="auto"/>
                      <w:sz w:val="21"/>
                      <w:szCs w:val="21"/>
                      <w:highlight w:val="none"/>
                    </w:rPr>
                  </w:pPr>
                  <w:r>
                    <w:rPr>
                      <w:rFonts w:hAnsi="宋体"/>
                      <w:b/>
                      <w:bCs/>
                      <w:color w:val="auto"/>
                      <w:sz w:val="21"/>
                      <w:szCs w:val="21"/>
                      <w:highlight w:val="none"/>
                    </w:rPr>
                    <w:t>序号</w:t>
                  </w:r>
                </w:p>
              </w:tc>
              <w:tc>
                <w:tcPr>
                  <w:tcW w:w="3596" w:type="pct"/>
                  <w:vAlign w:val="center"/>
                </w:tcPr>
                <w:p w14:paraId="393079A3">
                  <w:pPr>
                    <w:pStyle w:val="5"/>
                    <w:adjustRightInd w:val="0"/>
                    <w:spacing w:before="0" w:after="0" w:line="240" w:lineRule="auto"/>
                    <w:ind w:right="0"/>
                    <w:jc w:val="center"/>
                    <w:rPr>
                      <w:b/>
                      <w:bCs/>
                      <w:color w:val="auto"/>
                      <w:sz w:val="21"/>
                      <w:szCs w:val="21"/>
                      <w:highlight w:val="none"/>
                    </w:rPr>
                  </w:pPr>
                  <w:r>
                    <w:rPr>
                      <w:rFonts w:hAnsi="宋体"/>
                      <w:b/>
                      <w:bCs/>
                      <w:color w:val="auto"/>
                      <w:sz w:val="21"/>
                      <w:szCs w:val="21"/>
                      <w:highlight w:val="none"/>
                    </w:rPr>
                    <w:t>指南要求</w:t>
                  </w:r>
                </w:p>
              </w:tc>
              <w:tc>
                <w:tcPr>
                  <w:tcW w:w="603" w:type="pct"/>
                  <w:vAlign w:val="center"/>
                </w:tcPr>
                <w:p w14:paraId="00286835">
                  <w:pPr>
                    <w:pStyle w:val="5"/>
                    <w:adjustRightInd w:val="0"/>
                    <w:spacing w:before="0" w:after="0" w:line="240" w:lineRule="auto"/>
                    <w:ind w:right="0"/>
                    <w:jc w:val="center"/>
                    <w:rPr>
                      <w:b/>
                      <w:bCs/>
                      <w:color w:val="auto"/>
                      <w:sz w:val="21"/>
                      <w:szCs w:val="21"/>
                      <w:highlight w:val="none"/>
                    </w:rPr>
                  </w:pPr>
                  <w:r>
                    <w:rPr>
                      <w:rFonts w:hAnsi="宋体"/>
                      <w:b/>
                      <w:bCs/>
                      <w:color w:val="auto"/>
                      <w:sz w:val="21"/>
                      <w:szCs w:val="21"/>
                      <w:highlight w:val="none"/>
                    </w:rPr>
                    <w:t>项目情况</w:t>
                  </w:r>
                </w:p>
              </w:tc>
              <w:tc>
                <w:tcPr>
                  <w:tcW w:w="494" w:type="pct"/>
                  <w:vAlign w:val="center"/>
                </w:tcPr>
                <w:p w14:paraId="0C432AC5">
                  <w:pPr>
                    <w:pStyle w:val="5"/>
                    <w:adjustRightInd w:val="0"/>
                    <w:spacing w:before="0" w:after="0" w:line="240" w:lineRule="auto"/>
                    <w:ind w:right="0"/>
                    <w:jc w:val="center"/>
                    <w:rPr>
                      <w:b/>
                      <w:bCs/>
                      <w:color w:val="auto"/>
                      <w:sz w:val="21"/>
                      <w:szCs w:val="21"/>
                      <w:highlight w:val="none"/>
                    </w:rPr>
                  </w:pPr>
                  <w:r>
                    <w:rPr>
                      <w:rFonts w:hAnsi="宋体"/>
                      <w:b/>
                      <w:bCs/>
                      <w:color w:val="auto"/>
                      <w:sz w:val="21"/>
                      <w:szCs w:val="21"/>
                      <w:highlight w:val="none"/>
                    </w:rPr>
                    <w:t>相符性</w:t>
                  </w:r>
                </w:p>
              </w:tc>
            </w:tr>
            <w:tr w14:paraId="4F314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5" w:type="pct"/>
                  <w:vAlign w:val="center"/>
                </w:tcPr>
                <w:p w14:paraId="03B73AC5">
                  <w:pPr>
                    <w:pStyle w:val="5"/>
                    <w:adjustRightInd w:val="0"/>
                    <w:spacing w:before="0" w:after="0" w:line="240" w:lineRule="auto"/>
                    <w:ind w:right="0"/>
                    <w:jc w:val="center"/>
                    <w:rPr>
                      <w:color w:val="auto"/>
                      <w:sz w:val="21"/>
                      <w:szCs w:val="21"/>
                      <w:highlight w:val="none"/>
                    </w:rPr>
                  </w:pPr>
                  <w:r>
                    <w:rPr>
                      <w:color w:val="auto"/>
                      <w:sz w:val="21"/>
                      <w:szCs w:val="21"/>
                      <w:highlight w:val="none"/>
                    </w:rPr>
                    <w:t>1</w:t>
                  </w:r>
                </w:p>
              </w:tc>
              <w:tc>
                <w:tcPr>
                  <w:tcW w:w="3596" w:type="pct"/>
                  <w:vAlign w:val="center"/>
                </w:tcPr>
                <w:p w14:paraId="2DC9C70F">
                  <w:pPr>
                    <w:adjustRightInd w:val="0"/>
                    <w:snapToGrid w:val="0"/>
                    <w:jc w:val="center"/>
                    <w:rPr>
                      <w:color w:val="auto"/>
                      <w:szCs w:val="21"/>
                      <w:highlight w:val="none"/>
                    </w:rPr>
                  </w:pPr>
                  <w:r>
                    <w:rPr>
                      <w:rFonts w:hAnsi="宋体"/>
                      <w:color w:val="auto"/>
                      <w:szCs w:val="21"/>
                      <w:highlight w:val="none"/>
                    </w:rPr>
                    <w:t>一、大力推进源头替代，有效减少</w:t>
                  </w:r>
                  <w:r>
                    <w:rPr>
                      <w:color w:val="auto"/>
                      <w:szCs w:val="21"/>
                      <w:highlight w:val="none"/>
                    </w:rPr>
                    <w:t>VOCs</w:t>
                  </w:r>
                  <w:r>
                    <w:rPr>
                      <w:rFonts w:hAnsi="宋体"/>
                      <w:color w:val="auto"/>
                      <w:szCs w:val="21"/>
                      <w:highlight w:val="none"/>
                    </w:rPr>
                    <w:t>产生：严格落实国家和地方产品</w:t>
                  </w:r>
                  <w:r>
                    <w:rPr>
                      <w:color w:val="auto"/>
                      <w:szCs w:val="21"/>
                      <w:highlight w:val="none"/>
                    </w:rPr>
                    <w:t>VOCs</w:t>
                  </w:r>
                  <w:r>
                    <w:rPr>
                      <w:rFonts w:hAnsi="宋体"/>
                      <w:color w:val="auto"/>
                      <w:szCs w:val="21"/>
                      <w:highlight w:val="none"/>
                    </w:rPr>
                    <w:t>含量限值标准。</w:t>
                  </w:r>
                  <w:r>
                    <w:rPr>
                      <w:color w:val="auto"/>
                      <w:szCs w:val="21"/>
                      <w:highlight w:val="none"/>
                    </w:rPr>
                    <w:t>2020</w:t>
                  </w:r>
                  <w:r>
                    <w:rPr>
                      <w:rFonts w:hAnsi="宋体"/>
                      <w:color w:val="auto"/>
                      <w:szCs w:val="21"/>
                      <w:highlight w:val="none"/>
                    </w:rPr>
                    <w:t>年</w:t>
                  </w:r>
                  <w:r>
                    <w:rPr>
                      <w:color w:val="auto"/>
                      <w:szCs w:val="21"/>
                      <w:highlight w:val="none"/>
                    </w:rPr>
                    <w:t>7</w:t>
                  </w:r>
                  <w:r>
                    <w:rPr>
                      <w:rFonts w:hAnsi="宋体"/>
                      <w:color w:val="auto"/>
                      <w:szCs w:val="21"/>
                      <w:highlight w:val="none"/>
                    </w:rPr>
                    <w:t>月</w:t>
                  </w:r>
                  <w:r>
                    <w:rPr>
                      <w:color w:val="auto"/>
                      <w:szCs w:val="21"/>
                      <w:highlight w:val="none"/>
                    </w:rPr>
                    <w:t>1</w:t>
                  </w:r>
                  <w:r>
                    <w:rPr>
                      <w:rFonts w:hAnsi="宋体"/>
                      <w:color w:val="auto"/>
                      <w:szCs w:val="21"/>
                      <w:highlight w:val="none"/>
                    </w:rPr>
                    <w:t>日起，船舶涂料和地坪涂料生产、销售和使用应满足新颁布实施的国家产品有害物质限量标准要求。京津冀地区建筑类涂料和胶粘剂产品须满足《建筑类涂料与胶粘剂挥发性有机化合物含量限值标准》要求。督促生产企业提前做好油墨、胶粘剂、清洗剂及木器、车辆、建筑用外墙、工业防护涂料等有害物质限量标准实施准备工作，在标准正式生效前有序完成切换，有条件的地区根据环境空气质量改善需要提前实施。将全面使用符合国家要求的低</w:t>
                  </w:r>
                  <w:r>
                    <w:rPr>
                      <w:color w:val="auto"/>
                      <w:szCs w:val="21"/>
                      <w:highlight w:val="none"/>
                    </w:rPr>
                    <w:t>VOCs</w:t>
                  </w:r>
                  <w:r>
                    <w:rPr>
                      <w:rFonts w:hAnsi="宋体"/>
                      <w:color w:val="auto"/>
                      <w:szCs w:val="21"/>
                      <w:highlight w:val="none"/>
                    </w:rPr>
                    <w:t>含量原辅材料的企业纳入正面清单和政府绿色采购清单。生产设施防腐防水防锈涂装应避开夏季或采用低</w:t>
                  </w:r>
                  <w:r>
                    <w:rPr>
                      <w:color w:val="auto"/>
                      <w:szCs w:val="21"/>
                      <w:highlight w:val="none"/>
                    </w:rPr>
                    <w:t>VOCs</w:t>
                  </w:r>
                  <w:r>
                    <w:rPr>
                      <w:rFonts w:hAnsi="宋体"/>
                      <w:color w:val="auto"/>
                      <w:szCs w:val="21"/>
                      <w:highlight w:val="none"/>
                    </w:rPr>
                    <w:t>含量涂料。使用的原辅材料</w:t>
                  </w:r>
                  <w:r>
                    <w:rPr>
                      <w:color w:val="auto"/>
                      <w:szCs w:val="21"/>
                      <w:highlight w:val="none"/>
                    </w:rPr>
                    <w:t xml:space="preserve"> VOCs</w:t>
                  </w:r>
                  <w:r>
                    <w:rPr>
                      <w:rFonts w:hAnsi="宋体"/>
                      <w:color w:val="auto"/>
                      <w:szCs w:val="21"/>
                      <w:highlight w:val="none"/>
                    </w:rPr>
                    <w:t>含量（质量比）均低于</w:t>
                  </w:r>
                  <w:r>
                    <w:rPr>
                      <w:color w:val="auto"/>
                      <w:szCs w:val="21"/>
                      <w:highlight w:val="none"/>
                    </w:rPr>
                    <w:t>10%</w:t>
                  </w:r>
                  <w:r>
                    <w:rPr>
                      <w:rFonts w:hAnsi="宋体"/>
                      <w:color w:val="auto"/>
                      <w:szCs w:val="21"/>
                      <w:highlight w:val="none"/>
                    </w:rPr>
                    <w:t>的工序，可不要求采取无组织排放收集和处理措施。推进政府绿色采购，要求家具、印刷等政府定点招标采购企业优先使用低挥发性原辅材料，鼓励汽车维修等政府定点招标采购企业使用</w:t>
                  </w:r>
                  <w:r>
                    <w:rPr>
                      <w:color w:val="auto"/>
                      <w:szCs w:val="21"/>
                      <w:highlight w:val="none"/>
                    </w:rPr>
                    <w:t xml:space="preserve"> </w:t>
                  </w:r>
                  <w:r>
                    <w:rPr>
                      <w:rFonts w:hAnsi="宋体"/>
                      <w:color w:val="auto"/>
                      <w:szCs w:val="21"/>
                      <w:highlight w:val="none"/>
                    </w:rPr>
                    <w:t>低挥发性原辅材料；将低</w:t>
                  </w:r>
                  <w:r>
                    <w:rPr>
                      <w:color w:val="auto"/>
                      <w:szCs w:val="21"/>
                      <w:highlight w:val="none"/>
                    </w:rPr>
                    <w:t>VOCs</w:t>
                  </w:r>
                  <w:r>
                    <w:rPr>
                      <w:rFonts w:hAnsi="宋体"/>
                      <w:color w:val="auto"/>
                      <w:szCs w:val="21"/>
                      <w:highlight w:val="none"/>
                    </w:rPr>
                    <w:t>含量产品纳入政府采购名录，并在政府投资项目中优先使用；引导将使用低</w:t>
                  </w:r>
                  <w:r>
                    <w:rPr>
                      <w:color w:val="auto"/>
                      <w:szCs w:val="21"/>
                      <w:highlight w:val="none"/>
                    </w:rPr>
                    <w:t>VOCs</w:t>
                  </w:r>
                  <w:r>
                    <w:rPr>
                      <w:rFonts w:hAnsi="宋体"/>
                      <w:color w:val="auto"/>
                      <w:szCs w:val="21"/>
                      <w:highlight w:val="none"/>
                    </w:rPr>
                    <w:t>含量涂料、胶粘剂等纳入政府采购装修合同环保条款。</w:t>
                  </w:r>
                </w:p>
              </w:tc>
              <w:tc>
                <w:tcPr>
                  <w:tcW w:w="603" w:type="pct"/>
                  <w:vAlign w:val="center"/>
                </w:tcPr>
                <w:p w14:paraId="1BD23B5E">
                  <w:pPr>
                    <w:adjustRightInd w:val="0"/>
                    <w:snapToGrid w:val="0"/>
                    <w:jc w:val="center"/>
                    <w:rPr>
                      <w:color w:val="auto"/>
                      <w:szCs w:val="21"/>
                      <w:highlight w:val="none"/>
                    </w:rPr>
                  </w:pPr>
                  <w:r>
                    <w:rPr>
                      <w:rFonts w:hAnsi="宋体"/>
                      <w:color w:val="auto"/>
                      <w:szCs w:val="21"/>
                      <w:highlight w:val="none"/>
                    </w:rPr>
                    <w:t>企业严格把关原材料的采购，采用低</w:t>
                  </w:r>
                  <w:r>
                    <w:rPr>
                      <w:color w:val="auto"/>
                      <w:szCs w:val="21"/>
                      <w:highlight w:val="none"/>
                    </w:rPr>
                    <w:t>VOCs</w:t>
                  </w:r>
                  <w:r>
                    <w:rPr>
                      <w:rFonts w:hAnsi="宋体"/>
                      <w:color w:val="auto"/>
                      <w:szCs w:val="21"/>
                      <w:highlight w:val="none"/>
                    </w:rPr>
                    <w:t>含量的原辅料。产生的有机废气由</w:t>
                  </w:r>
                  <w:r>
                    <w:rPr>
                      <w:rFonts w:hint="default" w:hAnsi="宋体"/>
                      <w:color w:val="auto"/>
                      <w:szCs w:val="21"/>
                      <w:highlight w:val="none"/>
                    </w:rPr>
                    <w:t>三级活性炭</w:t>
                  </w:r>
                  <w:r>
                    <w:rPr>
                      <w:rFonts w:hint="eastAsia" w:hAnsi="宋体"/>
                      <w:color w:val="auto"/>
                      <w:szCs w:val="21"/>
                      <w:highlight w:val="none"/>
                    </w:rPr>
                    <w:t>吸附</w:t>
                  </w:r>
                  <w:r>
                    <w:rPr>
                      <w:rFonts w:hAnsi="宋体"/>
                      <w:color w:val="auto"/>
                      <w:szCs w:val="21"/>
                      <w:highlight w:val="none"/>
                    </w:rPr>
                    <w:t>装置处理，最后通过</w:t>
                  </w:r>
                  <w:r>
                    <w:rPr>
                      <w:color w:val="auto"/>
                      <w:szCs w:val="21"/>
                      <w:highlight w:val="none"/>
                    </w:rPr>
                    <w:t>15m</w:t>
                  </w:r>
                  <w:r>
                    <w:rPr>
                      <w:rFonts w:hAnsi="宋体"/>
                      <w:color w:val="auto"/>
                      <w:szCs w:val="21"/>
                      <w:highlight w:val="none"/>
                    </w:rPr>
                    <w:t>高的排气筒排放。</w:t>
                  </w:r>
                </w:p>
              </w:tc>
              <w:tc>
                <w:tcPr>
                  <w:tcW w:w="494" w:type="pct"/>
                  <w:vAlign w:val="center"/>
                </w:tcPr>
                <w:p w14:paraId="40913E70">
                  <w:pPr>
                    <w:pStyle w:val="5"/>
                    <w:adjustRightInd w:val="0"/>
                    <w:spacing w:before="0" w:after="0" w:line="240" w:lineRule="auto"/>
                    <w:ind w:right="0"/>
                    <w:jc w:val="center"/>
                    <w:rPr>
                      <w:color w:val="auto"/>
                      <w:sz w:val="21"/>
                      <w:szCs w:val="21"/>
                      <w:highlight w:val="none"/>
                    </w:rPr>
                  </w:pPr>
                  <w:r>
                    <w:rPr>
                      <w:rFonts w:hAnsi="宋体"/>
                      <w:color w:val="auto"/>
                      <w:sz w:val="21"/>
                      <w:szCs w:val="21"/>
                      <w:highlight w:val="none"/>
                    </w:rPr>
                    <w:t>符合</w:t>
                  </w:r>
                </w:p>
              </w:tc>
            </w:tr>
            <w:tr w14:paraId="46086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5" w:type="pct"/>
                  <w:vAlign w:val="center"/>
                </w:tcPr>
                <w:p w14:paraId="393EB188">
                  <w:pPr>
                    <w:pStyle w:val="5"/>
                    <w:adjustRightInd w:val="0"/>
                    <w:spacing w:before="0" w:after="0" w:line="240" w:lineRule="auto"/>
                    <w:ind w:right="0"/>
                    <w:jc w:val="center"/>
                    <w:rPr>
                      <w:color w:val="auto"/>
                      <w:sz w:val="21"/>
                      <w:szCs w:val="21"/>
                      <w:highlight w:val="none"/>
                    </w:rPr>
                  </w:pPr>
                  <w:r>
                    <w:rPr>
                      <w:color w:val="auto"/>
                      <w:sz w:val="21"/>
                      <w:szCs w:val="21"/>
                      <w:highlight w:val="none"/>
                    </w:rPr>
                    <w:t>2</w:t>
                  </w:r>
                </w:p>
              </w:tc>
              <w:tc>
                <w:tcPr>
                  <w:tcW w:w="3596" w:type="pct"/>
                  <w:vAlign w:val="center"/>
                </w:tcPr>
                <w:p w14:paraId="46B5E4E5">
                  <w:pPr>
                    <w:adjustRightInd w:val="0"/>
                    <w:snapToGrid w:val="0"/>
                    <w:jc w:val="center"/>
                    <w:rPr>
                      <w:color w:val="auto"/>
                      <w:szCs w:val="21"/>
                      <w:highlight w:val="none"/>
                    </w:rPr>
                  </w:pPr>
                  <w:r>
                    <w:rPr>
                      <w:rFonts w:hAnsi="宋体"/>
                      <w:color w:val="auto"/>
                      <w:szCs w:val="21"/>
                      <w:highlight w:val="none"/>
                    </w:rPr>
                    <w:t>二、全面落实标准要求，强化无组织排放控制：</w:t>
                  </w:r>
                  <w:r>
                    <w:rPr>
                      <w:color w:val="auto"/>
                      <w:szCs w:val="21"/>
                      <w:highlight w:val="none"/>
                    </w:rPr>
                    <w:t>2020</w:t>
                  </w:r>
                  <w:r>
                    <w:rPr>
                      <w:rFonts w:hAnsi="宋体"/>
                      <w:color w:val="auto"/>
                      <w:szCs w:val="21"/>
                      <w:highlight w:val="none"/>
                    </w:rPr>
                    <w:t>年</w:t>
                  </w:r>
                  <w:r>
                    <w:rPr>
                      <w:color w:val="auto"/>
                      <w:szCs w:val="21"/>
                      <w:highlight w:val="none"/>
                    </w:rPr>
                    <w:t>7</w:t>
                  </w:r>
                  <w:r>
                    <w:rPr>
                      <w:rFonts w:hAnsi="宋体"/>
                      <w:color w:val="auto"/>
                      <w:szCs w:val="21"/>
                      <w:highlight w:val="none"/>
                    </w:rPr>
                    <w:t>月</w:t>
                  </w:r>
                  <w:r>
                    <w:rPr>
                      <w:color w:val="auto"/>
                      <w:szCs w:val="21"/>
                      <w:highlight w:val="none"/>
                    </w:rPr>
                    <w:t>1</w:t>
                  </w:r>
                  <w:r>
                    <w:rPr>
                      <w:rFonts w:hAnsi="宋体"/>
                      <w:color w:val="auto"/>
                      <w:szCs w:val="21"/>
                      <w:highlight w:val="none"/>
                    </w:rPr>
                    <w:t>日起全面执行《挥发性有机物无组织排放控制标准》，落实无组织排放特别控制要求。各地要加大标准生效时间、涉及行业及控制要求等宣贯力度，通过现场指导、组织培训、新媒体信息推送等多种方式，督促指导企业对照标准要求开展含</w:t>
                  </w:r>
                  <w:r>
                    <w:rPr>
                      <w:color w:val="auto"/>
                      <w:szCs w:val="21"/>
                      <w:highlight w:val="none"/>
                    </w:rPr>
                    <w:t>VOCs</w:t>
                  </w:r>
                  <w:r>
                    <w:rPr>
                      <w:rFonts w:hAnsi="宋体"/>
                      <w:color w:val="auto"/>
                      <w:szCs w:val="21"/>
                      <w:highlight w:val="none"/>
                    </w:rPr>
                    <w:t>物料（包括含</w:t>
                  </w:r>
                  <w:r>
                    <w:rPr>
                      <w:color w:val="auto"/>
                      <w:szCs w:val="21"/>
                      <w:highlight w:val="none"/>
                    </w:rPr>
                    <w:t>VOCs</w:t>
                  </w:r>
                  <w:r>
                    <w:rPr>
                      <w:rFonts w:hAnsi="宋体"/>
                      <w:color w:val="auto"/>
                      <w:szCs w:val="21"/>
                      <w:highlight w:val="none"/>
                    </w:rPr>
                    <w:t>原辅材料、含</w:t>
                  </w:r>
                  <w:r>
                    <w:rPr>
                      <w:color w:val="auto"/>
                      <w:szCs w:val="21"/>
                      <w:highlight w:val="none"/>
                    </w:rPr>
                    <w:t>VOCs</w:t>
                  </w:r>
                  <w:r>
                    <w:rPr>
                      <w:rFonts w:hAnsi="宋体"/>
                      <w:color w:val="auto"/>
                      <w:szCs w:val="21"/>
                      <w:highlight w:val="none"/>
                    </w:rPr>
                    <w:t>产品、含</w:t>
                  </w:r>
                  <w:r>
                    <w:rPr>
                      <w:color w:val="auto"/>
                      <w:szCs w:val="21"/>
                      <w:highlight w:val="none"/>
                    </w:rPr>
                    <w:t>VOCs</w:t>
                  </w:r>
                  <w:r>
                    <w:rPr>
                      <w:rFonts w:hAnsi="宋体"/>
                      <w:color w:val="auto"/>
                      <w:szCs w:val="21"/>
                      <w:highlight w:val="none"/>
                    </w:rPr>
                    <w:t>废料以及有机聚合物材料等）储存、转移和输送、设备与管线组件泄漏、敞开液面逸散以及工艺过程等无组织排放环节排查整治，对达不到要求的加快整改。指导企业制定</w:t>
                  </w:r>
                  <w:r>
                    <w:rPr>
                      <w:color w:val="auto"/>
                      <w:szCs w:val="21"/>
                      <w:highlight w:val="none"/>
                    </w:rPr>
                    <w:t>VOCs</w:t>
                  </w:r>
                  <w:r>
                    <w:rPr>
                      <w:rFonts w:hAnsi="宋体"/>
                      <w:color w:val="auto"/>
                      <w:szCs w:val="21"/>
                      <w:highlight w:val="none"/>
                    </w:rPr>
                    <w:t>无组织排放控制规程，细化到具体工序和生产环节，以及启停机、检维修作业等，落实到具体责任人；健全内部考核制度，严格按照操作规程生产。企业在无组织排放排查整治过程中，在保证安全的前提下，加强含</w:t>
                  </w:r>
                  <w:r>
                    <w:rPr>
                      <w:color w:val="auto"/>
                      <w:szCs w:val="21"/>
                      <w:highlight w:val="none"/>
                    </w:rPr>
                    <w:t>VOCs</w:t>
                  </w:r>
                  <w:r>
                    <w:rPr>
                      <w:rFonts w:hAnsi="宋体"/>
                      <w:color w:val="auto"/>
                      <w:szCs w:val="21"/>
                      <w:highlight w:val="none"/>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处置环节应将盛装过</w:t>
                  </w:r>
                  <w:r>
                    <w:rPr>
                      <w:color w:val="auto"/>
                      <w:szCs w:val="21"/>
                      <w:highlight w:val="none"/>
                    </w:rPr>
                    <w:t>VOCs</w:t>
                  </w:r>
                  <w:r>
                    <w:rPr>
                      <w:rFonts w:hAnsi="宋体"/>
                      <w:color w:val="auto"/>
                      <w:szCs w:val="21"/>
                      <w:highlight w:val="none"/>
                    </w:rPr>
                    <w:t>物料的废包装容器加盖密闭，按要求妥善处置，不得随意丢弃；高</w:t>
                  </w:r>
                  <w:r>
                    <w:rPr>
                      <w:color w:val="auto"/>
                      <w:szCs w:val="21"/>
                      <w:highlight w:val="none"/>
                    </w:rPr>
                    <w:t>VOCs</w:t>
                  </w:r>
                  <w:r>
                    <w:rPr>
                      <w:rFonts w:hAnsi="宋体"/>
                      <w:color w:val="auto"/>
                      <w:szCs w:val="21"/>
                      <w:highlight w:val="none"/>
                    </w:rPr>
                    <w:t>含量废水的集输、储存和处理环节，应加盖密闭。</w:t>
                  </w:r>
                </w:p>
              </w:tc>
              <w:tc>
                <w:tcPr>
                  <w:tcW w:w="603" w:type="pct"/>
                  <w:vAlign w:val="center"/>
                </w:tcPr>
                <w:p w14:paraId="1777A62D">
                  <w:pPr>
                    <w:adjustRightInd w:val="0"/>
                    <w:snapToGrid w:val="0"/>
                    <w:jc w:val="center"/>
                    <w:rPr>
                      <w:color w:val="auto"/>
                      <w:szCs w:val="21"/>
                      <w:highlight w:val="none"/>
                    </w:rPr>
                  </w:pPr>
                  <w:r>
                    <w:rPr>
                      <w:rFonts w:hAnsi="宋体"/>
                      <w:color w:val="auto"/>
                      <w:szCs w:val="21"/>
                      <w:highlight w:val="none"/>
                    </w:rPr>
                    <w:t>本项目厂区内挥发性有机物无组织排放监控点浓度执行</w:t>
                  </w:r>
                  <w:r>
                    <w:rPr>
                      <w:rFonts w:hint="default" w:ascii="Times New Roman" w:hAnsi="Times New Roman" w:eastAsia="宋体"/>
                      <w:bCs/>
                      <w:color w:val="auto"/>
                      <w:sz w:val="21"/>
                      <w:szCs w:val="21"/>
                      <w:highlight w:val="none"/>
                    </w:rPr>
                    <w:t>《大气污染物综合排放标准》DB32/4041-2021表2标准</w:t>
                  </w:r>
                  <w:r>
                    <w:rPr>
                      <w:rFonts w:hAnsi="宋体"/>
                      <w:color w:val="auto"/>
                      <w:szCs w:val="21"/>
                      <w:highlight w:val="none"/>
                    </w:rPr>
                    <w:t>。</w:t>
                  </w:r>
                </w:p>
              </w:tc>
              <w:tc>
                <w:tcPr>
                  <w:tcW w:w="494" w:type="pct"/>
                  <w:vAlign w:val="center"/>
                </w:tcPr>
                <w:p w14:paraId="58170DE7">
                  <w:pPr>
                    <w:pStyle w:val="5"/>
                    <w:adjustRightInd w:val="0"/>
                    <w:spacing w:before="0" w:after="0" w:line="240" w:lineRule="auto"/>
                    <w:ind w:right="0"/>
                    <w:jc w:val="center"/>
                    <w:rPr>
                      <w:color w:val="auto"/>
                      <w:sz w:val="21"/>
                      <w:szCs w:val="21"/>
                      <w:highlight w:val="none"/>
                    </w:rPr>
                  </w:pPr>
                  <w:r>
                    <w:rPr>
                      <w:rFonts w:hAnsi="宋体"/>
                      <w:color w:val="auto"/>
                      <w:sz w:val="21"/>
                      <w:szCs w:val="21"/>
                      <w:highlight w:val="none"/>
                    </w:rPr>
                    <w:t>符合</w:t>
                  </w:r>
                </w:p>
              </w:tc>
            </w:tr>
            <w:tr w14:paraId="6E131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5" w:type="pct"/>
                  <w:vAlign w:val="center"/>
                </w:tcPr>
                <w:p w14:paraId="4B983FCD">
                  <w:pPr>
                    <w:pStyle w:val="5"/>
                    <w:adjustRightInd w:val="0"/>
                    <w:spacing w:before="0" w:after="0" w:line="240" w:lineRule="auto"/>
                    <w:ind w:right="0"/>
                    <w:jc w:val="center"/>
                    <w:rPr>
                      <w:color w:val="auto"/>
                      <w:sz w:val="21"/>
                      <w:szCs w:val="21"/>
                      <w:highlight w:val="none"/>
                    </w:rPr>
                  </w:pPr>
                  <w:r>
                    <w:rPr>
                      <w:color w:val="auto"/>
                      <w:sz w:val="21"/>
                      <w:szCs w:val="21"/>
                      <w:highlight w:val="none"/>
                    </w:rPr>
                    <w:t>3</w:t>
                  </w:r>
                </w:p>
              </w:tc>
              <w:tc>
                <w:tcPr>
                  <w:tcW w:w="3596" w:type="pct"/>
                  <w:vAlign w:val="center"/>
                </w:tcPr>
                <w:p w14:paraId="31B090CC">
                  <w:pPr>
                    <w:adjustRightInd w:val="0"/>
                    <w:snapToGrid w:val="0"/>
                    <w:jc w:val="center"/>
                    <w:rPr>
                      <w:color w:val="auto"/>
                      <w:szCs w:val="21"/>
                      <w:highlight w:val="none"/>
                    </w:rPr>
                  </w:pPr>
                  <w:r>
                    <w:rPr>
                      <w:rFonts w:hAnsi="宋体"/>
                      <w:color w:val="auto"/>
                      <w:szCs w:val="21"/>
                      <w:highlight w:val="none"/>
                    </w:rPr>
                    <w:t>三、聚焦治污设施</w:t>
                  </w:r>
                  <w:r>
                    <w:rPr>
                      <w:color w:val="auto"/>
                      <w:szCs w:val="21"/>
                      <w:highlight w:val="none"/>
                    </w:rPr>
                    <w:t>“</w:t>
                  </w:r>
                  <w:r>
                    <w:rPr>
                      <w:rFonts w:hAnsi="宋体"/>
                      <w:color w:val="auto"/>
                      <w:szCs w:val="21"/>
                      <w:highlight w:val="none"/>
                    </w:rPr>
                    <w:t>三率</w:t>
                  </w:r>
                  <w:r>
                    <w:rPr>
                      <w:color w:val="auto"/>
                      <w:szCs w:val="21"/>
                      <w:highlight w:val="none"/>
                    </w:rPr>
                    <w:t>”</w:t>
                  </w:r>
                  <w:r>
                    <w:rPr>
                      <w:rFonts w:hAnsi="宋体"/>
                      <w:color w:val="auto"/>
                      <w:szCs w:val="21"/>
                      <w:highlight w:val="none"/>
                    </w:rPr>
                    <w:t>，提升综合治理效率：组织企业开展现有</w:t>
                  </w:r>
                  <w:r>
                    <w:rPr>
                      <w:color w:val="auto"/>
                      <w:szCs w:val="21"/>
                      <w:highlight w:val="none"/>
                    </w:rPr>
                    <w:t>VOCs</w:t>
                  </w:r>
                  <w:r>
                    <w:rPr>
                      <w:rFonts w:hAnsi="宋体"/>
                      <w:color w:val="auto"/>
                      <w:szCs w:val="21"/>
                      <w:highlight w:val="none"/>
                    </w:rPr>
                    <w:t>治理设施评估，全面评估废气收集率、治理设施同步运行率和去除率。对达不到要求的</w:t>
                  </w:r>
                  <w:r>
                    <w:rPr>
                      <w:color w:val="auto"/>
                      <w:szCs w:val="21"/>
                      <w:highlight w:val="none"/>
                    </w:rPr>
                    <w:t>VOCs</w:t>
                  </w:r>
                  <w:r>
                    <w:rPr>
                      <w:rFonts w:hAnsi="宋体"/>
                      <w:color w:val="auto"/>
                      <w:szCs w:val="21"/>
                      <w:highlight w:val="none"/>
                    </w:rPr>
                    <w:t>收集、治理设施进行更换或升级改造，实现达标排放，石化、化工、包装印刷、工业涂装、制药等</w:t>
                  </w:r>
                  <w:r>
                    <w:rPr>
                      <w:color w:val="auto"/>
                      <w:szCs w:val="21"/>
                      <w:highlight w:val="none"/>
                    </w:rPr>
                    <w:t>VOCs</w:t>
                  </w:r>
                  <w:r>
                    <w:rPr>
                      <w:rFonts w:hAnsi="宋体"/>
                      <w:color w:val="auto"/>
                      <w:szCs w:val="21"/>
                      <w:highlight w:val="none"/>
                    </w:rPr>
                    <w:t>排放重点源</w:t>
                  </w:r>
                  <w:r>
                    <w:rPr>
                      <w:color w:val="auto"/>
                      <w:szCs w:val="21"/>
                      <w:highlight w:val="none"/>
                    </w:rPr>
                    <w:t>6</w:t>
                  </w:r>
                  <w:r>
                    <w:rPr>
                      <w:rFonts w:hAnsi="宋体"/>
                      <w:color w:val="auto"/>
                      <w:szCs w:val="21"/>
                      <w:highlight w:val="none"/>
                    </w:rPr>
                    <w:t>月底前完成。对单一采用光氧化、光催化、低温等离子、一次活性炭吸附、喷淋吸收、生物法等工艺设施的，要重点加强效果评估。行业排放标准中规定特别排放限值和控制要求的，应按相关规定执行；未制定行业标准的应执行大气污染物综合排放标准和挥发性有机物无组织排放控制标准；已制定更严格地方排放标准的，按地方标准执行。按照</w:t>
                  </w:r>
                  <w:r>
                    <w:rPr>
                      <w:color w:val="auto"/>
                      <w:szCs w:val="21"/>
                      <w:highlight w:val="none"/>
                    </w:rPr>
                    <w:t>“</w:t>
                  </w:r>
                  <w:r>
                    <w:rPr>
                      <w:rFonts w:hAnsi="宋体"/>
                      <w:color w:val="auto"/>
                      <w:szCs w:val="21"/>
                      <w:highlight w:val="none"/>
                    </w:rPr>
                    <w:t>应收尽收</w:t>
                  </w:r>
                  <w:r>
                    <w:rPr>
                      <w:color w:val="auto"/>
                      <w:szCs w:val="21"/>
                      <w:highlight w:val="none"/>
                    </w:rPr>
                    <w:t>”</w:t>
                  </w:r>
                  <w:r>
                    <w:rPr>
                      <w:rFonts w:hAnsi="宋体"/>
                      <w:color w:val="auto"/>
                      <w:szCs w:val="21"/>
                      <w:highlight w:val="none"/>
                    </w:rPr>
                    <w:t>的原则提升废气收集率。推动取消废气排放系统旁路，因安全生产等原因必须保留的，要通过安装自动监控设施等方式加强监管。将无组织排放转变为有组织排放进行控制，优先采用密闭设备、在密闭空间中操作或采用全密闭集气罩收集方式；对于采用局部集气罩的，应根据废气排放特点合理选择收集点位，距集气罩开口面最远处的</w:t>
                  </w:r>
                  <w:r>
                    <w:rPr>
                      <w:color w:val="auto"/>
                      <w:szCs w:val="21"/>
                      <w:highlight w:val="none"/>
                    </w:rPr>
                    <w:t>VOCs</w:t>
                  </w:r>
                  <w:r>
                    <w:rPr>
                      <w:rFonts w:hAnsi="宋体"/>
                      <w:color w:val="auto"/>
                      <w:szCs w:val="21"/>
                      <w:highlight w:val="none"/>
                    </w:rPr>
                    <w:t>无组织排放位置，控制风速不低于</w:t>
                  </w:r>
                  <w:r>
                    <w:rPr>
                      <w:color w:val="auto"/>
                      <w:szCs w:val="21"/>
                      <w:highlight w:val="none"/>
                    </w:rPr>
                    <w:t>0.3</w:t>
                  </w:r>
                  <w:r>
                    <w:rPr>
                      <w:rFonts w:hAnsi="宋体"/>
                      <w:color w:val="auto"/>
                      <w:szCs w:val="21"/>
                      <w:highlight w:val="none"/>
                    </w:rPr>
                    <w:t>米</w:t>
                  </w:r>
                  <w:r>
                    <w:rPr>
                      <w:color w:val="auto"/>
                      <w:szCs w:val="21"/>
                      <w:highlight w:val="none"/>
                    </w:rPr>
                    <w:t>/</w:t>
                  </w:r>
                  <w:r>
                    <w:rPr>
                      <w:rFonts w:hAnsi="宋体"/>
                      <w:color w:val="auto"/>
                      <w:szCs w:val="21"/>
                      <w:highlight w:val="none"/>
                    </w:rPr>
                    <w:t>秒。按照与生产设备</w:t>
                  </w:r>
                  <w:r>
                    <w:rPr>
                      <w:color w:val="auto"/>
                      <w:szCs w:val="21"/>
                      <w:highlight w:val="none"/>
                    </w:rPr>
                    <w:t>“</w:t>
                  </w:r>
                  <w:r>
                    <w:rPr>
                      <w:rFonts w:hAnsi="宋体"/>
                      <w:color w:val="auto"/>
                      <w:szCs w:val="21"/>
                      <w:highlight w:val="none"/>
                    </w:rPr>
                    <w:t>同启同停</w:t>
                  </w:r>
                  <w:r>
                    <w:rPr>
                      <w:color w:val="auto"/>
                      <w:szCs w:val="21"/>
                      <w:highlight w:val="none"/>
                    </w:rPr>
                    <w:t>”</w:t>
                  </w:r>
                  <w:r>
                    <w:rPr>
                      <w:rFonts w:hAnsi="宋体"/>
                      <w:color w:val="auto"/>
                      <w:szCs w:val="21"/>
                      <w:highlight w:val="none"/>
                    </w:rPr>
                    <w:t>的原则提升治理设施运行率。</w:t>
                  </w:r>
                </w:p>
              </w:tc>
              <w:tc>
                <w:tcPr>
                  <w:tcW w:w="603" w:type="pct"/>
                  <w:vAlign w:val="center"/>
                </w:tcPr>
                <w:p w14:paraId="3A4E8DF5">
                  <w:pPr>
                    <w:adjustRightInd w:val="0"/>
                    <w:snapToGrid w:val="0"/>
                    <w:jc w:val="center"/>
                    <w:rPr>
                      <w:color w:val="auto"/>
                      <w:szCs w:val="21"/>
                      <w:highlight w:val="none"/>
                    </w:rPr>
                  </w:pPr>
                  <w:r>
                    <w:rPr>
                      <w:rFonts w:hAnsi="宋体"/>
                      <w:color w:val="auto"/>
                      <w:szCs w:val="21"/>
                      <w:highlight w:val="none"/>
                    </w:rPr>
                    <w:t>本项目采用低</w:t>
                  </w:r>
                  <w:r>
                    <w:rPr>
                      <w:color w:val="auto"/>
                      <w:szCs w:val="21"/>
                      <w:highlight w:val="none"/>
                    </w:rPr>
                    <w:t>VOCs</w:t>
                  </w:r>
                  <w:r>
                    <w:rPr>
                      <w:rFonts w:hAnsi="宋体"/>
                      <w:color w:val="auto"/>
                      <w:szCs w:val="21"/>
                      <w:highlight w:val="none"/>
                    </w:rPr>
                    <w:t>含量的原辅料，产生的有机废气由</w:t>
                  </w:r>
                  <w:r>
                    <w:rPr>
                      <w:rFonts w:hint="default" w:hAnsi="宋体"/>
                      <w:color w:val="auto"/>
                      <w:szCs w:val="21"/>
                      <w:highlight w:val="none"/>
                    </w:rPr>
                    <w:t>三级活性炭</w:t>
                  </w:r>
                  <w:r>
                    <w:rPr>
                      <w:rFonts w:hint="eastAsia" w:hAnsi="宋体"/>
                      <w:color w:val="auto"/>
                      <w:szCs w:val="21"/>
                      <w:highlight w:val="none"/>
                    </w:rPr>
                    <w:t>吸附</w:t>
                  </w:r>
                  <w:r>
                    <w:rPr>
                      <w:rFonts w:hAnsi="宋体"/>
                      <w:color w:val="auto"/>
                      <w:szCs w:val="21"/>
                      <w:highlight w:val="none"/>
                    </w:rPr>
                    <w:t>装置处理，最后通过15m高的排气筒排放。</w:t>
                  </w:r>
                </w:p>
              </w:tc>
              <w:tc>
                <w:tcPr>
                  <w:tcW w:w="494" w:type="pct"/>
                  <w:vAlign w:val="center"/>
                </w:tcPr>
                <w:p w14:paraId="4315884F">
                  <w:pPr>
                    <w:pStyle w:val="5"/>
                    <w:adjustRightInd w:val="0"/>
                    <w:spacing w:before="0" w:after="0" w:line="240" w:lineRule="auto"/>
                    <w:ind w:right="0"/>
                    <w:jc w:val="center"/>
                    <w:rPr>
                      <w:color w:val="auto"/>
                      <w:sz w:val="21"/>
                      <w:szCs w:val="21"/>
                      <w:highlight w:val="none"/>
                    </w:rPr>
                  </w:pPr>
                  <w:r>
                    <w:rPr>
                      <w:rFonts w:hAnsi="宋体"/>
                      <w:color w:val="auto"/>
                      <w:sz w:val="21"/>
                      <w:szCs w:val="21"/>
                      <w:highlight w:val="none"/>
                    </w:rPr>
                    <w:t>符合</w:t>
                  </w:r>
                </w:p>
              </w:tc>
            </w:tr>
          </w:tbl>
          <w:p w14:paraId="15B1B64D">
            <w:pPr>
              <w:adjustRightInd w:val="0"/>
              <w:snapToGrid w:val="0"/>
              <w:ind w:firstLine="200" w:firstLineChars="200"/>
              <w:rPr>
                <w:color w:val="auto"/>
                <w:sz w:val="10"/>
                <w:szCs w:val="10"/>
                <w:highlight w:val="none"/>
              </w:rPr>
            </w:pPr>
          </w:p>
          <w:p w14:paraId="64ECB3E1">
            <w:pPr>
              <w:adjustRightInd w:val="0"/>
              <w:snapToGrid w:val="0"/>
              <w:spacing w:line="360" w:lineRule="auto"/>
              <w:ind w:firstLine="480" w:firstLineChars="200"/>
              <w:rPr>
                <w:snapToGrid w:val="0"/>
                <w:color w:val="auto"/>
                <w:kern w:val="0"/>
                <w:szCs w:val="21"/>
                <w:highlight w:val="none"/>
              </w:rPr>
            </w:pPr>
            <w:r>
              <w:rPr>
                <w:rFonts w:hAnsi="宋体"/>
                <w:color w:val="auto"/>
                <w:sz w:val="24"/>
                <w:highlight w:val="none"/>
              </w:rPr>
              <w:t>由上表可知，本项目符合《</w:t>
            </w:r>
            <w:r>
              <w:rPr>
                <w:color w:val="auto"/>
                <w:sz w:val="24"/>
                <w:highlight w:val="none"/>
              </w:rPr>
              <w:t>2020</w:t>
            </w:r>
            <w:r>
              <w:rPr>
                <w:rFonts w:hAnsi="宋体"/>
                <w:color w:val="auto"/>
                <w:sz w:val="24"/>
                <w:highlight w:val="none"/>
              </w:rPr>
              <w:t>年挥发性有机物治理攻坚方案》（环大气〔</w:t>
            </w:r>
            <w:r>
              <w:rPr>
                <w:color w:val="auto"/>
                <w:sz w:val="24"/>
                <w:highlight w:val="none"/>
              </w:rPr>
              <w:t>2020</w:t>
            </w:r>
            <w:r>
              <w:rPr>
                <w:rFonts w:hAnsi="宋体"/>
                <w:color w:val="auto"/>
                <w:sz w:val="24"/>
                <w:highlight w:val="none"/>
              </w:rPr>
              <w:t>〕</w:t>
            </w:r>
            <w:r>
              <w:rPr>
                <w:color w:val="auto"/>
                <w:sz w:val="24"/>
                <w:highlight w:val="none"/>
              </w:rPr>
              <w:t>33</w:t>
            </w:r>
            <w:r>
              <w:rPr>
                <w:rFonts w:hAnsi="宋体"/>
                <w:color w:val="auto"/>
                <w:sz w:val="24"/>
                <w:highlight w:val="none"/>
              </w:rPr>
              <w:t>号）的总体要求。</w:t>
            </w:r>
          </w:p>
        </w:tc>
      </w:tr>
    </w:tbl>
    <w:p w14:paraId="095D758D">
      <w:pPr>
        <w:spacing w:line="360" w:lineRule="auto"/>
        <w:outlineLvl w:val="0"/>
        <w:rPr>
          <w:color w:val="auto"/>
          <w:sz w:val="30"/>
          <w:highlight w:val="none"/>
        </w:rPr>
        <w:sectPr>
          <w:footerReference r:id="rId4" w:type="default"/>
          <w:pgSz w:w="11906" w:h="16838"/>
          <w:pgMar w:top="1440" w:right="1080" w:bottom="1440" w:left="1080" w:header="851" w:footer="1077" w:gutter="0"/>
          <w:pgBorders>
            <w:top w:val="none" w:sz="0" w:space="0"/>
            <w:left w:val="none" w:sz="0" w:space="0"/>
            <w:bottom w:val="none" w:sz="0" w:space="0"/>
            <w:right w:val="none" w:sz="0" w:space="0"/>
          </w:pgBorders>
          <w:pgNumType w:start="1"/>
          <w:cols w:space="720" w:num="1"/>
          <w:docGrid w:linePitch="312" w:charSpace="0"/>
        </w:sectPr>
      </w:pPr>
    </w:p>
    <w:p w14:paraId="5780DE0B">
      <w:pPr>
        <w:pStyle w:val="22"/>
        <w:spacing w:before="0" w:beforeAutospacing="0" w:after="0" w:afterAutospacing="0"/>
        <w:jc w:val="center"/>
        <w:outlineLvl w:val="0"/>
        <w:rPr>
          <w:rFonts w:ascii="Times New Roman" w:hAnsi="Times New Roman"/>
          <w:b/>
          <w:snapToGrid w:val="0"/>
          <w:color w:val="auto"/>
          <w:sz w:val="30"/>
          <w:szCs w:val="30"/>
          <w:highlight w:val="none"/>
        </w:rPr>
      </w:pPr>
      <w:r>
        <w:rPr>
          <w:rFonts w:ascii="Times New Roman"/>
          <w:b/>
          <w:snapToGrid w:val="0"/>
          <w:color w:val="auto"/>
          <w:sz w:val="30"/>
          <w:szCs w:val="30"/>
          <w:highlight w:val="none"/>
        </w:rPr>
        <w:t>二、建设项目工程分析</w:t>
      </w:r>
    </w:p>
    <w:tbl>
      <w:tblPr>
        <w:tblStyle w:val="24"/>
        <w:tblW w:w="48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9509"/>
      </w:tblGrid>
      <w:tr w14:paraId="73DF8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123" w:type="pct"/>
            <w:vAlign w:val="center"/>
          </w:tcPr>
          <w:p w14:paraId="178B0440">
            <w:pPr>
              <w:pStyle w:val="22"/>
              <w:adjustRightInd w:val="0"/>
              <w:snapToGrid w:val="0"/>
              <w:spacing w:before="0" w:beforeAutospacing="0" w:after="0" w:afterAutospacing="0"/>
              <w:jc w:val="center"/>
              <w:rPr>
                <w:rFonts w:ascii="Times New Roman" w:hAnsi="Times New Roman"/>
                <w:color w:val="auto"/>
                <w:sz w:val="21"/>
                <w:szCs w:val="21"/>
                <w:highlight w:val="none"/>
                <w:lang w:val="en-US"/>
              </w:rPr>
            </w:pPr>
            <w:r>
              <w:rPr>
                <w:rFonts w:ascii="Times New Roman"/>
                <w:color w:val="auto"/>
                <w:sz w:val="21"/>
                <w:szCs w:val="21"/>
                <w:highlight w:val="none"/>
                <w:lang w:val="en-US"/>
              </w:rPr>
              <w:t>建设内容</w:t>
            </w:r>
          </w:p>
        </w:tc>
        <w:tc>
          <w:tcPr>
            <w:tcW w:w="4876" w:type="pct"/>
          </w:tcPr>
          <w:p w14:paraId="62B29CD1">
            <w:pPr>
              <w:numPr>
                <w:ilvl w:val="0"/>
                <w:numId w:val="3"/>
              </w:numPr>
              <w:spacing w:line="360" w:lineRule="auto"/>
              <w:jc w:val="left"/>
              <w:rPr>
                <w:b/>
                <w:bCs/>
                <w:color w:val="auto"/>
                <w:sz w:val="24"/>
                <w:highlight w:val="none"/>
                <w:lang w:eastAsia="zh-Hans"/>
              </w:rPr>
            </w:pPr>
            <w:r>
              <w:rPr>
                <w:rFonts w:hint="eastAsia"/>
                <w:b/>
                <w:bCs/>
                <w:color w:val="auto"/>
                <w:sz w:val="24"/>
                <w:highlight w:val="none"/>
                <w:lang w:eastAsia="zh-Hans"/>
              </w:rPr>
              <w:t>项目由来</w:t>
            </w:r>
          </w:p>
          <w:p w14:paraId="4330F268">
            <w:pPr>
              <w:pStyle w:val="8"/>
              <w:adjustRightInd w:val="0"/>
              <w:snapToGrid w:val="0"/>
              <w:spacing w:before="0" w:line="360" w:lineRule="auto"/>
              <w:ind w:firstLine="500" w:firstLineChars="200"/>
              <w:rPr>
                <w:rFonts w:ascii="Times New Roman Regular" w:hAnsi="Times New Roman Regular" w:eastAsia="宋体" w:cs="Times New Roman Regular"/>
                <w:b w:val="0"/>
                <w:color w:val="auto"/>
                <w:sz w:val="24"/>
                <w:szCs w:val="24"/>
                <w:highlight w:val="none"/>
              </w:rPr>
            </w:pPr>
            <w:r>
              <w:rPr>
                <w:rFonts w:ascii="Times New Roman Regular" w:hAnsi="Times New Roman Regular" w:eastAsia="宋体" w:cs="Times New Roman Regular"/>
                <w:b w:val="0"/>
                <w:color w:val="auto"/>
                <w:sz w:val="24"/>
                <w:szCs w:val="24"/>
                <w:highlight w:val="none"/>
              </w:rPr>
              <w:t>舜驱动力科技（南通）有限公司成立于2019年11月2日，注册资本6250万元，主要从事动力科技领域内的技术开发、技术咨询、技术服务、技术转让，汽车零部件、机械设备、电子元器件、自动化设备及软件的研发、销售</w:t>
            </w:r>
            <w:r>
              <w:rPr>
                <w:rFonts w:hint="eastAsia" w:ascii="Times New Roman Regular" w:hAnsi="Times New Roman Regular" w:eastAsia="宋体" w:cs="Times New Roman Regular"/>
                <w:b w:val="0"/>
                <w:color w:val="auto"/>
                <w:sz w:val="24"/>
                <w:szCs w:val="24"/>
                <w:highlight w:val="none"/>
                <w:lang w:eastAsia="zh-Hans"/>
              </w:rPr>
              <w:t>；</w:t>
            </w:r>
            <w:r>
              <w:rPr>
                <w:rFonts w:ascii="Times New Roman Regular" w:hAnsi="Times New Roman Regular" w:eastAsia="宋体" w:cs="Times New Roman Regular"/>
                <w:b w:val="0"/>
                <w:color w:val="auto"/>
                <w:sz w:val="24"/>
                <w:szCs w:val="24"/>
                <w:highlight w:val="none"/>
              </w:rPr>
              <w:t>计算机系统集成，自有设备租赁，货物或技术的进出口</w:t>
            </w:r>
            <w:r>
              <w:rPr>
                <w:rFonts w:hint="eastAsia" w:ascii="Times New Roman Regular" w:hAnsi="Times New Roman Regular" w:eastAsia="宋体" w:cs="Times New Roman Regular"/>
                <w:b w:val="0"/>
                <w:color w:val="auto"/>
                <w:sz w:val="24"/>
                <w:szCs w:val="24"/>
                <w:highlight w:val="none"/>
                <w:lang w:eastAsia="zh-Hans"/>
              </w:rPr>
              <w:t>；</w:t>
            </w:r>
            <w:r>
              <w:rPr>
                <w:rFonts w:ascii="Times New Roman Regular" w:hAnsi="Times New Roman Regular" w:eastAsia="宋体" w:cs="Times New Roman Regular"/>
                <w:b w:val="0"/>
                <w:color w:val="auto"/>
                <w:sz w:val="24"/>
                <w:szCs w:val="24"/>
                <w:highlight w:val="none"/>
              </w:rPr>
              <w:t>汽车零部件及配件制造；机械电气设备制造；电力电子元器件制造；工业自动控制系统装置制造</w:t>
            </w:r>
            <w:r>
              <w:rPr>
                <w:rFonts w:hint="eastAsia" w:ascii="Times New Roman Regular" w:hAnsi="Times New Roman Regular" w:eastAsia="宋体" w:cs="Times New Roman Regular"/>
                <w:b w:val="0"/>
                <w:color w:val="auto"/>
                <w:sz w:val="24"/>
                <w:szCs w:val="24"/>
                <w:highlight w:val="none"/>
                <w:lang w:eastAsia="zh-Hans"/>
              </w:rPr>
              <w:t>等</w:t>
            </w:r>
            <w:r>
              <w:rPr>
                <w:rFonts w:ascii="Times New Roman Regular" w:hAnsi="Times New Roman Regular" w:eastAsia="宋体" w:cs="Times New Roman Regular"/>
                <w:b w:val="0"/>
                <w:color w:val="auto"/>
                <w:sz w:val="24"/>
                <w:szCs w:val="24"/>
                <w:highlight w:val="none"/>
              </w:rPr>
              <w:t>。</w:t>
            </w:r>
          </w:p>
          <w:p w14:paraId="3E07B89E">
            <w:pPr>
              <w:pStyle w:val="8"/>
              <w:adjustRightInd w:val="0"/>
              <w:snapToGrid w:val="0"/>
              <w:spacing w:before="0" w:line="360" w:lineRule="auto"/>
              <w:ind w:firstLine="500" w:firstLineChars="200"/>
              <w:rPr>
                <w:rFonts w:ascii="Times New Roman Regular" w:hAnsi="Times New Roman Regular" w:eastAsia="宋体" w:cs="Times New Roman Regular"/>
                <w:b w:val="0"/>
                <w:color w:val="auto"/>
                <w:sz w:val="24"/>
                <w:szCs w:val="24"/>
                <w:highlight w:val="none"/>
              </w:rPr>
            </w:pPr>
            <w:r>
              <w:rPr>
                <w:rFonts w:ascii="Times New Roman Regular" w:hAnsi="Times New Roman Regular" w:eastAsia="宋体" w:cs="Times New Roman Regular"/>
                <w:b w:val="0"/>
                <w:color w:val="auto"/>
                <w:sz w:val="24"/>
                <w:szCs w:val="24"/>
                <w:highlight w:val="none"/>
              </w:rPr>
              <w:t>因市场需求，企业拟投资3000万元</w:t>
            </w:r>
            <w:r>
              <w:rPr>
                <w:rFonts w:hint="eastAsia" w:ascii="Times New Roman Regular" w:hAnsi="Times New Roman Regular" w:eastAsia="宋体" w:cs="Times New Roman Regular"/>
                <w:b w:val="0"/>
                <w:color w:val="auto"/>
                <w:sz w:val="24"/>
                <w:szCs w:val="24"/>
                <w:highlight w:val="none"/>
                <w:lang w:eastAsia="zh-Hans"/>
              </w:rPr>
              <w:t>，利用现有租赁厂房进行舜驱动力科技（南通）有限公司年产6万台电机改建项目建设，不新增建筑面积，新增设备1</w:t>
            </w:r>
            <w:r>
              <w:rPr>
                <w:rFonts w:hint="default" w:ascii="Times New Roman Regular" w:hAnsi="Times New Roman Regular" w:eastAsia="宋体" w:cs="Times New Roman Regular"/>
                <w:b w:val="0"/>
                <w:color w:val="auto"/>
                <w:sz w:val="24"/>
                <w:szCs w:val="24"/>
                <w:highlight w:val="none"/>
                <w:lang w:eastAsia="zh-Hans"/>
              </w:rPr>
              <w:t>7</w:t>
            </w:r>
            <w:r>
              <w:rPr>
                <w:rFonts w:hint="eastAsia" w:ascii="Times New Roman Regular" w:hAnsi="Times New Roman Regular" w:eastAsia="宋体" w:cs="Times New Roman Regular"/>
                <w:b w:val="0"/>
                <w:color w:val="auto"/>
                <w:sz w:val="24"/>
                <w:szCs w:val="24"/>
                <w:highlight w:val="none"/>
                <w:lang w:eastAsia="zh-Hans"/>
              </w:rPr>
              <w:t>台（包括涂粉设备、定制压机、滴胶机等设备，均不属于国家限制类淘汰类设备），新增聚酯树脂胶、树脂粉末等原辅料；新增定子生产线、转子生产线。项目建成后， 预计形成年产6万台电机的生产规模，电机用于新能源汽车。</w:t>
            </w:r>
          </w:p>
          <w:p w14:paraId="7AF1E226">
            <w:pPr>
              <w:pStyle w:val="8"/>
              <w:adjustRightInd w:val="0"/>
              <w:snapToGrid w:val="0"/>
              <w:spacing w:before="0" w:line="360" w:lineRule="auto"/>
              <w:ind w:firstLine="500" w:firstLineChars="200"/>
              <w:rPr>
                <w:rFonts w:ascii="Times New Roman Regular" w:hAnsi="Times New Roman Regular" w:eastAsia="宋体" w:cs="Times New Roman Regular"/>
                <w:b w:val="0"/>
                <w:color w:val="auto"/>
                <w:sz w:val="24"/>
                <w:szCs w:val="24"/>
                <w:highlight w:val="none"/>
              </w:rPr>
            </w:pPr>
            <w:r>
              <w:rPr>
                <w:rFonts w:ascii="Times New Roman Regular" w:hAnsi="Times New Roman Regular" w:eastAsia="宋体" w:cs="Times New Roman Regular"/>
                <w:b w:val="0"/>
                <w:color w:val="auto"/>
                <w:sz w:val="24"/>
                <w:szCs w:val="24"/>
                <w:highlight w:val="none"/>
              </w:rPr>
              <w:t>本项目于 2021 年 4月 27日完成项目备案（备案证号：</w:t>
            </w:r>
            <w:r>
              <w:rPr>
                <w:rFonts w:hint="eastAsia" w:ascii="Times New Roman Regular" w:hAnsi="Times New Roman Regular" w:eastAsia="宋体" w:cs="Times New Roman Regular"/>
                <w:b w:val="0"/>
                <w:color w:val="auto"/>
                <w:sz w:val="24"/>
                <w:szCs w:val="24"/>
                <w:highlight w:val="none"/>
                <w:lang w:eastAsia="zh-Hans"/>
              </w:rPr>
              <w:t>海开审备</w:t>
            </w:r>
            <w:r>
              <w:rPr>
                <w:rFonts w:ascii="Times New Roman Regular" w:hAnsi="Times New Roman Regular" w:eastAsia="宋体" w:cs="Times New Roman Regular"/>
                <w:b w:val="0"/>
                <w:color w:val="auto"/>
                <w:sz w:val="24"/>
                <w:szCs w:val="24"/>
                <w:highlight w:val="none"/>
              </w:rPr>
              <w:t>〔2021〕18号，项目代码2104-320657-89-02-600405），同意开展项目前期及报批准备工作。</w:t>
            </w:r>
          </w:p>
          <w:p w14:paraId="3E48F6B5">
            <w:pPr>
              <w:pStyle w:val="8"/>
              <w:adjustRightInd w:val="0"/>
              <w:snapToGrid w:val="0"/>
              <w:spacing w:before="0" w:line="360" w:lineRule="auto"/>
              <w:ind w:firstLine="500" w:firstLineChars="200"/>
              <w:rPr>
                <w:color w:val="auto"/>
                <w:highlight w:val="none"/>
              </w:rPr>
            </w:pPr>
            <w:r>
              <w:rPr>
                <w:rFonts w:ascii="Times New Roman Regular" w:hAnsi="Times New Roman Regular" w:eastAsia="宋体" w:cs="Times New Roman Regular"/>
                <w:b w:val="0"/>
                <w:color w:val="auto"/>
                <w:sz w:val="24"/>
                <w:szCs w:val="24"/>
                <w:highlight w:val="none"/>
              </w:rPr>
              <w:t>根据《中华人民共和国环境影响评价法》和国务院第 253 号令《建设项目环境保护管理条例》的规定，本项目属于《建设项目环境影响评价分类管理名录（2021 年）》中“三十</w:t>
            </w:r>
            <w:r>
              <w:rPr>
                <w:rFonts w:hint="eastAsia" w:ascii="Times New Roman Regular" w:hAnsi="Times New Roman Regular" w:eastAsia="宋体" w:cs="Times New Roman Regular"/>
                <w:b w:val="0"/>
                <w:color w:val="auto"/>
                <w:sz w:val="24"/>
                <w:szCs w:val="24"/>
                <w:highlight w:val="none"/>
                <w:lang w:eastAsia="zh-Hans"/>
              </w:rPr>
              <w:t>三</w:t>
            </w:r>
            <w:r>
              <w:rPr>
                <w:rFonts w:ascii="Times New Roman Regular" w:hAnsi="Times New Roman Regular" w:eastAsia="宋体" w:cs="Times New Roman Regular"/>
                <w:b w:val="0"/>
                <w:color w:val="auto"/>
                <w:sz w:val="24"/>
                <w:szCs w:val="24"/>
                <w:highlight w:val="none"/>
              </w:rPr>
              <w:t>、</w:t>
            </w:r>
            <w:r>
              <w:rPr>
                <w:rFonts w:hint="eastAsia" w:ascii="Times New Roman Regular" w:hAnsi="Times New Roman Regular" w:eastAsia="宋体" w:cs="Times New Roman Regular"/>
                <w:b w:val="0"/>
                <w:color w:val="auto"/>
                <w:sz w:val="24"/>
                <w:szCs w:val="24"/>
                <w:highlight w:val="none"/>
                <w:lang w:eastAsia="zh-Hans"/>
              </w:rPr>
              <w:t>汽车制造业</w:t>
            </w:r>
            <w:r>
              <w:rPr>
                <w:rFonts w:ascii="Times New Roman Regular" w:hAnsi="Times New Roman Regular" w:eastAsia="宋体" w:cs="Times New Roman Regular"/>
                <w:b w:val="0"/>
                <w:color w:val="auto"/>
                <w:sz w:val="24"/>
                <w:szCs w:val="24"/>
                <w:highlight w:val="none"/>
              </w:rPr>
              <w:t xml:space="preserve"> 36”的“71、</w:t>
            </w:r>
            <w:r>
              <w:rPr>
                <w:rFonts w:hint="eastAsia" w:ascii="Times New Roman Regular" w:hAnsi="Times New Roman Regular" w:eastAsia="宋体" w:cs="Times New Roman Regular"/>
                <w:b w:val="0"/>
                <w:color w:val="auto"/>
                <w:sz w:val="24"/>
                <w:szCs w:val="24"/>
                <w:highlight w:val="none"/>
                <w:lang w:eastAsia="zh-Hans"/>
              </w:rPr>
              <w:t>汽车零部件及配件制造</w:t>
            </w:r>
            <w:r>
              <w:rPr>
                <w:rFonts w:ascii="Times New Roman Regular" w:hAnsi="Times New Roman Regular" w:eastAsia="宋体" w:cs="Times New Roman Regular"/>
                <w:b w:val="0"/>
                <w:color w:val="auto"/>
                <w:sz w:val="24"/>
                <w:szCs w:val="24"/>
                <w:highlight w:val="none"/>
                <w:lang w:eastAsia="zh-Hans"/>
              </w:rPr>
              <w:t>367</w:t>
            </w:r>
            <w:r>
              <w:rPr>
                <w:rFonts w:ascii="Times New Roman Regular" w:hAnsi="Times New Roman Regular" w:eastAsia="宋体" w:cs="Times New Roman Regular"/>
                <w:b w:val="0"/>
                <w:color w:val="auto"/>
                <w:sz w:val="24"/>
                <w:szCs w:val="24"/>
                <w:highlight w:val="none"/>
              </w:rPr>
              <w:t>”中“</w:t>
            </w:r>
            <w:r>
              <w:rPr>
                <w:rFonts w:hint="eastAsia" w:ascii="Times New Roman Regular" w:hAnsi="Times New Roman Regular" w:eastAsia="宋体" w:cs="Times New Roman Regular"/>
                <w:b w:val="0"/>
                <w:color w:val="auto"/>
                <w:sz w:val="24"/>
                <w:szCs w:val="24"/>
                <w:highlight w:val="none"/>
                <w:lang w:eastAsia="zh-Hans"/>
              </w:rPr>
              <w:t>其他（年用非溶剂型低VOCs含量涂料</w:t>
            </w:r>
            <w:r>
              <w:rPr>
                <w:rFonts w:ascii="Times New Roman Regular" w:hAnsi="Times New Roman Regular" w:eastAsia="宋体" w:cs="Times New Roman Regular"/>
                <w:b w:val="0"/>
                <w:color w:val="auto"/>
                <w:sz w:val="24"/>
                <w:szCs w:val="24"/>
                <w:highlight w:val="none"/>
                <w:lang w:eastAsia="zh-Hans"/>
              </w:rPr>
              <w:t>10</w:t>
            </w:r>
            <w:r>
              <w:rPr>
                <w:rFonts w:hint="eastAsia" w:ascii="Times New Roman Regular" w:hAnsi="Times New Roman Regular" w:eastAsia="宋体" w:cs="Times New Roman Regular"/>
                <w:b w:val="0"/>
                <w:color w:val="auto"/>
                <w:sz w:val="24"/>
                <w:szCs w:val="24"/>
                <w:highlight w:val="none"/>
                <w:lang w:eastAsia="zh-Hans"/>
              </w:rPr>
              <w:t>吨以下的除外）</w:t>
            </w:r>
            <w:r>
              <w:rPr>
                <w:rFonts w:ascii="Times New Roman Regular" w:hAnsi="Times New Roman Regular" w:eastAsia="宋体" w:cs="Times New Roman Regular"/>
                <w:b w:val="0"/>
                <w:color w:val="auto"/>
                <w:sz w:val="24"/>
                <w:szCs w:val="24"/>
                <w:highlight w:val="none"/>
              </w:rPr>
              <w:t>”类，应编制环评报告表，</w:t>
            </w:r>
            <w:r>
              <w:rPr>
                <w:rFonts w:hint="eastAsia" w:ascii="Times New Roman Regular" w:hAnsi="Times New Roman Regular" w:eastAsia="宋体" w:cs="Times New Roman Regular"/>
                <w:b w:val="0"/>
                <w:color w:val="auto"/>
                <w:sz w:val="24"/>
                <w:szCs w:val="24"/>
                <w:highlight w:val="none"/>
                <w:lang w:val="en-US" w:eastAsia="zh-Hans"/>
              </w:rPr>
              <w:t>因此舜驱动力科技（南通）有限公司</w:t>
            </w:r>
            <w:r>
              <w:rPr>
                <w:rFonts w:ascii="Times New Roman Regular" w:hAnsi="Times New Roman Regular" w:eastAsia="宋体" w:cs="Times New Roman Regular"/>
                <w:b w:val="0"/>
                <w:color w:val="auto"/>
                <w:sz w:val="24"/>
                <w:szCs w:val="24"/>
                <w:highlight w:val="none"/>
              </w:rPr>
              <w:t>委托江苏正泓环保科技有限公司对本项目进行环境影响评价。</w:t>
            </w:r>
          </w:p>
          <w:p w14:paraId="34E29D24">
            <w:pPr>
              <w:pStyle w:val="8"/>
              <w:adjustRightInd w:val="0"/>
              <w:snapToGrid w:val="0"/>
              <w:spacing w:before="0" w:line="360" w:lineRule="auto"/>
              <w:ind w:firstLine="500" w:firstLineChars="200"/>
              <w:rPr>
                <w:rFonts w:hint="eastAsia" w:ascii="Times New Roman Regular" w:hAnsi="Times New Roman Regular" w:eastAsia="宋体" w:cs="Times New Roman Regular"/>
                <w:b w:val="0"/>
                <w:color w:val="auto"/>
                <w:sz w:val="24"/>
                <w:szCs w:val="24"/>
                <w:highlight w:val="none"/>
                <w:lang w:val="en-US" w:eastAsia="zh-Hans"/>
              </w:rPr>
            </w:pPr>
            <w:r>
              <w:rPr>
                <w:rFonts w:hint="eastAsia" w:ascii="Times New Roman Regular" w:hAnsi="Times New Roman Regular" w:eastAsia="宋体" w:cs="Times New Roman Regular"/>
                <w:b w:val="0"/>
                <w:color w:val="auto"/>
                <w:sz w:val="24"/>
                <w:szCs w:val="24"/>
                <w:highlight w:val="none"/>
                <w:lang w:val="en-US" w:eastAsia="zh-Hans"/>
              </w:rPr>
              <w:t>本项目新建内容：①新建</w:t>
            </w:r>
            <w:r>
              <w:rPr>
                <w:rFonts w:hint="eastAsia" w:ascii="Times New Roman Regular" w:hAnsi="Times New Roman Regular" w:eastAsia="宋体" w:cs="Times New Roman Regular"/>
                <w:b w:val="0"/>
                <w:color w:val="auto"/>
                <w:sz w:val="24"/>
                <w:szCs w:val="24"/>
                <w:highlight w:val="none"/>
                <w:lang w:eastAsia="zh-Hans"/>
              </w:rPr>
              <w:t>定子生产线、转子生产线；</w:t>
            </w:r>
            <w:r>
              <w:rPr>
                <w:rFonts w:hint="eastAsia" w:ascii="Times New Roman Regular" w:hAnsi="Times New Roman Regular" w:eastAsia="宋体" w:cs="Times New Roman Regular"/>
                <w:b w:val="0"/>
                <w:color w:val="auto"/>
                <w:sz w:val="24"/>
                <w:szCs w:val="24"/>
                <w:highlight w:val="none"/>
                <w:lang w:val="en-US" w:eastAsia="zh-Hans"/>
              </w:rPr>
              <w:t>②利用原有生产车间预留面积建设试制车间、涂粉车间、化学品库、固废暂存间、危废暂存间；③新增一套</w:t>
            </w:r>
            <w:r>
              <w:rPr>
                <w:rFonts w:hint="default" w:ascii="Times New Roman Regular" w:hAnsi="Times New Roman Regular" w:eastAsia="宋体" w:cs="Times New Roman Regular"/>
                <w:b w:val="0"/>
                <w:color w:val="auto"/>
                <w:sz w:val="24"/>
                <w:szCs w:val="24"/>
                <w:highlight w:val="none"/>
                <w:lang w:eastAsia="zh-Hans"/>
              </w:rPr>
              <w:t>三级活性炭</w:t>
            </w:r>
            <w:r>
              <w:rPr>
                <w:rFonts w:hint="eastAsia" w:ascii="Times New Roman Regular" w:hAnsi="Times New Roman Regular" w:eastAsia="宋体" w:cs="Times New Roman Regular"/>
                <w:b w:val="0"/>
                <w:color w:val="auto"/>
                <w:sz w:val="24"/>
                <w:szCs w:val="24"/>
                <w:highlight w:val="none"/>
                <w:lang w:val="en-US" w:eastAsia="zh-Hans"/>
              </w:rPr>
              <w:t>吸附装置</w:t>
            </w:r>
            <w:r>
              <w:rPr>
                <w:rFonts w:hint="eastAsia" w:ascii="Times New Roman Regular" w:hAnsi="Times New Roman Regular" w:eastAsia="宋体" w:cs="Times New Roman Regular"/>
                <w:b w:val="0"/>
                <w:color w:val="auto"/>
                <w:sz w:val="24"/>
                <w:szCs w:val="24"/>
                <w:highlight w:val="none"/>
                <w:lang w:eastAsia="zh-Hans"/>
              </w:rPr>
              <w:t>；</w:t>
            </w:r>
            <w:r>
              <w:rPr>
                <w:rFonts w:hint="eastAsia" w:ascii="Times New Roman Regular" w:hAnsi="Times New Roman Regular" w:eastAsia="宋体" w:cs="Times New Roman Regular"/>
                <w:b w:val="0"/>
                <w:color w:val="auto"/>
                <w:sz w:val="24"/>
                <w:szCs w:val="24"/>
                <w:highlight w:val="none"/>
                <w:lang w:val="en-US" w:eastAsia="zh-Hans"/>
              </w:rPr>
              <w:t>新增一套移动式焊接烟尘净化器；④新增冷却塔强排水。</w:t>
            </w:r>
          </w:p>
          <w:p w14:paraId="1AAF931F">
            <w:pPr>
              <w:pStyle w:val="8"/>
              <w:adjustRightInd w:val="0"/>
              <w:snapToGrid w:val="0"/>
              <w:spacing w:before="0" w:line="360" w:lineRule="auto"/>
              <w:ind w:firstLine="500" w:firstLineChars="200"/>
              <w:rPr>
                <w:rFonts w:hint="eastAsia" w:ascii="Times New Roman Regular" w:hAnsi="Times New Roman Regular" w:eastAsia="宋体" w:cs="Times New Roman Regular"/>
                <w:b w:val="0"/>
                <w:color w:val="auto"/>
                <w:sz w:val="24"/>
                <w:szCs w:val="24"/>
                <w:highlight w:val="none"/>
                <w:lang w:val="en-US" w:eastAsia="zh-Hans"/>
              </w:rPr>
            </w:pPr>
            <w:r>
              <w:rPr>
                <w:rFonts w:hint="eastAsia" w:ascii="Times New Roman Regular" w:hAnsi="Times New Roman Regular" w:eastAsia="宋体" w:cs="Times New Roman Regular"/>
                <w:b w:val="0"/>
                <w:color w:val="auto"/>
                <w:sz w:val="24"/>
                <w:szCs w:val="24"/>
                <w:highlight w:val="none"/>
                <w:lang w:val="en-US" w:eastAsia="zh-Hans"/>
              </w:rPr>
              <w:t>本项目建设依托现有项目内容：①成品仓库、原料仓库依托原有；②焊接工段新增冷却机制冷却水，冷却机依托原有；③化粪池、雨水口、污水口、初期雨水收集池依托原有。</w:t>
            </w:r>
          </w:p>
          <w:p w14:paraId="7B885002">
            <w:pPr>
              <w:jc w:val="left"/>
              <w:rPr>
                <w:b/>
                <w:bCs/>
                <w:color w:val="auto"/>
                <w:sz w:val="24"/>
                <w:highlight w:val="none"/>
              </w:rPr>
            </w:pPr>
            <w:r>
              <w:rPr>
                <w:rFonts w:hAnsi="宋体"/>
                <w:b/>
                <w:bCs/>
                <w:color w:val="auto"/>
                <w:sz w:val="24"/>
                <w:highlight w:val="none"/>
              </w:rPr>
              <w:t>2、项目工程组成表</w:t>
            </w:r>
          </w:p>
          <w:p w14:paraId="1807860A">
            <w:pPr>
              <w:jc w:val="center"/>
              <w:rPr>
                <w:rFonts w:hAnsi="宋体"/>
                <w:b/>
                <w:bCs/>
                <w:color w:val="auto"/>
                <w:sz w:val="24"/>
                <w:highlight w:val="none"/>
              </w:rPr>
            </w:pPr>
            <w:r>
              <w:rPr>
                <w:rFonts w:hAnsi="宋体"/>
                <w:b/>
                <w:bCs/>
                <w:color w:val="auto"/>
                <w:sz w:val="24"/>
                <w:highlight w:val="none"/>
              </w:rPr>
              <w:t>表</w:t>
            </w:r>
            <w:r>
              <w:rPr>
                <w:b/>
                <w:bCs/>
                <w:color w:val="auto"/>
                <w:sz w:val="24"/>
                <w:highlight w:val="none"/>
              </w:rPr>
              <w:t>2-1</w:t>
            </w:r>
            <w:r>
              <w:rPr>
                <w:rFonts w:hAnsi="宋体"/>
                <w:b/>
                <w:bCs/>
                <w:color w:val="auto"/>
                <w:sz w:val="24"/>
                <w:highlight w:val="none"/>
              </w:rPr>
              <w:t>建设项目工程组成情况表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444"/>
              <w:gridCol w:w="220"/>
              <w:gridCol w:w="594"/>
              <w:gridCol w:w="925"/>
              <w:gridCol w:w="1673"/>
              <w:gridCol w:w="1321"/>
              <w:gridCol w:w="1594"/>
              <w:gridCol w:w="2515"/>
            </w:tblGrid>
            <w:tr w14:paraId="12D4C9C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tcBorders>
                    <w:tl2br w:val="nil"/>
                    <w:tr2bl w:val="nil"/>
                  </w:tcBorders>
                  <w:vAlign w:val="center"/>
                </w:tcPr>
                <w:p w14:paraId="39A4E32A">
                  <w:pPr>
                    <w:adjustRightInd w:val="0"/>
                    <w:snapToGrid w:val="0"/>
                    <w:jc w:val="center"/>
                    <w:rPr>
                      <w:b/>
                      <w:bCs/>
                      <w:color w:val="auto"/>
                      <w:szCs w:val="21"/>
                      <w:highlight w:val="none"/>
                    </w:rPr>
                  </w:pPr>
                  <w:r>
                    <w:rPr>
                      <w:b/>
                      <w:bCs/>
                      <w:color w:val="auto"/>
                      <w:szCs w:val="21"/>
                      <w:highlight w:val="none"/>
                    </w:rPr>
                    <w:t>工程名称</w:t>
                  </w:r>
                </w:p>
              </w:tc>
              <w:tc>
                <w:tcPr>
                  <w:tcW w:w="842" w:type="pct"/>
                  <w:gridSpan w:val="3"/>
                  <w:vMerge w:val="restart"/>
                  <w:tcBorders>
                    <w:tl2br w:val="nil"/>
                    <w:tr2bl w:val="nil"/>
                  </w:tcBorders>
                  <w:vAlign w:val="center"/>
                </w:tcPr>
                <w:p w14:paraId="2C62F3C7">
                  <w:pPr>
                    <w:adjustRightInd w:val="0"/>
                    <w:snapToGrid w:val="0"/>
                    <w:jc w:val="center"/>
                    <w:rPr>
                      <w:b/>
                      <w:bCs/>
                      <w:color w:val="auto"/>
                      <w:szCs w:val="21"/>
                      <w:highlight w:val="none"/>
                    </w:rPr>
                  </w:pPr>
                  <w:r>
                    <w:rPr>
                      <w:b/>
                      <w:bCs/>
                      <w:color w:val="auto"/>
                      <w:szCs w:val="21"/>
                      <w:highlight w:val="none"/>
                    </w:rPr>
                    <w:t>建设名称</w:t>
                  </w:r>
                </w:p>
              </w:tc>
              <w:tc>
                <w:tcPr>
                  <w:tcW w:w="2526" w:type="pct"/>
                  <w:gridSpan w:val="3"/>
                  <w:tcBorders>
                    <w:tl2br w:val="nil"/>
                    <w:tr2bl w:val="nil"/>
                  </w:tcBorders>
                  <w:vAlign w:val="center"/>
                </w:tcPr>
                <w:p w14:paraId="605A83B6">
                  <w:pPr>
                    <w:adjustRightInd w:val="0"/>
                    <w:snapToGrid w:val="0"/>
                    <w:jc w:val="center"/>
                    <w:rPr>
                      <w:b/>
                      <w:bCs/>
                      <w:color w:val="auto"/>
                      <w:szCs w:val="21"/>
                      <w:highlight w:val="none"/>
                    </w:rPr>
                  </w:pPr>
                  <w:r>
                    <w:rPr>
                      <w:b/>
                      <w:bCs/>
                      <w:color w:val="auto"/>
                      <w:szCs w:val="21"/>
                      <w:highlight w:val="none"/>
                    </w:rPr>
                    <w:t>设计能力</w:t>
                  </w:r>
                </w:p>
              </w:tc>
              <w:tc>
                <w:tcPr>
                  <w:tcW w:w="1372" w:type="pct"/>
                  <w:vMerge w:val="restart"/>
                  <w:tcBorders>
                    <w:tl2br w:val="nil"/>
                    <w:tr2bl w:val="nil"/>
                  </w:tcBorders>
                  <w:vAlign w:val="center"/>
                </w:tcPr>
                <w:p w14:paraId="4F77AE67">
                  <w:pPr>
                    <w:adjustRightInd w:val="0"/>
                    <w:snapToGrid w:val="0"/>
                    <w:jc w:val="center"/>
                    <w:rPr>
                      <w:b/>
                      <w:bCs/>
                      <w:color w:val="auto"/>
                      <w:szCs w:val="21"/>
                      <w:highlight w:val="none"/>
                    </w:rPr>
                  </w:pPr>
                  <w:r>
                    <w:rPr>
                      <w:b/>
                      <w:bCs/>
                      <w:color w:val="auto"/>
                      <w:szCs w:val="21"/>
                      <w:highlight w:val="none"/>
                    </w:rPr>
                    <w:t>备注</w:t>
                  </w:r>
                </w:p>
              </w:tc>
            </w:tr>
            <w:tr w14:paraId="72878BD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7F26BAE9">
                  <w:pPr>
                    <w:adjustRightInd w:val="0"/>
                    <w:snapToGrid w:val="0"/>
                    <w:jc w:val="center"/>
                    <w:rPr>
                      <w:color w:val="auto"/>
                      <w:szCs w:val="21"/>
                      <w:highlight w:val="none"/>
                    </w:rPr>
                  </w:pPr>
                </w:p>
              </w:tc>
              <w:tc>
                <w:tcPr>
                  <w:tcW w:w="842" w:type="pct"/>
                  <w:gridSpan w:val="3"/>
                  <w:vMerge w:val="continue"/>
                  <w:tcBorders>
                    <w:tl2br w:val="nil"/>
                    <w:tr2bl w:val="nil"/>
                  </w:tcBorders>
                  <w:vAlign w:val="center"/>
                </w:tcPr>
                <w:p w14:paraId="5687990D">
                  <w:pPr>
                    <w:adjustRightInd w:val="0"/>
                    <w:snapToGrid w:val="0"/>
                    <w:jc w:val="center"/>
                    <w:rPr>
                      <w:color w:val="auto"/>
                      <w:szCs w:val="21"/>
                      <w:highlight w:val="none"/>
                    </w:rPr>
                  </w:pPr>
                </w:p>
              </w:tc>
              <w:tc>
                <w:tcPr>
                  <w:tcW w:w="919" w:type="pct"/>
                  <w:tcBorders>
                    <w:tl2br w:val="nil"/>
                    <w:tr2bl w:val="nil"/>
                  </w:tcBorders>
                  <w:vAlign w:val="center"/>
                </w:tcPr>
                <w:p w14:paraId="5FCB9632">
                  <w:pPr>
                    <w:adjustRightInd w:val="0"/>
                    <w:snapToGrid w:val="0"/>
                    <w:jc w:val="center"/>
                    <w:rPr>
                      <w:b/>
                      <w:bCs/>
                      <w:color w:val="auto"/>
                      <w:szCs w:val="21"/>
                      <w:highlight w:val="none"/>
                    </w:rPr>
                  </w:pPr>
                  <w:r>
                    <w:rPr>
                      <w:rFonts w:hint="eastAsia"/>
                      <w:b/>
                      <w:color w:val="auto"/>
                      <w:szCs w:val="21"/>
                      <w:highlight w:val="none"/>
                    </w:rPr>
                    <w:t>现有项目</w:t>
                  </w:r>
                </w:p>
              </w:tc>
              <w:tc>
                <w:tcPr>
                  <w:tcW w:w="730" w:type="pct"/>
                  <w:tcBorders>
                    <w:tl2br w:val="nil"/>
                    <w:tr2bl w:val="nil"/>
                  </w:tcBorders>
                  <w:vAlign w:val="center"/>
                </w:tcPr>
                <w:p w14:paraId="469E8A8E">
                  <w:pPr>
                    <w:adjustRightInd w:val="0"/>
                    <w:snapToGrid w:val="0"/>
                    <w:jc w:val="center"/>
                    <w:rPr>
                      <w:b/>
                      <w:bCs/>
                      <w:color w:val="auto"/>
                      <w:szCs w:val="21"/>
                      <w:highlight w:val="none"/>
                    </w:rPr>
                  </w:pPr>
                  <w:r>
                    <w:rPr>
                      <w:rFonts w:hint="eastAsia"/>
                      <w:b/>
                      <w:color w:val="auto"/>
                      <w:szCs w:val="21"/>
                      <w:highlight w:val="none"/>
                    </w:rPr>
                    <w:t>改建项目</w:t>
                  </w:r>
                </w:p>
              </w:tc>
              <w:tc>
                <w:tcPr>
                  <w:tcW w:w="877" w:type="pct"/>
                  <w:tcBorders>
                    <w:tl2br w:val="nil"/>
                    <w:tr2bl w:val="nil"/>
                  </w:tcBorders>
                  <w:vAlign w:val="center"/>
                </w:tcPr>
                <w:p w14:paraId="6CC56F52">
                  <w:pPr>
                    <w:adjustRightInd w:val="0"/>
                    <w:snapToGrid w:val="0"/>
                    <w:jc w:val="center"/>
                    <w:rPr>
                      <w:b/>
                      <w:bCs/>
                      <w:color w:val="auto"/>
                      <w:szCs w:val="21"/>
                      <w:highlight w:val="none"/>
                    </w:rPr>
                  </w:pPr>
                  <w:r>
                    <w:rPr>
                      <w:rFonts w:hint="eastAsia"/>
                      <w:b/>
                      <w:color w:val="auto"/>
                      <w:szCs w:val="21"/>
                      <w:highlight w:val="none"/>
                    </w:rPr>
                    <w:t>全厂</w:t>
                  </w:r>
                </w:p>
              </w:tc>
              <w:tc>
                <w:tcPr>
                  <w:tcW w:w="1372" w:type="pct"/>
                  <w:vMerge w:val="continue"/>
                  <w:tcBorders>
                    <w:tl2br w:val="nil"/>
                    <w:tr2bl w:val="nil"/>
                  </w:tcBorders>
                  <w:vAlign w:val="center"/>
                </w:tcPr>
                <w:p w14:paraId="10272828">
                  <w:pPr>
                    <w:adjustRightInd w:val="0"/>
                    <w:snapToGrid w:val="0"/>
                    <w:jc w:val="center"/>
                    <w:rPr>
                      <w:b/>
                      <w:bCs/>
                      <w:color w:val="auto"/>
                      <w:szCs w:val="21"/>
                      <w:highlight w:val="none"/>
                    </w:rPr>
                  </w:pPr>
                </w:p>
              </w:tc>
            </w:tr>
            <w:tr w14:paraId="289B63D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17" w:hRule="atLeast"/>
                <w:jc w:val="center"/>
              </w:trPr>
              <w:tc>
                <w:tcPr>
                  <w:tcW w:w="258" w:type="pct"/>
                  <w:vMerge w:val="restart"/>
                  <w:tcBorders>
                    <w:tl2br w:val="nil"/>
                    <w:tr2bl w:val="nil"/>
                  </w:tcBorders>
                  <w:vAlign w:val="center"/>
                </w:tcPr>
                <w:p w14:paraId="4FF4E110">
                  <w:pPr>
                    <w:adjustRightInd w:val="0"/>
                    <w:snapToGrid w:val="0"/>
                    <w:jc w:val="center"/>
                    <w:rPr>
                      <w:color w:val="auto"/>
                      <w:szCs w:val="21"/>
                      <w:highlight w:val="none"/>
                    </w:rPr>
                  </w:pPr>
                  <w:r>
                    <w:rPr>
                      <w:color w:val="auto"/>
                      <w:szCs w:val="21"/>
                      <w:highlight w:val="none"/>
                    </w:rPr>
                    <w:t>主体工程</w:t>
                  </w:r>
                </w:p>
              </w:tc>
              <w:tc>
                <w:tcPr>
                  <w:tcW w:w="842" w:type="pct"/>
                  <w:gridSpan w:val="3"/>
                  <w:tcBorders>
                    <w:bottom w:val="single" w:color="auto" w:sz="4" w:space="0"/>
                    <w:tl2br w:val="nil"/>
                    <w:tr2bl w:val="nil"/>
                  </w:tcBorders>
                  <w:vAlign w:val="center"/>
                </w:tcPr>
                <w:p w14:paraId="160214A3">
                  <w:pPr>
                    <w:jc w:val="center"/>
                    <w:rPr>
                      <w:color w:val="auto"/>
                      <w:szCs w:val="21"/>
                      <w:highlight w:val="none"/>
                    </w:rPr>
                  </w:pPr>
                  <w:r>
                    <w:rPr>
                      <w:bCs/>
                      <w:color w:val="auto"/>
                      <w:szCs w:val="21"/>
                      <w:highlight w:val="none"/>
                    </w:rPr>
                    <w:t>FG270电机生产</w:t>
                  </w:r>
                  <w:r>
                    <w:rPr>
                      <w:rFonts w:hint="eastAsia"/>
                      <w:bCs/>
                      <w:color w:val="auto"/>
                      <w:szCs w:val="21"/>
                      <w:highlight w:val="none"/>
                      <w:lang w:eastAsia="zh-Hans"/>
                    </w:rPr>
                    <w:t>车间</w:t>
                  </w:r>
                  <w:r>
                    <w:rPr>
                      <w:bCs/>
                      <w:color w:val="auto"/>
                      <w:szCs w:val="21"/>
                      <w:highlight w:val="none"/>
                      <w:lang w:eastAsia="zh-Hans"/>
                    </w:rPr>
                    <w:t xml:space="preserve">    </w:t>
                  </w:r>
                </w:p>
              </w:tc>
              <w:tc>
                <w:tcPr>
                  <w:tcW w:w="919" w:type="pct"/>
                  <w:tcBorders>
                    <w:bottom w:val="single" w:color="auto" w:sz="4" w:space="0"/>
                    <w:tl2br w:val="nil"/>
                    <w:tr2bl w:val="nil"/>
                  </w:tcBorders>
                  <w:vAlign w:val="center"/>
                </w:tcPr>
                <w:p w14:paraId="59396F84">
                  <w:pPr>
                    <w:adjustRightInd w:val="0"/>
                    <w:snapToGrid w:val="0"/>
                    <w:jc w:val="center"/>
                    <w:rPr>
                      <w:color w:val="auto"/>
                      <w:szCs w:val="21"/>
                      <w:highlight w:val="none"/>
                    </w:rPr>
                  </w:pPr>
                  <w:r>
                    <w:rPr>
                      <w:rFonts w:hint="eastAsia"/>
                      <w:color w:val="auto"/>
                      <w:szCs w:val="21"/>
                      <w:highlight w:val="none"/>
                    </w:rPr>
                    <w:t>882</w:t>
                  </w:r>
                  <w:r>
                    <w:rPr>
                      <w:snapToGrid w:val="0"/>
                      <w:color w:val="auto"/>
                      <w:kern w:val="0"/>
                      <w:szCs w:val="21"/>
                      <w:highlight w:val="none"/>
                    </w:rPr>
                    <w:t>m</w:t>
                  </w:r>
                  <w:r>
                    <w:rPr>
                      <w:snapToGrid w:val="0"/>
                      <w:color w:val="auto"/>
                      <w:kern w:val="0"/>
                      <w:szCs w:val="21"/>
                      <w:highlight w:val="none"/>
                      <w:vertAlign w:val="superscript"/>
                    </w:rPr>
                    <w:t>2</w:t>
                  </w:r>
                  <w:r>
                    <w:rPr>
                      <w:rFonts w:hint="eastAsia"/>
                      <w:snapToGrid w:val="0"/>
                      <w:color w:val="auto"/>
                      <w:kern w:val="0"/>
                      <w:szCs w:val="21"/>
                      <w:highlight w:val="none"/>
                    </w:rPr>
                    <w:t>（现有项目生产线主要位于生产车间北侧偏东，车间北侧偏西及车间西南侧为预留区域）</w:t>
                  </w:r>
                </w:p>
              </w:tc>
              <w:tc>
                <w:tcPr>
                  <w:tcW w:w="730" w:type="pct"/>
                  <w:tcBorders>
                    <w:bottom w:val="single" w:color="auto" w:sz="4" w:space="0"/>
                    <w:tl2br w:val="nil"/>
                    <w:tr2bl w:val="nil"/>
                  </w:tcBorders>
                  <w:vAlign w:val="center"/>
                </w:tcPr>
                <w:p w14:paraId="75D79D1D">
                  <w:pPr>
                    <w:adjustRightInd w:val="0"/>
                    <w:snapToGrid w:val="0"/>
                    <w:jc w:val="center"/>
                    <w:rPr>
                      <w:color w:val="auto"/>
                      <w:szCs w:val="21"/>
                      <w:highlight w:val="none"/>
                    </w:rPr>
                  </w:pPr>
                  <w:r>
                    <w:rPr>
                      <w:rFonts w:hint="eastAsia"/>
                      <w:color w:val="auto"/>
                      <w:szCs w:val="21"/>
                      <w:highlight w:val="none"/>
                    </w:rPr>
                    <w:t>—</w:t>
                  </w:r>
                </w:p>
              </w:tc>
              <w:tc>
                <w:tcPr>
                  <w:tcW w:w="877" w:type="pct"/>
                  <w:tcBorders>
                    <w:bottom w:val="single" w:color="auto" w:sz="4" w:space="0"/>
                    <w:tl2br w:val="nil"/>
                    <w:tr2bl w:val="nil"/>
                  </w:tcBorders>
                  <w:vAlign w:val="center"/>
                </w:tcPr>
                <w:p w14:paraId="44B14830">
                  <w:pPr>
                    <w:adjustRightInd w:val="0"/>
                    <w:snapToGrid w:val="0"/>
                    <w:jc w:val="center"/>
                    <w:rPr>
                      <w:color w:val="auto"/>
                      <w:szCs w:val="21"/>
                      <w:highlight w:val="none"/>
                    </w:rPr>
                  </w:pPr>
                  <w:r>
                    <w:rPr>
                      <w:rFonts w:hint="eastAsia"/>
                      <w:color w:val="auto"/>
                      <w:szCs w:val="21"/>
                      <w:highlight w:val="none"/>
                    </w:rPr>
                    <w:t>882</w:t>
                  </w:r>
                  <w:r>
                    <w:rPr>
                      <w:snapToGrid w:val="0"/>
                      <w:color w:val="auto"/>
                      <w:kern w:val="0"/>
                      <w:szCs w:val="21"/>
                      <w:highlight w:val="none"/>
                    </w:rPr>
                    <w:t>m</w:t>
                  </w:r>
                  <w:r>
                    <w:rPr>
                      <w:snapToGrid w:val="0"/>
                      <w:color w:val="auto"/>
                      <w:kern w:val="0"/>
                      <w:szCs w:val="21"/>
                      <w:highlight w:val="none"/>
                      <w:vertAlign w:val="superscript"/>
                    </w:rPr>
                    <w:t>2</w:t>
                  </w:r>
                </w:p>
              </w:tc>
              <w:tc>
                <w:tcPr>
                  <w:tcW w:w="1372" w:type="pct"/>
                  <w:vMerge w:val="restart"/>
                  <w:tcBorders>
                    <w:tl2br w:val="nil"/>
                    <w:tr2bl w:val="nil"/>
                  </w:tcBorders>
                  <w:vAlign w:val="center"/>
                </w:tcPr>
                <w:p w14:paraId="2F65B114">
                  <w:pPr>
                    <w:adjustRightInd w:val="0"/>
                    <w:snapToGrid w:val="0"/>
                    <w:jc w:val="center"/>
                    <w:rPr>
                      <w:color w:val="auto"/>
                      <w:szCs w:val="21"/>
                      <w:highlight w:val="none"/>
                    </w:rPr>
                  </w:pPr>
                  <w:r>
                    <w:rPr>
                      <w:rFonts w:hint="eastAsia"/>
                      <w:color w:val="auto"/>
                      <w:szCs w:val="21"/>
                      <w:highlight w:val="none"/>
                    </w:rPr>
                    <w:t>现有项目FG270电机生产线已利用生产车间面积882m</w:t>
                  </w:r>
                  <w:r>
                    <w:rPr>
                      <w:rFonts w:hint="eastAsia"/>
                      <w:color w:val="auto"/>
                      <w:szCs w:val="21"/>
                      <w:highlight w:val="none"/>
                      <w:vertAlign w:val="superscript"/>
                    </w:rPr>
                    <w:t>2</w:t>
                  </w:r>
                  <w:r>
                    <w:rPr>
                      <w:rFonts w:hint="eastAsia"/>
                      <w:color w:val="auto"/>
                      <w:szCs w:val="21"/>
                      <w:highlight w:val="none"/>
                    </w:rPr>
                    <w:t>，本次改建项目</w:t>
                  </w:r>
                  <w:r>
                    <w:rPr>
                      <w:color w:val="auto"/>
                      <w:szCs w:val="21"/>
                      <w:highlight w:val="none"/>
                    </w:rPr>
                    <w:t>电机生产线</w:t>
                  </w:r>
                  <w:r>
                    <w:rPr>
                      <w:rFonts w:hint="eastAsia"/>
                      <w:color w:val="auto"/>
                      <w:szCs w:val="21"/>
                      <w:highlight w:val="none"/>
                    </w:rPr>
                    <w:t>利用预留面积1100m</w:t>
                  </w:r>
                  <w:r>
                    <w:rPr>
                      <w:rFonts w:hint="eastAsia"/>
                      <w:color w:val="auto"/>
                      <w:szCs w:val="21"/>
                      <w:highlight w:val="none"/>
                      <w:vertAlign w:val="superscript"/>
                    </w:rPr>
                    <w:t>2</w:t>
                  </w:r>
                </w:p>
              </w:tc>
            </w:tr>
            <w:tr w14:paraId="2E9B338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896" w:hRule="atLeast"/>
                <w:jc w:val="center"/>
              </w:trPr>
              <w:tc>
                <w:tcPr>
                  <w:tcW w:w="258" w:type="pct"/>
                  <w:vMerge w:val="continue"/>
                  <w:tcBorders>
                    <w:tl2br w:val="nil"/>
                    <w:tr2bl w:val="nil"/>
                  </w:tcBorders>
                  <w:vAlign w:val="center"/>
                </w:tcPr>
                <w:p w14:paraId="52F0A17D">
                  <w:pPr>
                    <w:adjustRightInd w:val="0"/>
                    <w:snapToGrid w:val="0"/>
                    <w:jc w:val="center"/>
                    <w:rPr>
                      <w:color w:val="auto"/>
                      <w:szCs w:val="21"/>
                      <w:highlight w:val="none"/>
                    </w:rPr>
                  </w:pPr>
                </w:p>
              </w:tc>
              <w:tc>
                <w:tcPr>
                  <w:tcW w:w="842" w:type="pct"/>
                  <w:gridSpan w:val="3"/>
                  <w:tcBorders>
                    <w:top w:val="single" w:color="auto" w:sz="4" w:space="0"/>
                    <w:bottom w:val="single" w:color="auto" w:sz="4" w:space="0"/>
                    <w:tl2br w:val="nil"/>
                    <w:tr2bl w:val="nil"/>
                  </w:tcBorders>
                  <w:vAlign w:val="center"/>
                </w:tcPr>
                <w:p w14:paraId="7A2678F7">
                  <w:pPr>
                    <w:jc w:val="center"/>
                    <w:rPr>
                      <w:snapToGrid w:val="0"/>
                      <w:color w:val="auto"/>
                      <w:kern w:val="0"/>
                      <w:szCs w:val="21"/>
                      <w:highlight w:val="none"/>
                      <w:lang w:eastAsia="zh-Hans"/>
                    </w:rPr>
                  </w:pPr>
                  <w:r>
                    <w:rPr>
                      <w:rFonts w:hint="eastAsia"/>
                      <w:snapToGrid w:val="0"/>
                      <w:color w:val="auto"/>
                      <w:kern w:val="0"/>
                      <w:szCs w:val="21"/>
                      <w:highlight w:val="none"/>
                      <w:lang w:eastAsia="zh-Hans"/>
                    </w:rPr>
                    <w:t>定子、转子生产线</w:t>
                  </w:r>
                </w:p>
              </w:tc>
              <w:tc>
                <w:tcPr>
                  <w:tcW w:w="919" w:type="pct"/>
                  <w:vMerge w:val="restart"/>
                  <w:tcBorders>
                    <w:top w:val="single" w:color="auto" w:sz="4" w:space="0"/>
                    <w:tl2br w:val="nil"/>
                    <w:tr2bl w:val="nil"/>
                  </w:tcBorders>
                  <w:vAlign w:val="center"/>
                </w:tcPr>
                <w:p w14:paraId="0DBA251F">
                  <w:pPr>
                    <w:adjustRightInd w:val="0"/>
                    <w:snapToGrid w:val="0"/>
                    <w:jc w:val="center"/>
                    <w:rPr>
                      <w:color w:val="auto"/>
                      <w:szCs w:val="21"/>
                      <w:highlight w:val="none"/>
                    </w:rPr>
                  </w:pPr>
                  <w:r>
                    <w:rPr>
                      <w:rFonts w:hint="eastAsia"/>
                      <w:color w:val="auto"/>
                      <w:szCs w:val="21"/>
                      <w:highlight w:val="none"/>
                    </w:rPr>
                    <w:t>—</w:t>
                  </w:r>
                </w:p>
              </w:tc>
              <w:tc>
                <w:tcPr>
                  <w:tcW w:w="730" w:type="pct"/>
                  <w:vMerge w:val="restart"/>
                  <w:tcBorders>
                    <w:top w:val="single" w:color="auto" w:sz="4" w:space="0"/>
                    <w:tl2br w:val="nil"/>
                    <w:tr2bl w:val="nil"/>
                  </w:tcBorders>
                  <w:vAlign w:val="center"/>
                </w:tcPr>
                <w:p w14:paraId="2A210FE2">
                  <w:pPr>
                    <w:adjustRightInd w:val="0"/>
                    <w:snapToGrid w:val="0"/>
                    <w:jc w:val="center"/>
                    <w:rPr>
                      <w:color w:val="auto"/>
                      <w:szCs w:val="21"/>
                      <w:highlight w:val="none"/>
                    </w:rPr>
                  </w:pPr>
                  <w:r>
                    <w:rPr>
                      <w:rFonts w:hint="eastAsia"/>
                      <w:color w:val="auto"/>
                      <w:szCs w:val="21"/>
                      <w:highlight w:val="none"/>
                    </w:rPr>
                    <w:t>1100</w:t>
                  </w:r>
                  <w:r>
                    <w:rPr>
                      <w:snapToGrid w:val="0"/>
                      <w:color w:val="auto"/>
                      <w:kern w:val="0"/>
                      <w:szCs w:val="21"/>
                      <w:highlight w:val="none"/>
                    </w:rPr>
                    <w:t>m</w:t>
                  </w:r>
                  <w:r>
                    <w:rPr>
                      <w:snapToGrid w:val="0"/>
                      <w:color w:val="auto"/>
                      <w:kern w:val="0"/>
                      <w:szCs w:val="21"/>
                      <w:highlight w:val="none"/>
                      <w:vertAlign w:val="superscript"/>
                    </w:rPr>
                    <w:t>2</w:t>
                  </w:r>
                  <w:r>
                    <w:rPr>
                      <w:rFonts w:hint="eastAsia"/>
                      <w:snapToGrid w:val="0"/>
                      <w:color w:val="auto"/>
                      <w:kern w:val="0"/>
                      <w:szCs w:val="21"/>
                      <w:highlight w:val="none"/>
                    </w:rPr>
                    <w:t>（扩建项目生产线主要位于生产车间北侧偏西及西南侧的预留区域）</w:t>
                  </w:r>
                </w:p>
              </w:tc>
              <w:tc>
                <w:tcPr>
                  <w:tcW w:w="877" w:type="pct"/>
                  <w:vMerge w:val="restart"/>
                  <w:tcBorders>
                    <w:top w:val="single" w:color="auto" w:sz="4" w:space="0"/>
                    <w:tl2br w:val="nil"/>
                    <w:tr2bl w:val="nil"/>
                  </w:tcBorders>
                  <w:vAlign w:val="center"/>
                </w:tcPr>
                <w:p w14:paraId="3F434911">
                  <w:pPr>
                    <w:adjustRightInd w:val="0"/>
                    <w:snapToGrid w:val="0"/>
                    <w:jc w:val="center"/>
                    <w:rPr>
                      <w:color w:val="auto"/>
                      <w:szCs w:val="21"/>
                      <w:highlight w:val="none"/>
                    </w:rPr>
                  </w:pPr>
                  <w:r>
                    <w:rPr>
                      <w:rFonts w:hint="eastAsia"/>
                      <w:color w:val="auto"/>
                      <w:szCs w:val="21"/>
                      <w:highlight w:val="none"/>
                    </w:rPr>
                    <w:t>1100</w:t>
                  </w:r>
                  <w:r>
                    <w:rPr>
                      <w:snapToGrid w:val="0"/>
                      <w:color w:val="auto"/>
                      <w:kern w:val="0"/>
                      <w:szCs w:val="21"/>
                      <w:highlight w:val="none"/>
                    </w:rPr>
                    <w:t>m</w:t>
                  </w:r>
                  <w:r>
                    <w:rPr>
                      <w:snapToGrid w:val="0"/>
                      <w:color w:val="auto"/>
                      <w:kern w:val="0"/>
                      <w:szCs w:val="21"/>
                      <w:highlight w:val="none"/>
                      <w:vertAlign w:val="superscript"/>
                    </w:rPr>
                    <w:t>2</w:t>
                  </w:r>
                </w:p>
              </w:tc>
              <w:tc>
                <w:tcPr>
                  <w:tcW w:w="1372" w:type="pct"/>
                  <w:vMerge w:val="continue"/>
                  <w:tcBorders>
                    <w:tl2br w:val="nil"/>
                    <w:tr2bl w:val="nil"/>
                  </w:tcBorders>
                  <w:vAlign w:val="center"/>
                </w:tcPr>
                <w:p w14:paraId="54214294">
                  <w:pPr>
                    <w:adjustRightInd w:val="0"/>
                    <w:snapToGrid w:val="0"/>
                    <w:jc w:val="center"/>
                    <w:rPr>
                      <w:color w:val="auto"/>
                      <w:szCs w:val="21"/>
                      <w:highlight w:val="none"/>
                    </w:rPr>
                  </w:pPr>
                </w:p>
              </w:tc>
            </w:tr>
            <w:tr w14:paraId="7FEE8D1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752" w:hRule="atLeast"/>
                <w:jc w:val="center"/>
              </w:trPr>
              <w:tc>
                <w:tcPr>
                  <w:tcW w:w="258" w:type="pct"/>
                  <w:vMerge w:val="continue"/>
                  <w:tcBorders>
                    <w:tl2br w:val="nil"/>
                    <w:tr2bl w:val="nil"/>
                  </w:tcBorders>
                  <w:vAlign w:val="center"/>
                </w:tcPr>
                <w:p w14:paraId="3FBD02D6">
                  <w:pPr>
                    <w:adjustRightInd w:val="0"/>
                    <w:snapToGrid w:val="0"/>
                    <w:jc w:val="center"/>
                    <w:rPr>
                      <w:color w:val="auto"/>
                      <w:szCs w:val="21"/>
                      <w:highlight w:val="none"/>
                    </w:rPr>
                  </w:pPr>
                </w:p>
              </w:tc>
              <w:tc>
                <w:tcPr>
                  <w:tcW w:w="842" w:type="pct"/>
                  <w:gridSpan w:val="3"/>
                  <w:tcBorders>
                    <w:top w:val="single" w:color="auto" w:sz="4" w:space="0"/>
                    <w:bottom w:val="single" w:color="auto" w:sz="4" w:space="0"/>
                    <w:tl2br w:val="nil"/>
                    <w:tr2bl w:val="nil"/>
                  </w:tcBorders>
                  <w:vAlign w:val="center"/>
                </w:tcPr>
                <w:p w14:paraId="170AE829">
                  <w:pPr>
                    <w:jc w:val="center"/>
                    <w:rPr>
                      <w:color w:val="auto"/>
                      <w:szCs w:val="21"/>
                      <w:highlight w:val="none"/>
                      <w:lang w:eastAsia="zh-Hans"/>
                    </w:rPr>
                  </w:pPr>
                  <w:r>
                    <w:rPr>
                      <w:rFonts w:hint="eastAsia"/>
                      <w:color w:val="auto"/>
                      <w:szCs w:val="21"/>
                      <w:highlight w:val="none"/>
                      <w:lang w:eastAsia="zh-Hans"/>
                    </w:rPr>
                    <w:t>试制车间</w:t>
                  </w:r>
                </w:p>
              </w:tc>
              <w:tc>
                <w:tcPr>
                  <w:tcW w:w="919" w:type="pct"/>
                  <w:vMerge w:val="continue"/>
                  <w:tcBorders>
                    <w:tl2br w:val="nil"/>
                    <w:tr2bl w:val="nil"/>
                  </w:tcBorders>
                  <w:vAlign w:val="center"/>
                </w:tcPr>
                <w:p w14:paraId="46FADBD1">
                  <w:pPr>
                    <w:adjustRightInd w:val="0"/>
                    <w:snapToGrid w:val="0"/>
                    <w:jc w:val="center"/>
                    <w:rPr>
                      <w:color w:val="auto"/>
                      <w:szCs w:val="21"/>
                      <w:highlight w:val="none"/>
                    </w:rPr>
                  </w:pPr>
                </w:p>
              </w:tc>
              <w:tc>
                <w:tcPr>
                  <w:tcW w:w="730" w:type="pct"/>
                  <w:vMerge w:val="continue"/>
                  <w:tcBorders>
                    <w:tl2br w:val="nil"/>
                    <w:tr2bl w:val="nil"/>
                  </w:tcBorders>
                  <w:vAlign w:val="center"/>
                </w:tcPr>
                <w:p w14:paraId="6AD2015C">
                  <w:pPr>
                    <w:adjustRightInd w:val="0"/>
                    <w:snapToGrid w:val="0"/>
                    <w:jc w:val="center"/>
                    <w:rPr>
                      <w:color w:val="auto"/>
                      <w:szCs w:val="21"/>
                      <w:highlight w:val="none"/>
                    </w:rPr>
                  </w:pPr>
                </w:p>
              </w:tc>
              <w:tc>
                <w:tcPr>
                  <w:tcW w:w="877" w:type="pct"/>
                  <w:vMerge w:val="continue"/>
                  <w:tcBorders>
                    <w:tl2br w:val="nil"/>
                    <w:tr2bl w:val="nil"/>
                  </w:tcBorders>
                  <w:vAlign w:val="center"/>
                </w:tcPr>
                <w:p w14:paraId="54EFB152">
                  <w:pPr>
                    <w:adjustRightInd w:val="0"/>
                    <w:snapToGrid w:val="0"/>
                    <w:jc w:val="center"/>
                    <w:rPr>
                      <w:color w:val="auto"/>
                      <w:szCs w:val="21"/>
                      <w:highlight w:val="none"/>
                    </w:rPr>
                  </w:pPr>
                </w:p>
              </w:tc>
              <w:tc>
                <w:tcPr>
                  <w:tcW w:w="1372" w:type="pct"/>
                  <w:vMerge w:val="continue"/>
                  <w:tcBorders>
                    <w:tl2br w:val="nil"/>
                    <w:tr2bl w:val="nil"/>
                  </w:tcBorders>
                  <w:vAlign w:val="center"/>
                </w:tcPr>
                <w:p w14:paraId="020B5022">
                  <w:pPr>
                    <w:adjustRightInd w:val="0"/>
                    <w:snapToGrid w:val="0"/>
                    <w:jc w:val="center"/>
                    <w:rPr>
                      <w:color w:val="auto"/>
                      <w:szCs w:val="21"/>
                      <w:highlight w:val="none"/>
                    </w:rPr>
                  </w:pPr>
                </w:p>
              </w:tc>
            </w:tr>
            <w:tr w14:paraId="7E8DA6D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648" w:hRule="atLeast"/>
                <w:jc w:val="center"/>
              </w:trPr>
              <w:tc>
                <w:tcPr>
                  <w:tcW w:w="258" w:type="pct"/>
                  <w:vMerge w:val="continue"/>
                  <w:tcBorders>
                    <w:tl2br w:val="nil"/>
                    <w:tr2bl w:val="nil"/>
                  </w:tcBorders>
                  <w:vAlign w:val="center"/>
                </w:tcPr>
                <w:p w14:paraId="439AA45C">
                  <w:pPr>
                    <w:adjustRightInd w:val="0"/>
                    <w:snapToGrid w:val="0"/>
                    <w:jc w:val="center"/>
                    <w:rPr>
                      <w:color w:val="auto"/>
                      <w:szCs w:val="21"/>
                      <w:highlight w:val="none"/>
                    </w:rPr>
                  </w:pPr>
                </w:p>
              </w:tc>
              <w:tc>
                <w:tcPr>
                  <w:tcW w:w="842" w:type="pct"/>
                  <w:gridSpan w:val="3"/>
                  <w:tcBorders>
                    <w:top w:val="single" w:color="auto" w:sz="4" w:space="0"/>
                    <w:bottom w:val="single" w:color="auto" w:sz="4" w:space="0"/>
                    <w:tl2br w:val="nil"/>
                    <w:tr2bl w:val="nil"/>
                  </w:tcBorders>
                  <w:vAlign w:val="center"/>
                </w:tcPr>
                <w:p w14:paraId="53E7A093">
                  <w:pPr>
                    <w:jc w:val="center"/>
                    <w:rPr>
                      <w:color w:val="auto"/>
                      <w:szCs w:val="21"/>
                      <w:highlight w:val="none"/>
                      <w:lang w:eastAsia="zh-Hans"/>
                    </w:rPr>
                  </w:pPr>
                  <w:r>
                    <w:rPr>
                      <w:rFonts w:hint="eastAsia"/>
                      <w:color w:val="auto"/>
                      <w:szCs w:val="21"/>
                      <w:highlight w:val="none"/>
                      <w:lang w:eastAsia="zh-Hans"/>
                    </w:rPr>
                    <w:t>涂粉车间</w:t>
                  </w:r>
                </w:p>
              </w:tc>
              <w:tc>
                <w:tcPr>
                  <w:tcW w:w="919" w:type="pct"/>
                  <w:vMerge w:val="continue"/>
                  <w:tcBorders>
                    <w:bottom w:val="single" w:color="auto" w:sz="4" w:space="0"/>
                    <w:tl2br w:val="nil"/>
                    <w:tr2bl w:val="nil"/>
                  </w:tcBorders>
                  <w:vAlign w:val="center"/>
                </w:tcPr>
                <w:p w14:paraId="7A92BC79">
                  <w:pPr>
                    <w:adjustRightInd w:val="0"/>
                    <w:snapToGrid w:val="0"/>
                    <w:jc w:val="center"/>
                    <w:rPr>
                      <w:color w:val="auto"/>
                      <w:szCs w:val="21"/>
                      <w:highlight w:val="none"/>
                    </w:rPr>
                  </w:pPr>
                </w:p>
              </w:tc>
              <w:tc>
                <w:tcPr>
                  <w:tcW w:w="730" w:type="pct"/>
                  <w:vMerge w:val="continue"/>
                  <w:tcBorders>
                    <w:bottom w:val="single" w:color="auto" w:sz="4" w:space="0"/>
                    <w:tl2br w:val="nil"/>
                    <w:tr2bl w:val="nil"/>
                  </w:tcBorders>
                  <w:vAlign w:val="center"/>
                </w:tcPr>
                <w:p w14:paraId="4136BF31">
                  <w:pPr>
                    <w:adjustRightInd w:val="0"/>
                    <w:snapToGrid w:val="0"/>
                    <w:jc w:val="center"/>
                    <w:rPr>
                      <w:color w:val="auto"/>
                      <w:szCs w:val="21"/>
                      <w:highlight w:val="none"/>
                    </w:rPr>
                  </w:pPr>
                </w:p>
              </w:tc>
              <w:tc>
                <w:tcPr>
                  <w:tcW w:w="877" w:type="pct"/>
                  <w:vMerge w:val="continue"/>
                  <w:tcBorders>
                    <w:bottom w:val="single" w:color="auto" w:sz="4" w:space="0"/>
                    <w:tl2br w:val="nil"/>
                    <w:tr2bl w:val="nil"/>
                  </w:tcBorders>
                  <w:vAlign w:val="center"/>
                </w:tcPr>
                <w:p w14:paraId="5BF125BB">
                  <w:pPr>
                    <w:adjustRightInd w:val="0"/>
                    <w:snapToGrid w:val="0"/>
                    <w:jc w:val="center"/>
                    <w:rPr>
                      <w:color w:val="auto"/>
                      <w:szCs w:val="21"/>
                      <w:highlight w:val="none"/>
                    </w:rPr>
                  </w:pPr>
                </w:p>
              </w:tc>
              <w:tc>
                <w:tcPr>
                  <w:tcW w:w="1372" w:type="pct"/>
                  <w:vMerge w:val="continue"/>
                  <w:tcBorders>
                    <w:tl2br w:val="nil"/>
                    <w:tr2bl w:val="nil"/>
                  </w:tcBorders>
                  <w:vAlign w:val="center"/>
                </w:tcPr>
                <w:p w14:paraId="22FEA221">
                  <w:pPr>
                    <w:adjustRightInd w:val="0"/>
                    <w:snapToGrid w:val="0"/>
                    <w:jc w:val="center"/>
                    <w:rPr>
                      <w:color w:val="auto"/>
                      <w:szCs w:val="21"/>
                      <w:highlight w:val="none"/>
                    </w:rPr>
                  </w:pPr>
                </w:p>
              </w:tc>
            </w:tr>
            <w:tr w14:paraId="414E9F0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tcBorders>
                    <w:tl2br w:val="nil"/>
                    <w:tr2bl w:val="nil"/>
                  </w:tcBorders>
                  <w:vAlign w:val="center"/>
                </w:tcPr>
                <w:p w14:paraId="01497FFD">
                  <w:pPr>
                    <w:adjustRightInd w:val="0"/>
                    <w:snapToGrid w:val="0"/>
                    <w:jc w:val="center"/>
                    <w:rPr>
                      <w:color w:val="auto"/>
                      <w:szCs w:val="21"/>
                      <w:highlight w:val="none"/>
                    </w:rPr>
                  </w:pPr>
                  <w:r>
                    <w:rPr>
                      <w:color w:val="auto"/>
                      <w:szCs w:val="21"/>
                      <w:highlight w:val="none"/>
                    </w:rPr>
                    <w:t>贮运工程</w:t>
                  </w:r>
                </w:p>
              </w:tc>
              <w:tc>
                <w:tcPr>
                  <w:tcW w:w="842" w:type="pct"/>
                  <w:gridSpan w:val="3"/>
                  <w:tcBorders>
                    <w:tl2br w:val="nil"/>
                    <w:tr2bl w:val="nil"/>
                  </w:tcBorders>
                  <w:vAlign w:val="center"/>
                </w:tcPr>
                <w:p w14:paraId="75ABFC29">
                  <w:pPr>
                    <w:adjustRightInd w:val="0"/>
                    <w:snapToGrid w:val="0"/>
                    <w:jc w:val="center"/>
                    <w:rPr>
                      <w:color w:val="auto"/>
                      <w:szCs w:val="21"/>
                      <w:highlight w:val="none"/>
                    </w:rPr>
                  </w:pPr>
                  <w:r>
                    <w:rPr>
                      <w:color w:val="auto"/>
                      <w:szCs w:val="21"/>
                      <w:highlight w:val="none"/>
                    </w:rPr>
                    <w:t>原料仓库</w:t>
                  </w:r>
                </w:p>
              </w:tc>
              <w:tc>
                <w:tcPr>
                  <w:tcW w:w="919" w:type="pct"/>
                  <w:tcBorders>
                    <w:tl2br w:val="nil"/>
                    <w:tr2bl w:val="nil"/>
                  </w:tcBorders>
                  <w:vAlign w:val="center"/>
                </w:tcPr>
                <w:p w14:paraId="5AD0CCFD">
                  <w:pPr>
                    <w:adjustRightInd w:val="0"/>
                    <w:snapToGrid w:val="0"/>
                    <w:jc w:val="center"/>
                    <w:rPr>
                      <w:color w:val="auto"/>
                      <w:szCs w:val="21"/>
                      <w:highlight w:val="none"/>
                    </w:rPr>
                  </w:pPr>
                  <w:r>
                    <w:rPr>
                      <w:rFonts w:hint="eastAsia"/>
                      <w:color w:val="auto"/>
                      <w:szCs w:val="21"/>
                      <w:highlight w:val="none"/>
                    </w:rPr>
                    <w:t>441</w:t>
                  </w:r>
                  <w:r>
                    <w:rPr>
                      <w:color w:val="auto"/>
                      <w:szCs w:val="21"/>
                      <w:highlight w:val="none"/>
                    </w:rPr>
                    <w:t>m</w:t>
                  </w:r>
                  <w:r>
                    <w:rPr>
                      <w:color w:val="auto"/>
                      <w:szCs w:val="21"/>
                      <w:highlight w:val="none"/>
                      <w:vertAlign w:val="superscript"/>
                    </w:rPr>
                    <w:t>2</w:t>
                  </w:r>
                </w:p>
              </w:tc>
              <w:tc>
                <w:tcPr>
                  <w:tcW w:w="730" w:type="pct"/>
                  <w:tcBorders>
                    <w:tl2br w:val="nil"/>
                    <w:tr2bl w:val="nil"/>
                  </w:tcBorders>
                  <w:vAlign w:val="center"/>
                </w:tcPr>
                <w:p w14:paraId="19272894">
                  <w:pPr>
                    <w:adjustRightInd w:val="0"/>
                    <w:snapToGrid w:val="0"/>
                    <w:jc w:val="center"/>
                    <w:rPr>
                      <w:color w:val="auto"/>
                      <w:szCs w:val="21"/>
                      <w:highlight w:val="none"/>
                    </w:rPr>
                  </w:pPr>
                  <w:r>
                    <w:rPr>
                      <w:rFonts w:hint="eastAsia"/>
                      <w:color w:val="auto"/>
                      <w:szCs w:val="21"/>
                      <w:highlight w:val="none"/>
                    </w:rPr>
                    <w:t>—</w:t>
                  </w:r>
                </w:p>
              </w:tc>
              <w:tc>
                <w:tcPr>
                  <w:tcW w:w="877" w:type="pct"/>
                  <w:tcBorders>
                    <w:tl2br w:val="nil"/>
                    <w:tr2bl w:val="nil"/>
                  </w:tcBorders>
                  <w:vAlign w:val="center"/>
                </w:tcPr>
                <w:p w14:paraId="219E971F">
                  <w:pPr>
                    <w:adjustRightInd w:val="0"/>
                    <w:snapToGrid w:val="0"/>
                    <w:jc w:val="center"/>
                    <w:rPr>
                      <w:color w:val="auto"/>
                      <w:szCs w:val="21"/>
                      <w:highlight w:val="none"/>
                    </w:rPr>
                  </w:pPr>
                  <w:r>
                    <w:rPr>
                      <w:rFonts w:hint="eastAsia"/>
                      <w:color w:val="auto"/>
                      <w:szCs w:val="21"/>
                      <w:highlight w:val="none"/>
                    </w:rPr>
                    <w:t>441</w:t>
                  </w:r>
                  <w:r>
                    <w:rPr>
                      <w:color w:val="auto"/>
                      <w:szCs w:val="21"/>
                      <w:highlight w:val="none"/>
                    </w:rPr>
                    <w:t>m</w:t>
                  </w:r>
                  <w:r>
                    <w:rPr>
                      <w:color w:val="auto"/>
                      <w:szCs w:val="21"/>
                      <w:highlight w:val="none"/>
                      <w:vertAlign w:val="superscript"/>
                    </w:rPr>
                    <w:t>2</w:t>
                  </w:r>
                </w:p>
              </w:tc>
              <w:tc>
                <w:tcPr>
                  <w:tcW w:w="1372" w:type="pct"/>
                  <w:tcBorders>
                    <w:tl2br w:val="nil"/>
                    <w:tr2bl w:val="nil"/>
                  </w:tcBorders>
                  <w:vAlign w:val="center"/>
                </w:tcPr>
                <w:p w14:paraId="00969D45">
                  <w:pPr>
                    <w:adjustRightInd w:val="0"/>
                    <w:snapToGrid w:val="0"/>
                    <w:jc w:val="center"/>
                    <w:rPr>
                      <w:color w:val="auto"/>
                      <w:szCs w:val="21"/>
                      <w:highlight w:val="none"/>
                    </w:rPr>
                  </w:pPr>
                  <w:r>
                    <w:rPr>
                      <w:rStyle w:val="29"/>
                      <w:rFonts w:hint="eastAsia"/>
                      <w:color w:val="auto"/>
                      <w:kern w:val="0"/>
                      <w:szCs w:val="21"/>
                      <w:highlight w:val="none"/>
                    </w:rPr>
                    <w:t>现有项目原料仓库利用面积约200m</w:t>
                  </w:r>
                  <w:r>
                    <w:rPr>
                      <w:rStyle w:val="29"/>
                      <w:rFonts w:hint="eastAsia"/>
                      <w:color w:val="auto"/>
                      <w:kern w:val="0"/>
                      <w:szCs w:val="21"/>
                      <w:highlight w:val="none"/>
                      <w:vertAlign w:val="superscript"/>
                    </w:rPr>
                    <w:t>2</w:t>
                  </w:r>
                  <w:r>
                    <w:rPr>
                      <w:rStyle w:val="29"/>
                      <w:rFonts w:hint="eastAsia"/>
                      <w:color w:val="auto"/>
                      <w:kern w:val="0"/>
                      <w:szCs w:val="21"/>
                      <w:highlight w:val="none"/>
                    </w:rPr>
                    <w:t>，本次改建项目</w:t>
                  </w:r>
                  <w:r>
                    <w:rPr>
                      <w:rFonts w:hint="eastAsia"/>
                      <w:color w:val="auto"/>
                      <w:szCs w:val="21"/>
                      <w:highlight w:val="none"/>
                    </w:rPr>
                    <w:t>利用剩余面积241m</w:t>
                  </w:r>
                  <w:r>
                    <w:rPr>
                      <w:rFonts w:hint="eastAsia"/>
                      <w:color w:val="auto"/>
                      <w:szCs w:val="21"/>
                      <w:highlight w:val="none"/>
                      <w:vertAlign w:val="superscript"/>
                    </w:rPr>
                    <w:t>2</w:t>
                  </w:r>
                </w:p>
              </w:tc>
            </w:tr>
            <w:tr w14:paraId="3D3ACC0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00" w:hRule="atLeast"/>
                <w:jc w:val="center"/>
              </w:trPr>
              <w:tc>
                <w:tcPr>
                  <w:tcW w:w="258" w:type="pct"/>
                  <w:vMerge w:val="continue"/>
                  <w:tcBorders>
                    <w:tl2br w:val="nil"/>
                    <w:tr2bl w:val="nil"/>
                  </w:tcBorders>
                  <w:vAlign w:val="center"/>
                </w:tcPr>
                <w:p w14:paraId="4A9617B1">
                  <w:pPr>
                    <w:adjustRightInd w:val="0"/>
                    <w:snapToGrid w:val="0"/>
                    <w:jc w:val="center"/>
                    <w:rPr>
                      <w:color w:val="auto"/>
                      <w:szCs w:val="21"/>
                      <w:highlight w:val="none"/>
                    </w:rPr>
                  </w:pPr>
                </w:p>
              </w:tc>
              <w:tc>
                <w:tcPr>
                  <w:tcW w:w="842" w:type="pct"/>
                  <w:gridSpan w:val="3"/>
                  <w:tcBorders>
                    <w:bottom w:val="single" w:color="auto" w:sz="4" w:space="0"/>
                    <w:tl2br w:val="nil"/>
                    <w:tr2bl w:val="nil"/>
                  </w:tcBorders>
                  <w:vAlign w:val="center"/>
                </w:tcPr>
                <w:p w14:paraId="68EE0C91">
                  <w:pPr>
                    <w:adjustRightInd w:val="0"/>
                    <w:snapToGrid w:val="0"/>
                    <w:jc w:val="center"/>
                    <w:rPr>
                      <w:color w:val="auto"/>
                      <w:szCs w:val="21"/>
                      <w:highlight w:val="none"/>
                    </w:rPr>
                  </w:pPr>
                  <w:r>
                    <w:rPr>
                      <w:color w:val="auto"/>
                      <w:szCs w:val="21"/>
                      <w:highlight w:val="none"/>
                    </w:rPr>
                    <w:t>成品仓库</w:t>
                  </w:r>
                </w:p>
              </w:tc>
              <w:tc>
                <w:tcPr>
                  <w:tcW w:w="919" w:type="pct"/>
                  <w:tcBorders>
                    <w:bottom w:val="single" w:color="auto" w:sz="4" w:space="0"/>
                    <w:tl2br w:val="nil"/>
                    <w:tr2bl w:val="nil"/>
                  </w:tcBorders>
                  <w:vAlign w:val="center"/>
                </w:tcPr>
                <w:p w14:paraId="78B39D1F">
                  <w:pPr>
                    <w:adjustRightInd w:val="0"/>
                    <w:snapToGrid w:val="0"/>
                    <w:jc w:val="center"/>
                    <w:rPr>
                      <w:color w:val="auto"/>
                      <w:szCs w:val="21"/>
                      <w:highlight w:val="none"/>
                    </w:rPr>
                  </w:pPr>
                  <w:r>
                    <w:rPr>
                      <w:rFonts w:hint="eastAsia"/>
                      <w:color w:val="auto"/>
                      <w:szCs w:val="21"/>
                      <w:highlight w:val="none"/>
                    </w:rPr>
                    <w:t>441</w:t>
                  </w:r>
                  <w:r>
                    <w:rPr>
                      <w:color w:val="auto"/>
                      <w:szCs w:val="21"/>
                      <w:highlight w:val="none"/>
                    </w:rPr>
                    <w:t>m</w:t>
                  </w:r>
                  <w:r>
                    <w:rPr>
                      <w:color w:val="auto"/>
                      <w:szCs w:val="21"/>
                      <w:highlight w:val="none"/>
                      <w:vertAlign w:val="superscript"/>
                    </w:rPr>
                    <w:t>2</w:t>
                  </w:r>
                </w:p>
              </w:tc>
              <w:tc>
                <w:tcPr>
                  <w:tcW w:w="730" w:type="pct"/>
                  <w:tcBorders>
                    <w:bottom w:val="single" w:color="auto" w:sz="4" w:space="0"/>
                    <w:tl2br w:val="nil"/>
                    <w:tr2bl w:val="nil"/>
                  </w:tcBorders>
                  <w:vAlign w:val="center"/>
                </w:tcPr>
                <w:p w14:paraId="09EA6ACA">
                  <w:pPr>
                    <w:adjustRightInd w:val="0"/>
                    <w:snapToGrid w:val="0"/>
                    <w:jc w:val="center"/>
                    <w:rPr>
                      <w:color w:val="auto"/>
                      <w:szCs w:val="21"/>
                      <w:highlight w:val="none"/>
                    </w:rPr>
                  </w:pPr>
                  <w:r>
                    <w:rPr>
                      <w:rFonts w:hint="eastAsia"/>
                      <w:color w:val="auto"/>
                      <w:szCs w:val="21"/>
                      <w:highlight w:val="none"/>
                    </w:rPr>
                    <w:t>—</w:t>
                  </w:r>
                </w:p>
              </w:tc>
              <w:tc>
                <w:tcPr>
                  <w:tcW w:w="877" w:type="pct"/>
                  <w:tcBorders>
                    <w:bottom w:val="single" w:color="auto" w:sz="4" w:space="0"/>
                    <w:tl2br w:val="nil"/>
                    <w:tr2bl w:val="nil"/>
                  </w:tcBorders>
                  <w:vAlign w:val="center"/>
                </w:tcPr>
                <w:p w14:paraId="0F875282">
                  <w:pPr>
                    <w:adjustRightInd w:val="0"/>
                    <w:snapToGrid w:val="0"/>
                    <w:jc w:val="center"/>
                    <w:rPr>
                      <w:color w:val="auto"/>
                      <w:szCs w:val="21"/>
                      <w:highlight w:val="none"/>
                    </w:rPr>
                  </w:pPr>
                  <w:r>
                    <w:rPr>
                      <w:rFonts w:hint="eastAsia"/>
                      <w:color w:val="auto"/>
                      <w:szCs w:val="21"/>
                      <w:highlight w:val="none"/>
                    </w:rPr>
                    <w:t>441</w:t>
                  </w:r>
                  <w:r>
                    <w:rPr>
                      <w:color w:val="auto"/>
                      <w:szCs w:val="21"/>
                      <w:highlight w:val="none"/>
                    </w:rPr>
                    <w:t>m</w:t>
                  </w:r>
                  <w:r>
                    <w:rPr>
                      <w:color w:val="auto"/>
                      <w:szCs w:val="21"/>
                      <w:highlight w:val="none"/>
                      <w:vertAlign w:val="superscript"/>
                    </w:rPr>
                    <w:t>2</w:t>
                  </w:r>
                </w:p>
              </w:tc>
              <w:tc>
                <w:tcPr>
                  <w:tcW w:w="1372" w:type="pct"/>
                  <w:tcBorders>
                    <w:bottom w:val="single" w:color="auto" w:sz="4" w:space="0"/>
                    <w:tl2br w:val="nil"/>
                    <w:tr2bl w:val="nil"/>
                  </w:tcBorders>
                  <w:vAlign w:val="center"/>
                </w:tcPr>
                <w:p w14:paraId="2846DCAE">
                  <w:pPr>
                    <w:adjustRightInd w:val="0"/>
                    <w:snapToGrid w:val="0"/>
                    <w:jc w:val="center"/>
                    <w:rPr>
                      <w:color w:val="auto"/>
                      <w:szCs w:val="21"/>
                      <w:highlight w:val="none"/>
                    </w:rPr>
                  </w:pPr>
                  <w:r>
                    <w:rPr>
                      <w:rFonts w:hint="eastAsia"/>
                      <w:color w:val="auto"/>
                      <w:szCs w:val="21"/>
                      <w:highlight w:val="none"/>
                    </w:rPr>
                    <w:t>现有项目成品仓库利用面积约200m</w:t>
                  </w:r>
                  <w:r>
                    <w:rPr>
                      <w:rFonts w:hint="eastAsia"/>
                      <w:color w:val="auto"/>
                      <w:szCs w:val="21"/>
                      <w:highlight w:val="none"/>
                      <w:vertAlign w:val="superscript"/>
                    </w:rPr>
                    <w:t>2</w:t>
                  </w:r>
                  <w:r>
                    <w:rPr>
                      <w:rStyle w:val="29"/>
                      <w:rFonts w:hint="eastAsia"/>
                      <w:color w:val="auto"/>
                      <w:kern w:val="0"/>
                      <w:szCs w:val="21"/>
                      <w:highlight w:val="none"/>
                    </w:rPr>
                    <w:t>，本次改建项目</w:t>
                  </w:r>
                  <w:r>
                    <w:rPr>
                      <w:rFonts w:hint="eastAsia"/>
                      <w:color w:val="auto"/>
                      <w:szCs w:val="21"/>
                      <w:highlight w:val="none"/>
                    </w:rPr>
                    <w:t>利用剩余面积241m</w:t>
                  </w:r>
                  <w:r>
                    <w:rPr>
                      <w:rFonts w:hint="eastAsia"/>
                      <w:color w:val="auto"/>
                      <w:szCs w:val="21"/>
                      <w:highlight w:val="none"/>
                      <w:vertAlign w:val="superscript"/>
                    </w:rPr>
                    <w:t>2</w:t>
                  </w:r>
                </w:p>
              </w:tc>
            </w:tr>
            <w:tr w14:paraId="555B9AA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24" w:hRule="atLeast"/>
                <w:jc w:val="center"/>
              </w:trPr>
              <w:tc>
                <w:tcPr>
                  <w:tcW w:w="258" w:type="pct"/>
                  <w:vMerge w:val="continue"/>
                  <w:tcBorders>
                    <w:tl2br w:val="nil"/>
                    <w:tr2bl w:val="nil"/>
                  </w:tcBorders>
                  <w:vAlign w:val="center"/>
                </w:tcPr>
                <w:p w14:paraId="296E739E">
                  <w:pPr>
                    <w:adjustRightInd w:val="0"/>
                    <w:snapToGrid w:val="0"/>
                    <w:jc w:val="center"/>
                    <w:rPr>
                      <w:color w:val="auto"/>
                      <w:szCs w:val="21"/>
                      <w:highlight w:val="none"/>
                    </w:rPr>
                  </w:pPr>
                </w:p>
              </w:tc>
              <w:tc>
                <w:tcPr>
                  <w:tcW w:w="842" w:type="pct"/>
                  <w:gridSpan w:val="3"/>
                  <w:tcBorders>
                    <w:top w:val="single" w:color="auto" w:sz="4" w:space="0"/>
                    <w:tl2br w:val="nil"/>
                    <w:tr2bl w:val="nil"/>
                  </w:tcBorders>
                  <w:vAlign w:val="center"/>
                </w:tcPr>
                <w:p w14:paraId="4513D681">
                  <w:pPr>
                    <w:adjustRightInd w:val="0"/>
                    <w:snapToGrid w:val="0"/>
                    <w:jc w:val="center"/>
                    <w:rPr>
                      <w:color w:val="auto"/>
                      <w:szCs w:val="21"/>
                      <w:highlight w:val="none"/>
                      <w:lang w:eastAsia="zh-Hans"/>
                    </w:rPr>
                  </w:pPr>
                  <w:r>
                    <w:rPr>
                      <w:rFonts w:hint="eastAsia"/>
                      <w:color w:val="auto"/>
                      <w:szCs w:val="21"/>
                      <w:highlight w:val="none"/>
                      <w:lang w:eastAsia="zh-Hans"/>
                    </w:rPr>
                    <w:t>化学品库</w:t>
                  </w:r>
                </w:p>
              </w:tc>
              <w:tc>
                <w:tcPr>
                  <w:tcW w:w="919" w:type="pct"/>
                  <w:tcBorders>
                    <w:top w:val="single" w:color="auto" w:sz="4" w:space="0"/>
                    <w:tl2br w:val="nil"/>
                    <w:tr2bl w:val="nil"/>
                  </w:tcBorders>
                  <w:vAlign w:val="center"/>
                </w:tcPr>
                <w:p w14:paraId="58BD4115">
                  <w:pPr>
                    <w:adjustRightInd w:val="0"/>
                    <w:snapToGrid w:val="0"/>
                    <w:jc w:val="center"/>
                    <w:rPr>
                      <w:color w:val="auto"/>
                      <w:szCs w:val="21"/>
                      <w:highlight w:val="none"/>
                      <w:lang w:eastAsia="zh-Hans"/>
                    </w:rPr>
                  </w:pPr>
                  <w:r>
                    <w:rPr>
                      <w:rFonts w:hint="eastAsia"/>
                      <w:color w:val="auto"/>
                      <w:szCs w:val="21"/>
                      <w:highlight w:val="none"/>
                      <w:lang w:eastAsia="zh-Hans"/>
                    </w:rPr>
                    <w:t>—</w:t>
                  </w:r>
                </w:p>
              </w:tc>
              <w:tc>
                <w:tcPr>
                  <w:tcW w:w="730" w:type="pct"/>
                  <w:tcBorders>
                    <w:top w:val="single" w:color="auto" w:sz="4" w:space="0"/>
                    <w:tl2br w:val="nil"/>
                    <w:tr2bl w:val="nil"/>
                  </w:tcBorders>
                  <w:vAlign w:val="center"/>
                </w:tcPr>
                <w:p w14:paraId="341A52AF">
                  <w:pPr>
                    <w:adjustRightInd w:val="0"/>
                    <w:snapToGrid w:val="0"/>
                    <w:jc w:val="center"/>
                    <w:rPr>
                      <w:color w:val="auto"/>
                      <w:szCs w:val="21"/>
                      <w:highlight w:val="none"/>
                    </w:rPr>
                  </w:pPr>
                  <w:r>
                    <w:rPr>
                      <w:color w:val="auto"/>
                      <w:szCs w:val="21"/>
                      <w:highlight w:val="none"/>
                    </w:rPr>
                    <w:t>60</w:t>
                  </w:r>
                  <w:r>
                    <w:rPr>
                      <w:rFonts w:hint="eastAsia"/>
                      <w:color w:val="auto"/>
                      <w:szCs w:val="21"/>
                      <w:highlight w:val="none"/>
                      <w:lang w:eastAsia="zh-Hans"/>
                    </w:rPr>
                    <w:t>m</w:t>
                  </w:r>
                  <w:r>
                    <w:rPr>
                      <w:color w:val="auto"/>
                      <w:szCs w:val="21"/>
                      <w:highlight w:val="none"/>
                      <w:vertAlign w:val="superscript"/>
                      <w:lang w:eastAsia="zh-Hans"/>
                    </w:rPr>
                    <w:t>2</w:t>
                  </w:r>
                </w:p>
              </w:tc>
              <w:tc>
                <w:tcPr>
                  <w:tcW w:w="877" w:type="pct"/>
                  <w:tcBorders>
                    <w:top w:val="single" w:color="auto" w:sz="4" w:space="0"/>
                    <w:tl2br w:val="nil"/>
                    <w:tr2bl w:val="nil"/>
                  </w:tcBorders>
                  <w:vAlign w:val="center"/>
                </w:tcPr>
                <w:p w14:paraId="70CC5BB3">
                  <w:pPr>
                    <w:adjustRightInd w:val="0"/>
                    <w:snapToGrid w:val="0"/>
                    <w:jc w:val="center"/>
                    <w:rPr>
                      <w:color w:val="auto"/>
                      <w:szCs w:val="21"/>
                      <w:highlight w:val="none"/>
                    </w:rPr>
                  </w:pPr>
                  <w:r>
                    <w:rPr>
                      <w:color w:val="auto"/>
                      <w:szCs w:val="21"/>
                      <w:highlight w:val="none"/>
                    </w:rPr>
                    <w:t>60</w:t>
                  </w:r>
                  <w:r>
                    <w:rPr>
                      <w:rFonts w:hint="eastAsia"/>
                      <w:color w:val="auto"/>
                      <w:szCs w:val="21"/>
                      <w:highlight w:val="none"/>
                      <w:lang w:eastAsia="zh-Hans"/>
                    </w:rPr>
                    <w:t>m</w:t>
                  </w:r>
                  <w:r>
                    <w:rPr>
                      <w:color w:val="auto"/>
                      <w:szCs w:val="21"/>
                      <w:highlight w:val="none"/>
                      <w:vertAlign w:val="superscript"/>
                      <w:lang w:eastAsia="zh-Hans"/>
                    </w:rPr>
                    <w:t>2</w:t>
                  </w:r>
                </w:p>
              </w:tc>
              <w:tc>
                <w:tcPr>
                  <w:tcW w:w="1372" w:type="pct"/>
                  <w:tcBorders>
                    <w:top w:val="single" w:color="auto" w:sz="4" w:space="0"/>
                    <w:tl2br w:val="nil"/>
                    <w:tr2bl w:val="nil"/>
                  </w:tcBorders>
                  <w:vAlign w:val="center"/>
                </w:tcPr>
                <w:p w14:paraId="7700D119">
                  <w:pPr>
                    <w:adjustRightInd w:val="0"/>
                    <w:snapToGrid w:val="0"/>
                    <w:jc w:val="center"/>
                    <w:rPr>
                      <w:color w:val="auto"/>
                      <w:szCs w:val="21"/>
                      <w:highlight w:val="none"/>
                      <w:lang w:eastAsia="zh-Hans"/>
                    </w:rPr>
                  </w:pPr>
                  <w:r>
                    <w:rPr>
                      <w:rFonts w:hint="eastAsia"/>
                      <w:color w:val="auto"/>
                      <w:szCs w:val="21"/>
                      <w:highlight w:val="none"/>
                      <w:lang w:eastAsia="zh-Hans"/>
                    </w:rPr>
                    <w:t>新建</w:t>
                  </w:r>
                </w:p>
              </w:tc>
            </w:tr>
            <w:tr w14:paraId="339CF35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tcBorders>
                    <w:tl2br w:val="nil"/>
                    <w:tr2bl w:val="nil"/>
                  </w:tcBorders>
                  <w:vAlign w:val="center"/>
                </w:tcPr>
                <w:p w14:paraId="3D740349">
                  <w:pPr>
                    <w:adjustRightInd w:val="0"/>
                    <w:snapToGrid w:val="0"/>
                    <w:jc w:val="center"/>
                    <w:rPr>
                      <w:color w:val="auto"/>
                      <w:szCs w:val="21"/>
                      <w:highlight w:val="none"/>
                    </w:rPr>
                  </w:pPr>
                  <w:r>
                    <w:rPr>
                      <w:color w:val="auto"/>
                      <w:szCs w:val="21"/>
                      <w:highlight w:val="none"/>
                    </w:rPr>
                    <w:t>公用工程</w:t>
                  </w:r>
                </w:p>
              </w:tc>
              <w:tc>
                <w:tcPr>
                  <w:tcW w:w="842" w:type="pct"/>
                  <w:gridSpan w:val="3"/>
                  <w:tcBorders>
                    <w:tl2br w:val="nil"/>
                    <w:tr2bl w:val="nil"/>
                  </w:tcBorders>
                  <w:shd w:val="clear" w:color="auto" w:fill="auto"/>
                  <w:vAlign w:val="center"/>
                </w:tcPr>
                <w:p w14:paraId="4CD6B3A9">
                  <w:pPr>
                    <w:adjustRightInd w:val="0"/>
                    <w:snapToGrid w:val="0"/>
                    <w:jc w:val="center"/>
                    <w:rPr>
                      <w:color w:val="auto"/>
                      <w:szCs w:val="21"/>
                      <w:highlight w:val="none"/>
                    </w:rPr>
                  </w:pPr>
                  <w:r>
                    <w:rPr>
                      <w:color w:val="auto"/>
                      <w:szCs w:val="21"/>
                      <w:highlight w:val="none"/>
                    </w:rPr>
                    <w:t>给水</w:t>
                  </w:r>
                </w:p>
              </w:tc>
              <w:tc>
                <w:tcPr>
                  <w:tcW w:w="919" w:type="pct"/>
                  <w:tcBorders>
                    <w:tl2br w:val="nil"/>
                    <w:tr2bl w:val="nil"/>
                  </w:tcBorders>
                  <w:shd w:val="clear" w:color="auto" w:fill="auto"/>
                  <w:vAlign w:val="center"/>
                </w:tcPr>
                <w:p w14:paraId="34D3AC1E">
                  <w:pPr>
                    <w:adjustRightInd w:val="0"/>
                    <w:snapToGrid w:val="0"/>
                    <w:jc w:val="center"/>
                    <w:rPr>
                      <w:color w:val="auto"/>
                      <w:szCs w:val="21"/>
                      <w:highlight w:val="none"/>
                    </w:rPr>
                  </w:pPr>
                  <w:r>
                    <w:rPr>
                      <w:rFonts w:hint="eastAsia"/>
                      <w:color w:val="auto"/>
                      <w:szCs w:val="21"/>
                      <w:highlight w:val="none"/>
                    </w:rPr>
                    <w:t>2520</w:t>
                  </w:r>
                  <w:r>
                    <w:rPr>
                      <w:color w:val="auto"/>
                      <w:szCs w:val="21"/>
                      <w:highlight w:val="none"/>
                    </w:rPr>
                    <w:t>t/a</w:t>
                  </w:r>
                </w:p>
              </w:tc>
              <w:tc>
                <w:tcPr>
                  <w:tcW w:w="730" w:type="pct"/>
                  <w:tcBorders>
                    <w:tl2br w:val="nil"/>
                    <w:tr2bl w:val="nil"/>
                  </w:tcBorders>
                  <w:shd w:val="clear" w:color="auto" w:fill="auto"/>
                  <w:vAlign w:val="center"/>
                </w:tcPr>
                <w:p w14:paraId="188EBFCD">
                  <w:pPr>
                    <w:adjustRightInd w:val="0"/>
                    <w:snapToGrid w:val="0"/>
                    <w:jc w:val="center"/>
                    <w:rPr>
                      <w:color w:val="auto"/>
                      <w:szCs w:val="21"/>
                      <w:highlight w:val="none"/>
                    </w:rPr>
                  </w:pPr>
                  <w:r>
                    <w:rPr>
                      <w:rFonts w:hint="eastAsia"/>
                      <w:color w:val="auto"/>
                      <w:szCs w:val="21"/>
                      <w:highlight w:val="none"/>
                    </w:rPr>
                    <w:t>自来水3420</w:t>
                  </w:r>
                  <w:r>
                    <w:rPr>
                      <w:color w:val="auto"/>
                      <w:szCs w:val="21"/>
                      <w:highlight w:val="none"/>
                    </w:rPr>
                    <w:t>t/a</w:t>
                  </w:r>
                  <w:r>
                    <w:rPr>
                      <w:rFonts w:hint="eastAsia"/>
                      <w:color w:val="auto"/>
                      <w:szCs w:val="21"/>
                      <w:highlight w:val="none"/>
                    </w:rPr>
                    <w:t>，外购纯水360</w:t>
                  </w:r>
                  <w:r>
                    <w:rPr>
                      <w:color w:val="auto"/>
                      <w:szCs w:val="21"/>
                      <w:highlight w:val="none"/>
                    </w:rPr>
                    <w:t>t/a</w:t>
                  </w:r>
                </w:p>
              </w:tc>
              <w:tc>
                <w:tcPr>
                  <w:tcW w:w="877" w:type="pct"/>
                  <w:tcBorders>
                    <w:tl2br w:val="nil"/>
                    <w:tr2bl w:val="nil"/>
                  </w:tcBorders>
                  <w:shd w:val="clear" w:color="auto" w:fill="auto"/>
                  <w:vAlign w:val="center"/>
                </w:tcPr>
                <w:p w14:paraId="51577372">
                  <w:pPr>
                    <w:adjustRightInd w:val="0"/>
                    <w:snapToGrid w:val="0"/>
                    <w:jc w:val="center"/>
                    <w:rPr>
                      <w:color w:val="auto"/>
                      <w:szCs w:val="21"/>
                      <w:highlight w:val="none"/>
                    </w:rPr>
                  </w:pPr>
                  <w:r>
                    <w:rPr>
                      <w:rFonts w:hint="eastAsia"/>
                      <w:color w:val="auto"/>
                      <w:szCs w:val="21"/>
                      <w:highlight w:val="none"/>
                    </w:rPr>
                    <w:t>自来水3420</w:t>
                  </w:r>
                  <w:r>
                    <w:rPr>
                      <w:color w:val="auto"/>
                      <w:szCs w:val="21"/>
                      <w:highlight w:val="none"/>
                    </w:rPr>
                    <w:t>t/a</w:t>
                  </w:r>
                  <w:r>
                    <w:rPr>
                      <w:rStyle w:val="29"/>
                      <w:rFonts w:hint="eastAsia"/>
                      <w:color w:val="auto"/>
                      <w:kern w:val="0"/>
                      <w:szCs w:val="21"/>
                      <w:highlight w:val="none"/>
                      <w:lang w:val="zh-CN"/>
                    </w:rPr>
                    <w:t>、</w:t>
                  </w:r>
                  <w:r>
                    <w:rPr>
                      <w:rFonts w:hint="eastAsia"/>
                      <w:color w:val="auto"/>
                      <w:szCs w:val="21"/>
                      <w:highlight w:val="none"/>
                    </w:rPr>
                    <w:t>外购纯水360</w:t>
                  </w:r>
                  <w:r>
                    <w:rPr>
                      <w:color w:val="auto"/>
                      <w:szCs w:val="21"/>
                      <w:highlight w:val="none"/>
                    </w:rPr>
                    <w:t>t/a</w:t>
                  </w:r>
                </w:p>
              </w:tc>
              <w:tc>
                <w:tcPr>
                  <w:tcW w:w="1372" w:type="pct"/>
                  <w:tcBorders>
                    <w:tl2br w:val="nil"/>
                    <w:tr2bl w:val="nil"/>
                  </w:tcBorders>
                  <w:shd w:val="clear" w:color="auto" w:fill="auto"/>
                  <w:vAlign w:val="center"/>
                </w:tcPr>
                <w:p w14:paraId="47AE90D0">
                  <w:pPr>
                    <w:adjustRightInd w:val="0"/>
                    <w:snapToGrid w:val="0"/>
                    <w:jc w:val="center"/>
                    <w:rPr>
                      <w:color w:val="auto"/>
                      <w:szCs w:val="21"/>
                      <w:highlight w:val="none"/>
                    </w:rPr>
                  </w:pPr>
                  <w:r>
                    <w:rPr>
                      <w:color w:val="auto"/>
                      <w:szCs w:val="21"/>
                      <w:highlight w:val="none"/>
                    </w:rPr>
                    <w:t>利用现有城市供水管网</w:t>
                  </w:r>
                </w:p>
              </w:tc>
            </w:tr>
            <w:tr w14:paraId="1493E3B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10D53875">
                  <w:pPr>
                    <w:adjustRightInd w:val="0"/>
                    <w:snapToGrid w:val="0"/>
                    <w:jc w:val="center"/>
                    <w:rPr>
                      <w:color w:val="auto"/>
                      <w:szCs w:val="21"/>
                      <w:highlight w:val="none"/>
                    </w:rPr>
                  </w:pPr>
                </w:p>
              </w:tc>
              <w:tc>
                <w:tcPr>
                  <w:tcW w:w="842" w:type="pct"/>
                  <w:gridSpan w:val="3"/>
                  <w:tcBorders>
                    <w:tl2br w:val="nil"/>
                    <w:tr2bl w:val="nil"/>
                  </w:tcBorders>
                  <w:shd w:val="clear" w:color="auto" w:fill="auto"/>
                  <w:vAlign w:val="center"/>
                </w:tcPr>
                <w:p w14:paraId="305B5740">
                  <w:pPr>
                    <w:adjustRightInd w:val="0"/>
                    <w:snapToGrid w:val="0"/>
                    <w:jc w:val="center"/>
                    <w:rPr>
                      <w:color w:val="auto"/>
                      <w:szCs w:val="21"/>
                      <w:highlight w:val="none"/>
                    </w:rPr>
                  </w:pPr>
                  <w:r>
                    <w:rPr>
                      <w:color w:val="auto"/>
                      <w:szCs w:val="21"/>
                      <w:highlight w:val="none"/>
                    </w:rPr>
                    <w:t>排水</w:t>
                  </w:r>
                </w:p>
              </w:tc>
              <w:tc>
                <w:tcPr>
                  <w:tcW w:w="919" w:type="pct"/>
                  <w:tcBorders>
                    <w:tl2br w:val="nil"/>
                    <w:tr2bl w:val="nil"/>
                  </w:tcBorders>
                  <w:shd w:val="clear" w:color="auto" w:fill="auto"/>
                  <w:vAlign w:val="center"/>
                </w:tcPr>
                <w:p w14:paraId="280C6A1C">
                  <w:pPr>
                    <w:adjustRightInd w:val="0"/>
                    <w:snapToGrid w:val="0"/>
                    <w:jc w:val="center"/>
                    <w:rPr>
                      <w:color w:val="auto"/>
                      <w:szCs w:val="21"/>
                      <w:highlight w:val="none"/>
                    </w:rPr>
                  </w:pPr>
                  <w:r>
                    <w:rPr>
                      <w:color w:val="auto"/>
                      <w:szCs w:val="21"/>
                      <w:highlight w:val="none"/>
                    </w:rPr>
                    <w:t>生活污水</w:t>
                  </w:r>
                  <w:r>
                    <w:rPr>
                      <w:rFonts w:hint="eastAsia"/>
                      <w:color w:val="auto"/>
                      <w:szCs w:val="21"/>
                      <w:highlight w:val="none"/>
                    </w:rPr>
                    <w:t>480</w:t>
                  </w:r>
                  <w:r>
                    <w:rPr>
                      <w:color w:val="auto"/>
                      <w:szCs w:val="21"/>
                      <w:highlight w:val="none"/>
                    </w:rPr>
                    <w:t>t/a</w:t>
                  </w:r>
                  <w:r>
                    <w:rPr>
                      <w:rFonts w:hint="eastAsia"/>
                      <w:color w:val="auto"/>
                      <w:szCs w:val="21"/>
                      <w:highlight w:val="none"/>
                    </w:rPr>
                    <w:t>+纯水制备弃水240t/a+冷却塔排水600t/a、初期雨水收集池排水1549.75t/a</w:t>
                  </w:r>
                </w:p>
              </w:tc>
              <w:tc>
                <w:tcPr>
                  <w:tcW w:w="730" w:type="pct"/>
                  <w:tcBorders>
                    <w:tl2br w:val="nil"/>
                    <w:tr2bl w:val="nil"/>
                  </w:tcBorders>
                  <w:shd w:val="clear" w:color="auto" w:fill="auto"/>
                  <w:vAlign w:val="center"/>
                </w:tcPr>
                <w:p w14:paraId="3115D85C">
                  <w:pPr>
                    <w:adjustRightInd w:val="0"/>
                    <w:snapToGrid w:val="0"/>
                    <w:jc w:val="center"/>
                    <w:rPr>
                      <w:color w:val="auto"/>
                      <w:szCs w:val="21"/>
                      <w:highlight w:val="none"/>
                    </w:rPr>
                  </w:pPr>
                  <w:r>
                    <w:rPr>
                      <w:rFonts w:hint="eastAsia"/>
                      <w:color w:val="auto"/>
                      <w:szCs w:val="21"/>
                      <w:highlight w:val="none"/>
                    </w:rPr>
                    <w:t>生活污水1200t/a+纯水制备弃水240t/a+冷却塔排水600t/a、初期雨水收集池排水154</w:t>
                  </w:r>
                  <w:r>
                    <w:rPr>
                      <w:rFonts w:hint="default"/>
                      <w:color w:val="auto"/>
                      <w:szCs w:val="21"/>
                      <w:highlight w:val="none"/>
                    </w:rPr>
                    <w:t>6</w:t>
                  </w:r>
                  <w:r>
                    <w:rPr>
                      <w:rFonts w:hint="eastAsia"/>
                      <w:color w:val="auto"/>
                      <w:szCs w:val="21"/>
                      <w:highlight w:val="none"/>
                    </w:rPr>
                    <w:t>t/a</w:t>
                  </w:r>
                </w:p>
              </w:tc>
              <w:tc>
                <w:tcPr>
                  <w:tcW w:w="877" w:type="pct"/>
                  <w:tcBorders>
                    <w:tl2br w:val="nil"/>
                    <w:tr2bl w:val="nil"/>
                  </w:tcBorders>
                  <w:shd w:val="clear" w:color="auto" w:fill="auto"/>
                  <w:vAlign w:val="center"/>
                </w:tcPr>
                <w:p w14:paraId="6A81BABF">
                  <w:pPr>
                    <w:adjustRightInd w:val="0"/>
                    <w:snapToGrid w:val="0"/>
                    <w:jc w:val="center"/>
                    <w:rPr>
                      <w:color w:val="auto"/>
                      <w:szCs w:val="21"/>
                      <w:highlight w:val="none"/>
                    </w:rPr>
                  </w:pPr>
                  <w:r>
                    <w:rPr>
                      <w:color w:val="auto"/>
                      <w:szCs w:val="21"/>
                      <w:highlight w:val="none"/>
                    </w:rPr>
                    <w:t>生活污水</w:t>
                  </w:r>
                  <w:r>
                    <w:rPr>
                      <w:rFonts w:hint="eastAsia"/>
                      <w:color w:val="auto"/>
                      <w:szCs w:val="21"/>
                      <w:highlight w:val="none"/>
                    </w:rPr>
                    <w:t>1200</w:t>
                  </w:r>
                  <w:r>
                    <w:rPr>
                      <w:color w:val="auto"/>
                      <w:szCs w:val="21"/>
                      <w:highlight w:val="none"/>
                    </w:rPr>
                    <w:t>t/a</w:t>
                  </w:r>
                  <w:r>
                    <w:rPr>
                      <w:rFonts w:hint="eastAsia"/>
                      <w:color w:val="auto"/>
                      <w:szCs w:val="21"/>
                      <w:highlight w:val="none"/>
                    </w:rPr>
                    <w:t>+纯水制备弃水240t/a+冷却塔排水600t/a、初期雨水收集池排水154</w:t>
                  </w:r>
                  <w:r>
                    <w:rPr>
                      <w:rFonts w:hint="default"/>
                      <w:color w:val="auto"/>
                      <w:szCs w:val="21"/>
                      <w:highlight w:val="none"/>
                    </w:rPr>
                    <w:t>6</w:t>
                  </w:r>
                  <w:r>
                    <w:rPr>
                      <w:rFonts w:hint="eastAsia"/>
                      <w:color w:val="auto"/>
                      <w:szCs w:val="21"/>
                      <w:highlight w:val="none"/>
                    </w:rPr>
                    <w:t>t/a</w:t>
                  </w:r>
                </w:p>
              </w:tc>
              <w:tc>
                <w:tcPr>
                  <w:tcW w:w="1372" w:type="pct"/>
                  <w:tcBorders>
                    <w:tl2br w:val="nil"/>
                    <w:tr2bl w:val="nil"/>
                  </w:tcBorders>
                  <w:shd w:val="clear" w:color="auto" w:fill="auto"/>
                  <w:vAlign w:val="center"/>
                </w:tcPr>
                <w:p w14:paraId="7415372D">
                  <w:pPr>
                    <w:adjustRightInd w:val="0"/>
                    <w:snapToGrid w:val="0"/>
                    <w:jc w:val="center"/>
                    <w:rPr>
                      <w:color w:val="auto"/>
                      <w:szCs w:val="21"/>
                      <w:highlight w:val="none"/>
                    </w:rPr>
                  </w:pPr>
                  <w:r>
                    <w:rPr>
                      <w:rFonts w:hint="eastAsia"/>
                      <w:color w:val="auto"/>
                      <w:szCs w:val="21"/>
                      <w:highlight w:val="none"/>
                    </w:rPr>
                    <w:t>生活污水</w:t>
                  </w:r>
                  <w:r>
                    <w:rPr>
                      <w:color w:val="auto"/>
                      <w:szCs w:val="21"/>
                      <w:highlight w:val="none"/>
                    </w:rPr>
                    <w:t>预处理后</w:t>
                  </w:r>
                  <w:r>
                    <w:rPr>
                      <w:rFonts w:hint="eastAsia"/>
                      <w:color w:val="auto"/>
                      <w:szCs w:val="21"/>
                      <w:highlight w:val="none"/>
                    </w:rPr>
                    <w:t>与纯水制备弃水、冷却塔排水、初期雨水收集池排水一并</w:t>
                  </w:r>
                  <w:r>
                    <w:rPr>
                      <w:color w:val="auto"/>
                      <w:szCs w:val="21"/>
                      <w:highlight w:val="none"/>
                    </w:rPr>
                    <w:t>排入海门东洲水处理有限公司处理</w:t>
                  </w:r>
                </w:p>
              </w:tc>
            </w:tr>
            <w:tr w14:paraId="407BCA0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5D1CD8DB">
                  <w:pPr>
                    <w:adjustRightInd w:val="0"/>
                    <w:snapToGrid w:val="0"/>
                    <w:jc w:val="center"/>
                    <w:rPr>
                      <w:color w:val="auto"/>
                      <w:szCs w:val="21"/>
                      <w:highlight w:val="none"/>
                    </w:rPr>
                  </w:pPr>
                </w:p>
              </w:tc>
              <w:tc>
                <w:tcPr>
                  <w:tcW w:w="842" w:type="pct"/>
                  <w:gridSpan w:val="3"/>
                  <w:tcBorders>
                    <w:tl2br w:val="nil"/>
                    <w:tr2bl w:val="nil"/>
                  </w:tcBorders>
                  <w:vAlign w:val="center"/>
                </w:tcPr>
                <w:p w14:paraId="50822450">
                  <w:pPr>
                    <w:adjustRightInd w:val="0"/>
                    <w:snapToGrid w:val="0"/>
                    <w:jc w:val="center"/>
                    <w:rPr>
                      <w:color w:val="auto"/>
                      <w:szCs w:val="21"/>
                      <w:highlight w:val="none"/>
                    </w:rPr>
                  </w:pPr>
                  <w:r>
                    <w:rPr>
                      <w:color w:val="auto"/>
                      <w:szCs w:val="21"/>
                      <w:highlight w:val="none"/>
                    </w:rPr>
                    <w:t>供电</w:t>
                  </w:r>
                </w:p>
              </w:tc>
              <w:tc>
                <w:tcPr>
                  <w:tcW w:w="919" w:type="pct"/>
                  <w:tcBorders>
                    <w:tl2br w:val="nil"/>
                    <w:tr2bl w:val="nil"/>
                  </w:tcBorders>
                  <w:vAlign w:val="center"/>
                </w:tcPr>
                <w:p w14:paraId="18DE783F">
                  <w:pPr>
                    <w:adjustRightInd w:val="0"/>
                    <w:snapToGrid w:val="0"/>
                    <w:jc w:val="center"/>
                    <w:rPr>
                      <w:color w:val="auto"/>
                      <w:szCs w:val="21"/>
                      <w:highlight w:val="none"/>
                    </w:rPr>
                  </w:pPr>
                  <w:r>
                    <w:rPr>
                      <w:rFonts w:hint="eastAsia"/>
                      <w:color w:val="auto"/>
                      <w:szCs w:val="21"/>
                      <w:highlight w:val="none"/>
                    </w:rPr>
                    <w:t>414</w:t>
                  </w:r>
                  <w:r>
                    <w:rPr>
                      <w:color w:val="auto"/>
                      <w:szCs w:val="21"/>
                      <w:highlight w:val="none"/>
                    </w:rPr>
                    <w:t>万kWh/a</w:t>
                  </w:r>
                </w:p>
              </w:tc>
              <w:tc>
                <w:tcPr>
                  <w:tcW w:w="730" w:type="pct"/>
                  <w:tcBorders>
                    <w:tl2br w:val="nil"/>
                    <w:tr2bl w:val="nil"/>
                  </w:tcBorders>
                  <w:vAlign w:val="center"/>
                </w:tcPr>
                <w:p w14:paraId="4E55D618">
                  <w:pPr>
                    <w:adjustRightInd w:val="0"/>
                    <w:snapToGrid w:val="0"/>
                    <w:jc w:val="center"/>
                    <w:rPr>
                      <w:color w:val="auto"/>
                      <w:szCs w:val="21"/>
                      <w:highlight w:val="none"/>
                    </w:rPr>
                  </w:pPr>
                  <w:r>
                    <w:rPr>
                      <w:rFonts w:hint="eastAsia"/>
                      <w:color w:val="auto"/>
                      <w:szCs w:val="21"/>
                      <w:highlight w:val="none"/>
                    </w:rPr>
                    <w:t>414</w:t>
                  </w:r>
                  <w:r>
                    <w:rPr>
                      <w:color w:val="auto"/>
                      <w:szCs w:val="21"/>
                      <w:highlight w:val="none"/>
                    </w:rPr>
                    <w:t>万kWh/a</w:t>
                  </w:r>
                </w:p>
              </w:tc>
              <w:tc>
                <w:tcPr>
                  <w:tcW w:w="877" w:type="pct"/>
                  <w:tcBorders>
                    <w:tl2br w:val="nil"/>
                    <w:tr2bl w:val="nil"/>
                  </w:tcBorders>
                  <w:vAlign w:val="center"/>
                </w:tcPr>
                <w:p w14:paraId="373CBD87">
                  <w:pPr>
                    <w:adjustRightInd w:val="0"/>
                    <w:snapToGrid w:val="0"/>
                    <w:jc w:val="center"/>
                    <w:rPr>
                      <w:color w:val="auto"/>
                      <w:szCs w:val="21"/>
                      <w:highlight w:val="none"/>
                    </w:rPr>
                  </w:pPr>
                  <w:r>
                    <w:rPr>
                      <w:rStyle w:val="29"/>
                      <w:rFonts w:hint="eastAsia"/>
                      <w:color w:val="auto"/>
                      <w:kern w:val="0"/>
                      <w:szCs w:val="21"/>
                      <w:highlight w:val="none"/>
                    </w:rPr>
                    <w:t>828</w:t>
                  </w:r>
                  <w:r>
                    <w:rPr>
                      <w:rStyle w:val="29"/>
                      <w:rFonts w:hint="eastAsia"/>
                      <w:color w:val="auto"/>
                      <w:kern w:val="0"/>
                      <w:szCs w:val="21"/>
                      <w:highlight w:val="none"/>
                      <w:lang w:val="en-US" w:eastAsia="zh-Hans"/>
                    </w:rPr>
                    <w:t>万</w:t>
                  </w:r>
                  <w:r>
                    <w:rPr>
                      <w:color w:val="auto"/>
                      <w:szCs w:val="21"/>
                      <w:highlight w:val="none"/>
                    </w:rPr>
                    <w:t>kWh/a</w:t>
                  </w:r>
                </w:p>
              </w:tc>
              <w:tc>
                <w:tcPr>
                  <w:tcW w:w="1372" w:type="pct"/>
                  <w:tcBorders>
                    <w:tl2br w:val="nil"/>
                    <w:tr2bl w:val="nil"/>
                  </w:tcBorders>
                  <w:vAlign w:val="center"/>
                </w:tcPr>
                <w:p w14:paraId="1B1C0B08">
                  <w:pPr>
                    <w:adjustRightInd w:val="0"/>
                    <w:snapToGrid w:val="0"/>
                    <w:jc w:val="center"/>
                    <w:rPr>
                      <w:color w:val="auto"/>
                      <w:szCs w:val="21"/>
                      <w:highlight w:val="none"/>
                    </w:rPr>
                  </w:pPr>
                  <w:r>
                    <w:rPr>
                      <w:color w:val="auto"/>
                      <w:szCs w:val="21"/>
                      <w:highlight w:val="none"/>
                    </w:rPr>
                    <w:t>—</w:t>
                  </w:r>
                </w:p>
              </w:tc>
            </w:tr>
            <w:tr w14:paraId="6E008F2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1444613C">
                  <w:pPr>
                    <w:adjustRightInd w:val="0"/>
                    <w:snapToGrid w:val="0"/>
                    <w:jc w:val="center"/>
                    <w:rPr>
                      <w:color w:val="auto"/>
                      <w:szCs w:val="21"/>
                      <w:highlight w:val="none"/>
                    </w:rPr>
                  </w:pPr>
                </w:p>
              </w:tc>
              <w:tc>
                <w:tcPr>
                  <w:tcW w:w="842" w:type="pct"/>
                  <w:gridSpan w:val="3"/>
                  <w:tcBorders>
                    <w:tl2br w:val="nil"/>
                    <w:tr2bl w:val="nil"/>
                  </w:tcBorders>
                  <w:vAlign w:val="center"/>
                </w:tcPr>
                <w:p w14:paraId="7D89224B">
                  <w:pPr>
                    <w:adjustRightInd w:val="0"/>
                    <w:snapToGrid w:val="0"/>
                    <w:jc w:val="center"/>
                    <w:rPr>
                      <w:color w:val="auto"/>
                      <w:szCs w:val="21"/>
                      <w:highlight w:val="none"/>
                    </w:rPr>
                  </w:pPr>
                  <w:r>
                    <w:rPr>
                      <w:rFonts w:hint="eastAsia"/>
                      <w:color w:val="auto"/>
                      <w:szCs w:val="21"/>
                      <w:highlight w:val="none"/>
                    </w:rPr>
                    <w:t>纯水制备系统</w:t>
                  </w:r>
                </w:p>
              </w:tc>
              <w:tc>
                <w:tcPr>
                  <w:tcW w:w="919" w:type="pct"/>
                  <w:tcBorders>
                    <w:tl2br w:val="nil"/>
                    <w:tr2bl w:val="nil"/>
                  </w:tcBorders>
                  <w:vAlign w:val="center"/>
                </w:tcPr>
                <w:p w14:paraId="78F94695">
                  <w:pPr>
                    <w:adjustRightInd w:val="0"/>
                    <w:snapToGrid w:val="0"/>
                    <w:jc w:val="center"/>
                    <w:rPr>
                      <w:color w:val="auto"/>
                      <w:szCs w:val="21"/>
                      <w:highlight w:val="none"/>
                    </w:rPr>
                  </w:pPr>
                  <w:r>
                    <w:rPr>
                      <w:rFonts w:hint="eastAsia"/>
                      <w:color w:val="auto"/>
                      <w:szCs w:val="21"/>
                      <w:highlight w:val="none"/>
                    </w:rPr>
                    <w:t>1套</w:t>
                  </w:r>
                </w:p>
              </w:tc>
              <w:tc>
                <w:tcPr>
                  <w:tcW w:w="730" w:type="pct"/>
                  <w:tcBorders>
                    <w:tl2br w:val="nil"/>
                    <w:tr2bl w:val="nil"/>
                  </w:tcBorders>
                  <w:vAlign w:val="center"/>
                </w:tcPr>
                <w:p w14:paraId="3624E7B4">
                  <w:pPr>
                    <w:adjustRightInd w:val="0"/>
                    <w:snapToGrid w:val="0"/>
                    <w:jc w:val="center"/>
                    <w:rPr>
                      <w:color w:val="auto"/>
                      <w:szCs w:val="21"/>
                      <w:highlight w:val="none"/>
                    </w:rPr>
                  </w:pPr>
                  <w:r>
                    <w:rPr>
                      <w:rFonts w:hint="eastAsia"/>
                      <w:color w:val="auto"/>
                      <w:szCs w:val="21"/>
                      <w:highlight w:val="none"/>
                    </w:rPr>
                    <w:t>—</w:t>
                  </w:r>
                </w:p>
              </w:tc>
              <w:tc>
                <w:tcPr>
                  <w:tcW w:w="877" w:type="pct"/>
                  <w:tcBorders>
                    <w:tl2br w:val="nil"/>
                    <w:tr2bl w:val="nil"/>
                  </w:tcBorders>
                  <w:vAlign w:val="center"/>
                </w:tcPr>
                <w:p w14:paraId="310BBC2A">
                  <w:pPr>
                    <w:adjustRightInd w:val="0"/>
                    <w:snapToGrid w:val="0"/>
                    <w:jc w:val="center"/>
                    <w:rPr>
                      <w:rStyle w:val="29"/>
                      <w:color w:val="auto"/>
                      <w:kern w:val="0"/>
                      <w:szCs w:val="21"/>
                      <w:highlight w:val="none"/>
                    </w:rPr>
                  </w:pPr>
                  <w:r>
                    <w:rPr>
                      <w:rStyle w:val="29"/>
                      <w:rFonts w:hint="eastAsia"/>
                      <w:color w:val="auto"/>
                      <w:kern w:val="0"/>
                      <w:szCs w:val="21"/>
                      <w:highlight w:val="none"/>
                    </w:rPr>
                    <w:t>1套</w:t>
                  </w:r>
                </w:p>
              </w:tc>
              <w:tc>
                <w:tcPr>
                  <w:tcW w:w="1372" w:type="pct"/>
                  <w:tcBorders>
                    <w:tl2br w:val="nil"/>
                    <w:tr2bl w:val="nil"/>
                  </w:tcBorders>
                  <w:vAlign w:val="center"/>
                </w:tcPr>
                <w:p w14:paraId="796038BD">
                  <w:pPr>
                    <w:adjustRightInd w:val="0"/>
                    <w:snapToGrid w:val="0"/>
                    <w:jc w:val="center"/>
                    <w:rPr>
                      <w:color w:val="auto"/>
                      <w:szCs w:val="21"/>
                      <w:highlight w:val="none"/>
                    </w:rPr>
                  </w:pPr>
                  <w:r>
                    <w:rPr>
                      <w:rFonts w:hint="eastAsia"/>
                      <w:color w:val="auto"/>
                      <w:szCs w:val="21"/>
                      <w:highlight w:val="none"/>
                    </w:rPr>
                    <w:t>现有项目有一台纯水制备设备，纯水制备能力较小，只能满足现有项目，因此本次扩建项目使用纯水直接外购</w:t>
                  </w:r>
                </w:p>
              </w:tc>
            </w:tr>
            <w:tr w14:paraId="3FDDCA2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6E66F1A6">
                  <w:pPr>
                    <w:adjustRightInd w:val="0"/>
                    <w:snapToGrid w:val="0"/>
                    <w:jc w:val="center"/>
                    <w:rPr>
                      <w:color w:val="auto"/>
                      <w:szCs w:val="21"/>
                      <w:highlight w:val="none"/>
                    </w:rPr>
                  </w:pPr>
                </w:p>
              </w:tc>
              <w:tc>
                <w:tcPr>
                  <w:tcW w:w="842" w:type="pct"/>
                  <w:gridSpan w:val="3"/>
                  <w:tcBorders>
                    <w:tl2br w:val="nil"/>
                    <w:tr2bl w:val="nil"/>
                  </w:tcBorders>
                  <w:vAlign w:val="center"/>
                </w:tcPr>
                <w:p w14:paraId="016A97E7">
                  <w:pPr>
                    <w:adjustRightInd w:val="0"/>
                    <w:snapToGrid w:val="0"/>
                    <w:jc w:val="center"/>
                    <w:rPr>
                      <w:color w:val="auto"/>
                      <w:szCs w:val="21"/>
                      <w:highlight w:val="none"/>
                    </w:rPr>
                  </w:pPr>
                  <w:r>
                    <w:rPr>
                      <w:rFonts w:hint="eastAsia"/>
                      <w:color w:val="auto"/>
                      <w:szCs w:val="21"/>
                      <w:highlight w:val="none"/>
                    </w:rPr>
                    <w:t>冷却</w:t>
                  </w:r>
                  <w:r>
                    <w:rPr>
                      <w:rFonts w:hint="eastAsia"/>
                      <w:color w:val="auto"/>
                      <w:szCs w:val="21"/>
                      <w:highlight w:val="none"/>
                      <w:lang w:val="en-US" w:eastAsia="zh-Hans"/>
                    </w:rPr>
                    <w:t>塔</w:t>
                  </w:r>
                </w:p>
              </w:tc>
              <w:tc>
                <w:tcPr>
                  <w:tcW w:w="919" w:type="pct"/>
                  <w:tcBorders>
                    <w:tl2br w:val="nil"/>
                    <w:tr2bl w:val="nil"/>
                  </w:tcBorders>
                  <w:vAlign w:val="center"/>
                </w:tcPr>
                <w:p w14:paraId="0B7EB001">
                  <w:pPr>
                    <w:adjustRightInd w:val="0"/>
                    <w:snapToGrid w:val="0"/>
                    <w:jc w:val="center"/>
                    <w:rPr>
                      <w:rFonts w:hint="eastAsia" w:eastAsia="宋体"/>
                      <w:color w:val="auto"/>
                      <w:szCs w:val="21"/>
                      <w:highlight w:val="none"/>
                      <w:lang w:eastAsia="zh-Hans"/>
                    </w:rPr>
                  </w:pPr>
                  <w:r>
                    <w:rPr>
                      <w:rFonts w:hint="eastAsia"/>
                      <w:color w:val="auto"/>
                      <w:szCs w:val="21"/>
                      <w:highlight w:val="none"/>
                      <w:lang w:eastAsia="zh-Hans"/>
                    </w:rPr>
                    <w:t>—</w:t>
                  </w:r>
                </w:p>
              </w:tc>
              <w:tc>
                <w:tcPr>
                  <w:tcW w:w="730" w:type="pct"/>
                  <w:tcBorders>
                    <w:tl2br w:val="nil"/>
                    <w:tr2bl w:val="nil"/>
                  </w:tcBorders>
                  <w:vAlign w:val="center"/>
                </w:tcPr>
                <w:p w14:paraId="07E41422">
                  <w:pPr>
                    <w:adjustRightInd w:val="0"/>
                    <w:snapToGrid w:val="0"/>
                    <w:jc w:val="center"/>
                    <w:rPr>
                      <w:color w:val="auto"/>
                      <w:szCs w:val="21"/>
                      <w:highlight w:val="none"/>
                    </w:rPr>
                  </w:pPr>
                  <w:r>
                    <w:rPr>
                      <w:rFonts w:hint="eastAsia"/>
                      <w:color w:val="auto"/>
                      <w:szCs w:val="21"/>
                      <w:highlight w:val="none"/>
                    </w:rPr>
                    <w:t>1台</w:t>
                  </w:r>
                </w:p>
              </w:tc>
              <w:tc>
                <w:tcPr>
                  <w:tcW w:w="877" w:type="pct"/>
                  <w:tcBorders>
                    <w:tl2br w:val="nil"/>
                    <w:tr2bl w:val="nil"/>
                  </w:tcBorders>
                  <w:vAlign w:val="center"/>
                </w:tcPr>
                <w:p w14:paraId="67193D3A">
                  <w:pPr>
                    <w:adjustRightInd w:val="0"/>
                    <w:snapToGrid w:val="0"/>
                    <w:jc w:val="center"/>
                    <w:rPr>
                      <w:rStyle w:val="29"/>
                      <w:color w:val="auto"/>
                      <w:kern w:val="0"/>
                      <w:szCs w:val="21"/>
                      <w:highlight w:val="none"/>
                      <w:lang w:val="zh-CN"/>
                    </w:rPr>
                  </w:pPr>
                  <w:r>
                    <w:rPr>
                      <w:rFonts w:hint="eastAsia"/>
                      <w:color w:val="auto"/>
                      <w:szCs w:val="21"/>
                      <w:highlight w:val="none"/>
                    </w:rPr>
                    <w:t>1台</w:t>
                  </w:r>
                </w:p>
              </w:tc>
              <w:tc>
                <w:tcPr>
                  <w:tcW w:w="1372" w:type="pct"/>
                  <w:tcBorders>
                    <w:tl2br w:val="nil"/>
                    <w:tr2bl w:val="nil"/>
                  </w:tcBorders>
                  <w:vAlign w:val="center"/>
                </w:tcPr>
                <w:p w14:paraId="6A1A1F05">
                  <w:pPr>
                    <w:adjustRightInd w:val="0"/>
                    <w:snapToGrid w:val="0"/>
                    <w:jc w:val="center"/>
                    <w:rPr>
                      <w:color w:val="auto"/>
                      <w:szCs w:val="21"/>
                      <w:highlight w:val="none"/>
                    </w:rPr>
                  </w:pPr>
                  <w:r>
                    <w:rPr>
                      <w:rFonts w:hint="eastAsia"/>
                      <w:color w:val="auto"/>
                      <w:szCs w:val="21"/>
                      <w:highlight w:val="none"/>
                      <w:lang w:val="en-US" w:eastAsia="zh-Hans"/>
                    </w:rPr>
                    <w:t>本次新增（已建）</w:t>
                  </w:r>
                </w:p>
              </w:tc>
            </w:tr>
            <w:tr w14:paraId="0539BF4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63F9E6CD">
                  <w:pPr>
                    <w:adjustRightInd w:val="0"/>
                    <w:snapToGrid w:val="0"/>
                    <w:jc w:val="center"/>
                    <w:rPr>
                      <w:color w:val="auto"/>
                      <w:szCs w:val="21"/>
                      <w:highlight w:val="none"/>
                    </w:rPr>
                  </w:pPr>
                </w:p>
              </w:tc>
              <w:tc>
                <w:tcPr>
                  <w:tcW w:w="842" w:type="pct"/>
                  <w:gridSpan w:val="3"/>
                  <w:tcBorders>
                    <w:tl2br w:val="nil"/>
                    <w:tr2bl w:val="nil"/>
                  </w:tcBorders>
                  <w:vAlign w:val="center"/>
                </w:tcPr>
                <w:p w14:paraId="13D92134">
                  <w:pPr>
                    <w:adjustRightInd w:val="0"/>
                    <w:snapToGrid w:val="0"/>
                    <w:jc w:val="center"/>
                    <w:rPr>
                      <w:color w:val="auto"/>
                      <w:szCs w:val="21"/>
                      <w:highlight w:val="none"/>
                    </w:rPr>
                  </w:pPr>
                  <w:r>
                    <w:rPr>
                      <w:rFonts w:hint="eastAsia"/>
                      <w:color w:val="auto"/>
                      <w:szCs w:val="21"/>
                      <w:highlight w:val="none"/>
                    </w:rPr>
                    <w:t>空压机</w:t>
                  </w:r>
                </w:p>
              </w:tc>
              <w:tc>
                <w:tcPr>
                  <w:tcW w:w="919" w:type="pct"/>
                  <w:tcBorders>
                    <w:tl2br w:val="nil"/>
                    <w:tr2bl w:val="nil"/>
                  </w:tcBorders>
                  <w:vAlign w:val="center"/>
                </w:tcPr>
                <w:p w14:paraId="2193F225">
                  <w:pPr>
                    <w:adjustRightInd w:val="0"/>
                    <w:snapToGrid w:val="0"/>
                    <w:jc w:val="center"/>
                    <w:rPr>
                      <w:color w:val="auto"/>
                      <w:szCs w:val="21"/>
                      <w:highlight w:val="none"/>
                    </w:rPr>
                  </w:pPr>
                  <w:r>
                    <w:rPr>
                      <w:rFonts w:hint="eastAsia"/>
                      <w:color w:val="auto"/>
                      <w:szCs w:val="21"/>
                      <w:highlight w:val="none"/>
                    </w:rPr>
                    <w:t>—</w:t>
                  </w:r>
                </w:p>
              </w:tc>
              <w:tc>
                <w:tcPr>
                  <w:tcW w:w="730" w:type="pct"/>
                  <w:tcBorders>
                    <w:tl2br w:val="nil"/>
                    <w:tr2bl w:val="nil"/>
                  </w:tcBorders>
                  <w:vAlign w:val="center"/>
                </w:tcPr>
                <w:p w14:paraId="1BA4210F">
                  <w:pPr>
                    <w:adjustRightInd w:val="0"/>
                    <w:snapToGrid w:val="0"/>
                    <w:jc w:val="center"/>
                    <w:rPr>
                      <w:color w:val="auto"/>
                      <w:szCs w:val="21"/>
                      <w:highlight w:val="none"/>
                    </w:rPr>
                  </w:pPr>
                  <w:r>
                    <w:rPr>
                      <w:rFonts w:hint="eastAsia"/>
                      <w:color w:val="auto"/>
                      <w:szCs w:val="21"/>
                      <w:highlight w:val="none"/>
                    </w:rPr>
                    <w:t>1台</w:t>
                  </w:r>
                </w:p>
              </w:tc>
              <w:tc>
                <w:tcPr>
                  <w:tcW w:w="877" w:type="pct"/>
                  <w:tcBorders>
                    <w:tl2br w:val="nil"/>
                    <w:tr2bl w:val="nil"/>
                  </w:tcBorders>
                  <w:vAlign w:val="center"/>
                </w:tcPr>
                <w:p w14:paraId="1F5A7CDA">
                  <w:pPr>
                    <w:adjustRightInd w:val="0"/>
                    <w:snapToGrid w:val="0"/>
                    <w:jc w:val="center"/>
                    <w:rPr>
                      <w:rStyle w:val="29"/>
                      <w:color w:val="auto"/>
                      <w:kern w:val="0"/>
                      <w:szCs w:val="21"/>
                      <w:highlight w:val="none"/>
                    </w:rPr>
                  </w:pPr>
                  <w:r>
                    <w:rPr>
                      <w:rStyle w:val="29"/>
                      <w:rFonts w:hint="eastAsia"/>
                      <w:color w:val="auto"/>
                      <w:kern w:val="0"/>
                      <w:szCs w:val="21"/>
                      <w:highlight w:val="none"/>
                    </w:rPr>
                    <w:t>1台</w:t>
                  </w:r>
                </w:p>
              </w:tc>
              <w:tc>
                <w:tcPr>
                  <w:tcW w:w="1372" w:type="pct"/>
                  <w:tcBorders>
                    <w:tl2br w:val="nil"/>
                    <w:tr2bl w:val="nil"/>
                  </w:tcBorders>
                  <w:vAlign w:val="center"/>
                </w:tcPr>
                <w:p w14:paraId="17E7F6B7">
                  <w:pPr>
                    <w:adjustRightInd w:val="0"/>
                    <w:snapToGrid w:val="0"/>
                    <w:jc w:val="center"/>
                    <w:rPr>
                      <w:color w:val="auto"/>
                      <w:szCs w:val="21"/>
                      <w:highlight w:val="none"/>
                    </w:rPr>
                  </w:pPr>
                  <w:r>
                    <w:rPr>
                      <w:rFonts w:hint="eastAsia"/>
                      <w:color w:val="auto"/>
                      <w:szCs w:val="21"/>
                      <w:highlight w:val="none"/>
                    </w:rPr>
                    <w:t>新增1台空压机</w:t>
                  </w:r>
                </w:p>
              </w:tc>
            </w:tr>
            <w:tr w14:paraId="745D19A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tcBorders>
                    <w:tl2br w:val="nil"/>
                    <w:tr2bl w:val="nil"/>
                  </w:tcBorders>
                  <w:vAlign w:val="center"/>
                </w:tcPr>
                <w:p w14:paraId="0776F651">
                  <w:pPr>
                    <w:adjustRightInd w:val="0"/>
                    <w:snapToGrid w:val="0"/>
                    <w:jc w:val="center"/>
                    <w:rPr>
                      <w:color w:val="auto"/>
                      <w:szCs w:val="21"/>
                      <w:highlight w:val="none"/>
                    </w:rPr>
                  </w:pPr>
                  <w:r>
                    <w:rPr>
                      <w:color w:val="auto"/>
                      <w:szCs w:val="21"/>
                      <w:highlight w:val="none"/>
                    </w:rPr>
                    <w:t>环保工程</w:t>
                  </w:r>
                </w:p>
              </w:tc>
              <w:tc>
                <w:tcPr>
                  <w:tcW w:w="128" w:type="pct"/>
                  <w:vMerge w:val="restart"/>
                  <w:tcBorders>
                    <w:tl2br w:val="nil"/>
                    <w:tr2bl w:val="nil"/>
                  </w:tcBorders>
                  <w:vAlign w:val="center"/>
                </w:tcPr>
                <w:p w14:paraId="12651B5A">
                  <w:pPr>
                    <w:adjustRightInd w:val="0"/>
                    <w:snapToGrid w:val="0"/>
                    <w:jc w:val="center"/>
                    <w:rPr>
                      <w:color w:val="auto"/>
                      <w:szCs w:val="21"/>
                      <w:highlight w:val="none"/>
                    </w:rPr>
                  </w:pPr>
                  <w:r>
                    <w:rPr>
                      <w:color w:val="auto"/>
                      <w:szCs w:val="21"/>
                      <w:highlight w:val="none"/>
                    </w:rPr>
                    <w:t>废气</w:t>
                  </w:r>
                </w:p>
              </w:tc>
              <w:tc>
                <w:tcPr>
                  <w:tcW w:w="188" w:type="pct"/>
                  <w:vMerge w:val="restart"/>
                  <w:tcBorders>
                    <w:tl2br w:val="nil"/>
                    <w:tr2bl w:val="nil"/>
                  </w:tcBorders>
                  <w:vAlign w:val="center"/>
                </w:tcPr>
                <w:p w14:paraId="0AFE24AD">
                  <w:pPr>
                    <w:adjustRightInd w:val="0"/>
                    <w:snapToGrid w:val="0"/>
                    <w:jc w:val="center"/>
                    <w:rPr>
                      <w:color w:val="auto"/>
                      <w:szCs w:val="21"/>
                      <w:highlight w:val="none"/>
                    </w:rPr>
                  </w:pPr>
                  <w:r>
                    <w:rPr>
                      <w:bCs/>
                      <w:color w:val="auto"/>
                      <w:szCs w:val="21"/>
                      <w:highlight w:val="none"/>
                    </w:rPr>
                    <w:t>FG270电机</w:t>
                  </w:r>
                </w:p>
              </w:tc>
              <w:tc>
                <w:tcPr>
                  <w:tcW w:w="526" w:type="pct"/>
                  <w:tcBorders>
                    <w:tl2br w:val="nil"/>
                    <w:tr2bl w:val="nil"/>
                  </w:tcBorders>
                  <w:vAlign w:val="center"/>
                </w:tcPr>
                <w:p w14:paraId="77080D45">
                  <w:pPr>
                    <w:adjustRightInd w:val="0"/>
                    <w:snapToGrid w:val="0"/>
                    <w:jc w:val="center"/>
                    <w:rPr>
                      <w:rFonts w:hAnsi="宋体"/>
                      <w:color w:val="auto"/>
                      <w:kern w:val="0"/>
                      <w:szCs w:val="21"/>
                      <w:highlight w:val="none"/>
                    </w:rPr>
                  </w:pPr>
                  <w:r>
                    <w:rPr>
                      <w:rFonts w:hAnsi="宋体"/>
                      <w:color w:val="auto"/>
                      <w:kern w:val="0"/>
                      <w:szCs w:val="21"/>
                      <w:highlight w:val="none"/>
                    </w:rPr>
                    <w:t>点胶、注胶、固化</w:t>
                  </w:r>
                </w:p>
              </w:tc>
              <w:tc>
                <w:tcPr>
                  <w:tcW w:w="919" w:type="pct"/>
                  <w:tcBorders>
                    <w:tl2br w:val="nil"/>
                    <w:tr2bl w:val="nil"/>
                  </w:tcBorders>
                  <w:vAlign w:val="center"/>
                </w:tcPr>
                <w:p w14:paraId="4CB20F12">
                  <w:pPr>
                    <w:adjustRightInd w:val="0"/>
                    <w:snapToGrid w:val="0"/>
                    <w:jc w:val="center"/>
                    <w:rPr>
                      <w:color w:val="auto"/>
                      <w:szCs w:val="21"/>
                      <w:highlight w:val="none"/>
                    </w:rPr>
                  </w:pPr>
                  <w:r>
                    <w:rPr>
                      <w:color w:val="auto"/>
                      <w:szCs w:val="21"/>
                      <w:highlight w:val="none"/>
                    </w:rPr>
                    <w:t>UV光解氧化+活性炭吸附</w:t>
                  </w:r>
                </w:p>
                <w:p w14:paraId="005CD207">
                  <w:pPr>
                    <w:adjustRightInd w:val="0"/>
                    <w:snapToGrid w:val="0"/>
                    <w:jc w:val="center"/>
                    <w:rPr>
                      <w:color w:val="auto"/>
                      <w:szCs w:val="21"/>
                      <w:highlight w:val="none"/>
                    </w:rPr>
                  </w:pPr>
                  <w:r>
                    <w:rPr>
                      <w:color w:val="auto"/>
                      <w:szCs w:val="21"/>
                      <w:highlight w:val="none"/>
                    </w:rPr>
                    <w:t>4000m</w:t>
                  </w:r>
                  <w:r>
                    <w:rPr>
                      <w:color w:val="auto"/>
                      <w:szCs w:val="21"/>
                      <w:highlight w:val="none"/>
                      <w:vertAlign w:val="superscript"/>
                    </w:rPr>
                    <w:t>3</w:t>
                  </w:r>
                  <w:r>
                    <w:rPr>
                      <w:color w:val="auto"/>
                      <w:szCs w:val="21"/>
                      <w:highlight w:val="none"/>
                    </w:rPr>
                    <w:t>/h</w:t>
                  </w:r>
                </w:p>
              </w:tc>
              <w:tc>
                <w:tcPr>
                  <w:tcW w:w="730" w:type="pct"/>
                  <w:tcBorders>
                    <w:tl2br w:val="nil"/>
                    <w:tr2bl w:val="nil"/>
                  </w:tcBorders>
                  <w:vAlign w:val="center"/>
                </w:tcPr>
                <w:p w14:paraId="48F59593">
                  <w:pPr>
                    <w:adjustRightInd w:val="0"/>
                    <w:snapToGrid w:val="0"/>
                    <w:jc w:val="center"/>
                    <w:rPr>
                      <w:color w:val="auto"/>
                      <w:szCs w:val="21"/>
                      <w:highlight w:val="none"/>
                    </w:rPr>
                  </w:pPr>
                  <w:r>
                    <w:rPr>
                      <w:rFonts w:hint="eastAsia"/>
                      <w:color w:val="auto"/>
                      <w:szCs w:val="21"/>
                      <w:highlight w:val="none"/>
                    </w:rPr>
                    <w:t>—</w:t>
                  </w:r>
                </w:p>
              </w:tc>
              <w:tc>
                <w:tcPr>
                  <w:tcW w:w="877" w:type="pct"/>
                  <w:tcBorders>
                    <w:tl2br w:val="nil"/>
                    <w:tr2bl w:val="nil"/>
                  </w:tcBorders>
                  <w:vAlign w:val="center"/>
                </w:tcPr>
                <w:p w14:paraId="12718B27">
                  <w:pPr>
                    <w:adjustRightInd w:val="0"/>
                    <w:snapToGrid w:val="0"/>
                    <w:jc w:val="center"/>
                    <w:rPr>
                      <w:color w:val="auto"/>
                      <w:szCs w:val="21"/>
                      <w:highlight w:val="none"/>
                    </w:rPr>
                  </w:pPr>
                  <w:r>
                    <w:rPr>
                      <w:rFonts w:hint="eastAsia"/>
                      <w:color w:val="auto"/>
                      <w:szCs w:val="21"/>
                      <w:highlight w:val="none"/>
                      <w:lang w:val="en-US" w:eastAsia="zh-Hans"/>
                    </w:rPr>
                    <w:t>三</w:t>
                  </w:r>
                  <w:r>
                    <w:rPr>
                      <w:rFonts w:hint="eastAsia"/>
                      <w:color w:val="auto"/>
                      <w:szCs w:val="21"/>
                      <w:highlight w:val="none"/>
                    </w:rPr>
                    <w:t>级</w:t>
                  </w:r>
                  <w:r>
                    <w:rPr>
                      <w:color w:val="auto"/>
                      <w:szCs w:val="21"/>
                      <w:highlight w:val="none"/>
                    </w:rPr>
                    <w:t>活性炭吸附</w:t>
                  </w:r>
                </w:p>
                <w:p w14:paraId="75421E1A">
                  <w:pPr>
                    <w:adjustRightInd w:val="0"/>
                    <w:snapToGrid w:val="0"/>
                    <w:jc w:val="center"/>
                    <w:rPr>
                      <w:color w:val="auto"/>
                      <w:szCs w:val="21"/>
                      <w:highlight w:val="none"/>
                    </w:rPr>
                  </w:pPr>
                  <w:r>
                    <w:rPr>
                      <w:rFonts w:hint="eastAsia"/>
                      <w:color w:val="auto"/>
                      <w:szCs w:val="21"/>
                      <w:highlight w:val="none"/>
                    </w:rPr>
                    <w:t>10</w:t>
                  </w:r>
                  <w:r>
                    <w:rPr>
                      <w:color w:val="auto"/>
                      <w:szCs w:val="21"/>
                      <w:highlight w:val="none"/>
                    </w:rPr>
                    <w:t>000m</w:t>
                  </w:r>
                  <w:r>
                    <w:rPr>
                      <w:color w:val="auto"/>
                      <w:szCs w:val="21"/>
                      <w:highlight w:val="none"/>
                      <w:vertAlign w:val="superscript"/>
                    </w:rPr>
                    <w:t>3</w:t>
                  </w:r>
                  <w:r>
                    <w:rPr>
                      <w:color w:val="auto"/>
                      <w:szCs w:val="21"/>
                      <w:highlight w:val="none"/>
                    </w:rPr>
                    <w:t>/h</w:t>
                  </w:r>
                </w:p>
              </w:tc>
              <w:tc>
                <w:tcPr>
                  <w:tcW w:w="1372" w:type="pct"/>
                  <w:tcBorders>
                    <w:tl2br w:val="nil"/>
                    <w:tr2bl w:val="nil"/>
                  </w:tcBorders>
                  <w:vAlign w:val="center"/>
                </w:tcPr>
                <w:p w14:paraId="683AD5C4">
                  <w:pPr>
                    <w:adjustRightInd w:val="0"/>
                    <w:snapToGrid w:val="0"/>
                    <w:jc w:val="center"/>
                    <w:rPr>
                      <w:color w:val="auto"/>
                      <w:szCs w:val="21"/>
                      <w:highlight w:val="none"/>
                    </w:rPr>
                  </w:pPr>
                  <w:r>
                    <w:rPr>
                      <w:rStyle w:val="29"/>
                      <w:rFonts w:hint="eastAsia"/>
                      <w:color w:val="auto"/>
                      <w:kern w:val="0"/>
                      <w:szCs w:val="21"/>
                      <w:highlight w:val="none"/>
                      <w:lang w:val="en-US" w:eastAsia="zh-Hans"/>
                    </w:rPr>
                    <w:t>废气处理设施经“以新带老”措施更新为</w:t>
                  </w:r>
                  <w:r>
                    <w:rPr>
                      <w:rFonts w:hint="eastAsia"/>
                      <w:color w:val="auto"/>
                      <w:szCs w:val="21"/>
                      <w:highlight w:val="none"/>
                      <w:lang w:val="en-US" w:eastAsia="zh-Hans"/>
                    </w:rPr>
                    <w:t>三</w:t>
                  </w:r>
                  <w:r>
                    <w:rPr>
                      <w:rFonts w:hint="eastAsia"/>
                      <w:color w:val="auto"/>
                      <w:szCs w:val="21"/>
                      <w:highlight w:val="none"/>
                    </w:rPr>
                    <w:t>级</w:t>
                  </w:r>
                  <w:r>
                    <w:rPr>
                      <w:color w:val="auto"/>
                      <w:szCs w:val="21"/>
                      <w:highlight w:val="none"/>
                    </w:rPr>
                    <w:t>活性炭吸附</w:t>
                  </w:r>
                  <w:r>
                    <w:rPr>
                      <w:rFonts w:hint="eastAsia"/>
                      <w:color w:val="auto"/>
                      <w:szCs w:val="21"/>
                      <w:highlight w:val="none"/>
                      <w:lang w:val="en-US" w:eastAsia="zh-Hans"/>
                    </w:rPr>
                    <w:t>装置</w:t>
                  </w:r>
                  <w:r>
                    <w:rPr>
                      <w:rFonts w:hint="default"/>
                      <w:color w:val="auto"/>
                      <w:szCs w:val="21"/>
                      <w:highlight w:val="none"/>
                      <w:lang w:eastAsia="zh-Hans"/>
                    </w:rPr>
                    <w:t>+</w:t>
                  </w:r>
                  <w:r>
                    <w:rPr>
                      <w:rFonts w:hint="eastAsia"/>
                      <w:color w:val="auto"/>
                      <w:szCs w:val="21"/>
                      <w:highlight w:val="none"/>
                      <w:lang w:val="en-US" w:eastAsia="zh-Hans"/>
                    </w:rPr>
                    <w:t>现有排气筒FQ</w:t>
                  </w:r>
                  <w:r>
                    <w:rPr>
                      <w:rFonts w:hint="default"/>
                      <w:color w:val="auto"/>
                      <w:szCs w:val="21"/>
                      <w:highlight w:val="none"/>
                      <w:lang w:eastAsia="zh-Hans"/>
                    </w:rPr>
                    <w:t>-1</w:t>
                  </w:r>
                </w:p>
              </w:tc>
            </w:tr>
            <w:tr w14:paraId="35F7974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0DA7CD72">
                  <w:pPr>
                    <w:adjustRightInd w:val="0"/>
                    <w:snapToGrid w:val="0"/>
                    <w:jc w:val="center"/>
                    <w:rPr>
                      <w:color w:val="auto"/>
                      <w:szCs w:val="21"/>
                      <w:highlight w:val="none"/>
                    </w:rPr>
                  </w:pPr>
                </w:p>
              </w:tc>
              <w:tc>
                <w:tcPr>
                  <w:tcW w:w="128" w:type="pct"/>
                  <w:vMerge w:val="continue"/>
                  <w:tcBorders>
                    <w:tl2br w:val="nil"/>
                    <w:tr2bl w:val="nil"/>
                  </w:tcBorders>
                  <w:vAlign w:val="center"/>
                </w:tcPr>
                <w:p w14:paraId="7C71E144">
                  <w:pPr>
                    <w:adjustRightInd w:val="0"/>
                    <w:snapToGrid w:val="0"/>
                    <w:jc w:val="center"/>
                    <w:rPr>
                      <w:color w:val="auto"/>
                      <w:szCs w:val="21"/>
                      <w:highlight w:val="none"/>
                    </w:rPr>
                  </w:pPr>
                </w:p>
              </w:tc>
              <w:tc>
                <w:tcPr>
                  <w:tcW w:w="188" w:type="pct"/>
                  <w:vMerge w:val="continue"/>
                  <w:tcBorders>
                    <w:tl2br w:val="nil"/>
                    <w:tr2bl w:val="nil"/>
                  </w:tcBorders>
                  <w:vAlign w:val="center"/>
                </w:tcPr>
                <w:p w14:paraId="03B94CE9">
                  <w:pPr>
                    <w:adjustRightInd w:val="0"/>
                    <w:snapToGrid w:val="0"/>
                    <w:jc w:val="center"/>
                    <w:rPr>
                      <w:color w:val="auto"/>
                      <w:szCs w:val="21"/>
                      <w:highlight w:val="none"/>
                    </w:rPr>
                  </w:pPr>
                </w:p>
              </w:tc>
              <w:tc>
                <w:tcPr>
                  <w:tcW w:w="526" w:type="pct"/>
                  <w:tcBorders>
                    <w:tl2br w:val="nil"/>
                    <w:tr2bl w:val="nil"/>
                  </w:tcBorders>
                  <w:vAlign w:val="center"/>
                </w:tcPr>
                <w:p w14:paraId="457CD2A2">
                  <w:pPr>
                    <w:adjustRightInd w:val="0"/>
                    <w:snapToGrid w:val="0"/>
                    <w:jc w:val="center"/>
                    <w:rPr>
                      <w:color w:val="auto"/>
                      <w:szCs w:val="21"/>
                      <w:highlight w:val="none"/>
                    </w:rPr>
                  </w:pPr>
                  <w:r>
                    <w:rPr>
                      <w:rFonts w:hint="eastAsia"/>
                      <w:color w:val="auto"/>
                      <w:szCs w:val="21"/>
                      <w:highlight w:val="none"/>
                    </w:rPr>
                    <w:t>焊接</w:t>
                  </w:r>
                </w:p>
              </w:tc>
              <w:tc>
                <w:tcPr>
                  <w:tcW w:w="919" w:type="pct"/>
                  <w:tcBorders>
                    <w:tl2br w:val="nil"/>
                    <w:tr2bl w:val="nil"/>
                  </w:tcBorders>
                  <w:vAlign w:val="center"/>
                </w:tcPr>
                <w:p w14:paraId="29BCA965">
                  <w:pPr>
                    <w:adjustRightInd w:val="0"/>
                    <w:snapToGrid w:val="0"/>
                    <w:jc w:val="center"/>
                    <w:rPr>
                      <w:color w:val="auto"/>
                      <w:szCs w:val="21"/>
                      <w:highlight w:val="none"/>
                    </w:rPr>
                  </w:pPr>
                  <w:r>
                    <w:rPr>
                      <w:rFonts w:hint="eastAsia"/>
                      <w:color w:val="auto"/>
                      <w:szCs w:val="21"/>
                      <w:highlight w:val="none"/>
                    </w:rPr>
                    <w:t>移动式焊接烟尘净化器</w:t>
                  </w:r>
                </w:p>
                <w:p w14:paraId="6B7C6D75">
                  <w:pPr>
                    <w:pStyle w:val="5"/>
                    <w:adjustRightInd w:val="0"/>
                    <w:spacing w:before="0" w:after="0" w:line="240" w:lineRule="auto"/>
                    <w:ind w:right="0"/>
                    <w:jc w:val="center"/>
                    <w:rPr>
                      <w:color w:val="auto"/>
                      <w:sz w:val="21"/>
                      <w:szCs w:val="21"/>
                      <w:highlight w:val="none"/>
                      <w:lang w:val="en-US"/>
                    </w:rPr>
                  </w:pPr>
                  <w:r>
                    <w:rPr>
                      <w:rFonts w:hint="eastAsia"/>
                      <w:color w:val="auto"/>
                      <w:sz w:val="21"/>
                      <w:szCs w:val="21"/>
                      <w:highlight w:val="none"/>
                      <w:lang w:val="en-US"/>
                    </w:rPr>
                    <w:t>200</w:t>
                  </w:r>
                  <w:r>
                    <w:rPr>
                      <w:color w:val="auto"/>
                      <w:sz w:val="21"/>
                      <w:szCs w:val="21"/>
                      <w:highlight w:val="none"/>
                    </w:rPr>
                    <w:t>0m</w:t>
                  </w:r>
                  <w:r>
                    <w:rPr>
                      <w:color w:val="auto"/>
                      <w:sz w:val="21"/>
                      <w:szCs w:val="21"/>
                      <w:highlight w:val="none"/>
                      <w:vertAlign w:val="superscript"/>
                    </w:rPr>
                    <w:t>3</w:t>
                  </w:r>
                  <w:r>
                    <w:rPr>
                      <w:color w:val="auto"/>
                      <w:sz w:val="21"/>
                      <w:szCs w:val="21"/>
                      <w:highlight w:val="none"/>
                    </w:rPr>
                    <w:t>/h</w:t>
                  </w:r>
                </w:p>
              </w:tc>
              <w:tc>
                <w:tcPr>
                  <w:tcW w:w="730" w:type="pct"/>
                  <w:tcBorders>
                    <w:tl2br w:val="nil"/>
                    <w:tr2bl w:val="nil"/>
                  </w:tcBorders>
                  <w:vAlign w:val="center"/>
                </w:tcPr>
                <w:p w14:paraId="48619A04">
                  <w:pPr>
                    <w:pStyle w:val="5"/>
                    <w:adjustRightInd w:val="0"/>
                    <w:spacing w:before="0" w:after="0" w:line="240" w:lineRule="auto"/>
                    <w:ind w:right="0"/>
                    <w:jc w:val="center"/>
                    <w:rPr>
                      <w:color w:val="auto"/>
                      <w:sz w:val="21"/>
                      <w:szCs w:val="21"/>
                      <w:highlight w:val="none"/>
                    </w:rPr>
                  </w:pPr>
                  <w:r>
                    <w:rPr>
                      <w:rFonts w:hint="eastAsia"/>
                      <w:color w:val="auto"/>
                      <w:sz w:val="21"/>
                      <w:szCs w:val="21"/>
                      <w:highlight w:val="none"/>
                    </w:rPr>
                    <w:t>—</w:t>
                  </w:r>
                </w:p>
              </w:tc>
              <w:tc>
                <w:tcPr>
                  <w:tcW w:w="877" w:type="pct"/>
                  <w:tcBorders>
                    <w:tl2br w:val="nil"/>
                    <w:tr2bl w:val="nil"/>
                  </w:tcBorders>
                  <w:vAlign w:val="center"/>
                </w:tcPr>
                <w:p w14:paraId="7AE05113">
                  <w:pPr>
                    <w:adjustRightInd w:val="0"/>
                    <w:snapToGrid w:val="0"/>
                    <w:jc w:val="center"/>
                    <w:rPr>
                      <w:color w:val="auto"/>
                      <w:szCs w:val="21"/>
                      <w:highlight w:val="none"/>
                    </w:rPr>
                  </w:pPr>
                  <w:r>
                    <w:rPr>
                      <w:rFonts w:hint="eastAsia"/>
                      <w:color w:val="auto"/>
                      <w:szCs w:val="21"/>
                      <w:highlight w:val="none"/>
                    </w:rPr>
                    <w:t>移动式焊接烟尘净化器</w:t>
                  </w:r>
                </w:p>
                <w:p w14:paraId="13ECED8F">
                  <w:pPr>
                    <w:pStyle w:val="5"/>
                    <w:adjustRightInd w:val="0"/>
                    <w:spacing w:before="0" w:after="0" w:line="240" w:lineRule="auto"/>
                    <w:ind w:right="0"/>
                    <w:jc w:val="center"/>
                    <w:rPr>
                      <w:color w:val="auto"/>
                      <w:szCs w:val="21"/>
                      <w:highlight w:val="none"/>
                    </w:rPr>
                  </w:pPr>
                  <w:r>
                    <w:rPr>
                      <w:rFonts w:hint="eastAsia"/>
                      <w:color w:val="auto"/>
                      <w:sz w:val="21"/>
                      <w:szCs w:val="21"/>
                      <w:highlight w:val="none"/>
                      <w:lang w:val="en-US"/>
                    </w:rPr>
                    <w:t>200</w:t>
                  </w:r>
                  <w:r>
                    <w:rPr>
                      <w:color w:val="auto"/>
                      <w:sz w:val="21"/>
                      <w:szCs w:val="21"/>
                      <w:highlight w:val="none"/>
                    </w:rPr>
                    <w:t>0m</w:t>
                  </w:r>
                  <w:r>
                    <w:rPr>
                      <w:color w:val="auto"/>
                      <w:sz w:val="21"/>
                      <w:szCs w:val="21"/>
                      <w:highlight w:val="none"/>
                      <w:vertAlign w:val="superscript"/>
                    </w:rPr>
                    <w:t>3</w:t>
                  </w:r>
                  <w:r>
                    <w:rPr>
                      <w:color w:val="auto"/>
                      <w:sz w:val="21"/>
                      <w:szCs w:val="21"/>
                      <w:highlight w:val="none"/>
                    </w:rPr>
                    <w:t>/h</w:t>
                  </w:r>
                </w:p>
              </w:tc>
              <w:tc>
                <w:tcPr>
                  <w:tcW w:w="1372" w:type="pct"/>
                  <w:tcBorders>
                    <w:tl2br w:val="nil"/>
                    <w:tr2bl w:val="nil"/>
                  </w:tcBorders>
                  <w:vAlign w:val="center"/>
                </w:tcPr>
                <w:p w14:paraId="4EA62071">
                  <w:pPr>
                    <w:adjustRightInd w:val="0"/>
                    <w:snapToGrid w:val="0"/>
                    <w:jc w:val="center"/>
                    <w:rPr>
                      <w:color w:val="auto"/>
                      <w:szCs w:val="21"/>
                      <w:highlight w:val="none"/>
                    </w:rPr>
                  </w:pPr>
                  <w:r>
                    <w:rPr>
                      <w:rFonts w:hint="eastAsia"/>
                      <w:color w:val="auto"/>
                      <w:szCs w:val="21"/>
                      <w:highlight w:val="none"/>
                    </w:rPr>
                    <w:t>现有项目无变化</w:t>
                  </w:r>
                </w:p>
              </w:tc>
            </w:tr>
            <w:tr w14:paraId="53CBD7C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22EDE0A3">
                  <w:pPr>
                    <w:adjustRightInd w:val="0"/>
                    <w:snapToGrid w:val="0"/>
                    <w:jc w:val="center"/>
                    <w:rPr>
                      <w:color w:val="auto"/>
                      <w:szCs w:val="21"/>
                      <w:highlight w:val="none"/>
                    </w:rPr>
                  </w:pPr>
                </w:p>
              </w:tc>
              <w:tc>
                <w:tcPr>
                  <w:tcW w:w="128" w:type="pct"/>
                  <w:vMerge w:val="continue"/>
                  <w:tcBorders>
                    <w:tl2br w:val="nil"/>
                    <w:tr2bl w:val="nil"/>
                  </w:tcBorders>
                  <w:vAlign w:val="center"/>
                </w:tcPr>
                <w:p w14:paraId="78B5C80E">
                  <w:pPr>
                    <w:adjustRightInd w:val="0"/>
                    <w:snapToGrid w:val="0"/>
                    <w:jc w:val="center"/>
                    <w:rPr>
                      <w:color w:val="auto"/>
                      <w:szCs w:val="21"/>
                      <w:highlight w:val="none"/>
                    </w:rPr>
                  </w:pPr>
                </w:p>
              </w:tc>
              <w:tc>
                <w:tcPr>
                  <w:tcW w:w="188" w:type="pct"/>
                  <w:vMerge w:val="restart"/>
                  <w:tcBorders>
                    <w:tl2br w:val="nil"/>
                    <w:tr2bl w:val="nil"/>
                  </w:tcBorders>
                  <w:vAlign w:val="center"/>
                </w:tcPr>
                <w:p w14:paraId="2350C7D4">
                  <w:pPr>
                    <w:adjustRightInd w:val="0"/>
                    <w:snapToGrid w:val="0"/>
                    <w:jc w:val="center"/>
                    <w:rPr>
                      <w:color w:val="auto"/>
                      <w:szCs w:val="21"/>
                      <w:highlight w:val="none"/>
                    </w:rPr>
                  </w:pPr>
                  <w:r>
                    <w:rPr>
                      <w:rFonts w:hint="eastAsia"/>
                      <w:color w:val="auto"/>
                      <w:szCs w:val="21"/>
                      <w:highlight w:val="none"/>
                    </w:rPr>
                    <w:t>电机</w:t>
                  </w:r>
                </w:p>
              </w:tc>
              <w:tc>
                <w:tcPr>
                  <w:tcW w:w="526" w:type="pct"/>
                  <w:tcBorders>
                    <w:tl2br w:val="nil"/>
                    <w:tr2bl w:val="nil"/>
                  </w:tcBorders>
                  <w:vAlign w:val="center"/>
                </w:tcPr>
                <w:p w14:paraId="33108241">
                  <w:pPr>
                    <w:adjustRightInd w:val="0"/>
                    <w:snapToGrid w:val="0"/>
                    <w:jc w:val="center"/>
                    <w:rPr>
                      <w:color w:val="auto"/>
                      <w:szCs w:val="21"/>
                      <w:highlight w:val="none"/>
                    </w:rPr>
                  </w:pPr>
                  <w:r>
                    <w:rPr>
                      <w:rFonts w:hint="eastAsia"/>
                      <w:color w:val="auto"/>
                      <w:szCs w:val="21"/>
                      <w:highlight w:val="none"/>
                    </w:rPr>
                    <w:t>涂胶、固化、点胶、涂粉固化</w:t>
                  </w:r>
                </w:p>
              </w:tc>
              <w:tc>
                <w:tcPr>
                  <w:tcW w:w="919" w:type="pct"/>
                  <w:tcBorders>
                    <w:tl2br w:val="nil"/>
                    <w:tr2bl w:val="nil"/>
                  </w:tcBorders>
                  <w:vAlign w:val="center"/>
                </w:tcPr>
                <w:p w14:paraId="4FEDC363">
                  <w:pPr>
                    <w:adjustRightInd w:val="0"/>
                    <w:snapToGrid w:val="0"/>
                    <w:jc w:val="center"/>
                    <w:rPr>
                      <w:color w:val="auto"/>
                      <w:szCs w:val="21"/>
                      <w:highlight w:val="none"/>
                    </w:rPr>
                  </w:pPr>
                  <w:r>
                    <w:rPr>
                      <w:color w:val="auto"/>
                      <w:szCs w:val="21"/>
                      <w:highlight w:val="none"/>
                    </w:rPr>
                    <w:t>—</w:t>
                  </w:r>
                </w:p>
              </w:tc>
              <w:tc>
                <w:tcPr>
                  <w:tcW w:w="730" w:type="pct"/>
                  <w:tcBorders>
                    <w:tl2br w:val="nil"/>
                    <w:tr2bl w:val="nil"/>
                  </w:tcBorders>
                  <w:vAlign w:val="center"/>
                </w:tcPr>
                <w:p w14:paraId="4A6DC8F7">
                  <w:pPr>
                    <w:adjustRightInd w:val="0"/>
                    <w:snapToGrid w:val="0"/>
                    <w:jc w:val="center"/>
                    <w:rPr>
                      <w:color w:val="auto"/>
                      <w:szCs w:val="21"/>
                      <w:highlight w:val="none"/>
                    </w:rPr>
                  </w:pPr>
                  <w:r>
                    <w:rPr>
                      <w:rFonts w:hint="eastAsia"/>
                      <w:color w:val="auto"/>
                      <w:szCs w:val="21"/>
                      <w:highlight w:val="none"/>
                      <w:lang w:val="en-US" w:eastAsia="zh-Hans"/>
                    </w:rPr>
                    <w:t>三</w:t>
                  </w:r>
                  <w:r>
                    <w:rPr>
                      <w:rFonts w:hint="eastAsia"/>
                      <w:color w:val="auto"/>
                      <w:szCs w:val="21"/>
                      <w:highlight w:val="none"/>
                    </w:rPr>
                    <w:t>级</w:t>
                  </w:r>
                  <w:r>
                    <w:rPr>
                      <w:color w:val="auto"/>
                      <w:szCs w:val="21"/>
                      <w:highlight w:val="none"/>
                    </w:rPr>
                    <w:t>活性炭吸附</w:t>
                  </w:r>
                </w:p>
                <w:p w14:paraId="19A7D34C">
                  <w:pPr>
                    <w:adjustRightInd w:val="0"/>
                    <w:snapToGrid w:val="0"/>
                    <w:jc w:val="center"/>
                    <w:rPr>
                      <w:color w:val="auto"/>
                      <w:szCs w:val="21"/>
                      <w:highlight w:val="none"/>
                    </w:rPr>
                  </w:pPr>
                  <w:r>
                    <w:rPr>
                      <w:rFonts w:hint="eastAsia"/>
                      <w:color w:val="auto"/>
                      <w:szCs w:val="21"/>
                      <w:highlight w:val="none"/>
                    </w:rPr>
                    <w:t>10</w:t>
                  </w:r>
                  <w:r>
                    <w:rPr>
                      <w:color w:val="auto"/>
                      <w:szCs w:val="21"/>
                      <w:highlight w:val="none"/>
                    </w:rPr>
                    <w:t>000m</w:t>
                  </w:r>
                  <w:r>
                    <w:rPr>
                      <w:color w:val="auto"/>
                      <w:szCs w:val="21"/>
                      <w:highlight w:val="none"/>
                      <w:vertAlign w:val="superscript"/>
                    </w:rPr>
                    <w:t>3</w:t>
                  </w:r>
                  <w:r>
                    <w:rPr>
                      <w:color w:val="auto"/>
                      <w:szCs w:val="21"/>
                      <w:highlight w:val="none"/>
                    </w:rPr>
                    <w:t>/h</w:t>
                  </w:r>
                </w:p>
              </w:tc>
              <w:tc>
                <w:tcPr>
                  <w:tcW w:w="877" w:type="pct"/>
                  <w:tcBorders>
                    <w:tl2br w:val="nil"/>
                    <w:tr2bl w:val="nil"/>
                  </w:tcBorders>
                  <w:vAlign w:val="center"/>
                </w:tcPr>
                <w:p w14:paraId="0E31C21F">
                  <w:pPr>
                    <w:adjustRightInd w:val="0"/>
                    <w:snapToGrid w:val="0"/>
                    <w:jc w:val="center"/>
                    <w:rPr>
                      <w:color w:val="auto"/>
                      <w:szCs w:val="21"/>
                      <w:highlight w:val="none"/>
                    </w:rPr>
                  </w:pPr>
                  <w:r>
                    <w:rPr>
                      <w:rFonts w:hint="eastAsia"/>
                      <w:color w:val="auto"/>
                      <w:szCs w:val="21"/>
                      <w:highlight w:val="none"/>
                      <w:lang w:val="en-US" w:eastAsia="zh-Hans"/>
                    </w:rPr>
                    <w:t>三</w:t>
                  </w:r>
                  <w:r>
                    <w:rPr>
                      <w:rFonts w:hint="eastAsia"/>
                      <w:color w:val="auto"/>
                      <w:szCs w:val="21"/>
                      <w:highlight w:val="none"/>
                    </w:rPr>
                    <w:t>级</w:t>
                  </w:r>
                  <w:r>
                    <w:rPr>
                      <w:color w:val="auto"/>
                      <w:szCs w:val="21"/>
                      <w:highlight w:val="none"/>
                    </w:rPr>
                    <w:t>活性炭吸附</w:t>
                  </w:r>
                </w:p>
                <w:p w14:paraId="798383B2">
                  <w:pPr>
                    <w:adjustRightInd w:val="0"/>
                    <w:snapToGrid w:val="0"/>
                    <w:jc w:val="center"/>
                    <w:rPr>
                      <w:color w:val="auto"/>
                      <w:szCs w:val="21"/>
                      <w:highlight w:val="none"/>
                    </w:rPr>
                  </w:pPr>
                  <w:r>
                    <w:rPr>
                      <w:rFonts w:hint="eastAsia"/>
                      <w:color w:val="auto"/>
                      <w:szCs w:val="21"/>
                      <w:highlight w:val="none"/>
                    </w:rPr>
                    <w:t>10</w:t>
                  </w:r>
                  <w:r>
                    <w:rPr>
                      <w:color w:val="auto"/>
                      <w:szCs w:val="21"/>
                      <w:highlight w:val="none"/>
                    </w:rPr>
                    <w:t>000m</w:t>
                  </w:r>
                  <w:r>
                    <w:rPr>
                      <w:color w:val="auto"/>
                      <w:szCs w:val="21"/>
                      <w:highlight w:val="none"/>
                      <w:vertAlign w:val="superscript"/>
                    </w:rPr>
                    <w:t>3</w:t>
                  </w:r>
                  <w:r>
                    <w:rPr>
                      <w:color w:val="auto"/>
                      <w:szCs w:val="21"/>
                      <w:highlight w:val="none"/>
                    </w:rPr>
                    <w:t>/h</w:t>
                  </w:r>
                </w:p>
              </w:tc>
              <w:tc>
                <w:tcPr>
                  <w:tcW w:w="1372" w:type="pct"/>
                  <w:tcBorders>
                    <w:tl2br w:val="nil"/>
                    <w:tr2bl w:val="nil"/>
                  </w:tcBorders>
                  <w:vAlign w:val="center"/>
                </w:tcPr>
                <w:p w14:paraId="1C632752">
                  <w:pPr>
                    <w:adjustRightInd w:val="0"/>
                    <w:snapToGrid w:val="0"/>
                    <w:jc w:val="center"/>
                    <w:rPr>
                      <w:color w:val="auto"/>
                      <w:szCs w:val="21"/>
                      <w:highlight w:val="none"/>
                    </w:rPr>
                  </w:pPr>
                  <w:r>
                    <w:rPr>
                      <w:rFonts w:hint="eastAsia"/>
                      <w:color w:val="auto"/>
                      <w:szCs w:val="21"/>
                      <w:highlight w:val="none"/>
                      <w:lang w:val="en-US" w:eastAsia="zh-Hans"/>
                    </w:rPr>
                    <w:t>依托现有项目</w:t>
                  </w:r>
                  <w:r>
                    <w:rPr>
                      <w:rFonts w:hint="eastAsia"/>
                      <w:color w:val="auto"/>
                      <w:szCs w:val="21"/>
                      <w:highlight w:val="none"/>
                    </w:rPr>
                    <w:t>15m高排气筒</w:t>
                  </w:r>
                  <w:r>
                    <w:rPr>
                      <w:color w:val="auto"/>
                      <w:szCs w:val="21"/>
                      <w:highlight w:val="none"/>
                    </w:rPr>
                    <w:t>FQ-</w:t>
                  </w:r>
                  <w:r>
                    <w:rPr>
                      <w:rFonts w:hint="default"/>
                      <w:color w:val="auto"/>
                      <w:szCs w:val="21"/>
                      <w:highlight w:val="none"/>
                    </w:rPr>
                    <w:t>1</w:t>
                  </w:r>
                </w:p>
              </w:tc>
            </w:tr>
            <w:tr w14:paraId="36A4FA8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7AB37F8E">
                  <w:pPr>
                    <w:adjustRightInd w:val="0"/>
                    <w:snapToGrid w:val="0"/>
                    <w:jc w:val="center"/>
                    <w:rPr>
                      <w:color w:val="auto"/>
                      <w:szCs w:val="21"/>
                      <w:highlight w:val="none"/>
                    </w:rPr>
                  </w:pPr>
                </w:p>
              </w:tc>
              <w:tc>
                <w:tcPr>
                  <w:tcW w:w="128" w:type="pct"/>
                  <w:vMerge w:val="continue"/>
                  <w:tcBorders>
                    <w:tl2br w:val="nil"/>
                    <w:tr2bl w:val="nil"/>
                  </w:tcBorders>
                  <w:vAlign w:val="center"/>
                </w:tcPr>
                <w:p w14:paraId="4E310D59">
                  <w:pPr>
                    <w:adjustRightInd w:val="0"/>
                    <w:snapToGrid w:val="0"/>
                    <w:jc w:val="center"/>
                    <w:rPr>
                      <w:color w:val="auto"/>
                      <w:szCs w:val="21"/>
                      <w:highlight w:val="none"/>
                    </w:rPr>
                  </w:pPr>
                </w:p>
              </w:tc>
              <w:tc>
                <w:tcPr>
                  <w:tcW w:w="188" w:type="pct"/>
                  <w:vMerge w:val="continue"/>
                  <w:tcBorders>
                    <w:tl2br w:val="nil"/>
                    <w:tr2bl w:val="nil"/>
                  </w:tcBorders>
                  <w:vAlign w:val="center"/>
                </w:tcPr>
                <w:p w14:paraId="218D9FF4">
                  <w:pPr>
                    <w:adjustRightInd w:val="0"/>
                    <w:snapToGrid w:val="0"/>
                    <w:jc w:val="center"/>
                    <w:rPr>
                      <w:rFonts w:hint="eastAsia"/>
                      <w:color w:val="auto"/>
                      <w:szCs w:val="21"/>
                      <w:highlight w:val="none"/>
                    </w:rPr>
                  </w:pPr>
                </w:p>
              </w:tc>
              <w:tc>
                <w:tcPr>
                  <w:tcW w:w="526" w:type="pct"/>
                  <w:tcBorders>
                    <w:tl2br w:val="nil"/>
                    <w:tr2bl w:val="nil"/>
                  </w:tcBorders>
                  <w:vAlign w:val="center"/>
                </w:tcPr>
                <w:p w14:paraId="7F205C19">
                  <w:pPr>
                    <w:adjustRightInd w:val="0"/>
                    <w:snapToGrid w:val="0"/>
                    <w:jc w:val="center"/>
                    <w:rPr>
                      <w:rFonts w:hint="eastAsia"/>
                      <w:color w:val="auto"/>
                      <w:szCs w:val="21"/>
                      <w:highlight w:val="none"/>
                    </w:rPr>
                  </w:pPr>
                  <w:r>
                    <w:rPr>
                      <w:rFonts w:hint="eastAsia"/>
                      <w:color w:val="auto"/>
                      <w:szCs w:val="21"/>
                      <w:highlight w:val="none"/>
                    </w:rPr>
                    <w:t>浸涂树脂粉、固化粉尘</w:t>
                  </w:r>
                </w:p>
              </w:tc>
              <w:tc>
                <w:tcPr>
                  <w:tcW w:w="919" w:type="pct"/>
                  <w:tcBorders>
                    <w:tl2br w:val="nil"/>
                    <w:tr2bl w:val="nil"/>
                  </w:tcBorders>
                  <w:vAlign w:val="center"/>
                </w:tcPr>
                <w:p w14:paraId="1B623AB3">
                  <w:pPr>
                    <w:adjustRightInd w:val="0"/>
                    <w:snapToGrid w:val="0"/>
                    <w:jc w:val="center"/>
                    <w:rPr>
                      <w:rFonts w:hint="eastAsia" w:eastAsia="宋体"/>
                      <w:color w:val="auto"/>
                      <w:szCs w:val="21"/>
                      <w:highlight w:val="none"/>
                      <w:lang w:eastAsia="zh-Hans"/>
                    </w:rPr>
                  </w:pPr>
                  <w:r>
                    <w:rPr>
                      <w:rFonts w:hint="eastAsia"/>
                      <w:color w:val="auto"/>
                      <w:szCs w:val="21"/>
                      <w:highlight w:val="none"/>
                      <w:lang w:eastAsia="zh-Hans"/>
                    </w:rPr>
                    <w:t>—</w:t>
                  </w:r>
                </w:p>
              </w:tc>
              <w:tc>
                <w:tcPr>
                  <w:tcW w:w="730" w:type="pct"/>
                  <w:tcBorders>
                    <w:tl2br w:val="nil"/>
                    <w:tr2bl w:val="nil"/>
                  </w:tcBorders>
                  <w:vAlign w:val="center"/>
                </w:tcPr>
                <w:p w14:paraId="00955070">
                  <w:pPr>
                    <w:adjustRightInd w:val="0"/>
                    <w:snapToGrid w:val="0"/>
                    <w:spacing w:beforeLines="0" w:afterLines="0"/>
                    <w:jc w:val="center"/>
                    <w:rPr>
                      <w:rFonts w:hint="eastAsia"/>
                      <w:color w:val="auto"/>
                      <w:lang w:val="en-US" w:eastAsia="zh-Hans"/>
                    </w:rPr>
                  </w:pPr>
                  <w:r>
                    <w:rPr>
                      <w:rFonts w:hint="eastAsia"/>
                      <w:color w:val="auto"/>
                      <w:lang w:val="en-US" w:eastAsia="zh-Hans"/>
                    </w:rPr>
                    <w:t>设备自带除尘装置</w:t>
                  </w:r>
                </w:p>
                <w:p w14:paraId="30A04BE8">
                  <w:pPr>
                    <w:pStyle w:val="2"/>
                    <w:adjustRightInd w:val="0"/>
                    <w:snapToGrid w:val="0"/>
                    <w:spacing w:beforeLines="0" w:after="0" w:afterLines="0"/>
                    <w:ind w:left="0" w:leftChars="0" w:firstLine="0" w:firstLineChars="0"/>
                    <w:jc w:val="center"/>
                    <w:rPr>
                      <w:rFonts w:hint="eastAsia"/>
                      <w:color w:val="auto"/>
                      <w:lang w:val="en-US" w:eastAsia="zh-Hans"/>
                    </w:rPr>
                  </w:pPr>
                  <w:r>
                    <w:rPr>
                      <w:rFonts w:hint="default"/>
                      <w:color w:val="auto"/>
                      <w:szCs w:val="21"/>
                      <w:highlight w:val="none"/>
                    </w:rPr>
                    <w:t>2</w:t>
                  </w:r>
                  <w:r>
                    <w:rPr>
                      <w:color w:val="auto"/>
                      <w:szCs w:val="21"/>
                      <w:highlight w:val="none"/>
                    </w:rPr>
                    <w:t>000m</w:t>
                  </w:r>
                  <w:r>
                    <w:rPr>
                      <w:color w:val="auto"/>
                      <w:szCs w:val="21"/>
                      <w:highlight w:val="none"/>
                      <w:vertAlign w:val="superscript"/>
                    </w:rPr>
                    <w:t>3</w:t>
                  </w:r>
                  <w:r>
                    <w:rPr>
                      <w:color w:val="auto"/>
                      <w:szCs w:val="21"/>
                      <w:highlight w:val="none"/>
                    </w:rPr>
                    <w:t>/h</w:t>
                  </w:r>
                </w:p>
              </w:tc>
              <w:tc>
                <w:tcPr>
                  <w:tcW w:w="877" w:type="pct"/>
                  <w:tcBorders>
                    <w:tl2br w:val="nil"/>
                    <w:tr2bl w:val="nil"/>
                  </w:tcBorders>
                  <w:vAlign w:val="center"/>
                </w:tcPr>
                <w:p w14:paraId="47A66A6C">
                  <w:pPr>
                    <w:adjustRightInd w:val="0"/>
                    <w:snapToGrid w:val="0"/>
                    <w:spacing w:beforeLines="0" w:afterLines="0"/>
                    <w:jc w:val="center"/>
                    <w:rPr>
                      <w:rFonts w:hint="eastAsia"/>
                      <w:color w:val="auto"/>
                      <w:lang w:val="en-US" w:eastAsia="zh-Hans"/>
                    </w:rPr>
                  </w:pPr>
                  <w:r>
                    <w:rPr>
                      <w:rFonts w:hint="eastAsia"/>
                      <w:color w:val="auto"/>
                      <w:lang w:val="en-US" w:eastAsia="zh-Hans"/>
                    </w:rPr>
                    <w:t>设备自带除尘装置</w:t>
                  </w:r>
                </w:p>
                <w:p w14:paraId="543FD170">
                  <w:pPr>
                    <w:adjustRightInd w:val="0"/>
                    <w:snapToGrid w:val="0"/>
                    <w:spacing w:beforeLines="0" w:afterLines="0"/>
                    <w:jc w:val="center"/>
                    <w:rPr>
                      <w:rFonts w:hint="eastAsia"/>
                      <w:color w:val="auto"/>
                      <w:szCs w:val="21"/>
                      <w:highlight w:val="none"/>
                    </w:rPr>
                  </w:pPr>
                  <w:r>
                    <w:rPr>
                      <w:rFonts w:hint="default"/>
                      <w:color w:val="auto"/>
                      <w:szCs w:val="21"/>
                      <w:highlight w:val="none"/>
                    </w:rPr>
                    <w:t>2</w:t>
                  </w:r>
                  <w:r>
                    <w:rPr>
                      <w:color w:val="auto"/>
                      <w:szCs w:val="21"/>
                      <w:highlight w:val="none"/>
                    </w:rPr>
                    <w:t>000m</w:t>
                  </w:r>
                  <w:r>
                    <w:rPr>
                      <w:color w:val="auto"/>
                      <w:szCs w:val="21"/>
                      <w:highlight w:val="none"/>
                      <w:vertAlign w:val="superscript"/>
                    </w:rPr>
                    <w:t>3</w:t>
                  </w:r>
                  <w:r>
                    <w:rPr>
                      <w:color w:val="auto"/>
                      <w:szCs w:val="21"/>
                      <w:highlight w:val="none"/>
                    </w:rPr>
                    <w:t>/h</w:t>
                  </w:r>
                </w:p>
              </w:tc>
              <w:tc>
                <w:tcPr>
                  <w:tcW w:w="1372" w:type="pct"/>
                  <w:tcBorders>
                    <w:tl2br w:val="nil"/>
                    <w:tr2bl w:val="nil"/>
                  </w:tcBorders>
                  <w:vAlign w:val="center"/>
                </w:tcPr>
                <w:p w14:paraId="713C9164">
                  <w:pPr>
                    <w:adjustRightInd w:val="0"/>
                    <w:snapToGrid w:val="0"/>
                    <w:jc w:val="center"/>
                    <w:rPr>
                      <w:rFonts w:hint="eastAsia"/>
                      <w:color w:val="auto"/>
                      <w:szCs w:val="21"/>
                      <w:highlight w:val="none"/>
                      <w:lang w:val="en-US" w:eastAsia="zh-Hans"/>
                    </w:rPr>
                  </w:pPr>
                  <w:r>
                    <w:rPr>
                      <w:rFonts w:hint="eastAsia"/>
                      <w:color w:val="auto"/>
                      <w:szCs w:val="21"/>
                      <w:highlight w:val="none"/>
                      <w:lang w:val="en-US" w:eastAsia="zh-Hans"/>
                    </w:rPr>
                    <w:t>新增，经现有排气筒FQ</w:t>
                  </w:r>
                  <w:r>
                    <w:rPr>
                      <w:rFonts w:hint="default"/>
                      <w:color w:val="auto"/>
                      <w:szCs w:val="21"/>
                      <w:highlight w:val="none"/>
                      <w:lang w:eastAsia="zh-Hans"/>
                    </w:rPr>
                    <w:t>-1</w:t>
                  </w:r>
                  <w:r>
                    <w:rPr>
                      <w:rFonts w:hint="eastAsia"/>
                      <w:color w:val="auto"/>
                      <w:szCs w:val="21"/>
                      <w:highlight w:val="none"/>
                      <w:lang w:val="en-US" w:eastAsia="zh-Hans"/>
                    </w:rPr>
                    <w:t>排放</w:t>
                  </w:r>
                </w:p>
              </w:tc>
            </w:tr>
            <w:tr w14:paraId="374D6B4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33DF828F">
                  <w:pPr>
                    <w:adjustRightInd w:val="0"/>
                    <w:snapToGrid w:val="0"/>
                    <w:jc w:val="center"/>
                    <w:rPr>
                      <w:color w:val="auto"/>
                      <w:szCs w:val="21"/>
                      <w:highlight w:val="none"/>
                    </w:rPr>
                  </w:pPr>
                </w:p>
              </w:tc>
              <w:tc>
                <w:tcPr>
                  <w:tcW w:w="128" w:type="pct"/>
                  <w:vMerge w:val="continue"/>
                  <w:tcBorders>
                    <w:tl2br w:val="nil"/>
                    <w:tr2bl w:val="nil"/>
                  </w:tcBorders>
                  <w:vAlign w:val="center"/>
                </w:tcPr>
                <w:p w14:paraId="0D056AD7">
                  <w:pPr>
                    <w:adjustRightInd w:val="0"/>
                    <w:snapToGrid w:val="0"/>
                    <w:jc w:val="center"/>
                    <w:rPr>
                      <w:color w:val="auto"/>
                      <w:szCs w:val="21"/>
                      <w:highlight w:val="none"/>
                    </w:rPr>
                  </w:pPr>
                </w:p>
              </w:tc>
              <w:tc>
                <w:tcPr>
                  <w:tcW w:w="188" w:type="pct"/>
                  <w:vMerge w:val="continue"/>
                  <w:tcBorders>
                    <w:tl2br w:val="nil"/>
                    <w:tr2bl w:val="nil"/>
                  </w:tcBorders>
                  <w:vAlign w:val="center"/>
                </w:tcPr>
                <w:p w14:paraId="72A16F22">
                  <w:pPr>
                    <w:adjustRightInd w:val="0"/>
                    <w:snapToGrid w:val="0"/>
                    <w:jc w:val="center"/>
                    <w:rPr>
                      <w:color w:val="auto"/>
                      <w:szCs w:val="21"/>
                      <w:highlight w:val="none"/>
                    </w:rPr>
                  </w:pPr>
                </w:p>
              </w:tc>
              <w:tc>
                <w:tcPr>
                  <w:tcW w:w="526" w:type="pct"/>
                  <w:tcBorders>
                    <w:tl2br w:val="nil"/>
                    <w:tr2bl w:val="nil"/>
                  </w:tcBorders>
                  <w:vAlign w:val="center"/>
                </w:tcPr>
                <w:p w14:paraId="568654E7">
                  <w:pPr>
                    <w:adjustRightInd w:val="0"/>
                    <w:snapToGrid w:val="0"/>
                    <w:jc w:val="center"/>
                    <w:rPr>
                      <w:color w:val="auto"/>
                      <w:szCs w:val="21"/>
                      <w:highlight w:val="none"/>
                    </w:rPr>
                  </w:pPr>
                  <w:r>
                    <w:rPr>
                      <w:rFonts w:hint="eastAsia"/>
                      <w:color w:val="auto"/>
                      <w:szCs w:val="21"/>
                      <w:highlight w:val="none"/>
                    </w:rPr>
                    <w:t>焊接</w:t>
                  </w:r>
                </w:p>
              </w:tc>
              <w:tc>
                <w:tcPr>
                  <w:tcW w:w="919" w:type="pct"/>
                  <w:tcBorders>
                    <w:tl2br w:val="nil"/>
                    <w:tr2bl w:val="nil"/>
                  </w:tcBorders>
                  <w:vAlign w:val="center"/>
                </w:tcPr>
                <w:p w14:paraId="0F69DF55">
                  <w:pPr>
                    <w:adjustRightInd w:val="0"/>
                    <w:snapToGrid w:val="0"/>
                    <w:jc w:val="center"/>
                    <w:rPr>
                      <w:color w:val="auto"/>
                      <w:szCs w:val="21"/>
                      <w:highlight w:val="none"/>
                    </w:rPr>
                  </w:pPr>
                  <w:r>
                    <w:rPr>
                      <w:color w:val="auto"/>
                      <w:szCs w:val="21"/>
                      <w:highlight w:val="none"/>
                    </w:rPr>
                    <w:t>—</w:t>
                  </w:r>
                </w:p>
              </w:tc>
              <w:tc>
                <w:tcPr>
                  <w:tcW w:w="730" w:type="pct"/>
                  <w:tcBorders>
                    <w:tl2br w:val="nil"/>
                    <w:tr2bl w:val="nil"/>
                  </w:tcBorders>
                  <w:vAlign w:val="center"/>
                </w:tcPr>
                <w:p w14:paraId="4D65734B">
                  <w:pPr>
                    <w:adjustRightInd w:val="0"/>
                    <w:snapToGrid w:val="0"/>
                    <w:jc w:val="center"/>
                    <w:rPr>
                      <w:color w:val="auto"/>
                      <w:szCs w:val="21"/>
                      <w:highlight w:val="none"/>
                    </w:rPr>
                  </w:pPr>
                  <w:r>
                    <w:rPr>
                      <w:rFonts w:hint="eastAsia"/>
                      <w:color w:val="auto"/>
                      <w:szCs w:val="21"/>
                      <w:highlight w:val="none"/>
                    </w:rPr>
                    <w:t>移动式焊接烟尘净化器</w:t>
                  </w:r>
                </w:p>
                <w:p w14:paraId="3CDA1538">
                  <w:pPr>
                    <w:adjustRightInd w:val="0"/>
                    <w:snapToGrid w:val="0"/>
                    <w:jc w:val="center"/>
                    <w:rPr>
                      <w:color w:val="auto"/>
                      <w:szCs w:val="21"/>
                      <w:highlight w:val="none"/>
                    </w:rPr>
                  </w:pPr>
                  <w:r>
                    <w:rPr>
                      <w:rFonts w:hint="eastAsia"/>
                      <w:color w:val="auto"/>
                      <w:szCs w:val="21"/>
                      <w:highlight w:val="none"/>
                    </w:rPr>
                    <w:t>200</w:t>
                  </w:r>
                  <w:r>
                    <w:rPr>
                      <w:color w:val="auto"/>
                      <w:szCs w:val="21"/>
                      <w:highlight w:val="none"/>
                    </w:rPr>
                    <w:t>0m</w:t>
                  </w:r>
                  <w:r>
                    <w:rPr>
                      <w:color w:val="auto"/>
                      <w:szCs w:val="21"/>
                      <w:highlight w:val="none"/>
                      <w:vertAlign w:val="superscript"/>
                    </w:rPr>
                    <w:t>3</w:t>
                  </w:r>
                  <w:r>
                    <w:rPr>
                      <w:color w:val="auto"/>
                      <w:szCs w:val="21"/>
                      <w:highlight w:val="none"/>
                    </w:rPr>
                    <w:t>/h</w:t>
                  </w:r>
                </w:p>
              </w:tc>
              <w:tc>
                <w:tcPr>
                  <w:tcW w:w="877" w:type="pct"/>
                  <w:tcBorders>
                    <w:tl2br w:val="nil"/>
                    <w:tr2bl w:val="nil"/>
                  </w:tcBorders>
                  <w:vAlign w:val="center"/>
                </w:tcPr>
                <w:p w14:paraId="1DA615A2">
                  <w:pPr>
                    <w:adjustRightInd w:val="0"/>
                    <w:snapToGrid w:val="0"/>
                    <w:jc w:val="center"/>
                    <w:rPr>
                      <w:color w:val="auto"/>
                      <w:szCs w:val="21"/>
                      <w:highlight w:val="none"/>
                    </w:rPr>
                  </w:pPr>
                  <w:r>
                    <w:rPr>
                      <w:rFonts w:hint="eastAsia"/>
                      <w:color w:val="auto"/>
                      <w:szCs w:val="21"/>
                      <w:highlight w:val="none"/>
                    </w:rPr>
                    <w:t>移动式焊接烟尘净化器</w:t>
                  </w:r>
                </w:p>
                <w:p w14:paraId="477FE846">
                  <w:pPr>
                    <w:adjustRightInd w:val="0"/>
                    <w:snapToGrid w:val="0"/>
                    <w:jc w:val="center"/>
                    <w:rPr>
                      <w:color w:val="auto"/>
                      <w:szCs w:val="21"/>
                      <w:highlight w:val="none"/>
                    </w:rPr>
                  </w:pPr>
                  <w:r>
                    <w:rPr>
                      <w:rFonts w:hint="eastAsia"/>
                      <w:color w:val="auto"/>
                      <w:szCs w:val="21"/>
                      <w:highlight w:val="none"/>
                    </w:rPr>
                    <w:t>200</w:t>
                  </w:r>
                  <w:r>
                    <w:rPr>
                      <w:color w:val="auto"/>
                      <w:szCs w:val="21"/>
                      <w:highlight w:val="none"/>
                    </w:rPr>
                    <w:t>0m</w:t>
                  </w:r>
                  <w:r>
                    <w:rPr>
                      <w:color w:val="auto"/>
                      <w:szCs w:val="21"/>
                      <w:highlight w:val="none"/>
                      <w:vertAlign w:val="superscript"/>
                    </w:rPr>
                    <w:t>3</w:t>
                  </w:r>
                  <w:r>
                    <w:rPr>
                      <w:color w:val="auto"/>
                      <w:szCs w:val="21"/>
                      <w:highlight w:val="none"/>
                    </w:rPr>
                    <w:t>/h</w:t>
                  </w:r>
                </w:p>
              </w:tc>
              <w:tc>
                <w:tcPr>
                  <w:tcW w:w="1372" w:type="pct"/>
                  <w:tcBorders>
                    <w:tl2br w:val="nil"/>
                    <w:tr2bl w:val="nil"/>
                  </w:tcBorders>
                  <w:vAlign w:val="center"/>
                </w:tcPr>
                <w:p w14:paraId="202AAE0D">
                  <w:pPr>
                    <w:adjustRightInd w:val="0"/>
                    <w:snapToGrid w:val="0"/>
                    <w:jc w:val="center"/>
                    <w:rPr>
                      <w:color w:val="auto"/>
                      <w:szCs w:val="21"/>
                      <w:highlight w:val="none"/>
                    </w:rPr>
                  </w:pPr>
                  <w:r>
                    <w:rPr>
                      <w:rFonts w:hint="eastAsia"/>
                      <w:color w:val="auto"/>
                      <w:szCs w:val="21"/>
                      <w:highlight w:val="none"/>
                    </w:rPr>
                    <w:t>新增，车间通风排放</w:t>
                  </w:r>
                </w:p>
              </w:tc>
            </w:tr>
            <w:tr w14:paraId="6CF6F28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7F1052F2">
                  <w:pPr>
                    <w:adjustRightInd w:val="0"/>
                    <w:snapToGrid w:val="0"/>
                    <w:jc w:val="center"/>
                    <w:rPr>
                      <w:color w:val="auto"/>
                      <w:szCs w:val="21"/>
                      <w:highlight w:val="none"/>
                    </w:rPr>
                  </w:pPr>
                </w:p>
              </w:tc>
              <w:tc>
                <w:tcPr>
                  <w:tcW w:w="128" w:type="pct"/>
                  <w:vMerge w:val="restart"/>
                  <w:tcBorders>
                    <w:tl2br w:val="nil"/>
                    <w:tr2bl w:val="nil"/>
                  </w:tcBorders>
                  <w:vAlign w:val="center"/>
                </w:tcPr>
                <w:p w14:paraId="7E7406CE">
                  <w:pPr>
                    <w:adjustRightInd w:val="0"/>
                    <w:snapToGrid w:val="0"/>
                    <w:jc w:val="center"/>
                    <w:rPr>
                      <w:color w:val="auto"/>
                      <w:szCs w:val="21"/>
                      <w:highlight w:val="none"/>
                    </w:rPr>
                  </w:pPr>
                  <w:r>
                    <w:rPr>
                      <w:color w:val="auto"/>
                      <w:szCs w:val="21"/>
                      <w:highlight w:val="none"/>
                    </w:rPr>
                    <w:t>废水</w:t>
                  </w:r>
                </w:p>
              </w:tc>
              <w:tc>
                <w:tcPr>
                  <w:tcW w:w="714" w:type="pct"/>
                  <w:gridSpan w:val="2"/>
                  <w:tcBorders>
                    <w:tl2br w:val="nil"/>
                    <w:tr2bl w:val="nil"/>
                  </w:tcBorders>
                  <w:vAlign w:val="center"/>
                </w:tcPr>
                <w:p w14:paraId="423D9B6A">
                  <w:pPr>
                    <w:pStyle w:val="89"/>
                    <w:adjustRightInd w:val="0"/>
                    <w:snapToGrid w:val="0"/>
                    <w:spacing w:line="240" w:lineRule="auto"/>
                    <w:rPr>
                      <w:color w:val="auto"/>
                      <w:highlight w:val="none"/>
                    </w:rPr>
                  </w:pPr>
                  <w:r>
                    <w:rPr>
                      <w:color w:val="auto"/>
                      <w:highlight w:val="none"/>
                    </w:rPr>
                    <w:t>生活污水</w:t>
                  </w:r>
                </w:p>
              </w:tc>
              <w:tc>
                <w:tcPr>
                  <w:tcW w:w="919" w:type="pct"/>
                  <w:tcBorders>
                    <w:tl2br w:val="nil"/>
                    <w:tr2bl w:val="nil"/>
                  </w:tcBorders>
                  <w:vAlign w:val="center"/>
                </w:tcPr>
                <w:p w14:paraId="1162797F">
                  <w:pPr>
                    <w:pStyle w:val="89"/>
                    <w:adjustRightInd w:val="0"/>
                    <w:snapToGrid w:val="0"/>
                    <w:spacing w:line="240" w:lineRule="auto"/>
                    <w:rPr>
                      <w:color w:val="auto"/>
                      <w:highlight w:val="none"/>
                    </w:rPr>
                  </w:pPr>
                  <w:r>
                    <w:rPr>
                      <w:color w:val="auto"/>
                      <w:highlight w:val="none"/>
                    </w:rPr>
                    <w:t>化粪池</w:t>
                  </w:r>
                  <w:r>
                    <w:rPr>
                      <w:rFonts w:hint="eastAsia"/>
                      <w:color w:val="auto"/>
                      <w:highlight w:val="none"/>
                    </w:rPr>
                    <w:t>8m</w:t>
                  </w:r>
                  <w:r>
                    <w:rPr>
                      <w:rFonts w:hint="eastAsia"/>
                      <w:color w:val="auto"/>
                      <w:highlight w:val="none"/>
                      <w:vertAlign w:val="superscript"/>
                    </w:rPr>
                    <w:t>3</w:t>
                  </w:r>
                </w:p>
              </w:tc>
              <w:tc>
                <w:tcPr>
                  <w:tcW w:w="730" w:type="pct"/>
                  <w:tcBorders>
                    <w:tl2br w:val="nil"/>
                    <w:tr2bl w:val="nil"/>
                  </w:tcBorders>
                  <w:vAlign w:val="center"/>
                </w:tcPr>
                <w:p w14:paraId="634CCFDC">
                  <w:pPr>
                    <w:pStyle w:val="89"/>
                    <w:adjustRightInd w:val="0"/>
                    <w:snapToGrid w:val="0"/>
                    <w:spacing w:line="240" w:lineRule="auto"/>
                    <w:rPr>
                      <w:color w:val="auto"/>
                      <w:highlight w:val="none"/>
                    </w:rPr>
                  </w:pPr>
                  <w:r>
                    <w:rPr>
                      <w:rFonts w:hint="eastAsia"/>
                      <w:color w:val="auto"/>
                      <w:highlight w:val="none"/>
                    </w:rPr>
                    <w:t>—</w:t>
                  </w:r>
                </w:p>
              </w:tc>
              <w:tc>
                <w:tcPr>
                  <w:tcW w:w="877" w:type="pct"/>
                  <w:tcBorders>
                    <w:bottom w:val="single" w:color="auto" w:sz="4" w:space="0"/>
                    <w:tl2br w:val="nil"/>
                    <w:tr2bl w:val="nil"/>
                  </w:tcBorders>
                  <w:vAlign w:val="center"/>
                </w:tcPr>
                <w:p w14:paraId="08EB77EC">
                  <w:pPr>
                    <w:adjustRightInd w:val="0"/>
                    <w:snapToGrid w:val="0"/>
                    <w:jc w:val="center"/>
                    <w:rPr>
                      <w:color w:val="auto"/>
                      <w:szCs w:val="21"/>
                      <w:highlight w:val="none"/>
                    </w:rPr>
                  </w:pPr>
                  <w:r>
                    <w:rPr>
                      <w:color w:val="auto"/>
                      <w:highlight w:val="none"/>
                    </w:rPr>
                    <w:t>化粪池</w:t>
                  </w:r>
                  <w:r>
                    <w:rPr>
                      <w:rFonts w:hint="eastAsia"/>
                      <w:color w:val="auto"/>
                      <w:highlight w:val="none"/>
                    </w:rPr>
                    <w:t>8m</w:t>
                  </w:r>
                  <w:r>
                    <w:rPr>
                      <w:rFonts w:hint="eastAsia"/>
                      <w:color w:val="auto"/>
                      <w:highlight w:val="none"/>
                      <w:vertAlign w:val="superscript"/>
                    </w:rPr>
                    <w:t>3</w:t>
                  </w:r>
                </w:p>
              </w:tc>
              <w:tc>
                <w:tcPr>
                  <w:tcW w:w="1372" w:type="pct"/>
                  <w:tcBorders>
                    <w:bottom w:val="single" w:color="auto" w:sz="4" w:space="0"/>
                    <w:tl2br w:val="nil"/>
                    <w:tr2bl w:val="nil"/>
                  </w:tcBorders>
                  <w:vAlign w:val="center"/>
                </w:tcPr>
                <w:p w14:paraId="6BBDFF9B">
                  <w:pPr>
                    <w:pStyle w:val="89"/>
                    <w:adjustRightInd w:val="0"/>
                    <w:snapToGrid w:val="0"/>
                    <w:spacing w:line="240" w:lineRule="auto"/>
                    <w:rPr>
                      <w:color w:val="auto"/>
                      <w:highlight w:val="none"/>
                    </w:rPr>
                  </w:pPr>
                  <w:r>
                    <w:rPr>
                      <w:rFonts w:hint="eastAsia"/>
                      <w:color w:val="auto"/>
                      <w:highlight w:val="none"/>
                    </w:rPr>
                    <w:t>依托原有，生活污水预处理后接入</w:t>
                  </w:r>
                  <w:r>
                    <w:rPr>
                      <w:color w:val="auto"/>
                      <w:highlight w:val="none"/>
                    </w:rPr>
                    <w:t>海门东洲水处理有限公司处理</w:t>
                  </w:r>
                </w:p>
              </w:tc>
            </w:tr>
            <w:tr w14:paraId="26193FE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1A2EFAD0">
                  <w:pPr>
                    <w:adjustRightInd w:val="0"/>
                    <w:snapToGrid w:val="0"/>
                    <w:jc w:val="center"/>
                    <w:rPr>
                      <w:color w:val="auto"/>
                      <w:szCs w:val="21"/>
                      <w:highlight w:val="none"/>
                    </w:rPr>
                  </w:pPr>
                </w:p>
              </w:tc>
              <w:tc>
                <w:tcPr>
                  <w:tcW w:w="128" w:type="pct"/>
                  <w:vMerge w:val="continue"/>
                  <w:tcBorders>
                    <w:tl2br w:val="nil"/>
                    <w:tr2bl w:val="nil"/>
                  </w:tcBorders>
                  <w:vAlign w:val="center"/>
                </w:tcPr>
                <w:p w14:paraId="37A4BB5B">
                  <w:pPr>
                    <w:adjustRightInd w:val="0"/>
                    <w:snapToGrid w:val="0"/>
                    <w:jc w:val="center"/>
                    <w:rPr>
                      <w:color w:val="auto"/>
                      <w:szCs w:val="21"/>
                      <w:highlight w:val="none"/>
                    </w:rPr>
                  </w:pPr>
                </w:p>
              </w:tc>
              <w:tc>
                <w:tcPr>
                  <w:tcW w:w="714" w:type="pct"/>
                  <w:gridSpan w:val="2"/>
                  <w:tcBorders>
                    <w:tl2br w:val="nil"/>
                    <w:tr2bl w:val="nil"/>
                  </w:tcBorders>
                  <w:vAlign w:val="center"/>
                </w:tcPr>
                <w:p w14:paraId="04BAF877">
                  <w:pPr>
                    <w:pStyle w:val="89"/>
                    <w:adjustRightInd w:val="0"/>
                    <w:snapToGrid w:val="0"/>
                    <w:spacing w:line="240" w:lineRule="auto"/>
                    <w:rPr>
                      <w:color w:val="auto"/>
                      <w:highlight w:val="none"/>
                    </w:rPr>
                  </w:pPr>
                  <w:r>
                    <w:rPr>
                      <w:rFonts w:hint="eastAsia"/>
                      <w:color w:val="auto"/>
                      <w:highlight w:val="none"/>
                    </w:rPr>
                    <w:t>纯水制备弃水</w:t>
                  </w:r>
                </w:p>
              </w:tc>
              <w:tc>
                <w:tcPr>
                  <w:tcW w:w="919" w:type="pct"/>
                  <w:tcBorders>
                    <w:tl2br w:val="nil"/>
                    <w:tr2bl w:val="nil"/>
                  </w:tcBorders>
                  <w:vAlign w:val="center"/>
                </w:tcPr>
                <w:p w14:paraId="2CC864B4">
                  <w:pPr>
                    <w:pStyle w:val="89"/>
                    <w:adjustRightInd w:val="0"/>
                    <w:snapToGrid w:val="0"/>
                    <w:spacing w:line="240" w:lineRule="auto"/>
                    <w:rPr>
                      <w:color w:val="auto"/>
                      <w:highlight w:val="none"/>
                    </w:rPr>
                  </w:pPr>
                  <w:r>
                    <w:rPr>
                      <w:rFonts w:hint="eastAsia"/>
                      <w:color w:val="auto"/>
                      <w:highlight w:val="none"/>
                    </w:rPr>
                    <w:t>24t/a</w:t>
                  </w:r>
                </w:p>
              </w:tc>
              <w:tc>
                <w:tcPr>
                  <w:tcW w:w="730" w:type="pct"/>
                  <w:tcBorders>
                    <w:tl2br w:val="nil"/>
                    <w:tr2bl w:val="nil"/>
                  </w:tcBorders>
                  <w:vAlign w:val="center"/>
                </w:tcPr>
                <w:p w14:paraId="6C23E831">
                  <w:pPr>
                    <w:pStyle w:val="89"/>
                    <w:adjustRightInd w:val="0"/>
                    <w:snapToGrid w:val="0"/>
                    <w:spacing w:line="240" w:lineRule="auto"/>
                    <w:rPr>
                      <w:color w:val="auto"/>
                      <w:highlight w:val="none"/>
                    </w:rPr>
                  </w:pPr>
                  <w:r>
                    <w:rPr>
                      <w:color w:val="auto"/>
                      <w:highlight w:val="none"/>
                    </w:rPr>
                    <w:t>240</w:t>
                  </w:r>
                  <w:r>
                    <w:rPr>
                      <w:rFonts w:hint="eastAsia"/>
                      <w:color w:val="auto"/>
                      <w:highlight w:val="none"/>
                      <w:lang w:val="en-US" w:eastAsia="zh-Hans"/>
                    </w:rPr>
                    <w:t>t/a</w:t>
                  </w:r>
                </w:p>
              </w:tc>
              <w:tc>
                <w:tcPr>
                  <w:tcW w:w="877" w:type="pct"/>
                  <w:tcBorders>
                    <w:top w:val="single" w:color="auto" w:sz="4" w:space="0"/>
                    <w:tl2br w:val="nil"/>
                    <w:tr2bl w:val="nil"/>
                  </w:tcBorders>
                  <w:vAlign w:val="center"/>
                </w:tcPr>
                <w:p w14:paraId="08A4689F">
                  <w:pPr>
                    <w:adjustRightInd w:val="0"/>
                    <w:snapToGrid w:val="0"/>
                    <w:jc w:val="center"/>
                    <w:rPr>
                      <w:color w:val="auto"/>
                      <w:szCs w:val="21"/>
                      <w:highlight w:val="none"/>
                    </w:rPr>
                  </w:pPr>
                  <w:r>
                    <w:rPr>
                      <w:rFonts w:hint="eastAsia"/>
                      <w:color w:val="auto"/>
                      <w:highlight w:val="none"/>
                    </w:rPr>
                    <w:t>240t/a</w:t>
                  </w:r>
                </w:p>
              </w:tc>
              <w:tc>
                <w:tcPr>
                  <w:tcW w:w="1372" w:type="pct"/>
                  <w:tcBorders>
                    <w:top w:val="single" w:color="auto" w:sz="4" w:space="0"/>
                    <w:tl2br w:val="nil"/>
                    <w:tr2bl w:val="nil"/>
                  </w:tcBorders>
                  <w:vAlign w:val="center"/>
                </w:tcPr>
                <w:p w14:paraId="17D84673">
                  <w:pPr>
                    <w:pStyle w:val="89"/>
                    <w:adjustRightInd w:val="0"/>
                    <w:snapToGrid w:val="0"/>
                    <w:spacing w:line="240" w:lineRule="auto"/>
                    <w:rPr>
                      <w:rFonts w:hint="eastAsia" w:eastAsia="宋体"/>
                      <w:color w:val="auto"/>
                      <w:highlight w:val="none"/>
                      <w:lang w:eastAsia="zh-Hans"/>
                    </w:rPr>
                  </w:pPr>
                  <w:r>
                    <w:rPr>
                      <w:rFonts w:hint="eastAsia"/>
                      <w:color w:val="auto"/>
                      <w:highlight w:val="none"/>
                      <w:lang w:val="en-US" w:eastAsia="zh-Hans"/>
                    </w:rPr>
                    <w:t>经“以新带老”措施新增</w:t>
                  </w:r>
                </w:p>
              </w:tc>
            </w:tr>
            <w:tr w14:paraId="036EEC9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3C62D81E">
                  <w:pPr>
                    <w:adjustRightInd w:val="0"/>
                    <w:snapToGrid w:val="0"/>
                    <w:jc w:val="center"/>
                    <w:rPr>
                      <w:color w:val="auto"/>
                      <w:szCs w:val="21"/>
                      <w:highlight w:val="none"/>
                    </w:rPr>
                  </w:pPr>
                </w:p>
              </w:tc>
              <w:tc>
                <w:tcPr>
                  <w:tcW w:w="128" w:type="pct"/>
                  <w:vMerge w:val="continue"/>
                  <w:tcBorders>
                    <w:tl2br w:val="nil"/>
                    <w:tr2bl w:val="nil"/>
                  </w:tcBorders>
                  <w:vAlign w:val="center"/>
                </w:tcPr>
                <w:p w14:paraId="34D11BD6">
                  <w:pPr>
                    <w:adjustRightInd w:val="0"/>
                    <w:snapToGrid w:val="0"/>
                    <w:jc w:val="center"/>
                    <w:rPr>
                      <w:color w:val="auto"/>
                      <w:szCs w:val="21"/>
                      <w:highlight w:val="none"/>
                    </w:rPr>
                  </w:pPr>
                </w:p>
              </w:tc>
              <w:tc>
                <w:tcPr>
                  <w:tcW w:w="714" w:type="pct"/>
                  <w:gridSpan w:val="2"/>
                  <w:tcBorders>
                    <w:tl2br w:val="nil"/>
                    <w:tr2bl w:val="nil"/>
                  </w:tcBorders>
                  <w:vAlign w:val="center"/>
                </w:tcPr>
                <w:p w14:paraId="70F1F529">
                  <w:pPr>
                    <w:pStyle w:val="89"/>
                    <w:adjustRightInd w:val="0"/>
                    <w:snapToGrid w:val="0"/>
                    <w:spacing w:line="240" w:lineRule="auto"/>
                    <w:rPr>
                      <w:rFonts w:hint="eastAsia" w:eastAsia="宋体"/>
                      <w:color w:val="auto"/>
                      <w:highlight w:val="none"/>
                      <w:lang w:val="en-US" w:eastAsia="zh-Hans"/>
                    </w:rPr>
                  </w:pPr>
                  <w:r>
                    <w:rPr>
                      <w:rFonts w:hint="eastAsia"/>
                      <w:color w:val="auto"/>
                      <w:highlight w:val="none"/>
                      <w:lang w:val="en-US" w:eastAsia="zh-Hans"/>
                    </w:rPr>
                    <w:t>冷却塔排水</w:t>
                  </w:r>
                </w:p>
              </w:tc>
              <w:tc>
                <w:tcPr>
                  <w:tcW w:w="919" w:type="pct"/>
                  <w:tcBorders>
                    <w:tl2br w:val="nil"/>
                    <w:tr2bl w:val="nil"/>
                  </w:tcBorders>
                  <w:vAlign w:val="center"/>
                </w:tcPr>
                <w:p w14:paraId="7B08B27D">
                  <w:pPr>
                    <w:pStyle w:val="89"/>
                    <w:adjustRightInd w:val="0"/>
                    <w:snapToGrid w:val="0"/>
                    <w:spacing w:line="240" w:lineRule="auto"/>
                    <w:rPr>
                      <w:rFonts w:hint="eastAsia" w:eastAsia="宋体"/>
                      <w:color w:val="auto"/>
                      <w:highlight w:val="none"/>
                      <w:lang w:eastAsia="zh-Hans"/>
                    </w:rPr>
                  </w:pPr>
                  <w:r>
                    <w:rPr>
                      <w:rFonts w:hint="eastAsia"/>
                      <w:color w:val="auto"/>
                      <w:highlight w:val="none"/>
                      <w:lang w:eastAsia="zh-Hans"/>
                    </w:rPr>
                    <w:t>—</w:t>
                  </w:r>
                </w:p>
              </w:tc>
              <w:tc>
                <w:tcPr>
                  <w:tcW w:w="730" w:type="pct"/>
                  <w:tcBorders>
                    <w:tl2br w:val="nil"/>
                    <w:tr2bl w:val="nil"/>
                  </w:tcBorders>
                  <w:vAlign w:val="center"/>
                </w:tcPr>
                <w:p w14:paraId="614D8D19">
                  <w:pPr>
                    <w:pStyle w:val="89"/>
                    <w:adjustRightInd w:val="0"/>
                    <w:snapToGrid w:val="0"/>
                    <w:spacing w:line="240" w:lineRule="auto"/>
                    <w:rPr>
                      <w:color w:val="auto"/>
                      <w:highlight w:val="none"/>
                    </w:rPr>
                  </w:pPr>
                  <w:r>
                    <w:rPr>
                      <w:color w:val="auto"/>
                      <w:highlight w:val="none"/>
                    </w:rPr>
                    <w:t>600</w:t>
                  </w:r>
                  <w:r>
                    <w:rPr>
                      <w:rFonts w:hint="eastAsia"/>
                      <w:color w:val="auto"/>
                      <w:highlight w:val="none"/>
                      <w:lang w:val="en-US" w:eastAsia="zh-Hans"/>
                    </w:rPr>
                    <w:t>t/a</w:t>
                  </w:r>
                </w:p>
              </w:tc>
              <w:tc>
                <w:tcPr>
                  <w:tcW w:w="877" w:type="pct"/>
                  <w:tcBorders>
                    <w:top w:val="single" w:color="auto" w:sz="4" w:space="0"/>
                    <w:tl2br w:val="nil"/>
                    <w:tr2bl w:val="nil"/>
                  </w:tcBorders>
                  <w:vAlign w:val="center"/>
                </w:tcPr>
                <w:p w14:paraId="453A5924">
                  <w:pPr>
                    <w:adjustRightInd w:val="0"/>
                    <w:snapToGrid w:val="0"/>
                    <w:jc w:val="center"/>
                    <w:rPr>
                      <w:rFonts w:hint="eastAsia"/>
                      <w:color w:val="auto"/>
                      <w:highlight w:val="none"/>
                    </w:rPr>
                  </w:pPr>
                  <w:r>
                    <w:rPr>
                      <w:rFonts w:hint="default"/>
                      <w:color w:val="auto"/>
                      <w:highlight w:val="none"/>
                    </w:rPr>
                    <w:t>600</w:t>
                  </w:r>
                  <w:r>
                    <w:rPr>
                      <w:rFonts w:hint="eastAsia"/>
                      <w:color w:val="auto"/>
                      <w:highlight w:val="none"/>
                      <w:lang w:val="en-US" w:eastAsia="zh-Hans"/>
                    </w:rPr>
                    <w:t>t/a</w:t>
                  </w:r>
                </w:p>
              </w:tc>
              <w:tc>
                <w:tcPr>
                  <w:tcW w:w="1372" w:type="pct"/>
                  <w:tcBorders>
                    <w:top w:val="single" w:color="auto" w:sz="4" w:space="0"/>
                    <w:tl2br w:val="nil"/>
                    <w:tr2bl w:val="nil"/>
                  </w:tcBorders>
                  <w:vAlign w:val="center"/>
                </w:tcPr>
                <w:p w14:paraId="2DD393F0">
                  <w:pPr>
                    <w:pStyle w:val="89"/>
                    <w:adjustRightInd w:val="0"/>
                    <w:snapToGrid w:val="0"/>
                    <w:spacing w:line="240" w:lineRule="auto"/>
                    <w:rPr>
                      <w:rFonts w:hint="eastAsia" w:eastAsia="宋体"/>
                      <w:color w:val="auto"/>
                      <w:highlight w:val="none"/>
                      <w:lang w:val="en-US" w:eastAsia="zh-Hans"/>
                    </w:rPr>
                  </w:pPr>
                  <w:r>
                    <w:rPr>
                      <w:rFonts w:hint="eastAsia"/>
                      <w:color w:val="auto"/>
                      <w:highlight w:val="none"/>
                      <w:lang w:val="en-US" w:eastAsia="zh-Hans"/>
                    </w:rPr>
                    <w:t>新增</w:t>
                  </w:r>
                </w:p>
              </w:tc>
            </w:tr>
            <w:tr w14:paraId="46FC3E6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7737001D">
                  <w:pPr>
                    <w:adjustRightInd w:val="0"/>
                    <w:snapToGrid w:val="0"/>
                    <w:jc w:val="center"/>
                    <w:rPr>
                      <w:color w:val="auto"/>
                      <w:szCs w:val="21"/>
                      <w:highlight w:val="none"/>
                    </w:rPr>
                  </w:pPr>
                </w:p>
              </w:tc>
              <w:tc>
                <w:tcPr>
                  <w:tcW w:w="128" w:type="pct"/>
                  <w:vMerge w:val="continue"/>
                  <w:tcBorders>
                    <w:tl2br w:val="nil"/>
                    <w:tr2bl w:val="nil"/>
                  </w:tcBorders>
                  <w:vAlign w:val="center"/>
                </w:tcPr>
                <w:p w14:paraId="01464133">
                  <w:pPr>
                    <w:adjustRightInd w:val="0"/>
                    <w:snapToGrid w:val="0"/>
                    <w:jc w:val="center"/>
                    <w:rPr>
                      <w:color w:val="auto"/>
                      <w:szCs w:val="21"/>
                      <w:highlight w:val="none"/>
                    </w:rPr>
                  </w:pPr>
                </w:p>
              </w:tc>
              <w:tc>
                <w:tcPr>
                  <w:tcW w:w="714" w:type="pct"/>
                  <w:gridSpan w:val="2"/>
                  <w:tcBorders>
                    <w:tl2br w:val="nil"/>
                    <w:tr2bl w:val="nil"/>
                  </w:tcBorders>
                  <w:vAlign w:val="center"/>
                </w:tcPr>
                <w:p w14:paraId="3CF4F838">
                  <w:pPr>
                    <w:pStyle w:val="89"/>
                    <w:adjustRightInd w:val="0"/>
                    <w:snapToGrid w:val="0"/>
                    <w:spacing w:line="240" w:lineRule="auto"/>
                    <w:rPr>
                      <w:rFonts w:hint="eastAsia"/>
                      <w:color w:val="auto"/>
                      <w:highlight w:val="none"/>
                      <w:lang w:val="en-US" w:eastAsia="zh-Hans"/>
                    </w:rPr>
                  </w:pPr>
                  <w:r>
                    <w:rPr>
                      <w:rFonts w:hint="eastAsia"/>
                      <w:color w:val="auto"/>
                      <w:highlight w:val="none"/>
                      <w:lang w:val="en-US" w:eastAsia="zh-Hans"/>
                    </w:rPr>
                    <w:t>初期雨水</w:t>
                  </w:r>
                </w:p>
              </w:tc>
              <w:tc>
                <w:tcPr>
                  <w:tcW w:w="919" w:type="pct"/>
                  <w:tcBorders>
                    <w:tl2br w:val="nil"/>
                    <w:tr2bl w:val="nil"/>
                  </w:tcBorders>
                  <w:vAlign w:val="center"/>
                </w:tcPr>
                <w:p w14:paraId="3E84AE04">
                  <w:pPr>
                    <w:pStyle w:val="89"/>
                    <w:adjustRightInd w:val="0"/>
                    <w:snapToGrid w:val="0"/>
                    <w:spacing w:line="240" w:lineRule="auto"/>
                    <w:rPr>
                      <w:rFonts w:hint="eastAsia"/>
                      <w:color w:val="auto"/>
                      <w:highlight w:val="none"/>
                      <w:lang w:eastAsia="zh-Hans"/>
                    </w:rPr>
                  </w:pPr>
                  <w:r>
                    <w:rPr>
                      <w:rFonts w:hint="default"/>
                      <w:color w:val="auto"/>
                      <w:highlight w:val="none"/>
                      <w:lang w:eastAsia="zh-Hans"/>
                    </w:rPr>
                    <w:t>1235</w:t>
                  </w:r>
                  <w:r>
                    <w:rPr>
                      <w:rFonts w:hint="eastAsia"/>
                      <w:color w:val="auto"/>
                      <w:highlight w:val="none"/>
                      <w:lang w:val="en-US" w:eastAsia="zh-Hans"/>
                    </w:rPr>
                    <w:t>t/a</w:t>
                  </w:r>
                </w:p>
              </w:tc>
              <w:tc>
                <w:tcPr>
                  <w:tcW w:w="730" w:type="pct"/>
                  <w:tcBorders>
                    <w:tl2br w:val="nil"/>
                    <w:tr2bl w:val="nil"/>
                  </w:tcBorders>
                  <w:vAlign w:val="center"/>
                </w:tcPr>
                <w:p w14:paraId="205942E0">
                  <w:pPr>
                    <w:pStyle w:val="89"/>
                    <w:adjustRightInd w:val="0"/>
                    <w:snapToGrid w:val="0"/>
                    <w:spacing w:line="240" w:lineRule="auto"/>
                    <w:rPr>
                      <w:color w:val="auto"/>
                      <w:highlight w:val="none"/>
                    </w:rPr>
                  </w:pPr>
                  <w:r>
                    <w:rPr>
                      <w:color w:val="auto"/>
                      <w:highlight w:val="none"/>
                    </w:rPr>
                    <w:t>1546</w:t>
                  </w:r>
                  <w:r>
                    <w:rPr>
                      <w:rFonts w:hint="eastAsia"/>
                      <w:color w:val="auto"/>
                      <w:highlight w:val="none"/>
                      <w:lang w:val="en-US" w:eastAsia="zh-Hans"/>
                    </w:rPr>
                    <w:t>t/a</w:t>
                  </w:r>
                </w:p>
              </w:tc>
              <w:tc>
                <w:tcPr>
                  <w:tcW w:w="877" w:type="pct"/>
                  <w:tcBorders>
                    <w:top w:val="single" w:color="auto" w:sz="4" w:space="0"/>
                    <w:tl2br w:val="nil"/>
                    <w:tr2bl w:val="nil"/>
                  </w:tcBorders>
                  <w:vAlign w:val="center"/>
                </w:tcPr>
                <w:p w14:paraId="319A2259">
                  <w:pPr>
                    <w:adjustRightInd w:val="0"/>
                    <w:snapToGrid w:val="0"/>
                    <w:jc w:val="center"/>
                    <w:rPr>
                      <w:rFonts w:hint="default"/>
                      <w:color w:val="auto"/>
                      <w:highlight w:val="none"/>
                    </w:rPr>
                  </w:pPr>
                  <w:r>
                    <w:rPr>
                      <w:rFonts w:hint="default"/>
                      <w:color w:val="auto"/>
                      <w:highlight w:val="none"/>
                    </w:rPr>
                    <w:t>1546</w:t>
                  </w:r>
                  <w:r>
                    <w:rPr>
                      <w:rFonts w:hint="eastAsia"/>
                      <w:color w:val="auto"/>
                      <w:highlight w:val="none"/>
                      <w:lang w:val="en-US" w:eastAsia="zh-Hans"/>
                    </w:rPr>
                    <w:t>t/a</w:t>
                  </w:r>
                </w:p>
              </w:tc>
              <w:tc>
                <w:tcPr>
                  <w:tcW w:w="1372" w:type="pct"/>
                  <w:tcBorders>
                    <w:top w:val="single" w:color="auto" w:sz="4" w:space="0"/>
                    <w:tl2br w:val="nil"/>
                    <w:tr2bl w:val="nil"/>
                  </w:tcBorders>
                  <w:vAlign w:val="center"/>
                </w:tcPr>
                <w:p w14:paraId="4A5057B5">
                  <w:pPr>
                    <w:pStyle w:val="89"/>
                    <w:adjustRightInd w:val="0"/>
                    <w:snapToGrid w:val="0"/>
                    <w:spacing w:line="240" w:lineRule="auto"/>
                    <w:rPr>
                      <w:rFonts w:hint="eastAsia"/>
                      <w:color w:val="auto"/>
                      <w:highlight w:val="none"/>
                      <w:lang w:val="en-US" w:eastAsia="zh-Hans"/>
                    </w:rPr>
                  </w:pPr>
                  <w:r>
                    <w:rPr>
                      <w:rFonts w:hint="eastAsia"/>
                      <w:color w:val="auto"/>
                      <w:highlight w:val="none"/>
                      <w:lang w:val="en-US" w:eastAsia="zh-Hans"/>
                    </w:rPr>
                    <w:t>经“以新带老”措施由接入雨水管网改为接入污水管网</w:t>
                  </w:r>
                </w:p>
              </w:tc>
            </w:tr>
            <w:tr w14:paraId="555F94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64651DAB">
                  <w:pPr>
                    <w:adjustRightInd w:val="0"/>
                    <w:snapToGrid w:val="0"/>
                    <w:jc w:val="center"/>
                    <w:rPr>
                      <w:color w:val="auto"/>
                      <w:szCs w:val="21"/>
                      <w:highlight w:val="none"/>
                    </w:rPr>
                  </w:pPr>
                </w:p>
              </w:tc>
              <w:tc>
                <w:tcPr>
                  <w:tcW w:w="128" w:type="pct"/>
                  <w:vMerge w:val="continue"/>
                  <w:tcBorders>
                    <w:tl2br w:val="nil"/>
                    <w:tr2bl w:val="nil"/>
                  </w:tcBorders>
                  <w:vAlign w:val="center"/>
                </w:tcPr>
                <w:p w14:paraId="1798B800">
                  <w:pPr>
                    <w:adjustRightInd w:val="0"/>
                    <w:snapToGrid w:val="0"/>
                    <w:jc w:val="center"/>
                    <w:rPr>
                      <w:color w:val="auto"/>
                      <w:szCs w:val="21"/>
                      <w:highlight w:val="none"/>
                    </w:rPr>
                  </w:pPr>
                </w:p>
              </w:tc>
              <w:tc>
                <w:tcPr>
                  <w:tcW w:w="714" w:type="pct"/>
                  <w:gridSpan w:val="2"/>
                  <w:tcBorders>
                    <w:tl2br w:val="nil"/>
                    <w:tr2bl w:val="nil"/>
                  </w:tcBorders>
                  <w:vAlign w:val="center"/>
                </w:tcPr>
                <w:p w14:paraId="36484C67">
                  <w:pPr>
                    <w:pStyle w:val="89"/>
                    <w:adjustRightInd w:val="0"/>
                    <w:snapToGrid w:val="0"/>
                    <w:spacing w:line="240" w:lineRule="auto"/>
                    <w:rPr>
                      <w:color w:val="auto"/>
                      <w:highlight w:val="none"/>
                    </w:rPr>
                  </w:pPr>
                  <w:r>
                    <w:rPr>
                      <w:color w:val="auto"/>
                      <w:highlight w:val="none"/>
                    </w:rPr>
                    <w:t>雨污分流、规范化接管口</w:t>
                  </w:r>
                </w:p>
              </w:tc>
              <w:tc>
                <w:tcPr>
                  <w:tcW w:w="919" w:type="pct"/>
                  <w:tcBorders>
                    <w:tl2br w:val="nil"/>
                    <w:tr2bl w:val="nil"/>
                  </w:tcBorders>
                  <w:vAlign w:val="center"/>
                </w:tcPr>
                <w:p w14:paraId="54299F42">
                  <w:pPr>
                    <w:pStyle w:val="89"/>
                    <w:adjustRightInd w:val="0"/>
                    <w:snapToGrid w:val="0"/>
                    <w:spacing w:line="240" w:lineRule="auto"/>
                    <w:rPr>
                      <w:color w:val="auto"/>
                      <w:highlight w:val="none"/>
                    </w:rPr>
                  </w:pPr>
                  <w:r>
                    <w:rPr>
                      <w:color w:val="auto"/>
                      <w:highlight w:val="none"/>
                    </w:rPr>
                    <w:t>雨水口、污水口各1个</w:t>
                  </w:r>
                </w:p>
              </w:tc>
              <w:tc>
                <w:tcPr>
                  <w:tcW w:w="730" w:type="pct"/>
                  <w:tcBorders>
                    <w:tl2br w:val="nil"/>
                    <w:tr2bl w:val="nil"/>
                  </w:tcBorders>
                  <w:vAlign w:val="center"/>
                </w:tcPr>
                <w:p w14:paraId="6DFCAC09">
                  <w:pPr>
                    <w:pStyle w:val="89"/>
                    <w:adjustRightInd w:val="0"/>
                    <w:snapToGrid w:val="0"/>
                    <w:spacing w:line="240" w:lineRule="auto"/>
                    <w:rPr>
                      <w:color w:val="auto"/>
                      <w:highlight w:val="none"/>
                    </w:rPr>
                  </w:pPr>
                  <w:r>
                    <w:rPr>
                      <w:color w:val="auto"/>
                      <w:highlight w:val="none"/>
                    </w:rPr>
                    <w:t>—</w:t>
                  </w:r>
                </w:p>
              </w:tc>
              <w:tc>
                <w:tcPr>
                  <w:tcW w:w="877" w:type="pct"/>
                  <w:tcBorders>
                    <w:tl2br w:val="nil"/>
                    <w:tr2bl w:val="nil"/>
                  </w:tcBorders>
                  <w:vAlign w:val="center"/>
                </w:tcPr>
                <w:p w14:paraId="00EEE2BF">
                  <w:pPr>
                    <w:pStyle w:val="89"/>
                    <w:adjustRightInd w:val="0"/>
                    <w:snapToGrid w:val="0"/>
                    <w:spacing w:line="240" w:lineRule="auto"/>
                    <w:rPr>
                      <w:color w:val="auto"/>
                      <w:highlight w:val="none"/>
                    </w:rPr>
                  </w:pPr>
                  <w:r>
                    <w:rPr>
                      <w:color w:val="auto"/>
                      <w:highlight w:val="none"/>
                    </w:rPr>
                    <w:t>雨水口、污水口各1个</w:t>
                  </w:r>
                </w:p>
              </w:tc>
              <w:tc>
                <w:tcPr>
                  <w:tcW w:w="1372" w:type="pct"/>
                  <w:tcBorders>
                    <w:tl2br w:val="nil"/>
                    <w:tr2bl w:val="nil"/>
                  </w:tcBorders>
                  <w:vAlign w:val="center"/>
                </w:tcPr>
                <w:p w14:paraId="4BCDF881">
                  <w:pPr>
                    <w:pStyle w:val="89"/>
                    <w:adjustRightInd w:val="0"/>
                    <w:snapToGrid w:val="0"/>
                    <w:spacing w:line="240" w:lineRule="auto"/>
                    <w:rPr>
                      <w:color w:val="auto"/>
                      <w:highlight w:val="none"/>
                    </w:rPr>
                  </w:pPr>
                  <w:r>
                    <w:rPr>
                      <w:rFonts w:hint="eastAsia"/>
                      <w:color w:val="auto"/>
                      <w:highlight w:val="none"/>
                    </w:rPr>
                    <w:t>依托原有，</w:t>
                  </w:r>
                  <w:r>
                    <w:rPr>
                      <w:color w:val="auto"/>
                      <w:highlight w:val="none"/>
                    </w:rPr>
                    <w:t>满足《江苏省排污口设置及规范化整治管理办法》的要求</w:t>
                  </w:r>
                </w:p>
              </w:tc>
            </w:tr>
            <w:tr w14:paraId="5359EBD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585E013D">
                  <w:pPr>
                    <w:adjustRightInd w:val="0"/>
                    <w:snapToGrid w:val="0"/>
                    <w:jc w:val="center"/>
                    <w:rPr>
                      <w:color w:val="auto"/>
                      <w:szCs w:val="21"/>
                      <w:highlight w:val="none"/>
                    </w:rPr>
                  </w:pPr>
                </w:p>
              </w:tc>
              <w:tc>
                <w:tcPr>
                  <w:tcW w:w="842" w:type="pct"/>
                  <w:gridSpan w:val="3"/>
                  <w:tcBorders>
                    <w:tl2br w:val="nil"/>
                    <w:tr2bl w:val="nil"/>
                  </w:tcBorders>
                  <w:vAlign w:val="center"/>
                </w:tcPr>
                <w:p w14:paraId="6DF32241">
                  <w:pPr>
                    <w:snapToGrid w:val="0"/>
                    <w:jc w:val="center"/>
                    <w:rPr>
                      <w:snapToGrid w:val="0"/>
                      <w:color w:val="auto"/>
                      <w:kern w:val="0"/>
                      <w:szCs w:val="21"/>
                      <w:highlight w:val="none"/>
                    </w:rPr>
                  </w:pPr>
                  <w:r>
                    <w:rPr>
                      <w:color w:val="auto"/>
                      <w:szCs w:val="21"/>
                      <w:highlight w:val="none"/>
                    </w:rPr>
                    <w:t>噪声治理</w:t>
                  </w:r>
                </w:p>
              </w:tc>
              <w:tc>
                <w:tcPr>
                  <w:tcW w:w="919" w:type="pct"/>
                  <w:tcBorders>
                    <w:tl2br w:val="nil"/>
                    <w:tr2bl w:val="nil"/>
                  </w:tcBorders>
                  <w:vAlign w:val="center"/>
                </w:tcPr>
                <w:p w14:paraId="1AB68715">
                  <w:pPr>
                    <w:adjustRightInd w:val="0"/>
                    <w:snapToGrid w:val="0"/>
                    <w:jc w:val="center"/>
                    <w:rPr>
                      <w:snapToGrid w:val="0"/>
                      <w:color w:val="auto"/>
                      <w:kern w:val="0"/>
                      <w:szCs w:val="21"/>
                      <w:highlight w:val="none"/>
                    </w:rPr>
                  </w:pPr>
                  <w:r>
                    <w:rPr>
                      <w:color w:val="auto"/>
                      <w:szCs w:val="21"/>
                      <w:highlight w:val="none"/>
                    </w:rPr>
                    <w:t>基础减振、风机进出口设消声器</w:t>
                  </w:r>
                </w:p>
              </w:tc>
              <w:tc>
                <w:tcPr>
                  <w:tcW w:w="730" w:type="pct"/>
                  <w:tcBorders>
                    <w:tl2br w:val="nil"/>
                    <w:tr2bl w:val="nil"/>
                  </w:tcBorders>
                  <w:vAlign w:val="center"/>
                </w:tcPr>
                <w:p w14:paraId="1E67BE9E">
                  <w:pPr>
                    <w:adjustRightInd w:val="0"/>
                    <w:snapToGrid w:val="0"/>
                    <w:jc w:val="center"/>
                    <w:rPr>
                      <w:snapToGrid w:val="0"/>
                      <w:color w:val="auto"/>
                      <w:kern w:val="0"/>
                      <w:szCs w:val="21"/>
                      <w:highlight w:val="none"/>
                    </w:rPr>
                  </w:pPr>
                  <w:r>
                    <w:rPr>
                      <w:color w:val="auto"/>
                      <w:szCs w:val="21"/>
                      <w:highlight w:val="none"/>
                    </w:rPr>
                    <w:t>基础减振、风机进出口设消声器</w:t>
                  </w:r>
                </w:p>
              </w:tc>
              <w:tc>
                <w:tcPr>
                  <w:tcW w:w="877" w:type="pct"/>
                  <w:tcBorders>
                    <w:tl2br w:val="nil"/>
                    <w:tr2bl w:val="nil"/>
                  </w:tcBorders>
                  <w:vAlign w:val="center"/>
                </w:tcPr>
                <w:p w14:paraId="6F31DBB6">
                  <w:pPr>
                    <w:adjustRightInd w:val="0"/>
                    <w:snapToGrid w:val="0"/>
                    <w:jc w:val="center"/>
                    <w:rPr>
                      <w:snapToGrid w:val="0"/>
                      <w:color w:val="auto"/>
                      <w:kern w:val="0"/>
                      <w:szCs w:val="21"/>
                      <w:highlight w:val="none"/>
                    </w:rPr>
                  </w:pPr>
                  <w:r>
                    <w:rPr>
                      <w:color w:val="auto"/>
                      <w:szCs w:val="21"/>
                      <w:highlight w:val="none"/>
                    </w:rPr>
                    <w:t>基础减振、风机进出口设消声器</w:t>
                  </w:r>
                </w:p>
              </w:tc>
              <w:tc>
                <w:tcPr>
                  <w:tcW w:w="1372" w:type="pct"/>
                  <w:tcBorders>
                    <w:tl2br w:val="nil"/>
                    <w:tr2bl w:val="nil"/>
                  </w:tcBorders>
                  <w:vAlign w:val="center"/>
                </w:tcPr>
                <w:p w14:paraId="038E6209">
                  <w:pPr>
                    <w:jc w:val="center"/>
                    <w:rPr>
                      <w:snapToGrid w:val="0"/>
                      <w:color w:val="auto"/>
                      <w:kern w:val="0"/>
                      <w:szCs w:val="21"/>
                      <w:highlight w:val="none"/>
                    </w:rPr>
                  </w:pPr>
                  <w:r>
                    <w:rPr>
                      <w:color w:val="auto"/>
                      <w:szCs w:val="21"/>
                      <w:highlight w:val="none"/>
                    </w:rPr>
                    <w:t>厂界噪声达标</w:t>
                  </w:r>
                </w:p>
              </w:tc>
            </w:tr>
            <w:tr w14:paraId="41AC472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2C9360D0">
                  <w:pPr>
                    <w:adjustRightInd w:val="0"/>
                    <w:snapToGrid w:val="0"/>
                    <w:jc w:val="center"/>
                    <w:rPr>
                      <w:color w:val="auto"/>
                      <w:szCs w:val="21"/>
                      <w:highlight w:val="none"/>
                    </w:rPr>
                  </w:pPr>
                </w:p>
              </w:tc>
              <w:tc>
                <w:tcPr>
                  <w:tcW w:w="842" w:type="pct"/>
                  <w:gridSpan w:val="3"/>
                  <w:tcBorders>
                    <w:tl2br w:val="nil"/>
                    <w:tr2bl w:val="nil"/>
                  </w:tcBorders>
                  <w:vAlign w:val="center"/>
                </w:tcPr>
                <w:p w14:paraId="5647AB99">
                  <w:pPr>
                    <w:snapToGrid w:val="0"/>
                    <w:jc w:val="center"/>
                    <w:rPr>
                      <w:color w:val="auto"/>
                      <w:szCs w:val="21"/>
                      <w:highlight w:val="none"/>
                    </w:rPr>
                  </w:pPr>
                  <w:r>
                    <w:rPr>
                      <w:color w:val="auto"/>
                      <w:szCs w:val="21"/>
                      <w:highlight w:val="none"/>
                    </w:rPr>
                    <w:t>固废暂存区</w:t>
                  </w:r>
                </w:p>
              </w:tc>
              <w:tc>
                <w:tcPr>
                  <w:tcW w:w="919" w:type="pct"/>
                  <w:tcBorders>
                    <w:tl2br w:val="nil"/>
                    <w:tr2bl w:val="nil"/>
                  </w:tcBorders>
                  <w:vAlign w:val="center"/>
                </w:tcPr>
                <w:p w14:paraId="0022A97D">
                  <w:pPr>
                    <w:snapToGrid w:val="0"/>
                    <w:jc w:val="center"/>
                    <w:rPr>
                      <w:color w:val="auto"/>
                      <w:szCs w:val="21"/>
                      <w:highlight w:val="none"/>
                    </w:rPr>
                  </w:pPr>
                  <w:r>
                    <w:rPr>
                      <w:rFonts w:hint="eastAsia"/>
                      <w:color w:val="auto"/>
                      <w:szCs w:val="21"/>
                      <w:highlight w:val="none"/>
                    </w:rPr>
                    <w:t>60</w:t>
                  </w:r>
                  <w:r>
                    <w:rPr>
                      <w:color w:val="auto"/>
                      <w:szCs w:val="21"/>
                      <w:highlight w:val="none"/>
                    </w:rPr>
                    <w:t>m</w:t>
                  </w:r>
                  <w:r>
                    <w:rPr>
                      <w:color w:val="auto"/>
                      <w:szCs w:val="21"/>
                      <w:highlight w:val="none"/>
                      <w:vertAlign w:val="superscript"/>
                    </w:rPr>
                    <w:t>2</w:t>
                  </w:r>
                </w:p>
              </w:tc>
              <w:tc>
                <w:tcPr>
                  <w:tcW w:w="730" w:type="pct"/>
                  <w:tcBorders>
                    <w:tl2br w:val="nil"/>
                    <w:tr2bl w:val="nil"/>
                  </w:tcBorders>
                  <w:vAlign w:val="center"/>
                </w:tcPr>
                <w:p w14:paraId="698305FA">
                  <w:pPr>
                    <w:snapToGrid w:val="0"/>
                    <w:jc w:val="center"/>
                    <w:rPr>
                      <w:color w:val="auto"/>
                      <w:szCs w:val="21"/>
                      <w:highlight w:val="none"/>
                    </w:rPr>
                  </w:pPr>
                  <w:r>
                    <w:rPr>
                      <w:rFonts w:hint="eastAsia"/>
                      <w:color w:val="auto"/>
                      <w:szCs w:val="21"/>
                      <w:highlight w:val="none"/>
                    </w:rPr>
                    <w:t>33</w:t>
                  </w:r>
                  <w:r>
                    <w:rPr>
                      <w:color w:val="auto"/>
                      <w:szCs w:val="21"/>
                      <w:highlight w:val="none"/>
                    </w:rPr>
                    <w:t>m</w:t>
                  </w:r>
                  <w:r>
                    <w:rPr>
                      <w:color w:val="auto"/>
                      <w:szCs w:val="21"/>
                      <w:highlight w:val="none"/>
                      <w:vertAlign w:val="superscript"/>
                    </w:rPr>
                    <w:t>2</w:t>
                  </w:r>
                </w:p>
              </w:tc>
              <w:tc>
                <w:tcPr>
                  <w:tcW w:w="877" w:type="pct"/>
                  <w:tcBorders>
                    <w:tl2br w:val="nil"/>
                    <w:tr2bl w:val="nil"/>
                  </w:tcBorders>
                  <w:vAlign w:val="center"/>
                </w:tcPr>
                <w:p w14:paraId="650D544B">
                  <w:pPr>
                    <w:snapToGrid w:val="0"/>
                    <w:jc w:val="center"/>
                    <w:rPr>
                      <w:color w:val="auto"/>
                      <w:szCs w:val="21"/>
                      <w:highlight w:val="none"/>
                    </w:rPr>
                  </w:pPr>
                  <w:r>
                    <w:rPr>
                      <w:rFonts w:hint="eastAsia"/>
                      <w:color w:val="auto"/>
                      <w:szCs w:val="21"/>
                      <w:highlight w:val="none"/>
                    </w:rPr>
                    <w:t>33</w:t>
                  </w:r>
                  <w:r>
                    <w:rPr>
                      <w:color w:val="auto"/>
                      <w:szCs w:val="21"/>
                      <w:highlight w:val="none"/>
                    </w:rPr>
                    <w:t>m</w:t>
                  </w:r>
                  <w:r>
                    <w:rPr>
                      <w:color w:val="auto"/>
                      <w:szCs w:val="21"/>
                      <w:highlight w:val="none"/>
                      <w:vertAlign w:val="superscript"/>
                    </w:rPr>
                    <w:t>2</w:t>
                  </w:r>
                </w:p>
              </w:tc>
              <w:tc>
                <w:tcPr>
                  <w:tcW w:w="1372" w:type="pct"/>
                  <w:vMerge w:val="restart"/>
                  <w:tcBorders>
                    <w:tl2br w:val="nil"/>
                    <w:tr2bl w:val="nil"/>
                  </w:tcBorders>
                  <w:vAlign w:val="center"/>
                </w:tcPr>
                <w:p w14:paraId="5318E0D7">
                  <w:pPr>
                    <w:jc w:val="center"/>
                    <w:rPr>
                      <w:color w:val="auto"/>
                      <w:szCs w:val="21"/>
                      <w:highlight w:val="none"/>
                    </w:rPr>
                  </w:pPr>
                  <w:r>
                    <w:rPr>
                      <w:rFonts w:hint="eastAsia"/>
                      <w:color w:val="auto"/>
                      <w:spacing w:val="-2"/>
                      <w:szCs w:val="21"/>
                      <w:highlight w:val="none"/>
                    </w:rPr>
                    <w:t>原有固废改建为排烟机房、危废暂存间改建为试制车间，本项目异址新建</w:t>
                  </w:r>
                </w:p>
              </w:tc>
            </w:tr>
            <w:tr w14:paraId="48A9ED5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269DE43C">
                  <w:pPr>
                    <w:adjustRightInd w:val="0"/>
                    <w:snapToGrid w:val="0"/>
                    <w:jc w:val="center"/>
                    <w:rPr>
                      <w:color w:val="auto"/>
                      <w:szCs w:val="21"/>
                      <w:highlight w:val="none"/>
                    </w:rPr>
                  </w:pPr>
                </w:p>
              </w:tc>
              <w:tc>
                <w:tcPr>
                  <w:tcW w:w="842" w:type="pct"/>
                  <w:gridSpan w:val="3"/>
                  <w:tcBorders>
                    <w:tl2br w:val="nil"/>
                    <w:tr2bl w:val="nil"/>
                  </w:tcBorders>
                  <w:vAlign w:val="center"/>
                </w:tcPr>
                <w:p w14:paraId="1C99136C">
                  <w:pPr>
                    <w:snapToGrid w:val="0"/>
                    <w:jc w:val="center"/>
                    <w:rPr>
                      <w:color w:val="auto"/>
                      <w:szCs w:val="21"/>
                      <w:highlight w:val="none"/>
                    </w:rPr>
                  </w:pPr>
                  <w:r>
                    <w:rPr>
                      <w:color w:val="auto"/>
                      <w:szCs w:val="21"/>
                      <w:highlight w:val="none"/>
                    </w:rPr>
                    <w:t>危废暂存场</w:t>
                  </w:r>
                </w:p>
              </w:tc>
              <w:tc>
                <w:tcPr>
                  <w:tcW w:w="919" w:type="pct"/>
                  <w:tcBorders>
                    <w:tl2br w:val="nil"/>
                    <w:tr2bl w:val="nil"/>
                  </w:tcBorders>
                  <w:vAlign w:val="center"/>
                </w:tcPr>
                <w:p w14:paraId="0DC06CCC">
                  <w:pPr>
                    <w:snapToGrid w:val="0"/>
                    <w:jc w:val="center"/>
                    <w:rPr>
                      <w:color w:val="auto"/>
                      <w:szCs w:val="21"/>
                      <w:highlight w:val="none"/>
                    </w:rPr>
                  </w:pPr>
                  <w:r>
                    <w:rPr>
                      <w:rFonts w:hint="eastAsia"/>
                      <w:color w:val="auto"/>
                      <w:szCs w:val="21"/>
                      <w:highlight w:val="none"/>
                    </w:rPr>
                    <w:t>40</w:t>
                  </w:r>
                  <w:r>
                    <w:rPr>
                      <w:color w:val="auto"/>
                      <w:szCs w:val="21"/>
                      <w:highlight w:val="none"/>
                    </w:rPr>
                    <w:t>m</w:t>
                  </w:r>
                  <w:r>
                    <w:rPr>
                      <w:color w:val="auto"/>
                      <w:szCs w:val="21"/>
                      <w:highlight w:val="none"/>
                      <w:vertAlign w:val="superscript"/>
                    </w:rPr>
                    <w:t>2</w:t>
                  </w:r>
                </w:p>
              </w:tc>
              <w:tc>
                <w:tcPr>
                  <w:tcW w:w="730" w:type="pct"/>
                  <w:tcBorders>
                    <w:tl2br w:val="nil"/>
                    <w:tr2bl w:val="nil"/>
                  </w:tcBorders>
                  <w:vAlign w:val="center"/>
                </w:tcPr>
                <w:p w14:paraId="381149FF">
                  <w:pPr>
                    <w:snapToGrid w:val="0"/>
                    <w:jc w:val="center"/>
                    <w:rPr>
                      <w:color w:val="auto"/>
                      <w:szCs w:val="21"/>
                      <w:highlight w:val="none"/>
                    </w:rPr>
                  </w:pPr>
                  <w:r>
                    <w:rPr>
                      <w:rFonts w:hint="eastAsia"/>
                      <w:color w:val="auto"/>
                      <w:szCs w:val="21"/>
                      <w:highlight w:val="none"/>
                    </w:rPr>
                    <w:t>30</w:t>
                  </w:r>
                  <w:r>
                    <w:rPr>
                      <w:color w:val="auto"/>
                      <w:szCs w:val="21"/>
                      <w:highlight w:val="none"/>
                    </w:rPr>
                    <w:t>m</w:t>
                  </w:r>
                  <w:r>
                    <w:rPr>
                      <w:color w:val="auto"/>
                      <w:szCs w:val="21"/>
                      <w:highlight w:val="none"/>
                      <w:vertAlign w:val="superscript"/>
                    </w:rPr>
                    <w:t>2</w:t>
                  </w:r>
                </w:p>
              </w:tc>
              <w:tc>
                <w:tcPr>
                  <w:tcW w:w="877" w:type="pct"/>
                  <w:tcBorders>
                    <w:tl2br w:val="nil"/>
                    <w:tr2bl w:val="nil"/>
                  </w:tcBorders>
                  <w:vAlign w:val="center"/>
                </w:tcPr>
                <w:p w14:paraId="6B8208ED">
                  <w:pPr>
                    <w:snapToGrid w:val="0"/>
                    <w:jc w:val="center"/>
                    <w:rPr>
                      <w:color w:val="auto"/>
                      <w:szCs w:val="21"/>
                      <w:highlight w:val="none"/>
                    </w:rPr>
                  </w:pPr>
                  <w:r>
                    <w:rPr>
                      <w:rFonts w:hint="eastAsia"/>
                      <w:color w:val="auto"/>
                      <w:szCs w:val="21"/>
                      <w:highlight w:val="none"/>
                    </w:rPr>
                    <w:t>30</w:t>
                  </w:r>
                  <w:r>
                    <w:rPr>
                      <w:color w:val="auto"/>
                      <w:szCs w:val="21"/>
                      <w:highlight w:val="none"/>
                    </w:rPr>
                    <w:t>m</w:t>
                  </w:r>
                  <w:r>
                    <w:rPr>
                      <w:color w:val="auto"/>
                      <w:szCs w:val="21"/>
                      <w:highlight w:val="none"/>
                      <w:vertAlign w:val="superscript"/>
                    </w:rPr>
                    <w:t>2</w:t>
                  </w:r>
                </w:p>
              </w:tc>
              <w:tc>
                <w:tcPr>
                  <w:tcW w:w="1372" w:type="pct"/>
                  <w:vMerge w:val="continue"/>
                  <w:tcBorders>
                    <w:tl2br w:val="nil"/>
                    <w:tr2bl w:val="nil"/>
                  </w:tcBorders>
                  <w:vAlign w:val="center"/>
                </w:tcPr>
                <w:p w14:paraId="405CD415">
                  <w:pPr>
                    <w:jc w:val="center"/>
                    <w:rPr>
                      <w:color w:val="auto"/>
                      <w:szCs w:val="21"/>
                      <w:highlight w:val="none"/>
                    </w:rPr>
                  </w:pPr>
                </w:p>
              </w:tc>
            </w:tr>
            <w:tr w14:paraId="1E3F327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tcBorders>
                    <w:tl2br w:val="nil"/>
                    <w:tr2bl w:val="nil"/>
                  </w:tcBorders>
                  <w:vAlign w:val="center"/>
                </w:tcPr>
                <w:p w14:paraId="05B1B8A0">
                  <w:pPr>
                    <w:adjustRightInd w:val="0"/>
                    <w:snapToGrid w:val="0"/>
                    <w:jc w:val="center"/>
                    <w:rPr>
                      <w:color w:val="auto"/>
                      <w:szCs w:val="21"/>
                      <w:highlight w:val="none"/>
                    </w:rPr>
                  </w:pPr>
                </w:p>
              </w:tc>
              <w:tc>
                <w:tcPr>
                  <w:tcW w:w="842" w:type="pct"/>
                  <w:gridSpan w:val="3"/>
                  <w:tcBorders>
                    <w:tl2br w:val="nil"/>
                    <w:tr2bl w:val="nil"/>
                  </w:tcBorders>
                  <w:vAlign w:val="center"/>
                </w:tcPr>
                <w:p w14:paraId="53CCD112">
                  <w:pPr>
                    <w:snapToGrid w:val="0"/>
                    <w:jc w:val="center"/>
                    <w:rPr>
                      <w:color w:val="auto"/>
                      <w:szCs w:val="21"/>
                      <w:highlight w:val="none"/>
                    </w:rPr>
                  </w:pPr>
                  <w:r>
                    <w:rPr>
                      <w:rFonts w:hint="eastAsia"/>
                      <w:color w:val="auto"/>
                      <w:szCs w:val="21"/>
                      <w:highlight w:val="none"/>
                    </w:rPr>
                    <w:t>初期雨水收集池</w:t>
                  </w:r>
                </w:p>
              </w:tc>
              <w:tc>
                <w:tcPr>
                  <w:tcW w:w="919" w:type="pct"/>
                  <w:tcBorders>
                    <w:tl2br w:val="nil"/>
                    <w:tr2bl w:val="nil"/>
                  </w:tcBorders>
                  <w:vAlign w:val="center"/>
                </w:tcPr>
                <w:p w14:paraId="4870D1CC">
                  <w:pPr>
                    <w:snapToGrid w:val="0"/>
                    <w:jc w:val="center"/>
                    <w:rPr>
                      <w:color w:val="auto"/>
                      <w:szCs w:val="21"/>
                      <w:highlight w:val="none"/>
                    </w:rPr>
                  </w:pPr>
                  <w:r>
                    <w:rPr>
                      <w:rFonts w:hint="eastAsia"/>
                      <w:color w:val="auto"/>
                      <w:szCs w:val="21"/>
                      <w:highlight w:val="none"/>
                    </w:rPr>
                    <w:t>50</w:t>
                  </w:r>
                  <w:r>
                    <w:rPr>
                      <w:color w:val="auto"/>
                      <w:szCs w:val="21"/>
                      <w:highlight w:val="none"/>
                    </w:rPr>
                    <w:t>m</w:t>
                  </w:r>
                  <w:r>
                    <w:rPr>
                      <w:color w:val="auto"/>
                      <w:szCs w:val="21"/>
                      <w:highlight w:val="none"/>
                      <w:vertAlign w:val="superscript"/>
                    </w:rPr>
                    <w:t>3</w:t>
                  </w:r>
                </w:p>
              </w:tc>
              <w:tc>
                <w:tcPr>
                  <w:tcW w:w="730" w:type="pct"/>
                  <w:tcBorders>
                    <w:tl2br w:val="nil"/>
                    <w:tr2bl w:val="nil"/>
                  </w:tcBorders>
                  <w:vAlign w:val="center"/>
                </w:tcPr>
                <w:p w14:paraId="38F15E9F">
                  <w:pPr>
                    <w:snapToGrid w:val="0"/>
                    <w:jc w:val="center"/>
                    <w:rPr>
                      <w:color w:val="auto"/>
                      <w:szCs w:val="21"/>
                      <w:highlight w:val="none"/>
                    </w:rPr>
                  </w:pPr>
                  <w:r>
                    <w:rPr>
                      <w:color w:val="auto"/>
                      <w:szCs w:val="21"/>
                      <w:highlight w:val="none"/>
                    </w:rPr>
                    <w:t>0</w:t>
                  </w:r>
                </w:p>
              </w:tc>
              <w:tc>
                <w:tcPr>
                  <w:tcW w:w="877" w:type="pct"/>
                  <w:tcBorders>
                    <w:tl2br w:val="nil"/>
                    <w:tr2bl w:val="nil"/>
                  </w:tcBorders>
                  <w:vAlign w:val="center"/>
                </w:tcPr>
                <w:p w14:paraId="3357623D">
                  <w:pPr>
                    <w:snapToGrid w:val="0"/>
                    <w:jc w:val="center"/>
                    <w:rPr>
                      <w:color w:val="auto"/>
                      <w:szCs w:val="21"/>
                      <w:highlight w:val="none"/>
                    </w:rPr>
                  </w:pPr>
                  <w:r>
                    <w:rPr>
                      <w:rFonts w:hint="eastAsia"/>
                      <w:color w:val="auto"/>
                      <w:szCs w:val="21"/>
                      <w:highlight w:val="none"/>
                    </w:rPr>
                    <w:t>50</w:t>
                  </w:r>
                  <w:r>
                    <w:rPr>
                      <w:color w:val="auto"/>
                      <w:szCs w:val="21"/>
                      <w:highlight w:val="none"/>
                    </w:rPr>
                    <w:t>m</w:t>
                  </w:r>
                  <w:r>
                    <w:rPr>
                      <w:color w:val="auto"/>
                      <w:szCs w:val="21"/>
                      <w:highlight w:val="none"/>
                      <w:vertAlign w:val="superscript"/>
                    </w:rPr>
                    <w:t>3</w:t>
                  </w:r>
                </w:p>
              </w:tc>
              <w:tc>
                <w:tcPr>
                  <w:tcW w:w="1372" w:type="pct"/>
                  <w:tcBorders>
                    <w:tl2br w:val="nil"/>
                    <w:tr2bl w:val="nil"/>
                  </w:tcBorders>
                  <w:vAlign w:val="center"/>
                </w:tcPr>
                <w:p w14:paraId="5146D8BF">
                  <w:pPr>
                    <w:jc w:val="center"/>
                    <w:rPr>
                      <w:color w:val="auto"/>
                      <w:szCs w:val="21"/>
                      <w:highlight w:val="none"/>
                    </w:rPr>
                  </w:pPr>
                  <w:r>
                    <w:rPr>
                      <w:rFonts w:hint="eastAsia"/>
                      <w:color w:val="auto"/>
                      <w:spacing w:val="-2"/>
                      <w:szCs w:val="21"/>
                      <w:highlight w:val="none"/>
                    </w:rPr>
                    <w:t>依托</w:t>
                  </w:r>
                  <w:r>
                    <w:rPr>
                      <w:color w:val="auto"/>
                      <w:spacing w:val="-2"/>
                      <w:szCs w:val="21"/>
                      <w:highlight w:val="none"/>
                    </w:rPr>
                    <w:t>原有</w:t>
                  </w:r>
                </w:p>
              </w:tc>
            </w:tr>
          </w:tbl>
          <w:p w14:paraId="1697E49D">
            <w:pPr>
              <w:adjustRightInd w:val="0"/>
              <w:snapToGrid w:val="0"/>
              <w:spacing w:line="360" w:lineRule="auto"/>
              <w:ind w:firstLine="480" w:firstLineChars="200"/>
              <w:rPr>
                <w:color w:val="auto"/>
                <w:kern w:val="0"/>
                <w:sz w:val="24"/>
                <w:highlight w:val="none"/>
              </w:rPr>
            </w:pPr>
          </w:p>
          <w:p w14:paraId="20633E04">
            <w:pPr>
              <w:adjustRightInd w:val="0"/>
              <w:snapToGrid w:val="0"/>
              <w:spacing w:line="360" w:lineRule="auto"/>
              <w:rPr>
                <w:b/>
                <w:bCs/>
                <w:color w:val="auto"/>
                <w:sz w:val="24"/>
                <w:highlight w:val="none"/>
              </w:rPr>
            </w:pPr>
            <w:r>
              <w:rPr>
                <w:rFonts w:hAnsi="宋体"/>
                <w:b/>
                <w:bCs/>
                <w:color w:val="auto"/>
                <w:sz w:val="24"/>
                <w:highlight w:val="none"/>
              </w:rPr>
              <w:t>3、主要产品及产能情况</w:t>
            </w:r>
          </w:p>
          <w:p w14:paraId="434C4B4A">
            <w:pPr>
              <w:jc w:val="center"/>
              <w:rPr>
                <w:b/>
                <w:bCs/>
                <w:color w:val="auto"/>
                <w:szCs w:val="22"/>
                <w:highlight w:val="none"/>
              </w:rPr>
            </w:pPr>
            <w:r>
              <w:rPr>
                <w:rFonts w:hAnsi="宋体"/>
                <w:b/>
                <w:bCs/>
                <w:color w:val="auto"/>
                <w:sz w:val="24"/>
                <w:highlight w:val="none"/>
              </w:rPr>
              <w:t>表</w:t>
            </w:r>
            <w:r>
              <w:rPr>
                <w:b/>
                <w:bCs/>
                <w:color w:val="auto"/>
                <w:sz w:val="24"/>
                <w:highlight w:val="none"/>
              </w:rPr>
              <w:t xml:space="preserve">2-2 </w:t>
            </w:r>
            <w:r>
              <w:rPr>
                <w:rFonts w:hAnsi="宋体"/>
                <w:b/>
                <w:bCs/>
                <w:color w:val="auto"/>
                <w:sz w:val="24"/>
                <w:highlight w:val="none"/>
              </w:rPr>
              <w:t>建设项目主要产品及产能情况</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892"/>
              <w:gridCol w:w="753"/>
              <w:gridCol w:w="381"/>
              <w:gridCol w:w="381"/>
              <w:gridCol w:w="446"/>
              <w:gridCol w:w="1784"/>
              <w:gridCol w:w="1331"/>
              <w:gridCol w:w="777"/>
              <w:gridCol w:w="1515"/>
              <w:gridCol w:w="759"/>
            </w:tblGrid>
            <w:tr w14:paraId="7EA89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42" w:type="pct"/>
                  <w:vMerge w:val="restart"/>
                  <w:vAlign w:val="center"/>
                </w:tcPr>
                <w:p w14:paraId="720F7B64">
                  <w:pPr>
                    <w:jc w:val="center"/>
                    <w:rPr>
                      <w:b/>
                      <w:color w:val="auto"/>
                      <w:szCs w:val="21"/>
                      <w:highlight w:val="none"/>
                    </w:rPr>
                  </w:pPr>
                  <w:r>
                    <w:rPr>
                      <w:b/>
                      <w:color w:val="auto"/>
                      <w:szCs w:val="21"/>
                      <w:highlight w:val="none"/>
                    </w:rPr>
                    <w:t>序号</w:t>
                  </w:r>
                </w:p>
              </w:tc>
              <w:tc>
                <w:tcPr>
                  <w:tcW w:w="551" w:type="pct"/>
                  <w:vMerge w:val="restart"/>
                  <w:vAlign w:val="center"/>
                </w:tcPr>
                <w:p w14:paraId="1D9EE218">
                  <w:pPr>
                    <w:jc w:val="center"/>
                    <w:rPr>
                      <w:b/>
                      <w:color w:val="auto"/>
                      <w:szCs w:val="21"/>
                      <w:highlight w:val="none"/>
                    </w:rPr>
                  </w:pPr>
                  <w:r>
                    <w:rPr>
                      <w:rFonts w:hAnsi="宋体"/>
                      <w:b/>
                      <w:color w:val="auto"/>
                      <w:szCs w:val="21"/>
                      <w:highlight w:val="none"/>
                    </w:rPr>
                    <w:t>生产线名称</w:t>
                  </w:r>
                </w:p>
              </w:tc>
              <w:tc>
                <w:tcPr>
                  <w:tcW w:w="476" w:type="pct"/>
                  <w:vMerge w:val="restart"/>
                  <w:vAlign w:val="center"/>
                </w:tcPr>
                <w:p w14:paraId="20BBF9FC">
                  <w:pPr>
                    <w:jc w:val="center"/>
                    <w:rPr>
                      <w:b/>
                      <w:color w:val="auto"/>
                      <w:szCs w:val="21"/>
                      <w:highlight w:val="none"/>
                    </w:rPr>
                  </w:pPr>
                  <w:r>
                    <w:rPr>
                      <w:b/>
                      <w:color w:val="auto"/>
                      <w:szCs w:val="21"/>
                      <w:highlight w:val="none"/>
                    </w:rPr>
                    <w:t>产品名称</w:t>
                  </w:r>
                </w:p>
              </w:tc>
              <w:tc>
                <w:tcPr>
                  <w:tcW w:w="863" w:type="pct"/>
                  <w:gridSpan w:val="3"/>
                  <w:vAlign w:val="center"/>
                </w:tcPr>
                <w:p w14:paraId="0407854E">
                  <w:pPr>
                    <w:jc w:val="center"/>
                    <w:rPr>
                      <w:b/>
                      <w:color w:val="auto"/>
                      <w:szCs w:val="21"/>
                      <w:highlight w:val="none"/>
                    </w:rPr>
                  </w:pPr>
                  <w:r>
                    <w:rPr>
                      <w:b/>
                      <w:color w:val="auto"/>
                      <w:szCs w:val="21"/>
                      <w:highlight w:val="none"/>
                    </w:rPr>
                    <w:t>设计能力（万</w:t>
                  </w:r>
                  <w:r>
                    <w:rPr>
                      <w:rFonts w:hint="eastAsia"/>
                      <w:b/>
                      <w:color w:val="auto"/>
                      <w:szCs w:val="21"/>
                      <w:highlight w:val="none"/>
                    </w:rPr>
                    <w:t>台</w:t>
                  </w:r>
                  <w:r>
                    <w:rPr>
                      <w:b/>
                      <w:color w:val="auto"/>
                      <w:szCs w:val="21"/>
                      <w:highlight w:val="none"/>
                    </w:rPr>
                    <w:t>/年）</w:t>
                  </w:r>
                </w:p>
              </w:tc>
              <w:tc>
                <w:tcPr>
                  <w:tcW w:w="917" w:type="pct"/>
                  <w:vMerge w:val="restart"/>
                  <w:vAlign w:val="center"/>
                </w:tcPr>
                <w:p w14:paraId="10F9C159">
                  <w:pPr>
                    <w:jc w:val="center"/>
                    <w:rPr>
                      <w:b/>
                      <w:color w:val="auto"/>
                      <w:szCs w:val="21"/>
                      <w:highlight w:val="none"/>
                    </w:rPr>
                  </w:pPr>
                  <w:r>
                    <w:rPr>
                      <w:rFonts w:hint="eastAsia"/>
                      <w:b/>
                      <w:color w:val="auto"/>
                      <w:szCs w:val="21"/>
                      <w:highlight w:val="none"/>
                    </w:rPr>
                    <w:t>产品照片</w:t>
                  </w:r>
                </w:p>
              </w:tc>
              <w:tc>
                <w:tcPr>
                  <w:tcW w:w="787" w:type="pct"/>
                  <w:vMerge w:val="restart"/>
                  <w:vAlign w:val="center"/>
                </w:tcPr>
                <w:p w14:paraId="40FC8CA6">
                  <w:pPr>
                    <w:jc w:val="center"/>
                    <w:rPr>
                      <w:b/>
                      <w:color w:val="auto"/>
                      <w:szCs w:val="21"/>
                      <w:highlight w:val="none"/>
                    </w:rPr>
                  </w:pPr>
                  <w:r>
                    <w:rPr>
                      <w:rFonts w:hint="eastAsia"/>
                      <w:b/>
                      <w:color w:val="auto"/>
                      <w:szCs w:val="21"/>
                      <w:highlight w:val="none"/>
                    </w:rPr>
                    <w:t>规格、型号</w:t>
                  </w:r>
                </w:p>
              </w:tc>
              <w:tc>
                <w:tcPr>
                  <w:tcW w:w="489" w:type="pct"/>
                  <w:vMerge w:val="restart"/>
                  <w:vAlign w:val="center"/>
                </w:tcPr>
                <w:p w14:paraId="44572B14">
                  <w:pPr>
                    <w:jc w:val="center"/>
                    <w:rPr>
                      <w:b/>
                      <w:color w:val="auto"/>
                      <w:szCs w:val="21"/>
                      <w:highlight w:val="none"/>
                    </w:rPr>
                  </w:pPr>
                  <w:r>
                    <w:rPr>
                      <w:rFonts w:hint="eastAsia"/>
                      <w:b/>
                      <w:color w:val="auto"/>
                      <w:szCs w:val="21"/>
                      <w:highlight w:val="none"/>
                    </w:rPr>
                    <w:t>用途</w:t>
                  </w:r>
                </w:p>
              </w:tc>
              <w:tc>
                <w:tcPr>
                  <w:tcW w:w="392" w:type="pct"/>
                  <w:vMerge w:val="restart"/>
                  <w:vAlign w:val="center"/>
                </w:tcPr>
                <w:p w14:paraId="0A7BFD94">
                  <w:pPr>
                    <w:jc w:val="center"/>
                    <w:rPr>
                      <w:b/>
                      <w:color w:val="auto"/>
                      <w:szCs w:val="21"/>
                      <w:highlight w:val="none"/>
                    </w:rPr>
                  </w:pPr>
                  <w:r>
                    <w:rPr>
                      <w:rFonts w:hint="eastAsia"/>
                      <w:b/>
                      <w:color w:val="auto"/>
                      <w:szCs w:val="21"/>
                      <w:highlight w:val="none"/>
                    </w:rPr>
                    <w:t>执行质量标准</w:t>
                  </w:r>
                </w:p>
              </w:tc>
              <w:tc>
                <w:tcPr>
                  <w:tcW w:w="378" w:type="pct"/>
                  <w:vMerge w:val="restart"/>
                  <w:vAlign w:val="center"/>
                </w:tcPr>
                <w:p w14:paraId="083C3A36">
                  <w:pPr>
                    <w:jc w:val="center"/>
                    <w:rPr>
                      <w:b/>
                      <w:color w:val="auto"/>
                      <w:szCs w:val="21"/>
                      <w:highlight w:val="none"/>
                    </w:rPr>
                  </w:pPr>
                  <w:r>
                    <w:rPr>
                      <w:rFonts w:hint="eastAsia"/>
                      <w:b/>
                      <w:color w:val="auto"/>
                      <w:szCs w:val="21"/>
                      <w:highlight w:val="none"/>
                    </w:rPr>
                    <w:t>设计</w:t>
                  </w:r>
                  <w:r>
                    <w:rPr>
                      <w:b/>
                      <w:color w:val="auto"/>
                      <w:szCs w:val="21"/>
                      <w:highlight w:val="none"/>
                    </w:rPr>
                    <w:t>年生产时间（h/a）</w:t>
                  </w:r>
                </w:p>
              </w:tc>
            </w:tr>
            <w:tr w14:paraId="37133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42" w:type="pct"/>
                  <w:vMerge w:val="continue"/>
                  <w:vAlign w:val="center"/>
                </w:tcPr>
                <w:p w14:paraId="32188513">
                  <w:pPr>
                    <w:jc w:val="center"/>
                    <w:rPr>
                      <w:bCs/>
                      <w:color w:val="auto"/>
                      <w:szCs w:val="21"/>
                      <w:highlight w:val="none"/>
                    </w:rPr>
                  </w:pPr>
                </w:p>
              </w:tc>
              <w:tc>
                <w:tcPr>
                  <w:tcW w:w="551" w:type="pct"/>
                  <w:vMerge w:val="continue"/>
                  <w:vAlign w:val="center"/>
                </w:tcPr>
                <w:p w14:paraId="0DB4131C">
                  <w:pPr>
                    <w:jc w:val="center"/>
                    <w:rPr>
                      <w:bCs/>
                      <w:color w:val="auto"/>
                      <w:szCs w:val="21"/>
                      <w:highlight w:val="none"/>
                    </w:rPr>
                  </w:pPr>
                </w:p>
              </w:tc>
              <w:tc>
                <w:tcPr>
                  <w:tcW w:w="476" w:type="pct"/>
                  <w:vMerge w:val="continue"/>
                  <w:vAlign w:val="center"/>
                </w:tcPr>
                <w:p w14:paraId="653E39B5">
                  <w:pPr>
                    <w:jc w:val="center"/>
                    <w:rPr>
                      <w:bCs/>
                      <w:color w:val="auto"/>
                      <w:szCs w:val="21"/>
                      <w:highlight w:val="none"/>
                    </w:rPr>
                  </w:pPr>
                </w:p>
              </w:tc>
              <w:tc>
                <w:tcPr>
                  <w:tcW w:w="276" w:type="pct"/>
                  <w:vAlign w:val="center"/>
                </w:tcPr>
                <w:p w14:paraId="1171609C">
                  <w:pPr>
                    <w:jc w:val="center"/>
                    <w:rPr>
                      <w:b/>
                      <w:color w:val="auto"/>
                      <w:szCs w:val="21"/>
                      <w:highlight w:val="none"/>
                    </w:rPr>
                  </w:pPr>
                  <w:r>
                    <w:rPr>
                      <w:rFonts w:hint="eastAsia"/>
                      <w:b/>
                      <w:color w:val="auto"/>
                      <w:szCs w:val="21"/>
                      <w:highlight w:val="none"/>
                    </w:rPr>
                    <w:t>改建</w:t>
                  </w:r>
                  <w:r>
                    <w:rPr>
                      <w:b/>
                      <w:color w:val="auto"/>
                      <w:szCs w:val="21"/>
                      <w:highlight w:val="none"/>
                    </w:rPr>
                    <w:t>前</w:t>
                  </w:r>
                </w:p>
              </w:tc>
              <w:tc>
                <w:tcPr>
                  <w:tcW w:w="276" w:type="pct"/>
                  <w:vAlign w:val="center"/>
                </w:tcPr>
                <w:p w14:paraId="75DB6384">
                  <w:pPr>
                    <w:jc w:val="center"/>
                    <w:rPr>
                      <w:b/>
                      <w:color w:val="auto"/>
                      <w:szCs w:val="21"/>
                      <w:highlight w:val="none"/>
                    </w:rPr>
                  </w:pPr>
                  <w:r>
                    <w:rPr>
                      <w:rFonts w:hint="eastAsia"/>
                      <w:b/>
                      <w:color w:val="auto"/>
                      <w:szCs w:val="21"/>
                      <w:highlight w:val="none"/>
                    </w:rPr>
                    <w:t>改建</w:t>
                  </w:r>
                  <w:r>
                    <w:rPr>
                      <w:b/>
                      <w:color w:val="auto"/>
                      <w:szCs w:val="21"/>
                      <w:highlight w:val="none"/>
                    </w:rPr>
                    <w:t>后</w:t>
                  </w:r>
                </w:p>
              </w:tc>
              <w:tc>
                <w:tcPr>
                  <w:tcW w:w="309" w:type="pct"/>
                  <w:vAlign w:val="center"/>
                </w:tcPr>
                <w:p w14:paraId="6D0107BB">
                  <w:pPr>
                    <w:jc w:val="center"/>
                    <w:rPr>
                      <w:b/>
                      <w:color w:val="auto"/>
                      <w:szCs w:val="21"/>
                      <w:highlight w:val="none"/>
                    </w:rPr>
                  </w:pPr>
                  <w:r>
                    <w:rPr>
                      <w:b/>
                      <w:color w:val="auto"/>
                      <w:szCs w:val="21"/>
                      <w:highlight w:val="none"/>
                    </w:rPr>
                    <w:t>变化量</w:t>
                  </w:r>
                </w:p>
              </w:tc>
              <w:tc>
                <w:tcPr>
                  <w:tcW w:w="917" w:type="pct"/>
                  <w:vMerge w:val="continue"/>
                  <w:vAlign w:val="center"/>
                </w:tcPr>
                <w:p w14:paraId="7469E0CD">
                  <w:pPr>
                    <w:jc w:val="center"/>
                    <w:rPr>
                      <w:bCs/>
                      <w:color w:val="auto"/>
                      <w:szCs w:val="21"/>
                      <w:highlight w:val="none"/>
                    </w:rPr>
                  </w:pPr>
                </w:p>
              </w:tc>
              <w:tc>
                <w:tcPr>
                  <w:tcW w:w="787" w:type="pct"/>
                  <w:vMerge w:val="continue"/>
                  <w:vAlign w:val="center"/>
                </w:tcPr>
                <w:p w14:paraId="76AA296D">
                  <w:pPr>
                    <w:jc w:val="center"/>
                    <w:rPr>
                      <w:bCs/>
                      <w:color w:val="auto"/>
                      <w:szCs w:val="21"/>
                      <w:highlight w:val="none"/>
                    </w:rPr>
                  </w:pPr>
                </w:p>
              </w:tc>
              <w:tc>
                <w:tcPr>
                  <w:tcW w:w="489" w:type="pct"/>
                  <w:vMerge w:val="continue"/>
                  <w:vAlign w:val="center"/>
                </w:tcPr>
                <w:p w14:paraId="1EBB7C2E">
                  <w:pPr>
                    <w:jc w:val="center"/>
                    <w:rPr>
                      <w:bCs/>
                      <w:color w:val="auto"/>
                      <w:szCs w:val="21"/>
                      <w:highlight w:val="none"/>
                    </w:rPr>
                  </w:pPr>
                </w:p>
              </w:tc>
              <w:tc>
                <w:tcPr>
                  <w:tcW w:w="392" w:type="pct"/>
                  <w:vMerge w:val="continue"/>
                  <w:vAlign w:val="center"/>
                </w:tcPr>
                <w:p w14:paraId="2B9AC753">
                  <w:pPr>
                    <w:jc w:val="center"/>
                    <w:rPr>
                      <w:bCs/>
                      <w:color w:val="auto"/>
                      <w:szCs w:val="21"/>
                      <w:highlight w:val="none"/>
                    </w:rPr>
                  </w:pPr>
                </w:p>
              </w:tc>
              <w:tc>
                <w:tcPr>
                  <w:tcW w:w="378" w:type="pct"/>
                  <w:vMerge w:val="continue"/>
                  <w:vAlign w:val="center"/>
                </w:tcPr>
                <w:p w14:paraId="13F80913">
                  <w:pPr>
                    <w:jc w:val="center"/>
                    <w:rPr>
                      <w:bCs/>
                      <w:color w:val="auto"/>
                      <w:szCs w:val="21"/>
                      <w:highlight w:val="none"/>
                    </w:rPr>
                  </w:pPr>
                </w:p>
              </w:tc>
            </w:tr>
            <w:tr w14:paraId="18946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42" w:type="pct"/>
                  <w:vAlign w:val="center"/>
                </w:tcPr>
                <w:p w14:paraId="6E5EE437">
                  <w:pPr>
                    <w:jc w:val="center"/>
                    <w:rPr>
                      <w:bCs/>
                      <w:color w:val="auto"/>
                      <w:szCs w:val="21"/>
                      <w:highlight w:val="none"/>
                    </w:rPr>
                  </w:pPr>
                  <w:r>
                    <w:rPr>
                      <w:bCs/>
                      <w:color w:val="auto"/>
                      <w:szCs w:val="21"/>
                      <w:highlight w:val="none"/>
                    </w:rPr>
                    <w:t>1</w:t>
                  </w:r>
                </w:p>
              </w:tc>
              <w:tc>
                <w:tcPr>
                  <w:tcW w:w="551" w:type="pct"/>
                  <w:vAlign w:val="center"/>
                </w:tcPr>
                <w:p w14:paraId="2B977963">
                  <w:pPr>
                    <w:jc w:val="center"/>
                    <w:rPr>
                      <w:bCs/>
                      <w:color w:val="auto"/>
                      <w:szCs w:val="21"/>
                      <w:highlight w:val="none"/>
                    </w:rPr>
                  </w:pPr>
                  <w:r>
                    <w:rPr>
                      <w:bCs/>
                      <w:color w:val="auto"/>
                      <w:szCs w:val="21"/>
                      <w:highlight w:val="none"/>
                    </w:rPr>
                    <w:t>FG270电机生产线</w:t>
                  </w:r>
                </w:p>
              </w:tc>
              <w:tc>
                <w:tcPr>
                  <w:tcW w:w="476" w:type="pct"/>
                  <w:vAlign w:val="center"/>
                </w:tcPr>
                <w:p w14:paraId="5C0C15AE">
                  <w:pPr>
                    <w:jc w:val="center"/>
                    <w:rPr>
                      <w:bCs/>
                      <w:color w:val="auto"/>
                      <w:szCs w:val="21"/>
                      <w:highlight w:val="none"/>
                    </w:rPr>
                  </w:pPr>
                  <w:r>
                    <w:rPr>
                      <w:bCs/>
                      <w:color w:val="auto"/>
                      <w:szCs w:val="21"/>
                      <w:highlight w:val="none"/>
                    </w:rPr>
                    <w:t>电动汽车驱动电机</w:t>
                  </w:r>
                </w:p>
              </w:tc>
              <w:tc>
                <w:tcPr>
                  <w:tcW w:w="276" w:type="pct"/>
                  <w:vAlign w:val="center"/>
                </w:tcPr>
                <w:p w14:paraId="724B60BE">
                  <w:pPr>
                    <w:jc w:val="center"/>
                    <w:rPr>
                      <w:bCs/>
                      <w:color w:val="auto"/>
                      <w:szCs w:val="21"/>
                      <w:highlight w:val="none"/>
                    </w:rPr>
                  </w:pPr>
                  <w:r>
                    <w:rPr>
                      <w:rFonts w:hint="eastAsia"/>
                      <w:bCs/>
                      <w:color w:val="auto"/>
                      <w:szCs w:val="21"/>
                      <w:highlight w:val="none"/>
                    </w:rPr>
                    <w:t>4</w:t>
                  </w:r>
                </w:p>
              </w:tc>
              <w:tc>
                <w:tcPr>
                  <w:tcW w:w="276" w:type="pct"/>
                  <w:vAlign w:val="center"/>
                </w:tcPr>
                <w:p w14:paraId="319740BB">
                  <w:pPr>
                    <w:jc w:val="center"/>
                    <w:rPr>
                      <w:bCs/>
                      <w:color w:val="auto"/>
                      <w:szCs w:val="21"/>
                      <w:highlight w:val="none"/>
                    </w:rPr>
                  </w:pPr>
                  <w:r>
                    <w:rPr>
                      <w:rFonts w:hint="eastAsia"/>
                      <w:bCs/>
                      <w:color w:val="auto"/>
                      <w:szCs w:val="21"/>
                      <w:highlight w:val="none"/>
                    </w:rPr>
                    <w:t>4</w:t>
                  </w:r>
                </w:p>
              </w:tc>
              <w:tc>
                <w:tcPr>
                  <w:tcW w:w="309" w:type="pct"/>
                  <w:vAlign w:val="center"/>
                </w:tcPr>
                <w:p w14:paraId="6A7A9059">
                  <w:pPr>
                    <w:jc w:val="center"/>
                    <w:rPr>
                      <w:bCs/>
                      <w:color w:val="auto"/>
                      <w:szCs w:val="21"/>
                      <w:highlight w:val="none"/>
                    </w:rPr>
                  </w:pPr>
                  <w:r>
                    <w:rPr>
                      <w:rFonts w:hint="eastAsia"/>
                      <w:bCs/>
                      <w:color w:val="auto"/>
                      <w:szCs w:val="21"/>
                      <w:highlight w:val="none"/>
                    </w:rPr>
                    <w:t>0</w:t>
                  </w:r>
                </w:p>
              </w:tc>
              <w:tc>
                <w:tcPr>
                  <w:tcW w:w="917" w:type="pct"/>
                  <w:vAlign w:val="center"/>
                </w:tcPr>
                <w:p w14:paraId="5DE2795C">
                  <w:pPr>
                    <w:jc w:val="center"/>
                    <w:rPr>
                      <w:bCs/>
                      <w:color w:val="auto"/>
                      <w:szCs w:val="21"/>
                      <w:highlight w:val="none"/>
                    </w:rPr>
                  </w:pPr>
                  <w:r>
                    <w:rPr>
                      <w:rFonts w:hint="eastAsia"/>
                      <w:bCs/>
                      <w:color w:val="auto"/>
                      <w:sz w:val="18"/>
                      <w:szCs w:val="18"/>
                      <w:highlight w:val="none"/>
                    </w:rPr>
                    <w:drawing>
                      <wp:inline distT="0" distB="0" distL="114300" distR="114300">
                        <wp:extent cx="1090295" cy="817880"/>
                        <wp:effectExtent l="0" t="0" r="6985" b="5080"/>
                        <wp:docPr id="4" name="图片 4" descr="2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0-77"/>
                                <pic:cNvPicPr>
                                  <a:picLocks noChangeAspect="1"/>
                                </pic:cNvPicPr>
                              </pic:nvPicPr>
                              <pic:blipFill>
                                <a:blip r:embed="rId7" cstate="print"/>
                                <a:stretch>
                                  <a:fillRect/>
                                </a:stretch>
                              </pic:blipFill>
                              <pic:spPr>
                                <a:xfrm>
                                  <a:off x="0" y="0"/>
                                  <a:ext cx="1090295" cy="817880"/>
                                </a:xfrm>
                                <a:prstGeom prst="rect">
                                  <a:avLst/>
                                </a:prstGeom>
                              </pic:spPr>
                            </pic:pic>
                          </a:graphicData>
                        </a:graphic>
                      </wp:inline>
                    </w:drawing>
                  </w:r>
                </w:p>
              </w:tc>
              <w:tc>
                <w:tcPr>
                  <w:tcW w:w="787" w:type="pct"/>
                  <w:vAlign w:val="center"/>
                </w:tcPr>
                <w:p w14:paraId="0C004C29">
                  <w:pPr>
                    <w:jc w:val="center"/>
                    <w:rPr>
                      <w:color w:val="auto"/>
                      <w:szCs w:val="21"/>
                      <w:highlight w:val="none"/>
                    </w:rPr>
                  </w:pPr>
                  <w:r>
                    <w:rPr>
                      <w:rFonts w:hint="eastAsia"/>
                      <w:color w:val="auto"/>
                      <w:szCs w:val="21"/>
                      <w:highlight w:val="none"/>
                    </w:rPr>
                    <w:t>型号：FG270-77</w:t>
                  </w:r>
                </w:p>
                <w:p w14:paraId="2CE0B719">
                  <w:pPr>
                    <w:pStyle w:val="2"/>
                    <w:ind w:left="0" w:leftChars="0" w:firstLine="0" w:firstLineChars="0"/>
                    <w:jc w:val="center"/>
                    <w:rPr>
                      <w:bCs/>
                      <w:color w:val="auto"/>
                      <w:szCs w:val="21"/>
                      <w:highlight w:val="none"/>
                    </w:rPr>
                  </w:pPr>
                  <w:r>
                    <w:rPr>
                      <w:rFonts w:hint="eastAsia"/>
                      <w:color w:val="auto"/>
                      <w:szCs w:val="21"/>
                      <w:highlight w:val="none"/>
                      <w:lang w:val="en-US"/>
                    </w:rPr>
                    <w:t>规格：95kw</w:t>
                  </w:r>
                </w:p>
              </w:tc>
              <w:tc>
                <w:tcPr>
                  <w:tcW w:w="489" w:type="pct"/>
                  <w:vAlign w:val="center"/>
                </w:tcPr>
                <w:p w14:paraId="70CBC808">
                  <w:pPr>
                    <w:jc w:val="center"/>
                    <w:rPr>
                      <w:bCs/>
                      <w:color w:val="auto"/>
                      <w:szCs w:val="21"/>
                      <w:highlight w:val="none"/>
                    </w:rPr>
                  </w:pPr>
                  <w:r>
                    <w:rPr>
                      <w:rFonts w:hint="eastAsia"/>
                      <w:color w:val="auto"/>
                      <w:szCs w:val="21"/>
                      <w:highlight w:val="none"/>
                    </w:rPr>
                    <w:t>插电混合动力P2方案电机</w:t>
                  </w:r>
                </w:p>
              </w:tc>
              <w:tc>
                <w:tcPr>
                  <w:tcW w:w="392" w:type="pct"/>
                  <w:vMerge w:val="restart"/>
                  <w:vAlign w:val="center"/>
                </w:tcPr>
                <w:p w14:paraId="00DDDFEB">
                  <w:pPr>
                    <w:jc w:val="center"/>
                    <w:rPr>
                      <w:bCs/>
                      <w:color w:val="auto"/>
                      <w:szCs w:val="21"/>
                      <w:highlight w:val="none"/>
                    </w:rPr>
                  </w:pPr>
                  <w:r>
                    <w:rPr>
                      <w:rFonts w:hint="eastAsia"/>
                      <w:color w:val="auto"/>
                      <w:szCs w:val="21"/>
                      <w:highlight w:val="none"/>
                    </w:rPr>
                    <w:t>IATF16949-2016汽车质量管理体系</w:t>
                  </w:r>
                </w:p>
              </w:tc>
              <w:tc>
                <w:tcPr>
                  <w:tcW w:w="378" w:type="pct"/>
                  <w:vMerge w:val="restart"/>
                  <w:vAlign w:val="center"/>
                </w:tcPr>
                <w:p w14:paraId="1E9EDD4D">
                  <w:pPr>
                    <w:jc w:val="center"/>
                    <w:rPr>
                      <w:bCs/>
                      <w:color w:val="auto"/>
                      <w:szCs w:val="21"/>
                      <w:highlight w:val="none"/>
                    </w:rPr>
                  </w:pPr>
                  <w:r>
                    <w:rPr>
                      <w:rFonts w:hint="eastAsia"/>
                      <w:bCs/>
                      <w:color w:val="auto"/>
                      <w:szCs w:val="21"/>
                      <w:highlight w:val="none"/>
                    </w:rPr>
                    <w:t>72</w:t>
                  </w:r>
                  <w:r>
                    <w:rPr>
                      <w:bCs/>
                      <w:color w:val="auto"/>
                      <w:szCs w:val="21"/>
                      <w:highlight w:val="none"/>
                    </w:rPr>
                    <w:t>00</w:t>
                  </w:r>
                </w:p>
              </w:tc>
            </w:tr>
            <w:tr w14:paraId="058C6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42" w:type="pct"/>
                  <w:vAlign w:val="center"/>
                </w:tcPr>
                <w:p w14:paraId="27390191">
                  <w:pPr>
                    <w:jc w:val="center"/>
                    <w:rPr>
                      <w:bCs/>
                      <w:color w:val="auto"/>
                      <w:szCs w:val="21"/>
                      <w:highlight w:val="none"/>
                    </w:rPr>
                  </w:pPr>
                  <w:r>
                    <w:rPr>
                      <w:rFonts w:hint="eastAsia"/>
                      <w:bCs/>
                      <w:color w:val="auto"/>
                      <w:szCs w:val="21"/>
                      <w:highlight w:val="none"/>
                    </w:rPr>
                    <w:t>2</w:t>
                  </w:r>
                </w:p>
              </w:tc>
              <w:tc>
                <w:tcPr>
                  <w:tcW w:w="551" w:type="pct"/>
                  <w:vAlign w:val="center"/>
                </w:tcPr>
                <w:p w14:paraId="27868859">
                  <w:pPr>
                    <w:jc w:val="center"/>
                    <w:rPr>
                      <w:bCs/>
                      <w:color w:val="auto"/>
                      <w:szCs w:val="21"/>
                      <w:highlight w:val="none"/>
                    </w:rPr>
                  </w:pPr>
                  <w:r>
                    <w:rPr>
                      <w:rFonts w:hint="eastAsia"/>
                      <w:bCs/>
                      <w:color w:val="auto"/>
                      <w:szCs w:val="21"/>
                      <w:highlight w:val="none"/>
                    </w:rPr>
                    <w:t>电机生产线</w:t>
                  </w:r>
                </w:p>
              </w:tc>
              <w:tc>
                <w:tcPr>
                  <w:tcW w:w="476" w:type="pct"/>
                  <w:vAlign w:val="center"/>
                </w:tcPr>
                <w:p w14:paraId="3B1B80BF">
                  <w:pPr>
                    <w:jc w:val="center"/>
                    <w:rPr>
                      <w:bCs/>
                      <w:color w:val="auto"/>
                      <w:szCs w:val="21"/>
                      <w:highlight w:val="none"/>
                    </w:rPr>
                  </w:pPr>
                  <w:r>
                    <w:rPr>
                      <w:rFonts w:hint="eastAsia"/>
                      <w:bCs/>
                      <w:color w:val="auto"/>
                      <w:szCs w:val="21"/>
                      <w:highlight w:val="none"/>
                    </w:rPr>
                    <w:t>电机</w:t>
                  </w:r>
                </w:p>
              </w:tc>
              <w:tc>
                <w:tcPr>
                  <w:tcW w:w="276" w:type="pct"/>
                  <w:vAlign w:val="center"/>
                </w:tcPr>
                <w:p w14:paraId="1D0453D5">
                  <w:pPr>
                    <w:jc w:val="center"/>
                    <w:rPr>
                      <w:bCs/>
                      <w:color w:val="auto"/>
                      <w:szCs w:val="21"/>
                      <w:highlight w:val="none"/>
                    </w:rPr>
                  </w:pPr>
                  <w:r>
                    <w:rPr>
                      <w:rFonts w:hint="eastAsia"/>
                      <w:bCs/>
                      <w:color w:val="auto"/>
                      <w:szCs w:val="21"/>
                      <w:highlight w:val="none"/>
                    </w:rPr>
                    <w:t>0</w:t>
                  </w:r>
                </w:p>
              </w:tc>
              <w:tc>
                <w:tcPr>
                  <w:tcW w:w="276" w:type="pct"/>
                  <w:vAlign w:val="center"/>
                </w:tcPr>
                <w:p w14:paraId="10317D71">
                  <w:pPr>
                    <w:jc w:val="center"/>
                    <w:rPr>
                      <w:bCs/>
                      <w:color w:val="auto"/>
                      <w:szCs w:val="21"/>
                      <w:highlight w:val="none"/>
                    </w:rPr>
                  </w:pPr>
                  <w:r>
                    <w:rPr>
                      <w:rFonts w:hint="eastAsia"/>
                      <w:bCs/>
                      <w:color w:val="auto"/>
                      <w:szCs w:val="21"/>
                      <w:highlight w:val="none"/>
                    </w:rPr>
                    <w:t>6</w:t>
                  </w:r>
                </w:p>
              </w:tc>
              <w:tc>
                <w:tcPr>
                  <w:tcW w:w="309" w:type="pct"/>
                  <w:vAlign w:val="center"/>
                </w:tcPr>
                <w:p w14:paraId="1BE8D50C">
                  <w:pPr>
                    <w:jc w:val="center"/>
                    <w:rPr>
                      <w:bCs/>
                      <w:color w:val="auto"/>
                      <w:szCs w:val="21"/>
                      <w:highlight w:val="none"/>
                    </w:rPr>
                  </w:pPr>
                  <w:r>
                    <w:rPr>
                      <w:rFonts w:hint="eastAsia"/>
                      <w:bCs/>
                      <w:color w:val="auto"/>
                      <w:szCs w:val="21"/>
                      <w:highlight w:val="none"/>
                    </w:rPr>
                    <w:t>+6</w:t>
                  </w:r>
                </w:p>
              </w:tc>
              <w:tc>
                <w:tcPr>
                  <w:tcW w:w="917" w:type="pct"/>
                  <w:vAlign w:val="center"/>
                </w:tcPr>
                <w:p w14:paraId="73518404">
                  <w:pPr>
                    <w:jc w:val="center"/>
                    <w:rPr>
                      <w:bCs/>
                      <w:color w:val="auto"/>
                      <w:szCs w:val="21"/>
                      <w:highlight w:val="none"/>
                    </w:rPr>
                  </w:pPr>
                  <w:r>
                    <w:rPr>
                      <w:rFonts w:hint="eastAsia"/>
                      <w:bCs/>
                      <w:color w:val="auto"/>
                      <w:sz w:val="18"/>
                      <w:szCs w:val="18"/>
                      <w:highlight w:val="none"/>
                    </w:rPr>
                    <w:drawing>
                      <wp:inline distT="0" distB="0" distL="114300" distR="114300">
                        <wp:extent cx="1089025" cy="1242060"/>
                        <wp:effectExtent l="0" t="0" r="3175" b="2540"/>
                        <wp:docPr id="9" name="图片 9" descr="电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电机"/>
                                <pic:cNvPicPr>
                                  <a:picLocks noChangeAspect="1"/>
                                </pic:cNvPicPr>
                              </pic:nvPicPr>
                              <pic:blipFill>
                                <a:blip r:embed="rId8" cstate="print"/>
                                <a:srcRect b="29242"/>
                                <a:stretch>
                                  <a:fillRect/>
                                </a:stretch>
                              </pic:blipFill>
                              <pic:spPr>
                                <a:xfrm>
                                  <a:off x="0" y="0"/>
                                  <a:ext cx="1089025" cy="1242060"/>
                                </a:xfrm>
                                <a:prstGeom prst="rect">
                                  <a:avLst/>
                                </a:prstGeom>
                              </pic:spPr>
                            </pic:pic>
                          </a:graphicData>
                        </a:graphic>
                      </wp:inline>
                    </w:drawing>
                  </w:r>
                </w:p>
              </w:tc>
              <w:tc>
                <w:tcPr>
                  <w:tcW w:w="787" w:type="pct"/>
                  <w:vAlign w:val="center"/>
                </w:tcPr>
                <w:p w14:paraId="34598C74">
                  <w:pPr>
                    <w:jc w:val="center"/>
                    <w:rPr>
                      <w:color w:val="auto"/>
                      <w:szCs w:val="21"/>
                      <w:highlight w:val="none"/>
                    </w:rPr>
                  </w:pPr>
                  <w:r>
                    <w:rPr>
                      <w:rFonts w:hint="eastAsia"/>
                      <w:color w:val="auto"/>
                      <w:szCs w:val="21"/>
                      <w:highlight w:val="none"/>
                    </w:rPr>
                    <w:t>型号：IMG270-36</w:t>
                  </w:r>
                </w:p>
                <w:p w14:paraId="5EE7BB40">
                  <w:pPr>
                    <w:jc w:val="center"/>
                    <w:rPr>
                      <w:color w:val="auto"/>
                      <w:szCs w:val="21"/>
                      <w:highlight w:val="none"/>
                    </w:rPr>
                  </w:pPr>
                  <w:r>
                    <w:rPr>
                      <w:rFonts w:hint="eastAsia"/>
                      <w:color w:val="auto"/>
                      <w:szCs w:val="21"/>
                      <w:highlight w:val="none"/>
                    </w:rPr>
                    <w:t>规格：50kw</w:t>
                  </w:r>
                </w:p>
                <w:p w14:paraId="39C0BCE5">
                  <w:pPr>
                    <w:jc w:val="center"/>
                    <w:rPr>
                      <w:color w:val="auto"/>
                      <w:szCs w:val="21"/>
                      <w:highlight w:val="none"/>
                    </w:rPr>
                  </w:pPr>
                  <w:r>
                    <w:rPr>
                      <w:rFonts w:hint="eastAsia"/>
                      <w:color w:val="auto"/>
                      <w:szCs w:val="21"/>
                      <w:highlight w:val="none"/>
                    </w:rPr>
                    <w:t>型号：SGM180-61.8</w:t>
                  </w:r>
                </w:p>
                <w:p w14:paraId="39AC6A1D">
                  <w:pPr>
                    <w:jc w:val="center"/>
                    <w:rPr>
                      <w:bCs/>
                      <w:color w:val="auto"/>
                      <w:szCs w:val="21"/>
                      <w:highlight w:val="none"/>
                    </w:rPr>
                  </w:pPr>
                  <w:r>
                    <w:rPr>
                      <w:rFonts w:hint="eastAsia"/>
                      <w:color w:val="auto"/>
                      <w:szCs w:val="21"/>
                      <w:highlight w:val="none"/>
                    </w:rPr>
                    <w:t>规格：100kw</w:t>
                  </w:r>
                </w:p>
              </w:tc>
              <w:tc>
                <w:tcPr>
                  <w:tcW w:w="489" w:type="pct"/>
                  <w:vAlign w:val="center"/>
                </w:tcPr>
                <w:p w14:paraId="67CFDB29">
                  <w:pPr>
                    <w:jc w:val="center"/>
                    <w:rPr>
                      <w:bCs/>
                      <w:color w:val="auto"/>
                      <w:szCs w:val="21"/>
                      <w:highlight w:val="none"/>
                    </w:rPr>
                  </w:pPr>
                  <w:r>
                    <w:rPr>
                      <w:rFonts w:hint="eastAsia"/>
                      <w:color w:val="auto"/>
                      <w:szCs w:val="21"/>
                      <w:highlight w:val="none"/>
                    </w:rPr>
                    <w:t>插电混合动力DHT方案电机</w:t>
                  </w:r>
                </w:p>
              </w:tc>
              <w:tc>
                <w:tcPr>
                  <w:tcW w:w="392" w:type="pct"/>
                  <w:vMerge w:val="continue"/>
                  <w:vAlign w:val="center"/>
                </w:tcPr>
                <w:p w14:paraId="2E0FE4B5">
                  <w:pPr>
                    <w:jc w:val="center"/>
                    <w:rPr>
                      <w:bCs/>
                      <w:color w:val="auto"/>
                      <w:szCs w:val="21"/>
                      <w:highlight w:val="none"/>
                    </w:rPr>
                  </w:pPr>
                </w:p>
              </w:tc>
              <w:tc>
                <w:tcPr>
                  <w:tcW w:w="378" w:type="pct"/>
                  <w:vMerge w:val="continue"/>
                  <w:vAlign w:val="center"/>
                </w:tcPr>
                <w:p w14:paraId="24AA78AF">
                  <w:pPr>
                    <w:jc w:val="center"/>
                    <w:rPr>
                      <w:bCs/>
                      <w:color w:val="auto"/>
                      <w:szCs w:val="21"/>
                      <w:highlight w:val="none"/>
                    </w:rPr>
                  </w:pPr>
                </w:p>
              </w:tc>
            </w:tr>
          </w:tbl>
          <w:p w14:paraId="00859FA0">
            <w:pPr>
              <w:adjustRightInd w:val="0"/>
              <w:snapToGrid w:val="0"/>
              <w:spacing w:line="360" w:lineRule="auto"/>
              <w:jc w:val="left"/>
              <w:rPr>
                <w:rFonts w:hAnsi="宋体"/>
                <w:b/>
                <w:bCs/>
                <w:color w:val="auto"/>
                <w:sz w:val="24"/>
                <w:highlight w:val="none"/>
              </w:rPr>
            </w:pPr>
            <w:r>
              <w:rPr>
                <w:rFonts w:hAnsi="宋体"/>
                <w:b/>
                <w:bCs/>
                <w:color w:val="auto"/>
                <w:sz w:val="24"/>
                <w:highlight w:val="none"/>
              </w:rPr>
              <w:t>4、主要生产单元、主要工艺及生产设施名称一览表</w:t>
            </w:r>
          </w:p>
          <w:p w14:paraId="1B0F9D18">
            <w:pPr>
              <w:ind w:firstLine="1325" w:firstLineChars="550"/>
              <w:rPr>
                <w:b/>
                <w:bCs/>
                <w:color w:val="auto"/>
                <w:sz w:val="24"/>
                <w:highlight w:val="none"/>
              </w:rPr>
            </w:pPr>
            <w:r>
              <w:rPr>
                <w:rFonts w:hAnsi="宋体"/>
                <w:b/>
                <w:bCs/>
                <w:color w:val="auto"/>
                <w:sz w:val="24"/>
                <w:highlight w:val="none"/>
              </w:rPr>
              <w:t>表</w:t>
            </w:r>
            <w:r>
              <w:rPr>
                <w:b/>
                <w:bCs/>
                <w:color w:val="auto"/>
                <w:sz w:val="24"/>
                <w:highlight w:val="none"/>
              </w:rPr>
              <w:t>2-3</w:t>
            </w:r>
            <w:r>
              <w:rPr>
                <w:rFonts w:hAnsi="宋体"/>
                <w:b/>
                <w:bCs/>
                <w:color w:val="auto"/>
                <w:sz w:val="24"/>
                <w:highlight w:val="none"/>
              </w:rPr>
              <w:t>建设项目主要生产单元、主要工艺及生产设施名称一览表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683"/>
              <w:gridCol w:w="1064"/>
              <w:gridCol w:w="1966"/>
              <w:gridCol w:w="1717"/>
              <w:gridCol w:w="844"/>
              <w:gridCol w:w="793"/>
              <w:gridCol w:w="622"/>
              <w:gridCol w:w="795"/>
            </w:tblGrid>
            <w:tr w14:paraId="42731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restart"/>
                  <w:tcBorders>
                    <w:tl2br w:val="nil"/>
                    <w:tr2bl w:val="nil"/>
                  </w:tcBorders>
                  <w:vAlign w:val="center"/>
                </w:tcPr>
                <w:p w14:paraId="1E48D07B">
                  <w:pPr>
                    <w:jc w:val="center"/>
                    <w:rPr>
                      <w:b/>
                      <w:bCs/>
                      <w:color w:val="auto"/>
                      <w:szCs w:val="21"/>
                      <w:highlight w:val="none"/>
                    </w:rPr>
                  </w:pPr>
                  <w:r>
                    <w:rPr>
                      <w:b/>
                      <w:bCs/>
                      <w:color w:val="auto"/>
                      <w:szCs w:val="21"/>
                      <w:highlight w:val="none"/>
                    </w:rPr>
                    <w:t>车间</w:t>
                  </w:r>
                </w:p>
              </w:tc>
              <w:tc>
                <w:tcPr>
                  <w:tcW w:w="368" w:type="pct"/>
                  <w:vMerge w:val="restart"/>
                  <w:tcBorders>
                    <w:tl2br w:val="nil"/>
                    <w:tr2bl w:val="nil"/>
                  </w:tcBorders>
                  <w:vAlign w:val="center"/>
                </w:tcPr>
                <w:p w14:paraId="185E2CB0">
                  <w:pPr>
                    <w:jc w:val="center"/>
                    <w:rPr>
                      <w:b/>
                      <w:bCs/>
                      <w:color w:val="auto"/>
                      <w:szCs w:val="21"/>
                      <w:highlight w:val="none"/>
                    </w:rPr>
                  </w:pPr>
                  <w:r>
                    <w:rPr>
                      <w:b/>
                      <w:bCs/>
                      <w:color w:val="auto"/>
                      <w:szCs w:val="21"/>
                      <w:highlight w:val="none"/>
                    </w:rPr>
                    <w:t>主要生产单元</w:t>
                  </w:r>
                </w:p>
              </w:tc>
              <w:tc>
                <w:tcPr>
                  <w:tcW w:w="571" w:type="pct"/>
                  <w:vMerge w:val="restart"/>
                  <w:tcBorders>
                    <w:tl2br w:val="nil"/>
                    <w:tr2bl w:val="nil"/>
                  </w:tcBorders>
                  <w:vAlign w:val="center"/>
                </w:tcPr>
                <w:p w14:paraId="3E0561B7">
                  <w:pPr>
                    <w:jc w:val="center"/>
                    <w:rPr>
                      <w:b/>
                      <w:bCs/>
                      <w:color w:val="auto"/>
                      <w:szCs w:val="21"/>
                      <w:highlight w:val="none"/>
                    </w:rPr>
                  </w:pPr>
                  <w:r>
                    <w:rPr>
                      <w:b/>
                      <w:bCs/>
                      <w:color w:val="auto"/>
                      <w:szCs w:val="21"/>
                      <w:highlight w:val="none"/>
                    </w:rPr>
                    <w:t>主要工艺</w:t>
                  </w:r>
                </w:p>
              </w:tc>
              <w:tc>
                <w:tcPr>
                  <w:tcW w:w="1058" w:type="pct"/>
                  <w:vMerge w:val="restart"/>
                  <w:tcBorders>
                    <w:tl2br w:val="nil"/>
                    <w:tr2bl w:val="nil"/>
                  </w:tcBorders>
                  <w:vAlign w:val="center"/>
                </w:tcPr>
                <w:p w14:paraId="2EFE9E52">
                  <w:pPr>
                    <w:jc w:val="center"/>
                    <w:rPr>
                      <w:b/>
                      <w:bCs/>
                      <w:color w:val="auto"/>
                      <w:szCs w:val="21"/>
                      <w:highlight w:val="none"/>
                    </w:rPr>
                  </w:pPr>
                  <w:r>
                    <w:rPr>
                      <w:b/>
                      <w:bCs/>
                      <w:color w:val="auto"/>
                      <w:szCs w:val="21"/>
                      <w:highlight w:val="none"/>
                    </w:rPr>
                    <w:t>生产设施</w:t>
                  </w:r>
                </w:p>
              </w:tc>
              <w:tc>
                <w:tcPr>
                  <w:tcW w:w="924" w:type="pct"/>
                  <w:vMerge w:val="restart"/>
                  <w:tcBorders>
                    <w:tl2br w:val="nil"/>
                    <w:tr2bl w:val="nil"/>
                  </w:tcBorders>
                  <w:vAlign w:val="center"/>
                </w:tcPr>
                <w:p w14:paraId="59E99643">
                  <w:pPr>
                    <w:jc w:val="center"/>
                    <w:rPr>
                      <w:b/>
                      <w:bCs/>
                      <w:color w:val="auto"/>
                      <w:szCs w:val="21"/>
                      <w:highlight w:val="none"/>
                    </w:rPr>
                  </w:pPr>
                  <w:r>
                    <w:rPr>
                      <w:b/>
                      <w:bCs/>
                      <w:color w:val="auto"/>
                      <w:szCs w:val="21"/>
                      <w:highlight w:val="none"/>
                    </w:rPr>
                    <w:t>设施参数</w:t>
                  </w:r>
                </w:p>
              </w:tc>
              <w:tc>
                <w:tcPr>
                  <w:tcW w:w="1216" w:type="pct"/>
                  <w:gridSpan w:val="3"/>
                  <w:tcBorders>
                    <w:tl2br w:val="nil"/>
                    <w:tr2bl w:val="nil"/>
                  </w:tcBorders>
                  <w:vAlign w:val="center"/>
                </w:tcPr>
                <w:p w14:paraId="11C0A1EE">
                  <w:pPr>
                    <w:jc w:val="center"/>
                    <w:rPr>
                      <w:b/>
                      <w:bCs/>
                      <w:color w:val="auto"/>
                      <w:szCs w:val="21"/>
                      <w:highlight w:val="none"/>
                    </w:rPr>
                  </w:pPr>
                  <w:r>
                    <w:rPr>
                      <w:b/>
                      <w:bCs/>
                      <w:color w:val="auto"/>
                      <w:szCs w:val="21"/>
                      <w:highlight w:val="none"/>
                    </w:rPr>
                    <w:t>数量</w:t>
                  </w:r>
                </w:p>
              </w:tc>
              <w:tc>
                <w:tcPr>
                  <w:tcW w:w="428" w:type="pct"/>
                  <w:vMerge w:val="restart"/>
                  <w:tcBorders>
                    <w:tl2br w:val="nil"/>
                    <w:tr2bl w:val="nil"/>
                  </w:tcBorders>
                  <w:vAlign w:val="center"/>
                </w:tcPr>
                <w:p w14:paraId="23C9DEBC">
                  <w:pPr>
                    <w:jc w:val="center"/>
                    <w:rPr>
                      <w:b/>
                      <w:bCs/>
                      <w:color w:val="auto"/>
                      <w:szCs w:val="21"/>
                      <w:highlight w:val="none"/>
                    </w:rPr>
                  </w:pPr>
                  <w:r>
                    <w:rPr>
                      <w:b/>
                      <w:bCs/>
                      <w:color w:val="auto"/>
                      <w:szCs w:val="21"/>
                      <w:highlight w:val="none"/>
                    </w:rPr>
                    <w:t>备注</w:t>
                  </w:r>
                </w:p>
              </w:tc>
            </w:tr>
            <w:tr w14:paraId="2D671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166FAAA6">
                  <w:pPr>
                    <w:jc w:val="center"/>
                    <w:rPr>
                      <w:color w:val="auto"/>
                      <w:szCs w:val="21"/>
                      <w:highlight w:val="none"/>
                    </w:rPr>
                  </w:pPr>
                </w:p>
              </w:tc>
              <w:tc>
                <w:tcPr>
                  <w:tcW w:w="368" w:type="pct"/>
                  <w:vMerge w:val="continue"/>
                  <w:tcBorders>
                    <w:tl2br w:val="nil"/>
                    <w:tr2bl w:val="nil"/>
                  </w:tcBorders>
                  <w:vAlign w:val="center"/>
                </w:tcPr>
                <w:p w14:paraId="10EF3D5A">
                  <w:pPr>
                    <w:jc w:val="center"/>
                    <w:rPr>
                      <w:color w:val="auto"/>
                      <w:szCs w:val="21"/>
                      <w:highlight w:val="none"/>
                    </w:rPr>
                  </w:pPr>
                </w:p>
              </w:tc>
              <w:tc>
                <w:tcPr>
                  <w:tcW w:w="571" w:type="pct"/>
                  <w:vMerge w:val="continue"/>
                  <w:tcBorders>
                    <w:tl2br w:val="nil"/>
                    <w:tr2bl w:val="nil"/>
                  </w:tcBorders>
                  <w:vAlign w:val="center"/>
                </w:tcPr>
                <w:p w14:paraId="04AD6B00">
                  <w:pPr>
                    <w:jc w:val="center"/>
                    <w:rPr>
                      <w:color w:val="auto"/>
                      <w:szCs w:val="21"/>
                      <w:highlight w:val="none"/>
                    </w:rPr>
                  </w:pPr>
                </w:p>
              </w:tc>
              <w:tc>
                <w:tcPr>
                  <w:tcW w:w="1058" w:type="pct"/>
                  <w:vMerge w:val="continue"/>
                  <w:tcBorders>
                    <w:tl2br w:val="nil"/>
                    <w:tr2bl w:val="nil"/>
                  </w:tcBorders>
                  <w:vAlign w:val="center"/>
                </w:tcPr>
                <w:p w14:paraId="4F43C451">
                  <w:pPr>
                    <w:jc w:val="center"/>
                    <w:rPr>
                      <w:color w:val="auto"/>
                      <w:szCs w:val="21"/>
                      <w:highlight w:val="none"/>
                    </w:rPr>
                  </w:pPr>
                </w:p>
              </w:tc>
              <w:tc>
                <w:tcPr>
                  <w:tcW w:w="924" w:type="pct"/>
                  <w:vMerge w:val="continue"/>
                  <w:tcBorders>
                    <w:tl2br w:val="nil"/>
                    <w:tr2bl w:val="nil"/>
                  </w:tcBorders>
                  <w:vAlign w:val="center"/>
                </w:tcPr>
                <w:p w14:paraId="62596A5E">
                  <w:pPr>
                    <w:jc w:val="center"/>
                    <w:rPr>
                      <w:color w:val="auto"/>
                      <w:szCs w:val="21"/>
                      <w:highlight w:val="none"/>
                    </w:rPr>
                  </w:pPr>
                </w:p>
              </w:tc>
              <w:tc>
                <w:tcPr>
                  <w:tcW w:w="454" w:type="pct"/>
                  <w:tcBorders>
                    <w:tl2br w:val="nil"/>
                    <w:tr2bl w:val="nil"/>
                  </w:tcBorders>
                  <w:vAlign w:val="center"/>
                </w:tcPr>
                <w:p w14:paraId="087F78F1">
                  <w:pPr>
                    <w:jc w:val="center"/>
                    <w:rPr>
                      <w:b/>
                      <w:bCs/>
                      <w:color w:val="auto"/>
                      <w:szCs w:val="21"/>
                      <w:highlight w:val="none"/>
                    </w:rPr>
                  </w:pPr>
                  <w:r>
                    <w:rPr>
                      <w:b/>
                      <w:bCs/>
                      <w:color w:val="auto"/>
                      <w:szCs w:val="21"/>
                      <w:highlight w:val="none"/>
                    </w:rPr>
                    <w:t>改建前</w:t>
                  </w:r>
                </w:p>
              </w:tc>
              <w:tc>
                <w:tcPr>
                  <w:tcW w:w="427" w:type="pct"/>
                  <w:tcBorders>
                    <w:tl2br w:val="nil"/>
                    <w:tr2bl w:val="nil"/>
                  </w:tcBorders>
                  <w:vAlign w:val="center"/>
                </w:tcPr>
                <w:p w14:paraId="7303E6A5">
                  <w:pPr>
                    <w:jc w:val="center"/>
                    <w:rPr>
                      <w:b/>
                      <w:bCs/>
                      <w:color w:val="auto"/>
                      <w:szCs w:val="21"/>
                      <w:highlight w:val="none"/>
                    </w:rPr>
                  </w:pPr>
                  <w:r>
                    <w:rPr>
                      <w:b/>
                      <w:bCs/>
                      <w:color w:val="auto"/>
                      <w:szCs w:val="21"/>
                      <w:highlight w:val="none"/>
                    </w:rPr>
                    <w:t>改建后</w:t>
                  </w:r>
                </w:p>
              </w:tc>
              <w:tc>
                <w:tcPr>
                  <w:tcW w:w="334" w:type="pct"/>
                  <w:tcBorders>
                    <w:tl2br w:val="nil"/>
                    <w:tr2bl w:val="nil"/>
                  </w:tcBorders>
                  <w:vAlign w:val="center"/>
                </w:tcPr>
                <w:p w14:paraId="49FCAA68">
                  <w:pPr>
                    <w:jc w:val="center"/>
                    <w:rPr>
                      <w:b/>
                      <w:bCs/>
                      <w:color w:val="auto"/>
                      <w:szCs w:val="21"/>
                      <w:highlight w:val="none"/>
                    </w:rPr>
                  </w:pPr>
                  <w:r>
                    <w:rPr>
                      <w:b/>
                      <w:bCs/>
                      <w:color w:val="auto"/>
                      <w:szCs w:val="21"/>
                      <w:highlight w:val="none"/>
                    </w:rPr>
                    <w:t>变化量</w:t>
                  </w:r>
                </w:p>
              </w:tc>
              <w:tc>
                <w:tcPr>
                  <w:tcW w:w="428" w:type="pct"/>
                  <w:vMerge w:val="continue"/>
                  <w:tcBorders>
                    <w:tl2br w:val="nil"/>
                    <w:tr2bl w:val="nil"/>
                  </w:tcBorders>
                  <w:vAlign w:val="center"/>
                </w:tcPr>
                <w:p w14:paraId="06115896">
                  <w:pPr>
                    <w:jc w:val="center"/>
                    <w:rPr>
                      <w:b/>
                      <w:bCs/>
                      <w:color w:val="auto"/>
                      <w:szCs w:val="21"/>
                      <w:highlight w:val="none"/>
                    </w:rPr>
                  </w:pPr>
                </w:p>
              </w:tc>
            </w:tr>
            <w:tr w14:paraId="1934C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restart"/>
                  <w:tcBorders>
                    <w:tl2br w:val="nil"/>
                    <w:tr2bl w:val="nil"/>
                  </w:tcBorders>
                  <w:vAlign w:val="center"/>
                </w:tcPr>
                <w:p w14:paraId="2CC5BF66">
                  <w:pPr>
                    <w:jc w:val="center"/>
                    <w:rPr>
                      <w:color w:val="auto"/>
                      <w:szCs w:val="21"/>
                      <w:highlight w:val="none"/>
                    </w:rPr>
                  </w:pPr>
                  <w:r>
                    <w:rPr>
                      <w:color w:val="auto"/>
                      <w:szCs w:val="21"/>
                      <w:highlight w:val="none"/>
                    </w:rPr>
                    <w:t>电机生产车间</w:t>
                  </w:r>
                </w:p>
              </w:tc>
              <w:tc>
                <w:tcPr>
                  <w:tcW w:w="368" w:type="pct"/>
                  <w:vMerge w:val="restart"/>
                  <w:tcBorders>
                    <w:tl2br w:val="nil"/>
                    <w:tr2bl w:val="nil"/>
                  </w:tcBorders>
                  <w:vAlign w:val="center"/>
                </w:tcPr>
                <w:p w14:paraId="460176D5">
                  <w:pPr>
                    <w:jc w:val="center"/>
                    <w:rPr>
                      <w:color w:val="auto"/>
                      <w:szCs w:val="21"/>
                      <w:highlight w:val="none"/>
                    </w:rPr>
                  </w:pPr>
                  <w:r>
                    <w:rPr>
                      <w:color w:val="auto"/>
                      <w:szCs w:val="21"/>
                      <w:highlight w:val="none"/>
                    </w:rPr>
                    <w:t>转子生产</w:t>
                  </w:r>
                </w:p>
              </w:tc>
              <w:tc>
                <w:tcPr>
                  <w:tcW w:w="571" w:type="pct"/>
                  <w:tcBorders>
                    <w:tl2br w:val="nil"/>
                    <w:tr2bl w:val="nil"/>
                  </w:tcBorders>
                  <w:vAlign w:val="center"/>
                </w:tcPr>
                <w:p w14:paraId="3C00DADB">
                  <w:pPr>
                    <w:jc w:val="center"/>
                    <w:rPr>
                      <w:color w:val="auto"/>
                      <w:szCs w:val="21"/>
                      <w:highlight w:val="none"/>
                    </w:rPr>
                  </w:pPr>
                  <w:r>
                    <w:rPr>
                      <w:color w:val="auto"/>
                      <w:szCs w:val="21"/>
                      <w:highlight w:val="none"/>
                    </w:rPr>
                    <w:t>转子铁心加热压装</w:t>
                  </w:r>
                </w:p>
              </w:tc>
              <w:tc>
                <w:tcPr>
                  <w:tcW w:w="1058" w:type="pct"/>
                  <w:tcBorders>
                    <w:tl2br w:val="nil"/>
                    <w:tr2bl w:val="nil"/>
                  </w:tcBorders>
                  <w:vAlign w:val="center"/>
                </w:tcPr>
                <w:p w14:paraId="7669BFC7">
                  <w:pPr>
                    <w:jc w:val="center"/>
                    <w:rPr>
                      <w:color w:val="auto"/>
                      <w:szCs w:val="21"/>
                      <w:highlight w:val="none"/>
                    </w:rPr>
                  </w:pPr>
                  <w:r>
                    <w:rPr>
                      <w:color w:val="auto"/>
                      <w:szCs w:val="21"/>
                      <w:highlight w:val="none"/>
                    </w:rPr>
                    <w:t>压机</w:t>
                  </w:r>
                </w:p>
              </w:tc>
              <w:tc>
                <w:tcPr>
                  <w:tcW w:w="924" w:type="pct"/>
                  <w:tcBorders>
                    <w:tl2br w:val="nil"/>
                    <w:tr2bl w:val="nil"/>
                  </w:tcBorders>
                  <w:vAlign w:val="center"/>
                </w:tcPr>
                <w:p w14:paraId="4E1EBAB4">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2B4726D5">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301B8C0D">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4546275">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51DB850E">
                  <w:pPr>
                    <w:jc w:val="center"/>
                    <w:rPr>
                      <w:color w:val="auto"/>
                      <w:szCs w:val="21"/>
                      <w:highlight w:val="none"/>
                    </w:rPr>
                  </w:pPr>
                  <w:r>
                    <w:rPr>
                      <w:color w:val="auto"/>
                      <w:szCs w:val="21"/>
                      <w:highlight w:val="none"/>
                    </w:rPr>
                    <w:t>新增</w:t>
                  </w:r>
                </w:p>
              </w:tc>
            </w:tr>
            <w:tr w14:paraId="6BF68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2106C36E">
                  <w:pPr>
                    <w:jc w:val="center"/>
                    <w:rPr>
                      <w:color w:val="auto"/>
                      <w:szCs w:val="21"/>
                      <w:highlight w:val="none"/>
                    </w:rPr>
                  </w:pPr>
                </w:p>
              </w:tc>
              <w:tc>
                <w:tcPr>
                  <w:tcW w:w="368" w:type="pct"/>
                  <w:vMerge w:val="continue"/>
                  <w:tcBorders>
                    <w:tl2br w:val="nil"/>
                    <w:tr2bl w:val="nil"/>
                  </w:tcBorders>
                  <w:vAlign w:val="center"/>
                </w:tcPr>
                <w:p w14:paraId="635231FB">
                  <w:pPr>
                    <w:jc w:val="center"/>
                    <w:rPr>
                      <w:color w:val="auto"/>
                      <w:szCs w:val="21"/>
                      <w:highlight w:val="none"/>
                    </w:rPr>
                  </w:pPr>
                </w:p>
              </w:tc>
              <w:tc>
                <w:tcPr>
                  <w:tcW w:w="571" w:type="pct"/>
                  <w:tcBorders>
                    <w:tl2br w:val="nil"/>
                    <w:tr2bl w:val="nil"/>
                  </w:tcBorders>
                  <w:vAlign w:val="center"/>
                </w:tcPr>
                <w:p w14:paraId="31F2C9E8">
                  <w:pPr>
                    <w:jc w:val="center"/>
                    <w:rPr>
                      <w:color w:val="auto"/>
                      <w:szCs w:val="21"/>
                      <w:highlight w:val="none"/>
                    </w:rPr>
                  </w:pPr>
                  <w:r>
                    <w:rPr>
                      <w:color w:val="auto"/>
                      <w:szCs w:val="21"/>
                      <w:highlight w:val="none"/>
                    </w:rPr>
                    <w:t>旋变转子铆接</w:t>
                  </w:r>
                </w:p>
              </w:tc>
              <w:tc>
                <w:tcPr>
                  <w:tcW w:w="1058" w:type="pct"/>
                  <w:tcBorders>
                    <w:tl2br w:val="nil"/>
                    <w:tr2bl w:val="nil"/>
                  </w:tcBorders>
                  <w:vAlign w:val="center"/>
                </w:tcPr>
                <w:p w14:paraId="0EF3477A">
                  <w:pPr>
                    <w:jc w:val="center"/>
                    <w:rPr>
                      <w:color w:val="auto"/>
                      <w:szCs w:val="21"/>
                      <w:highlight w:val="none"/>
                    </w:rPr>
                  </w:pPr>
                  <w:r>
                    <w:rPr>
                      <w:color w:val="auto"/>
                      <w:szCs w:val="21"/>
                      <w:highlight w:val="none"/>
                    </w:rPr>
                    <w:t>旋铆设备</w:t>
                  </w:r>
                </w:p>
              </w:tc>
              <w:tc>
                <w:tcPr>
                  <w:tcW w:w="924" w:type="pct"/>
                  <w:tcBorders>
                    <w:tl2br w:val="nil"/>
                    <w:tr2bl w:val="nil"/>
                  </w:tcBorders>
                  <w:vAlign w:val="center"/>
                </w:tcPr>
                <w:p w14:paraId="39D1BE95">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2ADC8DE1">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7F906E64">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720C3F1">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55700B37">
                  <w:pPr>
                    <w:jc w:val="center"/>
                    <w:rPr>
                      <w:color w:val="auto"/>
                      <w:szCs w:val="21"/>
                      <w:highlight w:val="none"/>
                    </w:rPr>
                  </w:pPr>
                  <w:r>
                    <w:rPr>
                      <w:color w:val="auto"/>
                      <w:szCs w:val="21"/>
                      <w:highlight w:val="none"/>
                    </w:rPr>
                    <w:t>新增</w:t>
                  </w:r>
                </w:p>
              </w:tc>
            </w:tr>
            <w:tr w14:paraId="72897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06AD733A">
                  <w:pPr>
                    <w:jc w:val="center"/>
                    <w:rPr>
                      <w:color w:val="auto"/>
                      <w:szCs w:val="21"/>
                      <w:highlight w:val="none"/>
                    </w:rPr>
                  </w:pPr>
                </w:p>
              </w:tc>
              <w:tc>
                <w:tcPr>
                  <w:tcW w:w="368" w:type="pct"/>
                  <w:vMerge w:val="continue"/>
                  <w:tcBorders>
                    <w:tl2br w:val="nil"/>
                    <w:tr2bl w:val="nil"/>
                  </w:tcBorders>
                  <w:vAlign w:val="center"/>
                </w:tcPr>
                <w:p w14:paraId="653DF99E">
                  <w:pPr>
                    <w:jc w:val="center"/>
                    <w:rPr>
                      <w:color w:val="auto"/>
                      <w:szCs w:val="21"/>
                      <w:highlight w:val="none"/>
                    </w:rPr>
                  </w:pPr>
                </w:p>
              </w:tc>
              <w:tc>
                <w:tcPr>
                  <w:tcW w:w="571" w:type="pct"/>
                  <w:tcBorders>
                    <w:tl2br w:val="nil"/>
                    <w:tr2bl w:val="nil"/>
                  </w:tcBorders>
                  <w:vAlign w:val="center"/>
                </w:tcPr>
                <w:p w14:paraId="133EC159">
                  <w:pPr>
                    <w:jc w:val="center"/>
                    <w:rPr>
                      <w:color w:val="auto"/>
                      <w:szCs w:val="21"/>
                      <w:highlight w:val="none"/>
                    </w:rPr>
                  </w:pPr>
                  <w:r>
                    <w:rPr>
                      <w:color w:val="auto"/>
                      <w:szCs w:val="21"/>
                      <w:highlight w:val="none"/>
                    </w:rPr>
                    <w:t>动平衡</w:t>
                  </w:r>
                </w:p>
              </w:tc>
              <w:tc>
                <w:tcPr>
                  <w:tcW w:w="1058" w:type="pct"/>
                  <w:tcBorders>
                    <w:tl2br w:val="nil"/>
                    <w:tr2bl w:val="nil"/>
                  </w:tcBorders>
                  <w:vAlign w:val="center"/>
                </w:tcPr>
                <w:p w14:paraId="7847753F">
                  <w:pPr>
                    <w:jc w:val="center"/>
                    <w:rPr>
                      <w:color w:val="auto"/>
                      <w:szCs w:val="21"/>
                      <w:highlight w:val="none"/>
                    </w:rPr>
                  </w:pPr>
                  <w:r>
                    <w:rPr>
                      <w:color w:val="auto"/>
                      <w:szCs w:val="21"/>
                      <w:highlight w:val="none"/>
                    </w:rPr>
                    <w:t>动平衡</w:t>
                  </w:r>
                </w:p>
              </w:tc>
              <w:tc>
                <w:tcPr>
                  <w:tcW w:w="924" w:type="pct"/>
                  <w:tcBorders>
                    <w:tl2br w:val="nil"/>
                    <w:tr2bl w:val="nil"/>
                  </w:tcBorders>
                  <w:vAlign w:val="center"/>
                </w:tcPr>
                <w:p w14:paraId="3E6C601B">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14BF758">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7105CF0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CAC377C">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5AC19D60">
                  <w:pPr>
                    <w:jc w:val="center"/>
                    <w:rPr>
                      <w:color w:val="auto"/>
                      <w:szCs w:val="21"/>
                      <w:highlight w:val="none"/>
                    </w:rPr>
                  </w:pPr>
                  <w:r>
                    <w:rPr>
                      <w:color w:val="auto"/>
                      <w:szCs w:val="21"/>
                      <w:highlight w:val="none"/>
                    </w:rPr>
                    <w:t>新增</w:t>
                  </w:r>
                </w:p>
              </w:tc>
            </w:tr>
            <w:tr w14:paraId="5C43E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35102E3C">
                  <w:pPr>
                    <w:jc w:val="center"/>
                    <w:rPr>
                      <w:color w:val="auto"/>
                      <w:szCs w:val="21"/>
                      <w:highlight w:val="none"/>
                    </w:rPr>
                  </w:pPr>
                </w:p>
              </w:tc>
              <w:tc>
                <w:tcPr>
                  <w:tcW w:w="368" w:type="pct"/>
                  <w:vMerge w:val="continue"/>
                  <w:tcBorders>
                    <w:tl2br w:val="nil"/>
                    <w:tr2bl w:val="nil"/>
                  </w:tcBorders>
                  <w:vAlign w:val="center"/>
                </w:tcPr>
                <w:p w14:paraId="7EA100AC">
                  <w:pPr>
                    <w:jc w:val="center"/>
                    <w:rPr>
                      <w:color w:val="auto"/>
                      <w:szCs w:val="21"/>
                      <w:highlight w:val="none"/>
                    </w:rPr>
                  </w:pPr>
                </w:p>
              </w:tc>
              <w:tc>
                <w:tcPr>
                  <w:tcW w:w="571" w:type="pct"/>
                  <w:tcBorders>
                    <w:tl2br w:val="nil"/>
                    <w:tr2bl w:val="nil"/>
                  </w:tcBorders>
                  <w:vAlign w:val="center"/>
                </w:tcPr>
                <w:p w14:paraId="761A8BBE">
                  <w:pPr>
                    <w:jc w:val="center"/>
                    <w:rPr>
                      <w:color w:val="auto"/>
                      <w:szCs w:val="21"/>
                      <w:highlight w:val="none"/>
                    </w:rPr>
                  </w:pPr>
                  <w:r>
                    <w:rPr>
                      <w:color w:val="auto"/>
                      <w:szCs w:val="21"/>
                      <w:highlight w:val="none"/>
                    </w:rPr>
                    <w:t>充磁</w:t>
                  </w:r>
                </w:p>
              </w:tc>
              <w:tc>
                <w:tcPr>
                  <w:tcW w:w="1058" w:type="pct"/>
                  <w:tcBorders>
                    <w:tl2br w:val="nil"/>
                    <w:tr2bl w:val="nil"/>
                  </w:tcBorders>
                  <w:vAlign w:val="center"/>
                </w:tcPr>
                <w:p w14:paraId="630A55D2">
                  <w:pPr>
                    <w:jc w:val="center"/>
                    <w:rPr>
                      <w:color w:val="auto"/>
                      <w:szCs w:val="21"/>
                      <w:highlight w:val="none"/>
                    </w:rPr>
                  </w:pPr>
                  <w:r>
                    <w:rPr>
                      <w:color w:val="auto"/>
                      <w:szCs w:val="21"/>
                      <w:highlight w:val="none"/>
                    </w:rPr>
                    <w:t>充磁设备</w:t>
                  </w:r>
                </w:p>
              </w:tc>
              <w:tc>
                <w:tcPr>
                  <w:tcW w:w="924" w:type="pct"/>
                  <w:tcBorders>
                    <w:tl2br w:val="nil"/>
                    <w:tr2bl w:val="nil"/>
                  </w:tcBorders>
                  <w:vAlign w:val="center"/>
                </w:tcPr>
                <w:p w14:paraId="1900A268">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075577BE">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06795758">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FCAE958">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32DCFD59">
                  <w:pPr>
                    <w:jc w:val="center"/>
                    <w:rPr>
                      <w:color w:val="auto"/>
                      <w:szCs w:val="21"/>
                      <w:highlight w:val="none"/>
                    </w:rPr>
                  </w:pPr>
                  <w:r>
                    <w:rPr>
                      <w:color w:val="auto"/>
                      <w:szCs w:val="21"/>
                      <w:highlight w:val="none"/>
                    </w:rPr>
                    <w:t>新增</w:t>
                  </w:r>
                </w:p>
              </w:tc>
            </w:tr>
            <w:tr w14:paraId="72FC7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1821633F">
                  <w:pPr>
                    <w:jc w:val="center"/>
                    <w:rPr>
                      <w:color w:val="auto"/>
                      <w:szCs w:val="21"/>
                      <w:highlight w:val="none"/>
                    </w:rPr>
                  </w:pPr>
                </w:p>
              </w:tc>
              <w:tc>
                <w:tcPr>
                  <w:tcW w:w="368" w:type="pct"/>
                  <w:vMerge w:val="continue"/>
                  <w:tcBorders>
                    <w:tl2br w:val="nil"/>
                    <w:tr2bl w:val="nil"/>
                  </w:tcBorders>
                  <w:vAlign w:val="center"/>
                </w:tcPr>
                <w:p w14:paraId="01EADAFE">
                  <w:pPr>
                    <w:jc w:val="center"/>
                    <w:rPr>
                      <w:color w:val="auto"/>
                      <w:szCs w:val="21"/>
                      <w:highlight w:val="none"/>
                    </w:rPr>
                  </w:pPr>
                </w:p>
              </w:tc>
              <w:tc>
                <w:tcPr>
                  <w:tcW w:w="571" w:type="pct"/>
                  <w:tcBorders>
                    <w:tl2br w:val="nil"/>
                    <w:tr2bl w:val="nil"/>
                  </w:tcBorders>
                  <w:vAlign w:val="center"/>
                </w:tcPr>
                <w:p w14:paraId="0B900C01">
                  <w:pPr>
                    <w:jc w:val="center"/>
                    <w:rPr>
                      <w:color w:val="auto"/>
                      <w:szCs w:val="21"/>
                      <w:highlight w:val="none"/>
                    </w:rPr>
                  </w:pPr>
                  <w:r>
                    <w:rPr>
                      <w:color w:val="auto"/>
                      <w:szCs w:val="21"/>
                      <w:highlight w:val="none"/>
                    </w:rPr>
                    <w:t>打标</w:t>
                  </w:r>
                </w:p>
              </w:tc>
              <w:tc>
                <w:tcPr>
                  <w:tcW w:w="1058" w:type="pct"/>
                  <w:tcBorders>
                    <w:tl2br w:val="nil"/>
                    <w:tr2bl w:val="nil"/>
                  </w:tcBorders>
                  <w:vAlign w:val="center"/>
                </w:tcPr>
                <w:p w14:paraId="24A35AEE">
                  <w:pPr>
                    <w:jc w:val="center"/>
                    <w:rPr>
                      <w:color w:val="auto"/>
                      <w:szCs w:val="21"/>
                      <w:highlight w:val="none"/>
                    </w:rPr>
                  </w:pPr>
                  <w:r>
                    <w:rPr>
                      <w:color w:val="auto"/>
                      <w:szCs w:val="21"/>
                      <w:highlight w:val="none"/>
                    </w:rPr>
                    <w:t>打标机</w:t>
                  </w:r>
                </w:p>
              </w:tc>
              <w:tc>
                <w:tcPr>
                  <w:tcW w:w="924" w:type="pct"/>
                  <w:tcBorders>
                    <w:tl2br w:val="nil"/>
                    <w:tr2bl w:val="nil"/>
                  </w:tcBorders>
                  <w:vAlign w:val="center"/>
                </w:tcPr>
                <w:p w14:paraId="06ACCCA1">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37314171">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7B5F98C9">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576CB221">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053AA958">
                  <w:pPr>
                    <w:jc w:val="center"/>
                    <w:rPr>
                      <w:color w:val="auto"/>
                      <w:szCs w:val="21"/>
                      <w:highlight w:val="none"/>
                    </w:rPr>
                  </w:pPr>
                  <w:r>
                    <w:rPr>
                      <w:color w:val="auto"/>
                      <w:szCs w:val="21"/>
                      <w:highlight w:val="none"/>
                    </w:rPr>
                    <w:t>新增</w:t>
                  </w:r>
                </w:p>
              </w:tc>
            </w:tr>
            <w:tr w14:paraId="24B03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46C616FE">
                  <w:pPr>
                    <w:jc w:val="center"/>
                    <w:rPr>
                      <w:color w:val="auto"/>
                      <w:szCs w:val="21"/>
                      <w:highlight w:val="none"/>
                    </w:rPr>
                  </w:pPr>
                </w:p>
              </w:tc>
              <w:tc>
                <w:tcPr>
                  <w:tcW w:w="368" w:type="pct"/>
                  <w:vMerge w:val="restart"/>
                  <w:tcBorders>
                    <w:tl2br w:val="nil"/>
                    <w:tr2bl w:val="nil"/>
                  </w:tcBorders>
                  <w:vAlign w:val="center"/>
                </w:tcPr>
                <w:p w14:paraId="26527AC2">
                  <w:pPr>
                    <w:jc w:val="center"/>
                    <w:rPr>
                      <w:color w:val="auto"/>
                      <w:szCs w:val="21"/>
                      <w:highlight w:val="none"/>
                    </w:rPr>
                  </w:pPr>
                  <w:r>
                    <w:rPr>
                      <w:color w:val="auto"/>
                      <w:szCs w:val="21"/>
                      <w:highlight w:val="none"/>
                    </w:rPr>
                    <w:t>定子生产</w:t>
                  </w:r>
                </w:p>
              </w:tc>
              <w:tc>
                <w:tcPr>
                  <w:tcW w:w="571" w:type="pct"/>
                  <w:tcBorders>
                    <w:tl2br w:val="nil"/>
                    <w:tr2bl w:val="nil"/>
                  </w:tcBorders>
                  <w:vAlign w:val="center"/>
                </w:tcPr>
                <w:p w14:paraId="43A80672">
                  <w:pPr>
                    <w:jc w:val="center"/>
                    <w:rPr>
                      <w:color w:val="auto"/>
                      <w:szCs w:val="21"/>
                      <w:highlight w:val="none"/>
                    </w:rPr>
                  </w:pPr>
                  <w:r>
                    <w:rPr>
                      <w:color w:val="auto"/>
                      <w:szCs w:val="21"/>
                      <w:highlight w:val="none"/>
                    </w:rPr>
                    <w:t>绕线</w:t>
                  </w:r>
                </w:p>
              </w:tc>
              <w:tc>
                <w:tcPr>
                  <w:tcW w:w="1058" w:type="pct"/>
                  <w:tcBorders>
                    <w:tl2br w:val="nil"/>
                    <w:tr2bl w:val="nil"/>
                  </w:tcBorders>
                  <w:vAlign w:val="center"/>
                </w:tcPr>
                <w:p w14:paraId="623BA960">
                  <w:pPr>
                    <w:jc w:val="center"/>
                    <w:rPr>
                      <w:color w:val="auto"/>
                      <w:szCs w:val="21"/>
                      <w:highlight w:val="none"/>
                    </w:rPr>
                  </w:pPr>
                  <w:r>
                    <w:rPr>
                      <w:color w:val="auto"/>
                      <w:szCs w:val="21"/>
                      <w:highlight w:val="none"/>
                    </w:rPr>
                    <w:t>绕线机</w:t>
                  </w:r>
                </w:p>
              </w:tc>
              <w:tc>
                <w:tcPr>
                  <w:tcW w:w="924" w:type="pct"/>
                  <w:tcBorders>
                    <w:tl2br w:val="nil"/>
                    <w:tr2bl w:val="nil"/>
                  </w:tcBorders>
                  <w:vAlign w:val="center"/>
                </w:tcPr>
                <w:p w14:paraId="64B2A1F5">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A6EEA52">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70F5DCC8">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51D182FE">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0597B87A">
                  <w:pPr>
                    <w:jc w:val="center"/>
                    <w:rPr>
                      <w:color w:val="auto"/>
                      <w:szCs w:val="21"/>
                      <w:highlight w:val="none"/>
                    </w:rPr>
                  </w:pPr>
                  <w:r>
                    <w:rPr>
                      <w:color w:val="auto"/>
                      <w:szCs w:val="21"/>
                      <w:highlight w:val="none"/>
                    </w:rPr>
                    <w:t>新增</w:t>
                  </w:r>
                </w:p>
              </w:tc>
            </w:tr>
            <w:tr w14:paraId="78FA7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6CF71FC6">
                  <w:pPr>
                    <w:jc w:val="center"/>
                    <w:rPr>
                      <w:color w:val="auto"/>
                      <w:szCs w:val="21"/>
                      <w:highlight w:val="none"/>
                    </w:rPr>
                  </w:pPr>
                </w:p>
              </w:tc>
              <w:tc>
                <w:tcPr>
                  <w:tcW w:w="368" w:type="pct"/>
                  <w:vMerge w:val="continue"/>
                  <w:tcBorders>
                    <w:tl2br w:val="nil"/>
                    <w:tr2bl w:val="nil"/>
                  </w:tcBorders>
                  <w:vAlign w:val="center"/>
                </w:tcPr>
                <w:p w14:paraId="3F981381">
                  <w:pPr>
                    <w:jc w:val="center"/>
                    <w:rPr>
                      <w:color w:val="auto"/>
                      <w:szCs w:val="21"/>
                      <w:highlight w:val="none"/>
                    </w:rPr>
                  </w:pPr>
                </w:p>
              </w:tc>
              <w:tc>
                <w:tcPr>
                  <w:tcW w:w="571" w:type="pct"/>
                  <w:tcBorders>
                    <w:tl2br w:val="nil"/>
                    <w:tr2bl w:val="nil"/>
                  </w:tcBorders>
                  <w:vAlign w:val="center"/>
                </w:tcPr>
                <w:p w14:paraId="59E1E528">
                  <w:pPr>
                    <w:jc w:val="center"/>
                    <w:rPr>
                      <w:color w:val="auto"/>
                      <w:szCs w:val="21"/>
                      <w:highlight w:val="none"/>
                    </w:rPr>
                  </w:pPr>
                  <w:r>
                    <w:rPr>
                      <w:color w:val="auto"/>
                      <w:szCs w:val="21"/>
                      <w:highlight w:val="none"/>
                    </w:rPr>
                    <w:t>线圈支架安装</w:t>
                  </w:r>
                </w:p>
              </w:tc>
              <w:tc>
                <w:tcPr>
                  <w:tcW w:w="1058" w:type="pct"/>
                  <w:tcBorders>
                    <w:tl2br w:val="nil"/>
                    <w:tr2bl w:val="nil"/>
                  </w:tcBorders>
                  <w:vAlign w:val="center"/>
                </w:tcPr>
                <w:p w14:paraId="757BCA92">
                  <w:pPr>
                    <w:jc w:val="center"/>
                    <w:rPr>
                      <w:color w:val="auto"/>
                      <w:szCs w:val="21"/>
                      <w:highlight w:val="none"/>
                    </w:rPr>
                  </w:pPr>
                  <w:r>
                    <w:rPr>
                      <w:color w:val="auto"/>
                      <w:szCs w:val="21"/>
                      <w:highlight w:val="none"/>
                    </w:rPr>
                    <w:t>骨架安装设备</w:t>
                  </w:r>
                </w:p>
              </w:tc>
              <w:tc>
                <w:tcPr>
                  <w:tcW w:w="924" w:type="pct"/>
                  <w:tcBorders>
                    <w:tl2br w:val="nil"/>
                    <w:tr2bl w:val="nil"/>
                  </w:tcBorders>
                  <w:vAlign w:val="center"/>
                </w:tcPr>
                <w:p w14:paraId="679B453D">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0D55C9F1">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1C57DC8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2C2EE636">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2C825C2B">
                  <w:pPr>
                    <w:jc w:val="center"/>
                    <w:rPr>
                      <w:color w:val="auto"/>
                      <w:szCs w:val="21"/>
                      <w:highlight w:val="none"/>
                    </w:rPr>
                  </w:pPr>
                  <w:r>
                    <w:rPr>
                      <w:color w:val="auto"/>
                      <w:szCs w:val="21"/>
                      <w:highlight w:val="none"/>
                    </w:rPr>
                    <w:t>新增</w:t>
                  </w:r>
                </w:p>
              </w:tc>
            </w:tr>
            <w:tr w14:paraId="5D538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42461564">
                  <w:pPr>
                    <w:jc w:val="center"/>
                    <w:rPr>
                      <w:color w:val="auto"/>
                      <w:szCs w:val="21"/>
                      <w:highlight w:val="none"/>
                    </w:rPr>
                  </w:pPr>
                </w:p>
              </w:tc>
              <w:tc>
                <w:tcPr>
                  <w:tcW w:w="368" w:type="pct"/>
                  <w:vMerge w:val="continue"/>
                  <w:tcBorders>
                    <w:tl2br w:val="nil"/>
                    <w:tr2bl w:val="nil"/>
                  </w:tcBorders>
                  <w:vAlign w:val="center"/>
                </w:tcPr>
                <w:p w14:paraId="395A7181">
                  <w:pPr>
                    <w:jc w:val="center"/>
                    <w:rPr>
                      <w:color w:val="auto"/>
                      <w:szCs w:val="21"/>
                      <w:highlight w:val="none"/>
                    </w:rPr>
                  </w:pPr>
                </w:p>
              </w:tc>
              <w:tc>
                <w:tcPr>
                  <w:tcW w:w="571" w:type="pct"/>
                  <w:tcBorders>
                    <w:tl2br w:val="nil"/>
                    <w:tr2bl w:val="nil"/>
                  </w:tcBorders>
                  <w:vAlign w:val="center"/>
                </w:tcPr>
                <w:p w14:paraId="4C50207D">
                  <w:pPr>
                    <w:jc w:val="center"/>
                    <w:rPr>
                      <w:color w:val="auto"/>
                      <w:szCs w:val="21"/>
                      <w:highlight w:val="none"/>
                    </w:rPr>
                  </w:pPr>
                  <w:r>
                    <w:rPr>
                      <w:color w:val="auto"/>
                      <w:szCs w:val="21"/>
                      <w:highlight w:val="none"/>
                    </w:rPr>
                    <w:t>分配环钎料焊机</w:t>
                  </w:r>
                </w:p>
              </w:tc>
              <w:tc>
                <w:tcPr>
                  <w:tcW w:w="1058" w:type="pct"/>
                  <w:tcBorders>
                    <w:tl2br w:val="nil"/>
                    <w:tr2bl w:val="nil"/>
                  </w:tcBorders>
                  <w:vAlign w:val="center"/>
                </w:tcPr>
                <w:p w14:paraId="128E5E75">
                  <w:pPr>
                    <w:jc w:val="center"/>
                    <w:rPr>
                      <w:color w:val="auto"/>
                      <w:szCs w:val="21"/>
                      <w:highlight w:val="none"/>
                    </w:rPr>
                  </w:pPr>
                  <w:r>
                    <w:rPr>
                      <w:color w:val="auto"/>
                      <w:szCs w:val="21"/>
                      <w:highlight w:val="none"/>
                    </w:rPr>
                    <w:t>钎料焊接机</w:t>
                  </w:r>
                </w:p>
              </w:tc>
              <w:tc>
                <w:tcPr>
                  <w:tcW w:w="924" w:type="pct"/>
                  <w:tcBorders>
                    <w:tl2br w:val="nil"/>
                    <w:tr2bl w:val="nil"/>
                  </w:tcBorders>
                  <w:vAlign w:val="center"/>
                </w:tcPr>
                <w:p w14:paraId="2F4170C4">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6D363F61">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55FFFE3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2405B4AC">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0D303AD8">
                  <w:pPr>
                    <w:jc w:val="center"/>
                    <w:rPr>
                      <w:color w:val="auto"/>
                      <w:szCs w:val="21"/>
                      <w:highlight w:val="none"/>
                    </w:rPr>
                  </w:pPr>
                  <w:r>
                    <w:rPr>
                      <w:color w:val="auto"/>
                      <w:szCs w:val="21"/>
                      <w:highlight w:val="none"/>
                    </w:rPr>
                    <w:t>新增</w:t>
                  </w:r>
                </w:p>
              </w:tc>
            </w:tr>
            <w:tr w14:paraId="270A9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2C930BDC">
                  <w:pPr>
                    <w:jc w:val="center"/>
                    <w:rPr>
                      <w:color w:val="auto"/>
                      <w:szCs w:val="21"/>
                      <w:highlight w:val="none"/>
                    </w:rPr>
                  </w:pPr>
                </w:p>
              </w:tc>
              <w:tc>
                <w:tcPr>
                  <w:tcW w:w="368" w:type="pct"/>
                  <w:vMerge w:val="continue"/>
                  <w:tcBorders>
                    <w:tl2br w:val="nil"/>
                    <w:tr2bl w:val="nil"/>
                  </w:tcBorders>
                  <w:vAlign w:val="center"/>
                </w:tcPr>
                <w:p w14:paraId="6B60EDD5">
                  <w:pPr>
                    <w:jc w:val="center"/>
                    <w:rPr>
                      <w:color w:val="auto"/>
                      <w:szCs w:val="21"/>
                      <w:highlight w:val="none"/>
                    </w:rPr>
                  </w:pPr>
                </w:p>
              </w:tc>
              <w:tc>
                <w:tcPr>
                  <w:tcW w:w="571" w:type="pct"/>
                  <w:vMerge w:val="restart"/>
                  <w:tcBorders>
                    <w:tl2br w:val="nil"/>
                    <w:tr2bl w:val="nil"/>
                  </w:tcBorders>
                  <w:vAlign w:val="center"/>
                </w:tcPr>
                <w:p w14:paraId="447339E8">
                  <w:pPr>
                    <w:jc w:val="center"/>
                    <w:rPr>
                      <w:color w:val="auto"/>
                      <w:szCs w:val="21"/>
                      <w:highlight w:val="none"/>
                    </w:rPr>
                  </w:pPr>
                  <w:r>
                    <w:rPr>
                      <w:color w:val="auto"/>
                      <w:szCs w:val="21"/>
                      <w:highlight w:val="none"/>
                    </w:rPr>
                    <w:t>大小PIN焊接</w:t>
                  </w:r>
                </w:p>
              </w:tc>
              <w:tc>
                <w:tcPr>
                  <w:tcW w:w="1058" w:type="pct"/>
                  <w:tcBorders>
                    <w:tl2br w:val="nil"/>
                    <w:tr2bl w:val="nil"/>
                  </w:tcBorders>
                  <w:vAlign w:val="center"/>
                </w:tcPr>
                <w:p w14:paraId="43DD828B">
                  <w:pPr>
                    <w:jc w:val="center"/>
                    <w:rPr>
                      <w:color w:val="auto"/>
                      <w:szCs w:val="21"/>
                      <w:highlight w:val="none"/>
                    </w:rPr>
                  </w:pPr>
                  <w:r>
                    <w:rPr>
                      <w:color w:val="auto"/>
                      <w:szCs w:val="21"/>
                      <w:highlight w:val="none"/>
                    </w:rPr>
                    <w:t>小PIN电阻焊接机</w:t>
                  </w:r>
                </w:p>
              </w:tc>
              <w:tc>
                <w:tcPr>
                  <w:tcW w:w="924" w:type="pct"/>
                  <w:tcBorders>
                    <w:tl2br w:val="nil"/>
                    <w:tr2bl w:val="nil"/>
                  </w:tcBorders>
                  <w:vAlign w:val="center"/>
                </w:tcPr>
                <w:p w14:paraId="282A077A">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2ACE8EA3">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73005A5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13E5AA5">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1D94DD78">
                  <w:pPr>
                    <w:jc w:val="center"/>
                    <w:rPr>
                      <w:color w:val="auto"/>
                      <w:szCs w:val="21"/>
                      <w:highlight w:val="none"/>
                    </w:rPr>
                  </w:pPr>
                  <w:r>
                    <w:rPr>
                      <w:color w:val="auto"/>
                      <w:szCs w:val="21"/>
                      <w:highlight w:val="none"/>
                    </w:rPr>
                    <w:t>新增</w:t>
                  </w:r>
                </w:p>
              </w:tc>
            </w:tr>
            <w:tr w14:paraId="6B7D0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21ACD2AC">
                  <w:pPr>
                    <w:jc w:val="center"/>
                    <w:rPr>
                      <w:color w:val="auto"/>
                      <w:szCs w:val="21"/>
                      <w:highlight w:val="none"/>
                    </w:rPr>
                  </w:pPr>
                </w:p>
              </w:tc>
              <w:tc>
                <w:tcPr>
                  <w:tcW w:w="368" w:type="pct"/>
                  <w:vMerge w:val="continue"/>
                  <w:tcBorders>
                    <w:tl2br w:val="nil"/>
                    <w:tr2bl w:val="nil"/>
                  </w:tcBorders>
                  <w:vAlign w:val="center"/>
                </w:tcPr>
                <w:p w14:paraId="6B91B642">
                  <w:pPr>
                    <w:jc w:val="center"/>
                    <w:rPr>
                      <w:color w:val="auto"/>
                      <w:szCs w:val="21"/>
                      <w:highlight w:val="none"/>
                    </w:rPr>
                  </w:pPr>
                </w:p>
              </w:tc>
              <w:tc>
                <w:tcPr>
                  <w:tcW w:w="571" w:type="pct"/>
                  <w:vMerge w:val="continue"/>
                  <w:tcBorders>
                    <w:tl2br w:val="nil"/>
                    <w:tr2bl w:val="nil"/>
                  </w:tcBorders>
                  <w:vAlign w:val="center"/>
                </w:tcPr>
                <w:p w14:paraId="53E56BC3">
                  <w:pPr>
                    <w:jc w:val="center"/>
                    <w:rPr>
                      <w:color w:val="auto"/>
                      <w:szCs w:val="21"/>
                      <w:highlight w:val="none"/>
                    </w:rPr>
                  </w:pPr>
                </w:p>
              </w:tc>
              <w:tc>
                <w:tcPr>
                  <w:tcW w:w="1058" w:type="pct"/>
                  <w:tcBorders>
                    <w:tl2br w:val="nil"/>
                    <w:tr2bl w:val="nil"/>
                  </w:tcBorders>
                  <w:vAlign w:val="center"/>
                </w:tcPr>
                <w:p w14:paraId="095FC3CB">
                  <w:pPr>
                    <w:jc w:val="center"/>
                    <w:rPr>
                      <w:color w:val="auto"/>
                      <w:szCs w:val="21"/>
                      <w:highlight w:val="none"/>
                    </w:rPr>
                  </w:pPr>
                  <w:r>
                    <w:rPr>
                      <w:color w:val="auto"/>
                      <w:szCs w:val="21"/>
                      <w:highlight w:val="none"/>
                    </w:rPr>
                    <w:t>大PIN电阻焊接机</w:t>
                  </w:r>
                </w:p>
              </w:tc>
              <w:tc>
                <w:tcPr>
                  <w:tcW w:w="924" w:type="pct"/>
                  <w:tcBorders>
                    <w:tl2br w:val="nil"/>
                    <w:tr2bl w:val="nil"/>
                  </w:tcBorders>
                  <w:vAlign w:val="center"/>
                </w:tcPr>
                <w:p w14:paraId="05AF81F8">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10C35BDB">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0CED4DF8">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E755EA9">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0F935FA4">
                  <w:pPr>
                    <w:jc w:val="center"/>
                    <w:rPr>
                      <w:color w:val="auto"/>
                      <w:szCs w:val="21"/>
                      <w:highlight w:val="none"/>
                    </w:rPr>
                  </w:pPr>
                  <w:r>
                    <w:rPr>
                      <w:color w:val="auto"/>
                      <w:szCs w:val="21"/>
                      <w:highlight w:val="none"/>
                    </w:rPr>
                    <w:t>新增</w:t>
                  </w:r>
                </w:p>
              </w:tc>
            </w:tr>
            <w:tr w14:paraId="70732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182C73C8">
                  <w:pPr>
                    <w:jc w:val="center"/>
                    <w:rPr>
                      <w:color w:val="auto"/>
                      <w:szCs w:val="21"/>
                      <w:highlight w:val="none"/>
                    </w:rPr>
                  </w:pPr>
                </w:p>
              </w:tc>
              <w:tc>
                <w:tcPr>
                  <w:tcW w:w="368" w:type="pct"/>
                  <w:vMerge w:val="continue"/>
                  <w:tcBorders>
                    <w:tl2br w:val="nil"/>
                    <w:tr2bl w:val="nil"/>
                  </w:tcBorders>
                  <w:vAlign w:val="center"/>
                </w:tcPr>
                <w:p w14:paraId="176AEC23">
                  <w:pPr>
                    <w:jc w:val="center"/>
                    <w:rPr>
                      <w:color w:val="auto"/>
                      <w:szCs w:val="21"/>
                      <w:highlight w:val="none"/>
                    </w:rPr>
                  </w:pPr>
                </w:p>
              </w:tc>
              <w:tc>
                <w:tcPr>
                  <w:tcW w:w="571" w:type="pct"/>
                  <w:tcBorders>
                    <w:tl2br w:val="nil"/>
                    <w:tr2bl w:val="nil"/>
                  </w:tcBorders>
                  <w:vAlign w:val="center"/>
                </w:tcPr>
                <w:p w14:paraId="5C1BF006">
                  <w:pPr>
                    <w:jc w:val="center"/>
                    <w:rPr>
                      <w:color w:val="auto"/>
                      <w:szCs w:val="21"/>
                      <w:highlight w:val="none"/>
                    </w:rPr>
                  </w:pPr>
                  <w:r>
                    <w:rPr>
                      <w:color w:val="auto"/>
                      <w:szCs w:val="21"/>
                      <w:highlight w:val="none"/>
                    </w:rPr>
                    <w:t>测试</w:t>
                  </w:r>
                </w:p>
              </w:tc>
              <w:tc>
                <w:tcPr>
                  <w:tcW w:w="1058" w:type="pct"/>
                  <w:tcBorders>
                    <w:tl2br w:val="nil"/>
                    <w:tr2bl w:val="nil"/>
                  </w:tcBorders>
                  <w:vAlign w:val="center"/>
                </w:tcPr>
                <w:p w14:paraId="6B3109C7">
                  <w:pPr>
                    <w:jc w:val="center"/>
                    <w:rPr>
                      <w:color w:val="auto"/>
                      <w:szCs w:val="21"/>
                      <w:highlight w:val="none"/>
                    </w:rPr>
                  </w:pPr>
                  <w:r>
                    <w:rPr>
                      <w:color w:val="auto"/>
                      <w:szCs w:val="21"/>
                      <w:highlight w:val="none"/>
                    </w:rPr>
                    <w:t>定子综合测试设备</w:t>
                  </w:r>
                </w:p>
              </w:tc>
              <w:tc>
                <w:tcPr>
                  <w:tcW w:w="924" w:type="pct"/>
                  <w:tcBorders>
                    <w:tl2br w:val="nil"/>
                    <w:tr2bl w:val="nil"/>
                  </w:tcBorders>
                  <w:vAlign w:val="center"/>
                </w:tcPr>
                <w:p w14:paraId="664C0025">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3EF4D87A">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4258ACC3">
                  <w:pPr>
                    <w:jc w:val="center"/>
                    <w:rPr>
                      <w:color w:val="auto"/>
                      <w:szCs w:val="21"/>
                      <w:highlight w:val="none"/>
                    </w:rPr>
                  </w:pPr>
                  <w:r>
                    <w:rPr>
                      <w:color w:val="auto"/>
                      <w:szCs w:val="21"/>
                      <w:highlight w:val="none"/>
                    </w:rPr>
                    <w:t>2</w:t>
                  </w:r>
                </w:p>
              </w:tc>
              <w:tc>
                <w:tcPr>
                  <w:tcW w:w="334" w:type="pct"/>
                  <w:tcBorders>
                    <w:tl2br w:val="nil"/>
                    <w:tr2bl w:val="nil"/>
                  </w:tcBorders>
                  <w:vAlign w:val="center"/>
                </w:tcPr>
                <w:p w14:paraId="74817AD3">
                  <w:pPr>
                    <w:jc w:val="center"/>
                    <w:rPr>
                      <w:color w:val="auto"/>
                      <w:szCs w:val="21"/>
                      <w:highlight w:val="none"/>
                    </w:rPr>
                  </w:pPr>
                  <w:r>
                    <w:rPr>
                      <w:color w:val="auto"/>
                      <w:szCs w:val="21"/>
                      <w:highlight w:val="none"/>
                    </w:rPr>
                    <w:t>+2</w:t>
                  </w:r>
                </w:p>
              </w:tc>
              <w:tc>
                <w:tcPr>
                  <w:tcW w:w="428" w:type="pct"/>
                  <w:tcBorders>
                    <w:tl2br w:val="nil"/>
                    <w:tr2bl w:val="nil"/>
                  </w:tcBorders>
                  <w:vAlign w:val="center"/>
                </w:tcPr>
                <w:p w14:paraId="19E8B706">
                  <w:pPr>
                    <w:jc w:val="center"/>
                    <w:rPr>
                      <w:color w:val="auto"/>
                      <w:szCs w:val="21"/>
                      <w:highlight w:val="none"/>
                    </w:rPr>
                  </w:pPr>
                  <w:r>
                    <w:rPr>
                      <w:color w:val="auto"/>
                      <w:szCs w:val="21"/>
                      <w:highlight w:val="none"/>
                    </w:rPr>
                    <w:t>新增</w:t>
                  </w:r>
                </w:p>
              </w:tc>
            </w:tr>
            <w:tr w14:paraId="179EB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7B20CE47">
                  <w:pPr>
                    <w:jc w:val="center"/>
                    <w:rPr>
                      <w:color w:val="auto"/>
                      <w:szCs w:val="21"/>
                      <w:highlight w:val="none"/>
                    </w:rPr>
                  </w:pPr>
                </w:p>
              </w:tc>
              <w:tc>
                <w:tcPr>
                  <w:tcW w:w="368" w:type="pct"/>
                  <w:vMerge w:val="continue"/>
                  <w:tcBorders>
                    <w:tl2br w:val="nil"/>
                    <w:tr2bl w:val="nil"/>
                  </w:tcBorders>
                  <w:vAlign w:val="center"/>
                </w:tcPr>
                <w:p w14:paraId="21A045A9">
                  <w:pPr>
                    <w:jc w:val="center"/>
                    <w:rPr>
                      <w:color w:val="auto"/>
                      <w:szCs w:val="21"/>
                      <w:highlight w:val="none"/>
                    </w:rPr>
                  </w:pPr>
                </w:p>
              </w:tc>
              <w:tc>
                <w:tcPr>
                  <w:tcW w:w="571" w:type="pct"/>
                  <w:tcBorders>
                    <w:tl2br w:val="nil"/>
                    <w:tr2bl w:val="nil"/>
                  </w:tcBorders>
                  <w:vAlign w:val="center"/>
                </w:tcPr>
                <w:p w14:paraId="5DADD5CF">
                  <w:pPr>
                    <w:jc w:val="center"/>
                    <w:rPr>
                      <w:color w:val="auto"/>
                      <w:szCs w:val="21"/>
                      <w:highlight w:val="none"/>
                    </w:rPr>
                  </w:pPr>
                  <w:r>
                    <w:rPr>
                      <w:color w:val="auto"/>
                      <w:szCs w:val="21"/>
                      <w:highlight w:val="none"/>
                    </w:rPr>
                    <w:t>滴</w:t>
                  </w:r>
                  <w:r>
                    <w:rPr>
                      <w:rFonts w:hint="eastAsia"/>
                      <w:color w:val="auto"/>
                      <w:szCs w:val="21"/>
                      <w:highlight w:val="none"/>
                    </w:rPr>
                    <w:t>浸渍树脂胶</w:t>
                  </w:r>
                </w:p>
              </w:tc>
              <w:tc>
                <w:tcPr>
                  <w:tcW w:w="1058" w:type="pct"/>
                  <w:tcBorders>
                    <w:tl2br w:val="nil"/>
                    <w:tr2bl w:val="nil"/>
                  </w:tcBorders>
                  <w:vAlign w:val="center"/>
                </w:tcPr>
                <w:p w14:paraId="6FC6351C">
                  <w:pPr>
                    <w:jc w:val="center"/>
                    <w:rPr>
                      <w:color w:val="auto"/>
                      <w:szCs w:val="21"/>
                      <w:highlight w:val="none"/>
                    </w:rPr>
                  </w:pPr>
                  <w:r>
                    <w:rPr>
                      <w:color w:val="auto"/>
                      <w:szCs w:val="21"/>
                      <w:highlight w:val="none"/>
                    </w:rPr>
                    <w:t>滴</w:t>
                  </w:r>
                  <w:r>
                    <w:rPr>
                      <w:rFonts w:hint="eastAsia"/>
                      <w:color w:val="auto"/>
                      <w:szCs w:val="21"/>
                      <w:highlight w:val="none"/>
                    </w:rPr>
                    <w:t>浸渍树脂胶</w:t>
                  </w:r>
                  <w:r>
                    <w:rPr>
                      <w:color w:val="auto"/>
                      <w:szCs w:val="21"/>
                      <w:highlight w:val="none"/>
                    </w:rPr>
                    <w:t>设备</w:t>
                  </w:r>
                </w:p>
              </w:tc>
              <w:tc>
                <w:tcPr>
                  <w:tcW w:w="924" w:type="pct"/>
                  <w:tcBorders>
                    <w:tl2br w:val="nil"/>
                    <w:tr2bl w:val="nil"/>
                  </w:tcBorders>
                  <w:vAlign w:val="center"/>
                </w:tcPr>
                <w:p w14:paraId="79E5C342">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04E7FD71">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20791C0D">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E26DDDB">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52762956">
                  <w:pPr>
                    <w:jc w:val="center"/>
                    <w:rPr>
                      <w:color w:val="auto"/>
                      <w:szCs w:val="21"/>
                      <w:highlight w:val="none"/>
                    </w:rPr>
                  </w:pPr>
                  <w:r>
                    <w:rPr>
                      <w:color w:val="auto"/>
                      <w:szCs w:val="21"/>
                      <w:highlight w:val="none"/>
                    </w:rPr>
                    <w:t>新增</w:t>
                  </w:r>
                </w:p>
              </w:tc>
            </w:tr>
            <w:tr w14:paraId="72BE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68D5D1EE">
                  <w:pPr>
                    <w:jc w:val="center"/>
                    <w:rPr>
                      <w:color w:val="auto"/>
                      <w:szCs w:val="21"/>
                      <w:highlight w:val="none"/>
                    </w:rPr>
                  </w:pPr>
                </w:p>
              </w:tc>
              <w:tc>
                <w:tcPr>
                  <w:tcW w:w="368" w:type="pct"/>
                  <w:vMerge w:val="continue"/>
                  <w:tcBorders>
                    <w:tl2br w:val="nil"/>
                    <w:tr2bl w:val="nil"/>
                  </w:tcBorders>
                  <w:vAlign w:val="center"/>
                </w:tcPr>
                <w:p w14:paraId="45C277A1">
                  <w:pPr>
                    <w:jc w:val="center"/>
                    <w:rPr>
                      <w:color w:val="auto"/>
                      <w:szCs w:val="21"/>
                      <w:highlight w:val="none"/>
                    </w:rPr>
                  </w:pPr>
                </w:p>
              </w:tc>
              <w:tc>
                <w:tcPr>
                  <w:tcW w:w="571" w:type="pct"/>
                  <w:tcBorders>
                    <w:tl2br w:val="nil"/>
                    <w:tr2bl w:val="nil"/>
                  </w:tcBorders>
                  <w:vAlign w:val="center"/>
                </w:tcPr>
                <w:p w14:paraId="338ECEA3">
                  <w:pPr>
                    <w:jc w:val="center"/>
                    <w:rPr>
                      <w:color w:val="auto"/>
                      <w:szCs w:val="21"/>
                      <w:highlight w:val="none"/>
                    </w:rPr>
                  </w:pPr>
                  <w:r>
                    <w:rPr>
                      <w:rFonts w:hint="eastAsia"/>
                      <w:color w:val="auto"/>
                      <w:szCs w:val="21"/>
                      <w:highlight w:val="none"/>
                    </w:rPr>
                    <w:t>浸涂树脂粉</w:t>
                  </w:r>
                </w:p>
              </w:tc>
              <w:tc>
                <w:tcPr>
                  <w:tcW w:w="1058" w:type="pct"/>
                  <w:tcBorders>
                    <w:tl2br w:val="nil"/>
                    <w:tr2bl w:val="nil"/>
                  </w:tcBorders>
                  <w:vAlign w:val="center"/>
                </w:tcPr>
                <w:p w14:paraId="4E1E7B1A">
                  <w:pPr>
                    <w:jc w:val="center"/>
                    <w:rPr>
                      <w:color w:val="auto"/>
                      <w:szCs w:val="21"/>
                      <w:highlight w:val="none"/>
                    </w:rPr>
                  </w:pPr>
                  <w:r>
                    <w:rPr>
                      <w:color w:val="auto"/>
                      <w:szCs w:val="21"/>
                      <w:highlight w:val="none"/>
                    </w:rPr>
                    <w:t>涂</w:t>
                  </w:r>
                  <w:r>
                    <w:rPr>
                      <w:rFonts w:hint="eastAsia"/>
                      <w:color w:val="auto"/>
                      <w:szCs w:val="21"/>
                      <w:highlight w:val="none"/>
                    </w:rPr>
                    <w:t>树脂粉</w:t>
                  </w:r>
                  <w:r>
                    <w:rPr>
                      <w:color w:val="auto"/>
                      <w:szCs w:val="21"/>
                      <w:highlight w:val="none"/>
                    </w:rPr>
                    <w:t>设备</w:t>
                  </w:r>
                </w:p>
              </w:tc>
              <w:tc>
                <w:tcPr>
                  <w:tcW w:w="924" w:type="pct"/>
                  <w:tcBorders>
                    <w:tl2br w:val="nil"/>
                    <w:tr2bl w:val="nil"/>
                  </w:tcBorders>
                  <w:vAlign w:val="center"/>
                </w:tcPr>
                <w:p w14:paraId="5EC9D4C0">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69CAC494">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4CE7B99D">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6682A09D">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0B4FB305">
                  <w:pPr>
                    <w:jc w:val="center"/>
                    <w:rPr>
                      <w:color w:val="auto"/>
                      <w:szCs w:val="21"/>
                      <w:highlight w:val="none"/>
                    </w:rPr>
                  </w:pPr>
                  <w:r>
                    <w:rPr>
                      <w:color w:val="auto"/>
                      <w:szCs w:val="21"/>
                      <w:highlight w:val="none"/>
                    </w:rPr>
                    <w:t>新增</w:t>
                  </w:r>
                </w:p>
              </w:tc>
            </w:tr>
            <w:tr w14:paraId="21446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restart"/>
                  <w:tcBorders>
                    <w:tl2br w:val="nil"/>
                    <w:tr2bl w:val="nil"/>
                  </w:tcBorders>
                  <w:vAlign w:val="center"/>
                </w:tcPr>
                <w:p w14:paraId="10B825FA">
                  <w:pPr>
                    <w:jc w:val="center"/>
                    <w:rPr>
                      <w:color w:val="auto"/>
                      <w:szCs w:val="21"/>
                      <w:highlight w:val="none"/>
                    </w:rPr>
                  </w:pPr>
                  <w:r>
                    <w:rPr>
                      <w:bCs/>
                      <w:color w:val="auto"/>
                      <w:szCs w:val="21"/>
                      <w:highlight w:val="none"/>
                    </w:rPr>
                    <w:t>FG270电机生产车间</w:t>
                  </w:r>
                </w:p>
              </w:tc>
              <w:tc>
                <w:tcPr>
                  <w:tcW w:w="368" w:type="pct"/>
                  <w:vMerge w:val="restart"/>
                  <w:tcBorders>
                    <w:tl2br w:val="nil"/>
                    <w:tr2bl w:val="nil"/>
                  </w:tcBorders>
                  <w:vAlign w:val="center"/>
                </w:tcPr>
                <w:p w14:paraId="5016DF94">
                  <w:pPr>
                    <w:jc w:val="center"/>
                    <w:rPr>
                      <w:color w:val="auto"/>
                      <w:szCs w:val="21"/>
                      <w:highlight w:val="none"/>
                    </w:rPr>
                  </w:pPr>
                  <w:r>
                    <w:rPr>
                      <w:color w:val="auto"/>
                      <w:szCs w:val="21"/>
                      <w:highlight w:val="none"/>
                    </w:rPr>
                    <w:t>定子生产</w:t>
                  </w:r>
                </w:p>
              </w:tc>
              <w:tc>
                <w:tcPr>
                  <w:tcW w:w="571" w:type="pct"/>
                  <w:vMerge w:val="restart"/>
                  <w:tcBorders>
                    <w:tl2br w:val="nil"/>
                    <w:tr2bl w:val="nil"/>
                  </w:tcBorders>
                  <w:vAlign w:val="center"/>
                </w:tcPr>
                <w:p w14:paraId="3F57E2B8">
                  <w:pPr>
                    <w:jc w:val="center"/>
                    <w:rPr>
                      <w:color w:val="auto"/>
                      <w:szCs w:val="21"/>
                      <w:highlight w:val="none"/>
                    </w:rPr>
                  </w:pPr>
                  <w:r>
                    <w:rPr>
                      <w:color w:val="auto"/>
                      <w:szCs w:val="21"/>
                      <w:highlight w:val="none"/>
                    </w:rPr>
                    <w:t>绕线</w:t>
                  </w:r>
                </w:p>
              </w:tc>
              <w:tc>
                <w:tcPr>
                  <w:tcW w:w="1058" w:type="pct"/>
                  <w:tcBorders>
                    <w:tl2br w:val="nil"/>
                    <w:tr2bl w:val="nil"/>
                  </w:tcBorders>
                  <w:vAlign w:val="center"/>
                </w:tcPr>
                <w:p w14:paraId="6F967098">
                  <w:pPr>
                    <w:jc w:val="center"/>
                    <w:rPr>
                      <w:color w:val="auto"/>
                      <w:szCs w:val="21"/>
                      <w:highlight w:val="none"/>
                    </w:rPr>
                  </w:pPr>
                  <w:r>
                    <w:rPr>
                      <w:color w:val="auto"/>
                      <w:szCs w:val="21"/>
                      <w:highlight w:val="none"/>
                    </w:rPr>
                    <w:t>骨支架安装机</w:t>
                  </w:r>
                </w:p>
              </w:tc>
              <w:tc>
                <w:tcPr>
                  <w:tcW w:w="924" w:type="pct"/>
                  <w:tcBorders>
                    <w:tl2br w:val="nil"/>
                    <w:tr2bl w:val="nil"/>
                  </w:tcBorders>
                  <w:vAlign w:val="center"/>
                </w:tcPr>
                <w:p w14:paraId="55FA282E">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26B65BF">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230F8DEF">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60A505D9">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76BAF3A2">
                  <w:pPr>
                    <w:jc w:val="center"/>
                    <w:rPr>
                      <w:color w:val="auto"/>
                      <w:szCs w:val="21"/>
                      <w:highlight w:val="none"/>
                    </w:rPr>
                  </w:pPr>
                  <w:r>
                    <w:rPr>
                      <w:color w:val="auto"/>
                      <w:szCs w:val="21"/>
                      <w:highlight w:val="none"/>
                    </w:rPr>
                    <w:t>原有</w:t>
                  </w:r>
                </w:p>
              </w:tc>
            </w:tr>
            <w:tr w14:paraId="0B564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vMerge w:val="continue"/>
                  <w:tcBorders>
                    <w:tl2br w:val="nil"/>
                    <w:tr2bl w:val="nil"/>
                  </w:tcBorders>
                  <w:vAlign w:val="center"/>
                </w:tcPr>
                <w:p w14:paraId="1B954872">
                  <w:pPr>
                    <w:jc w:val="center"/>
                    <w:rPr>
                      <w:bCs/>
                      <w:color w:val="auto"/>
                      <w:szCs w:val="21"/>
                      <w:highlight w:val="none"/>
                    </w:rPr>
                  </w:pPr>
                </w:p>
              </w:tc>
              <w:tc>
                <w:tcPr>
                  <w:tcW w:w="368" w:type="pct"/>
                  <w:vMerge w:val="continue"/>
                  <w:tcBorders>
                    <w:tl2br w:val="nil"/>
                    <w:tr2bl w:val="nil"/>
                  </w:tcBorders>
                  <w:vAlign w:val="center"/>
                </w:tcPr>
                <w:p w14:paraId="1DE04D98">
                  <w:pPr>
                    <w:jc w:val="center"/>
                    <w:rPr>
                      <w:color w:val="auto"/>
                      <w:szCs w:val="21"/>
                      <w:highlight w:val="none"/>
                    </w:rPr>
                  </w:pPr>
                </w:p>
              </w:tc>
              <w:tc>
                <w:tcPr>
                  <w:tcW w:w="571" w:type="pct"/>
                  <w:vMerge w:val="continue"/>
                  <w:tcBorders>
                    <w:tl2br w:val="nil"/>
                    <w:tr2bl w:val="nil"/>
                  </w:tcBorders>
                  <w:vAlign w:val="center"/>
                </w:tcPr>
                <w:p w14:paraId="79260A34">
                  <w:pPr>
                    <w:jc w:val="center"/>
                    <w:rPr>
                      <w:color w:val="auto"/>
                      <w:szCs w:val="21"/>
                      <w:highlight w:val="none"/>
                    </w:rPr>
                  </w:pPr>
                </w:p>
              </w:tc>
              <w:tc>
                <w:tcPr>
                  <w:tcW w:w="1058" w:type="pct"/>
                  <w:tcBorders>
                    <w:tl2br w:val="nil"/>
                    <w:tr2bl w:val="nil"/>
                  </w:tcBorders>
                  <w:vAlign w:val="center"/>
                </w:tcPr>
                <w:p w14:paraId="765B1F7E">
                  <w:pPr>
                    <w:jc w:val="center"/>
                    <w:rPr>
                      <w:color w:val="auto"/>
                      <w:szCs w:val="21"/>
                      <w:highlight w:val="none"/>
                    </w:rPr>
                  </w:pPr>
                  <w:r>
                    <w:rPr>
                      <w:color w:val="auto"/>
                      <w:szCs w:val="21"/>
                      <w:highlight w:val="none"/>
                    </w:rPr>
                    <w:t>绕线去漆皮机</w:t>
                  </w:r>
                </w:p>
              </w:tc>
              <w:tc>
                <w:tcPr>
                  <w:tcW w:w="924" w:type="pct"/>
                  <w:tcBorders>
                    <w:tl2br w:val="nil"/>
                    <w:tr2bl w:val="nil"/>
                  </w:tcBorders>
                  <w:vAlign w:val="center"/>
                </w:tcPr>
                <w:p w14:paraId="3774DAB1">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1D6E03EE">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117345F2">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537843E9">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5B4732A2">
                  <w:pPr>
                    <w:jc w:val="center"/>
                    <w:rPr>
                      <w:color w:val="auto"/>
                      <w:szCs w:val="21"/>
                      <w:highlight w:val="none"/>
                    </w:rPr>
                  </w:pPr>
                  <w:r>
                    <w:rPr>
                      <w:color w:val="auto"/>
                      <w:szCs w:val="21"/>
                      <w:highlight w:val="none"/>
                    </w:rPr>
                    <w:t>原有</w:t>
                  </w:r>
                </w:p>
              </w:tc>
            </w:tr>
            <w:tr w14:paraId="5BA64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7DC8A55A">
                  <w:pPr>
                    <w:jc w:val="center"/>
                    <w:rPr>
                      <w:bCs/>
                      <w:color w:val="auto"/>
                      <w:szCs w:val="21"/>
                      <w:highlight w:val="none"/>
                    </w:rPr>
                  </w:pPr>
                </w:p>
              </w:tc>
              <w:tc>
                <w:tcPr>
                  <w:tcW w:w="368" w:type="pct"/>
                  <w:vMerge w:val="continue"/>
                  <w:tcBorders>
                    <w:tl2br w:val="nil"/>
                    <w:tr2bl w:val="nil"/>
                  </w:tcBorders>
                  <w:vAlign w:val="center"/>
                </w:tcPr>
                <w:p w14:paraId="30CA2BDE">
                  <w:pPr>
                    <w:jc w:val="center"/>
                    <w:rPr>
                      <w:color w:val="auto"/>
                      <w:szCs w:val="21"/>
                      <w:highlight w:val="none"/>
                    </w:rPr>
                  </w:pPr>
                </w:p>
              </w:tc>
              <w:tc>
                <w:tcPr>
                  <w:tcW w:w="571" w:type="pct"/>
                  <w:vMerge w:val="continue"/>
                  <w:tcBorders>
                    <w:tl2br w:val="nil"/>
                    <w:tr2bl w:val="nil"/>
                  </w:tcBorders>
                  <w:vAlign w:val="center"/>
                </w:tcPr>
                <w:p w14:paraId="4241DE33">
                  <w:pPr>
                    <w:jc w:val="center"/>
                    <w:rPr>
                      <w:color w:val="auto"/>
                      <w:szCs w:val="21"/>
                      <w:highlight w:val="none"/>
                    </w:rPr>
                  </w:pPr>
                </w:p>
              </w:tc>
              <w:tc>
                <w:tcPr>
                  <w:tcW w:w="1058" w:type="pct"/>
                  <w:tcBorders>
                    <w:tl2br w:val="nil"/>
                    <w:tr2bl w:val="nil"/>
                  </w:tcBorders>
                  <w:vAlign w:val="center"/>
                </w:tcPr>
                <w:p w14:paraId="210FF2AD">
                  <w:pPr>
                    <w:jc w:val="center"/>
                    <w:rPr>
                      <w:color w:val="auto"/>
                      <w:szCs w:val="21"/>
                      <w:highlight w:val="none"/>
                    </w:rPr>
                  </w:pPr>
                  <w:r>
                    <w:rPr>
                      <w:color w:val="auto"/>
                      <w:szCs w:val="21"/>
                      <w:highlight w:val="none"/>
                    </w:rPr>
                    <w:t>预理线机</w:t>
                  </w:r>
                </w:p>
              </w:tc>
              <w:tc>
                <w:tcPr>
                  <w:tcW w:w="924" w:type="pct"/>
                  <w:tcBorders>
                    <w:tl2br w:val="nil"/>
                    <w:tr2bl w:val="nil"/>
                  </w:tcBorders>
                  <w:vAlign w:val="center"/>
                </w:tcPr>
                <w:p w14:paraId="7B8C7727">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70DDA84D">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7523D85E">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0DE43459">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7E29E739">
                  <w:pPr>
                    <w:jc w:val="center"/>
                    <w:rPr>
                      <w:color w:val="auto"/>
                      <w:szCs w:val="21"/>
                      <w:highlight w:val="none"/>
                    </w:rPr>
                  </w:pPr>
                  <w:r>
                    <w:rPr>
                      <w:color w:val="auto"/>
                      <w:szCs w:val="21"/>
                      <w:highlight w:val="none"/>
                    </w:rPr>
                    <w:t>原有</w:t>
                  </w:r>
                </w:p>
              </w:tc>
            </w:tr>
            <w:tr w14:paraId="22B9C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3E39026E">
                  <w:pPr>
                    <w:jc w:val="center"/>
                    <w:rPr>
                      <w:bCs/>
                      <w:color w:val="auto"/>
                      <w:szCs w:val="21"/>
                      <w:highlight w:val="none"/>
                    </w:rPr>
                  </w:pPr>
                </w:p>
              </w:tc>
              <w:tc>
                <w:tcPr>
                  <w:tcW w:w="368" w:type="pct"/>
                  <w:vMerge w:val="continue"/>
                  <w:tcBorders>
                    <w:tl2br w:val="nil"/>
                    <w:tr2bl w:val="nil"/>
                  </w:tcBorders>
                  <w:vAlign w:val="center"/>
                </w:tcPr>
                <w:p w14:paraId="44EFD501">
                  <w:pPr>
                    <w:jc w:val="center"/>
                    <w:rPr>
                      <w:color w:val="auto"/>
                      <w:szCs w:val="21"/>
                      <w:highlight w:val="none"/>
                    </w:rPr>
                  </w:pPr>
                </w:p>
              </w:tc>
              <w:tc>
                <w:tcPr>
                  <w:tcW w:w="571" w:type="pct"/>
                  <w:vMerge w:val="restart"/>
                  <w:tcBorders>
                    <w:tl2br w:val="nil"/>
                    <w:tr2bl w:val="nil"/>
                  </w:tcBorders>
                  <w:vAlign w:val="center"/>
                </w:tcPr>
                <w:p w14:paraId="02199EDA">
                  <w:pPr>
                    <w:jc w:val="center"/>
                    <w:rPr>
                      <w:color w:val="auto"/>
                      <w:szCs w:val="21"/>
                      <w:highlight w:val="none"/>
                    </w:rPr>
                  </w:pPr>
                  <w:r>
                    <w:rPr>
                      <w:color w:val="auto"/>
                      <w:szCs w:val="21"/>
                      <w:highlight w:val="none"/>
                    </w:rPr>
                    <w:t>成圆热套</w:t>
                  </w:r>
                </w:p>
              </w:tc>
              <w:tc>
                <w:tcPr>
                  <w:tcW w:w="1058" w:type="pct"/>
                  <w:tcBorders>
                    <w:tl2br w:val="nil"/>
                    <w:tr2bl w:val="nil"/>
                  </w:tcBorders>
                  <w:vAlign w:val="center"/>
                </w:tcPr>
                <w:p w14:paraId="00D74BD5">
                  <w:pPr>
                    <w:jc w:val="center"/>
                    <w:rPr>
                      <w:color w:val="auto"/>
                      <w:szCs w:val="21"/>
                      <w:highlight w:val="none"/>
                    </w:rPr>
                  </w:pPr>
                  <w:r>
                    <w:rPr>
                      <w:color w:val="auto"/>
                      <w:szCs w:val="21"/>
                      <w:highlight w:val="none"/>
                    </w:rPr>
                    <w:t>成圆热套NTC安装</w:t>
                  </w:r>
                </w:p>
              </w:tc>
              <w:tc>
                <w:tcPr>
                  <w:tcW w:w="924" w:type="pct"/>
                  <w:tcBorders>
                    <w:tl2br w:val="nil"/>
                    <w:tr2bl w:val="nil"/>
                  </w:tcBorders>
                  <w:vAlign w:val="center"/>
                </w:tcPr>
                <w:p w14:paraId="57589FB8">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2B2FAEDA">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52A21FCE">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5CD8CCD7">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CB1D39D">
                  <w:pPr>
                    <w:jc w:val="center"/>
                    <w:rPr>
                      <w:color w:val="auto"/>
                      <w:szCs w:val="21"/>
                      <w:highlight w:val="none"/>
                    </w:rPr>
                  </w:pPr>
                  <w:r>
                    <w:rPr>
                      <w:color w:val="auto"/>
                      <w:szCs w:val="21"/>
                      <w:highlight w:val="none"/>
                    </w:rPr>
                    <w:t>原有</w:t>
                  </w:r>
                </w:p>
              </w:tc>
            </w:tr>
            <w:tr w14:paraId="072A7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7597B19B">
                  <w:pPr>
                    <w:jc w:val="center"/>
                    <w:rPr>
                      <w:bCs/>
                      <w:color w:val="auto"/>
                      <w:szCs w:val="21"/>
                      <w:highlight w:val="none"/>
                    </w:rPr>
                  </w:pPr>
                </w:p>
              </w:tc>
              <w:tc>
                <w:tcPr>
                  <w:tcW w:w="368" w:type="pct"/>
                  <w:vMerge w:val="continue"/>
                  <w:tcBorders>
                    <w:tl2br w:val="nil"/>
                    <w:tr2bl w:val="nil"/>
                  </w:tcBorders>
                  <w:vAlign w:val="center"/>
                </w:tcPr>
                <w:p w14:paraId="7866653D">
                  <w:pPr>
                    <w:jc w:val="center"/>
                    <w:rPr>
                      <w:color w:val="auto"/>
                      <w:szCs w:val="21"/>
                      <w:highlight w:val="none"/>
                    </w:rPr>
                  </w:pPr>
                </w:p>
              </w:tc>
              <w:tc>
                <w:tcPr>
                  <w:tcW w:w="571" w:type="pct"/>
                  <w:vMerge w:val="continue"/>
                  <w:tcBorders>
                    <w:tl2br w:val="nil"/>
                    <w:tr2bl w:val="nil"/>
                  </w:tcBorders>
                  <w:vAlign w:val="center"/>
                </w:tcPr>
                <w:p w14:paraId="6EE59BBA">
                  <w:pPr>
                    <w:jc w:val="center"/>
                    <w:rPr>
                      <w:color w:val="auto"/>
                      <w:szCs w:val="21"/>
                      <w:highlight w:val="none"/>
                    </w:rPr>
                  </w:pPr>
                </w:p>
              </w:tc>
              <w:tc>
                <w:tcPr>
                  <w:tcW w:w="1058" w:type="pct"/>
                  <w:tcBorders>
                    <w:tl2br w:val="nil"/>
                    <w:tr2bl w:val="nil"/>
                  </w:tcBorders>
                  <w:vAlign w:val="center"/>
                </w:tcPr>
                <w:p w14:paraId="54FF1A9E">
                  <w:pPr>
                    <w:jc w:val="center"/>
                    <w:rPr>
                      <w:color w:val="auto"/>
                      <w:szCs w:val="21"/>
                      <w:highlight w:val="none"/>
                    </w:rPr>
                  </w:pPr>
                  <w:r>
                    <w:rPr>
                      <w:color w:val="auto"/>
                      <w:szCs w:val="21"/>
                      <w:highlight w:val="none"/>
                    </w:rPr>
                    <w:t>成圆热套</w:t>
                  </w:r>
                </w:p>
              </w:tc>
              <w:tc>
                <w:tcPr>
                  <w:tcW w:w="924" w:type="pct"/>
                  <w:tcBorders>
                    <w:tl2br w:val="nil"/>
                    <w:tr2bl w:val="nil"/>
                  </w:tcBorders>
                  <w:vAlign w:val="center"/>
                </w:tcPr>
                <w:p w14:paraId="395F8A1E">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63D3EDEF">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0027C7C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19A294DD">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3C585D3">
                  <w:pPr>
                    <w:jc w:val="center"/>
                    <w:rPr>
                      <w:color w:val="auto"/>
                      <w:szCs w:val="21"/>
                      <w:highlight w:val="none"/>
                    </w:rPr>
                  </w:pPr>
                  <w:r>
                    <w:rPr>
                      <w:color w:val="auto"/>
                      <w:szCs w:val="21"/>
                      <w:highlight w:val="none"/>
                    </w:rPr>
                    <w:t>原有</w:t>
                  </w:r>
                </w:p>
              </w:tc>
            </w:tr>
            <w:tr w14:paraId="69F87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20165751">
                  <w:pPr>
                    <w:jc w:val="center"/>
                    <w:rPr>
                      <w:bCs/>
                      <w:color w:val="auto"/>
                      <w:szCs w:val="21"/>
                      <w:highlight w:val="none"/>
                    </w:rPr>
                  </w:pPr>
                </w:p>
              </w:tc>
              <w:tc>
                <w:tcPr>
                  <w:tcW w:w="368" w:type="pct"/>
                  <w:vMerge w:val="continue"/>
                  <w:tcBorders>
                    <w:tl2br w:val="nil"/>
                    <w:tr2bl w:val="nil"/>
                  </w:tcBorders>
                  <w:vAlign w:val="center"/>
                </w:tcPr>
                <w:p w14:paraId="1227F034">
                  <w:pPr>
                    <w:jc w:val="center"/>
                    <w:rPr>
                      <w:color w:val="auto"/>
                      <w:szCs w:val="21"/>
                      <w:highlight w:val="none"/>
                    </w:rPr>
                  </w:pPr>
                </w:p>
              </w:tc>
              <w:tc>
                <w:tcPr>
                  <w:tcW w:w="571" w:type="pct"/>
                  <w:tcBorders>
                    <w:tl2br w:val="nil"/>
                    <w:tr2bl w:val="nil"/>
                  </w:tcBorders>
                  <w:vAlign w:val="center"/>
                </w:tcPr>
                <w:p w14:paraId="0122F490">
                  <w:pPr>
                    <w:jc w:val="center"/>
                    <w:rPr>
                      <w:color w:val="auto"/>
                      <w:szCs w:val="21"/>
                      <w:highlight w:val="none"/>
                    </w:rPr>
                  </w:pPr>
                  <w:r>
                    <w:rPr>
                      <w:color w:val="auto"/>
                      <w:szCs w:val="21"/>
                      <w:highlight w:val="none"/>
                    </w:rPr>
                    <w:t>辅助设备</w:t>
                  </w:r>
                </w:p>
              </w:tc>
              <w:tc>
                <w:tcPr>
                  <w:tcW w:w="1058" w:type="pct"/>
                  <w:tcBorders>
                    <w:tl2br w:val="nil"/>
                    <w:tr2bl w:val="nil"/>
                  </w:tcBorders>
                  <w:vAlign w:val="center"/>
                </w:tcPr>
                <w:p w14:paraId="6F77DD24">
                  <w:pPr>
                    <w:jc w:val="center"/>
                    <w:rPr>
                      <w:color w:val="auto"/>
                      <w:szCs w:val="21"/>
                      <w:highlight w:val="none"/>
                    </w:rPr>
                  </w:pPr>
                  <w:r>
                    <w:rPr>
                      <w:color w:val="auto"/>
                      <w:szCs w:val="21"/>
                      <w:highlight w:val="none"/>
                    </w:rPr>
                    <w:t>传送轨道和冷却工站</w:t>
                  </w:r>
                </w:p>
              </w:tc>
              <w:tc>
                <w:tcPr>
                  <w:tcW w:w="924" w:type="pct"/>
                  <w:tcBorders>
                    <w:tl2br w:val="nil"/>
                    <w:tr2bl w:val="nil"/>
                  </w:tcBorders>
                  <w:vAlign w:val="center"/>
                </w:tcPr>
                <w:p w14:paraId="5D528D37">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A2D9B65">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718117D">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57BEABB2">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0DD94E8C">
                  <w:pPr>
                    <w:jc w:val="center"/>
                    <w:rPr>
                      <w:color w:val="auto"/>
                      <w:szCs w:val="21"/>
                      <w:highlight w:val="none"/>
                    </w:rPr>
                  </w:pPr>
                  <w:r>
                    <w:rPr>
                      <w:color w:val="auto"/>
                      <w:szCs w:val="21"/>
                      <w:highlight w:val="none"/>
                    </w:rPr>
                    <w:t>原有</w:t>
                  </w:r>
                </w:p>
              </w:tc>
            </w:tr>
            <w:tr w14:paraId="7581C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5548726F">
                  <w:pPr>
                    <w:jc w:val="center"/>
                    <w:rPr>
                      <w:bCs/>
                      <w:color w:val="auto"/>
                      <w:szCs w:val="21"/>
                      <w:highlight w:val="none"/>
                    </w:rPr>
                  </w:pPr>
                </w:p>
              </w:tc>
              <w:tc>
                <w:tcPr>
                  <w:tcW w:w="368" w:type="pct"/>
                  <w:vMerge w:val="continue"/>
                  <w:tcBorders>
                    <w:tl2br w:val="nil"/>
                    <w:tr2bl w:val="nil"/>
                  </w:tcBorders>
                  <w:vAlign w:val="center"/>
                </w:tcPr>
                <w:p w14:paraId="727CACA7">
                  <w:pPr>
                    <w:jc w:val="center"/>
                    <w:rPr>
                      <w:color w:val="auto"/>
                      <w:szCs w:val="21"/>
                      <w:highlight w:val="none"/>
                    </w:rPr>
                  </w:pPr>
                </w:p>
              </w:tc>
              <w:tc>
                <w:tcPr>
                  <w:tcW w:w="571" w:type="pct"/>
                  <w:vMerge w:val="restart"/>
                  <w:tcBorders>
                    <w:tl2br w:val="nil"/>
                    <w:tr2bl w:val="nil"/>
                  </w:tcBorders>
                  <w:vAlign w:val="center"/>
                </w:tcPr>
                <w:p w14:paraId="2A83B70A">
                  <w:pPr>
                    <w:jc w:val="center"/>
                    <w:rPr>
                      <w:color w:val="auto"/>
                      <w:szCs w:val="21"/>
                      <w:highlight w:val="none"/>
                    </w:rPr>
                  </w:pPr>
                  <w:r>
                    <w:rPr>
                      <w:color w:val="auto"/>
                      <w:szCs w:val="21"/>
                      <w:highlight w:val="none"/>
                    </w:rPr>
                    <w:t>电阻焊</w:t>
                  </w:r>
                </w:p>
              </w:tc>
              <w:tc>
                <w:tcPr>
                  <w:tcW w:w="1058" w:type="pct"/>
                  <w:tcBorders>
                    <w:tl2br w:val="nil"/>
                    <w:tr2bl w:val="nil"/>
                  </w:tcBorders>
                  <w:vAlign w:val="center"/>
                </w:tcPr>
                <w:p w14:paraId="356C1F6E">
                  <w:pPr>
                    <w:jc w:val="center"/>
                    <w:rPr>
                      <w:color w:val="auto"/>
                      <w:szCs w:val="21"/>
                      <w:highlight w:val="none"/>
                    </w:rPr>
                  </w:pPr>
                  <w:r>
                    <w:rPr>
                      <w:color w:val="auto"/>
                      <w:szCs w:val="21"/>
                      <w:highlight w:val="none"/>
                    </w:rPr>
                    <w:t>钎料焊接</w:t>
                  </w:r>
                </w:p>
              </w:tc>
              <w:tc>
                <w:tcPr>
                  <w:tcW w:w="924" w:type="pct"/>
                  <w:tcBorders>
                    <w:tl2br w:val="nil"/>
                    <w:tr2bl w:val="nil"/>
                  </w:tcBorders>
                  <w:vAlign w:val="center"/>
                </w:tcPr>
                <w:p w14:paraId="7A1ABD31">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EA0B0D5">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768E2D6">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68D32DA">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5819C7DC">
                  <w:pPr>
                    <w:jc w:val="center"/>
                    <w:rPr>
                      <w:color w:val="auto"/>
                      <w:szCs w:val="21"/>
                      <w:highlight w:val="none"/>
                    </w:rPr>
                  </w:pPr>
                  <w:r>
                    <w:rPr>
                      <w:color w:val="auto"/>
                      <w:szCs w:val="21"/>
                      <w:highlight w:val="none"/>
                    </w:rPr>
                    <w:t>原有</w:t>
                  </w:r>
                </w:p>
              </w:tc>
            </w:tr>
            <w:tr w14:paraId="224A0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4A3F22B0">
                  <w:pPr>
                    <w:jc w:val="center"/>
                    <w:rPr>
                      <w:bCs/>
                      <w:color w:val="auto"/>
                      <w:szCs w:val="21"/>
                      <w:highlight w:val="none"/>
                    </w:rPr>
                  </w:pPr>
                </w:p>
              </w:tc>
              <w:tc>
                <w:tcPr>
                  <w:tcW w:w="368" w:type="pct"/>
                  <w:vMerge w:val="continue"/>
                  <w:tcBorders>
                    <w:tl2br w:val="nil"/>
                    <w:tr2bl w:val="nil"/>
                  </w:tcBorders>
                  <w:vAlign w:val="center"/>
                </w:tcPr>
                <w:p w14:paraId="208A030D">
                  <w:pPr>
                    <w:jc w:val="center"/>
                    <w:rPr>
                      <w:color w:val="auto"/>
                      <w:szCs w:val="21"/>
                      <w:highlight w:val="none"/>
                    </w:rPr>
                  </w:pPr>
                </w:p>
              </w:tc>
              <w:tc>
                <w:tcPr>
                  <w:tcW w:w="571" w:type="pct"/>
                  <w:vMerge w:val="continue"/>
                  <w:tcBorders>
                    <w:tl2br w:val="nil"/>
                    <w:tr2bl w:val="nil"/>
                  </w:tcBorders>
                  <w:vAlign w:val="center"/>
                </w:tcPr>
                <w:p w14:paraId="07B219EB">
                  <w:pPr>
                    <w:jc w:val="center"/>
                    <w:rPr>
                      <w:color w:val="auto"/>
                      <w:szCs w:val="21"/>
                      <w:highlight w:val="none"/>
                    </w:rPr>
                  </w:pPr>
                </w:p>
              </w:tc>
              <w:tc>
                <w:tcPr>
                  <w:tcW w:w="1058" w:type="pct"/>
                  <w:tcBorders>
                    <w:tl2br w:val="nil"/>
                    <w:tr2bl w:val="nil"/>
                  </w:tcBorders>
                  <w:vAlign w:val="center"/>
                </w:tcPr>
                <w:p w14:paraId="5FB1580C">
                  <w:pPr>
                    <w:jc w:val="center"/>
                    <w:rPr>
                      <w:color w:val="auto"/>
                      <w:szCs w:val="21"/>
                      <w:highlight w:val="none"/>
                    </w:rPr>
                  </w:pPr>
                  <w:r>
                    <w:rPr>
                      <w:color w:val="auto"/>
                      <w:szCs w:val="21"/>
                      <w:highlight w:val="none"/>
                    </w:rPr>
                    <w:t>高压焊接</w:t>
                  </w:r>
                </w:p>
              </w:tc>
              <w:tc>
                <w:tcPr>
                  <w:tcW w:w="924" w:type="pct"/>
                  <w:tcBorders>
                    <w:tl2br w:val="nil"/>
                    <w:tr2bl w:val="nil"/>
                  </w:tcBorders>
                  <w:vAlign w:val="center"/>
                </w:tcPr>
                <w:p w14:paraId="76750688">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6DB123C4">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06EDBA92">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ED0C1E6">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402D68E">
                  <w:pPr>
                    <w:jc w:val="center"/>
                    <w:rPr>
                      <w:color w:val="auto"/>
                      <w:szCs w:val="21"/>
                      <w:highlight w:val="none"/>
                    </w:rPr>
                  </w:pPr>
                  <w:r>
                    <w:rPr>
                      <w:color w:val="auto"/>
                      <w:szCs w:val="21"/>
                      <w:highlight w:val="none"/>
                    </w:rPr>
                    <w:t>原有</w:t>
                  </w:r>
                </w:p>
              </w:tc>
            </w:tr>
            <w:tr w14:paraId="13BA0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1032BCCF">
                  <w:pPr>
                    <w:jc w:val="center"/>
                    <w:rPr>
                      <w:bCs/>
                      <w:color w:val="auto"/>
                      <w:szCs w:val="21"/>
                      <w:highlight w:val="none"/>
                    </w:rPr>
                  </w:pPr>
                </w:p>
              </w:tc>
              <w:tc>
                <w:tcPr>
                  <w:tcW w:w="368" w:type="pct"/>
                  <w:vMerge w:val="continue"/>
                  <w:tcBorders>
                    <w:tl2br w:val="nil"/>
                    <w:tr2bl w:val="nil"/>
                  </w:tcBorders>
                  <w:vAlign w:val="center"/>
                </w:tcPr>
                <w:p w14:paraId="598D7828">
                  <w:pPr>
                    <w:jc w:val="center"/>
                    <w:rPr>
                      <w:color w:val="auto"/>
                      <w:szCs w:val="21"/>
                      <w:highlight w:val="none"/>
                    </w:rPr>
                  </w:pPr>
                </w:p>
              </w:tc>
              <w:tc>
                <w:tcPr>
                  <w:tcW w:w="571" w:type="pct"/>
                  <w:vMerge w:val="continue"/>
                  <w:tcBorders>
                    <w:tl2br w:val="nil"/>
                    <w:tr2bl w:val="nil"/>
                  </w:tcBorders>
                  <w:vAlign w:val="center"/>
                </w:tcPr>
                <w:p w14:paraId="36C074B1">
                  <w:pPr>
                    <w:jc w:val="center"/>
                    <w:rPr>
                      <w:color w:val="auto"/>
                      <w:szCs w:val="21"/>
                      <w:highlight w:val="none"/>
                    </w:rPr>
                  </w:pPr>
                </w:p>
              </w:tc>
              <w:tc>
                <w:tcPr>
                  <w:tcW w:w="1058" w:type="pct"/>
                  <w:tcBorders>
                    <w:tl2br w:val="nil"/>
                    <w:tr2bl w:val="nil"/>
                  </w:tcBorders>
                  <w:vAlign w:val="center"/>
                </w:tcPr>
                <w:p w14:paraId="5CBEEE79">
                  <w:pPr>
                    <w:jc w:val="center"/>
                    <w:rPr>
                      <w:color w:val="auto"/>
                      <w:szCs w:val="21"/>
                      <w:highlight w:val="none"/>
                    </w:rPr>
                  </w:pPr>
                  <w:r>
                    <w:rPr>
                      <w:color w:val="auto"/>
                      <w:szCs w:val="21"/>
                      <w:highlight w:val="none"/>
                    </w:rPr>
                    <w:t>理线电阻焊接机</w:t>
                  </w:r>
                </w:p>
              </w:tc>
              <w:tc>
                <w:tcPr>
                  <w:tcW w:w="924" w:type="pct"/>
                  <w:tcBorders>
                    <w:tl2br w:val="nil"/>
                    <w:tr2bl w:val="nil"/>
                  </w:tcBorders>
                  <w:vAlign w:val="center"/>
                </w:tcPr>
                <w:p w14:paraId="54150A47">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48D86179">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178620E9">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6F70F3E2">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316CA804">
                  <w:pPr>
                    <w:jc w:val="center"/>
                    <w:rPr>
                      <w:color w:val="auto"/>
                      <w:szCs w:val="21"/>
                      <w:highlight w:val="none"/>
                    </w:rPr>
                  </w:pPr>
                  <w:r>
                    <w:rPr>
                      <w:color w:val="auto"/>
                      <w:szCs w:val="21"/>
                      <w:highlight w:val="none"/>
                    </w:rPr>
                    <w:t>原有</w:t>
                  </w:r>
                </w:p>
              </w:tc>
            </w:tr>
            <w:tr w14:paraId="024C7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0E74FB3D">
                  <w:pPr>
                    <w:jc w:val="center"/>
                    <w:rPr>
                      <w:bCs/>
                      <w:color w:val="auto"/>
                      <w:szCs w:val="21"/>
                      <w:highlight w:val="none"/>
                    </w:rPr>
                  </w:pPr>
                </w:p>
              </w:tc>
              <w:tc>
                <w:tcPr>
                  <w:tcW w:w="368" w:type="pct"/>
                  <w:vMerge w:val="continue"/>
                  <w:tcBorders>
                    <w:tl2br w:val="nil"/>
                    <w:tr2bl w:val="nil"/>
                  </w:tcBorders>
                  <w:vAlign w:val="center"/>
                </w:tcPr>
                <w:p w14:paraId="4A12FF41">
                  <w:pPr>
                    <w:jc w:val="center"/>
                    <w:rPr>
                      <w:color w:val="auto"/>
                      <w:szCs w:val="21"/>
                      <w:highlight w:val="none"/>
                    </w:rPr>
                  </w:pPr>
                </w:p>
              </w:tc>
              <w:tc>
                <w:tcPr>
                  <w:tcW w:w="571" w:type="pct"/>
                  <w:vMerge w:val="restart"/>
                  <w:tcBorders>
                    <w:tl2br w:val="nil"/>
                    <w:tr2bl w:val="nil"/>
                  </w:tcBorders>
                  <w:vAlign w:val="center"/>
                </w:tcPr>
                <w:p w14:paraId="17F91C7D">
                  <w:pPr>
                    <w:jc w:val="center"/>
                    <w:rPr>
                      <w:color w:val="auto"/>
                      <w:szCs w:val="21"/>
                      <w:highlight w:val="none"/>
                    </w:rPr>
                  </w:pPr>
                  <w:r>
                    <w:rPr>
                      <w:color w:val="auto"/>
                      <w:szCs w:val="21"/>
                      <w:highlight w:val="none"/>
                    </w:rPr>
                    <w:t>整体注胶</w:t>
                  </w:r>
                </w:p>
              </w:tc>
              <w:tc>
                <w:tcPr>
                  <w:tcW w:w="1058" w:type="pct"/>
                  <w:tcBorders>
                    <w:tl2br w:val="nil"/>
                    <w:tr2bl w:val="nil"/>
                  </w:tcBorders>
                  <w:vAlign w:val="center"/>
                </w:tcPr>
                <w:p w14:paraId="6BEDC180">
                  <w:pPr>
                    <w:jc w:val="center"/>
                    <w:rPr>
                      <w:color w:val="auto"/>
                      <w:szCs w:val="21"/>
                      <w:highlight w:val="none"/>
                    </w:rPr>
                  </w:pPr>
                  <w:r>
                    <w:rPr>
                      <w:color w:val="auto"/>
                      <w:szCs w:val="21"/>
                      <w:highlight w:val="none"/>
                    </w:rPr>
                    <w:t>等离子处理机</w:t>
                  </w:r>
                </w:p>
              </w:tc>
              <w:tc>
                <w:tcPr>
                  <w:tcW w:w="924" w:type="pct"/>
                  <w:tcBorders>
                    <w:tl2br w:val="nil"/>
                    <w:tr2bl w:val="nil"/>
                  </w:tcBorders>
                  <w:vAlign w:val="center"/>
                </w:tcPr>
                <w:p w14:paraId="2E2DAFA6">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717106FD">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4D732452">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67D44E3F">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58AD4AD9">
                  <w:pPr>
                    <w:jc w:val="center"/>
                    <w:rPr>
                      <w:color w:val="auto"/>
                      <w:szCs w:val="21"/>
                      <w:highlight w:val="none"/>
                    </w:rPr>
                  </w:pPr>
                  <w:r>
                    <w:rPr>
                      <w:color w:val="auto"/>
                      <w:szCs w:val="21"/>
                      <w:highlight w:val="none"/>
                    </w:rPr>
                    <w:t>原有</w:t>
                  </w:r>
                </w:p>
              </w:tc>
            </w:tr>
            <w:tr w14:paraId="3B63D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3E609D70">
                  <w:pPr>
                    <w:jc w:val="center"/>
                    <w:rPr>
                      <w:bCs/>
                      <w:color w:val="auto"/>
                      <w:szCs w:val="21"/>
                      <w:highlight w:val="none"/>
                    </w:rPr>
                  </w:pPr>
                </w:p>
              </w:tc>
              <w:tc>
                <w:tcPr>
                  <w:tcW w:w="368" w:type="pct"/>
                  <w:vMerge w:val="continue"/>
                  <w:tcBorders>
                    <w:tl2br w:val="nil"/>
                    <w:tr2bl w:val="nil"/>
                  </w:tcBorders>
                  <w:vAlign w:val="center"/>
                </w:tcPr>
                <w:p w14:paraId="234F57C4">
                  <w:pPr>
                    <w:jc w:val="center"/>
                    <w:rPr>
                      <w:color w:val="auto"/>
                      <w:szCs w:val="21"/>
                      <w:highlight w:val="none"/>
                    </w:rPr>
                  </w:pPr>
                </w:p>
              </w:tc>
              <w:tc>
                <w:tcPr>
                  <w:tcW w:w="571" w:type="pct"/>
                  <w:vMerge w:val="continue"/>
                  <w:tcBorders>
                    <w:tl2br w:val="nil"/>
                    <w:tr2bl w:val="nil"/>
                  </w:tcBorders>
                  <w:vAlign w:val="center"/>
                </w:tcPr>
                <w:p w14:paraId="54C067C4">
                  <w:pPr>
                    <w:jc w:val="center"/>
                    <w:rPr>
                      <w:color w:val="auto"/>
                      <w:szCs w:val="21"/>
                      <w:highlight w:val="none"/>
                    </w:rPr>
                  </w:pPr>
                </w:p>
              </w:tc>
              <w:tc>
                <w:tcPr>
                  <w:tcW w:w="1058" w:type="pct"/>
                  <w:tcBorders>
                    <w:tl2br w:val="nil"/>
                    <w:tr2bl w:val="nil"/>
                  </w:tcBorders>
                  <w:vAlign w:val="center"/>
                </w:tcPr>
                <w:p w14:paraId="184C07F4">
                  <w:pPr>
                    <w:jc w:val="center"/>
                    <w:rPr>
                      <w:color w:val="auto"/>
                      <w:szCs w:val="21"/>
                      <w:highlight w:val="none"/>
                    </w:rPr>
                  </w:pPr>
                  <w:r>
                    <w:rPr>
                      <w:color w:val="auto"/>
                      <w:szCs w:val="21"/>
                      <w:highlight w:val="none"/>
                    </w:rPr>
                    <w:t>灌胶预热</w:t>
                  </w:r>
                </w:p>
              </w:tc>
              <w:tc>
                <w:tcPr>
                  <w:tcW w:w="924" w:type="pct"/>
                  <w:tcBorders>
                    <w:tl2br w:val="nil"/>
                    <w:tr2bl w:val="nil"/>
                  </w:tcBorders>
                  <w:vAlign w:val="center"/>
                </w:tcPr>
                <w:p w14:paraId="3360F69B">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78AF748B">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5785301D">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ECDA89D">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3E89860">
                  <w:pPr>
                    <w:jc w:val="center"/>
                    <w:rPr>
                      <w:color w:val="auto"/>
                      <w:szCs w:val="21"/>
                      <w:highlight w:val="none"/>
                    </w:rPr>
                  </w:pPr>
                  <w:r>
                    <w:rPr>
                      <w:color w:val="auto"/>
                      <w:szCs w:val="21"/>
                      <w:highlight w:val="none"/>
                    </w:rPr>
                    <w:t>原有</w:t>
                  </w:r>
                </w:p>
              </w:tc>
            </w:tr>
            <w:tr w14:paraId="38D77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0133CB82">
                  <w:pPr>
                    <w:jc w:val="center"/>
                    <w:rPr>
                      <w:bCs/>
                      <w:color w:val="auto"/>
                      <w:szCs w:val="21"/>
                      <w:highlight w:val="none"/>
                    </w:rPr>
                  </w:pPr>
                </w:p>
              </w:tc>
              <w:tc>
                <w:tcPr>
                  <w:tcW w:w="368" w:type="pct"/>
                  <w:vMerge w:val="continue"/>
                  <w:tcBorders>
                    <w:tl2br w:val="nil"/>
                    <w:tr2bl w:val="nil"/>
                  </w:tcBorders>
                  <w:vAlign w:val="center"/>
                </w:tcPr>
                <w:p w14:paraId="16DC2F9A">
                  <w:pPr>
                    <w:jc w:val="center"/>
                    <w:rPr>
                      <w:color w:val="auto"/>
                      <w:szCs w:val="21"/>
                      <w:highlight w:val="none"/>
                    </w:rPr>
                  </w:pPr>
                </w:p>
              </w:tc>
              <w:tc>
                <w:tcPr>
                  <w:tcW w:w="571" w:type="pct"/>
                  <w:vMerge w:val="continue"/>
                  <w:tcBorders>
                    <w:tl2br w:val="nil"/>
                    <w:tr2bl w:val="nil"/>
                  </w:tcBorders>
                  <w:vAlign w:val="center"/>
                </w:tcPr>
                <w:p w14:paraId="2FC1F478">
                  <w:pPr>
                    <w:jc w:val="center"/>
                    <w:rPr>
                      <w:color w:val="auto"/>
                      <w:szCs w:val="21"/>
                      <w:highlight w:val="none"/>
                    </w:rPr>
                  </w:pPr>
                </w:p>
              </w:tc>
              <w:tc>
                <w:tcPr>
                  <w:tcW w:w="1058" w:type="pct"/>
                  <w:tcBorders>
                    <w:tl2br w:val="nil"/>
                    <w:tr2bl w:val="nil"/>
                  </w:tcBorders>
                  <w:vAlign w:val="center"/>
                </w:tcPr>
                <w:p w14:paraId="4E459C35">
                  <w:pPr>
                    <w:jc w:val="center"/>
                    <w:rPr>
                      <w:color w:val="auto"/>
                      <w:szCs w:val="21"/>
                      <w:highlight w:val="none"/>
                    </w:rPr>
                  </w:pPr>
                  <w:r>
                    <w:rPr>
                      <w:color w:val="auto"/>
                      <w:szCs w:val="21"/>
                      <w:highlight w:val="none"/>
                    </w:rPr>
                    <w:t>备料真空灌胶系统</w:t>
                  </w:r>
                </w:p>
              </w:tc>
              <w:tc>
                <w:tcPr>
                  <w:tcW w:w="924" w:type="pct"/>
                  <w:tcBorders>
                    <w:tl2br w:val="nil"/>
                    <w:tr2bl w:val="nil"/>
                  </w:tcBorders>
                  <w:vAlign w:val="center"/>
                </w:tcPr>
                <w:p w14:paraId="39A352FF">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60BF2B4E">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61C80D2">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34F72241">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61551F71">
                  <w:pPr>
                    <w:jc w:val="center"/>
                    <w:rPr>
                      <w:color w:val="auto"/>
                      <w:szCs w:val="21"/>
                      <w:highlight w:val="none"/>
                    </w:rPr>
                  </w:pPr>
                  <w:r>
                    <w:rPr>
                      <w:color w:val="auto"/>
                      <w:szCs w:val="21"/>
                      <w:highlight w:val="none"/>
                    </w:rPr>
                    <w:t>原有</w:t>
                  </w:r>
                </w:p>
              </w:tc>
            </w:tr>
            <w:tr w14:paraId="1FE09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3FD87235">
                  <w:pPr>
                    <w:jc w:val="center"/>
                    <w:rPr>
                      <w:bCs/>
                      <w:color w:val="auto"/>
                      <w:szCs w:val="21"/>
                      <w:highlight w:val="none"/>
                    </w:rPr>
                  </w:pPr>
                </w:p>
              </w:tc>
              <w:tc>
                <w:tcPr>
                  <w:tcW w:w="368" w:type="pct"/>
                  <w:vMerge w:val="continue"/>
                  <w:tcBorders>
                    <w:tl2br w:val="nil"/>
                    <w:tr2bl w:val="nil"/>
                  </w:tcBorders>
                  <w:vAlign w:val="center"/>
                </w:tcPr>
                <w:p w14:paraId="5980F20F">
                  <w:pPr>
                    <w:jc w:val="center"/>
                    <w:rPr>
                      <w:color w:val="auto"/>
                      <w:szCs w:val="21"/>
                      <w:highlight w:val="none"/>
                    </w:rPr>
                  </w:pPr>
                </w:p>
              </w:tc>
              <w:tc>
                <w:tcPr>
                  <w:tcW w:w="571" w:type="pct"/>
                  <w:vMerge w:val="continue"/>
                  <w:tcBorders>
                    <w:tl2br w:val="nil"/>
                    <w:tr2bl w:val="nil"/>
                  </w:tcBorders>
                  <w:vAlign w:val="center"/>
                </w:tcPr>
                <w:p w14:paraId="5D990233">
                  <w:pPr>
                    <w:jc w:val="center"/>
                    <w:rPr>
                      <w:color w:val="auto"/>
                      <w:szCs w:val="21"/>
                      <w:highlight w:val="none"/>
                    </w:rPr>
                  </w:pPr>
                </w:p>
              </w:tc>
              <w:tc>
                <w:tcPr>
                  <w:tcW w:w="1058" w:type="pct"/>
                  <w:tcBorders>
                    <w:tl2br w:val="nil"/>
                    <w:tr2bl w:val="nil"/>
                  </w:tcBorders>
                  <w:vAlign w:val="center"/>
                </w:tcPr>
                <w:p w14:paraId="7D64EFAB">
                  <w:pPr>
                    <w:jc w:val="center"/>
                    <w:rPr>
                      <w:color w:val="auto"/>
                      <w:szCs w:val="21"/>
                      <w:highlight w:val="none"/>
                    </w:rPr>
                  </w:pPr>
                  <w:r>
                    <w:rPr>
                      <w:color w:val="auto"/>
                      <w:szCs w:val="21"/>
                      <w:highlight w:val="none"/>
                    </w:rPr>
                    <w:t>灌胶机</w:t>
                  </w:r>
                </w:p>
              </w:tc>
              <w:tc>
                <w:tcPr>
                  <w:tcW w:w="924" w:type="pct"/>
                  <w:tcBorders>
                    <w:tl2br w:val="nil"/>
                    <w:tr2bl w:val="nil"/>
                  </w:tcBorders>
                  <w:vAlign w:val="center"/>
                </w:tcPr>
                <w:p w14:paraId="17321B65">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47EA49BD">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DA84D7F">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6A12B525">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74EAF133">
                  <w:pPr>
                    <w:jc w:val="center"/>
                    <w:rPr>
                      <w:color w:val="auto"/>
                      <w:szCs w:val="21"/>
                      <w:highlight w:val="none"/>
                    </w:rPr>
                  </w:pPr>
                  <w:r>
                    <w:rPr>
                      <w:color w:val="auto"/>
                      <w:szCs w:val="21"/>
                      <w:highlight w:val="none"/>
                    </w:rPr>
                    <w:t>原有</w:t>
                  </w:r>
                </w:p>
              </w:tc>
            </w:tr>
            <w:tr w14:paraId="1336B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08D18689">
                  <w:pPr>
                    <w:jc w:val="center"/>
                    <w:rPr>
                      <w:bCs/>
                      <w:color w:val="auto"/>
                      <w:szCs w:val="21"/>
                      <w:highlight w:val="none"/>
                    </w:rPr>
                  </w:pPr>
                </w:p>
              </w:tc>
              <w:tc>
                <w:tcPr>
                  <w:tcW w:w="368" w:type="pct"/>
                  <w:vMerge w:val="continue"/>
                  <w:tcBorders>
                    <w:tl2br w:val="nil"/>
                    <w:tr2bl w:val="nil"/>
                  </w:tcBorders>
                  <w:vAlign w:val="center"/>
                </w:tcPr>
                <w:p w14:paraId="610CC1C3">
                  <w:pPr>
                    <w:jc w:val="center"/>
                    <w:rPr>
                      <w:color w:val="auto"/>
                      <w:szCs w:val="21"/>
                      <w:highlight w:val="none"/>
                    </w:rPr>
                  </w:pPr>
                </w:p>
              </w:tc>
              <w:tc>
                <w:tcPr>
                  <w:tcW w:w="571" w:type="pct"/>
                  <w:vMerge w:val="continue"/>
                  <w:tcBorders>
                    <w:tl2br w:val="nil"/>
                    <w:tr2bl w:val="nil"/>
                  </w:tcBorders>
                  <w:vAlign w:val="center"/>
                </w:tcPr>
                <w:p w14:paraId="6E2C6BEF">
                  <w:pPr>
                    <w:jc w:val="center"/>
                    <w:rPr>
                      <w:color w:val="auto"/>
                      <w:szCs w:val="21"/>
                      <w:highlight w:val="none"/>
                    </w:rPr>
                  </w:pPr>
                </w:p>
              </w:tc>
              <w:tc>
                <w:tcPr>
                  <w:tcW w:w="1058" w:type="pct"/>
                  <w:tcBorders>
                    <w:tl2br w:val="nil"/>
                    <w:tr2bl w:val="nil"/>
                  </w:tcBorders>
                  <w:vAlign w:val="center"/>
                </w:tcPr>
                <w:p w14:paraId="2D7D2739">
                  <w:pPr>
                    <w:jc w:val="center"/>
                    <w:rPr>
                      <w:color w:val="auto"/>
                      <w:szCs w:val="21"/>
                      <w:highlight w:val="none"/>
                    </w:rPr>
                  </w:pPr>
                  <w:r>
                    <w:rPr>
                      <w:color w:val="auto"/>
                      <w:szCs w:val="21"/>
                      <w:highlight w:val="none"/>
                    </w:rPr>
                    <w:t>凝胶机</w:t>
                  </w:r>
                </w:p>
              </w:tc>
              <w:tc>
                <w:tcPr>
                  <w:tcW w:w="924" w:type="pct"/>
                  <w:tcBorders>
                    <w:tl2br w:val="nil"/>
                    <w:tr2bl w:val="nil"/>
                  </w:tcBorders>
                  <w:vAlign w:val="center"/>
                </w:tcPr>
                <w:p w14:paraId="71B99851">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25D6079">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101413C7">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E386BFE">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428777ED">
                  <w:pPr>
                    <w:jc w:val="center"/>
                    <w:rPr>
                      <w:color w:val="auto"/>
                      <w:szCs w:val="21"/>
                      <w:highlight w:val="none"/>
                    </w:rPr>
                  </w:pPr>
                  <w:r>
                    <w:rPr>
                      <w:color w:val="auto"/>
                      <w:szCs w:val="21"/>
                      <w:highlight w:val="none"/>
                    </w:rPr>
                    <w:t>原有</w:t>
                  </w:r>
                </w:p>
              </w:tc>
            </w:tr>
            <w:tr w14:paraId="7AC7F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2A8FA72A">
                  <w:pPr>
                    <w:jc w:val="center"/>
                    <w:rPr>
                      <w:bCs/>
                      <w:color w:val="auto"/>
                      <w:szCs w:val="21"/>
                      <w:highlight w:val="none"/>
                    </w:rPr>
                  </w:pPr>
                </w:p>
              </w:tc>
              <w:tc>
                <w:tcPr>
                  <w:tcW w:w="368" w:type="pct"/>
                  <w:vMerge w:val="continue"/>
                  <w:tcBorders>
                    <w:tl2br w:val="nil"/>
                    <w:tr2bl w:val="nil"/>
                  </w:tcBorders>
                  <w:vAlign w:val="center"/>
                </w:tcPr>
                <w:p w14:paraId="5C230D4B">
                  <w:pPr>
                    <w:jc w:val="center"/>
                    <w:rPr>
                      <w:color w:val="auto"/>
                      <w:szCs w:val="21"/>
                      <w:highlight w:val="none"/>
                    </w:rPr>
                  </w:pPr>
                </w:p>
              </w:tc>
              <w:tc>
                <w:tcPr>
                  <w:tcW w:w="571" w:type="pct"/>
                  <w:tcBorders>
                    <w:tl2br w:val="nil"/>
                    <w:tr2bl w:val="nil"/>
                  </w:tcBorders>
                  <w:vAlign w:val="center"/>
                </w:tcPr>
                <w:p w14:paraId="746B1787">
                  <w:pPr>
                    <w:jc w:val="center"/>
                    <w:rPr>
                      <w:color w:val="auto"/>
                      <w:szCs w:val="21"/>
                      <w:highlight w:val="none"/>
                    </w:rPr>
                  </w:pPr>
                  <w:r>
                    <w:rPr>
                      <w:color w:val="auto"/>
                      <w:szCs w:val="21"/>
                      <w:highlight w:val="none"/>
                    </w:rPr>
                    <w:t>固化</w:t>
                  </w:r>
                </w:p>
              </w:tc>
              <w:tc>
                <w:tcPr>
                  <w:tcW w:w="1058" w:type="pct"/>
                  <w:tcBorders>
                    <w:tl2br w:val="nil"/>
                    <w:tr2bl w:val="nil"/>
                  </w:tcBorders>
                  <w:vAlign w:val="center"/>
                </w:tcPr>
                <w:p w14:paraId="1FC3755D">
                  <w:pPr>
                    <w:jc w:val="center"/>
                    <w:rPr>
                      <w:color w:val="auto"/>
                      <w:szCs w:val="21"/>
                      <w:highlight w:val="none"/>
                    </w:rPr>
                  </w:pPr>
                  <w:r>
                    <w:rPr>
                      <w:color w:val="auto"/>
                      <w:szCs w:val="21"/>
                      <w:highlight w:val="none"/>
                    </w:rPr>
                    <w:t>灌胶固化机</w:t>
                  </w:r>
                </w:p>
              </w:tc>
              <w:tc>
                <w:tcPr>
                  <w:tcW w:w="924" w:type="pct"/>
                  <w:tcBorders>
                    <w:tl2br w:val="nil"/>
                    <w:tr2bl w:val="nil"/>
                  </w:tcBorders>
                  <w:vAlign w:val="center"/>
                </w:tcPr>
                <w:p w14:paraId="4AA378CB">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1D853BE7">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5C07950C">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80C8F17">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030654C">
                  <w:pPr>
                    <w:jc w:val="center"/>
                    <w:rPr>
                      <w:color w:val="auto"/>
                      <w:szCs w:val="21"/>
                      <w:highlight w:val="none"/>
                    </w:rPr>
                  </w:pPr>
                  <w:r>
                    <w:rPr>
                      <w:color w:val="auto"/>
                      <w:szCs w:val="21"/>
                      <w:highlight w:val="none"/>
                    </w:rPr>
                    <w:t>原有</w:t>
                  </w:r>
                </w:p>
              </w:tc>
            </w:tr>
            <w:tr w14:paraId="05EB4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4A2EA745">
                  <w:pPr>
                    <w:jc w:val="center"/>
                    <w:rPr>
                      <w:bCs/>
                      <w:color w:val="auto"/>
                      <w:szCs w:val="21"/>
                      <w:highlight w:val="none"/>
                    </w:rPr>
                  </w:pPr>
                </w:p>
              </w:tc>
              <w:tc>
                <w:tcPr>
                  <w:tcW w:w="368" w:type="pct"/>
                  <w:vMerge w:val="continue"/>
                  <w:tcBorders>
                    <w:tl2br w:val="nil"/>
                    <w:tr2bl w:val="nil"/>
                  </w:tcBorders>
                  <w:vAlign w:val="center"/>
                </w:tcPr>
                <w:p w14:paraId="7A653706">
                  <w:pPr>
                    <w:jc w:val="center"/>
                    <w:rPr>
                      <w:color w:val="auto"/>
                      <w:szCs w:val="21"/>
                      <w:highlight w:val="none"/>
                    </w:rPr>
                  </w:pPr>
                </w:p>
              </w:tc>
              <w:tc>
                <w:tcPr>
                  <w:tcW w:w="571" w:type="pct"/>
                  <w:vMerge w:val="restart"/>
                  <w:tcBorders>
                    <w:tl2br w:val="nil"/>
                    <w:tr2bl w:val="nil"/>
                  </w:tcBorders>
                  <w:vAlign w:val="center"/>
                </w:tcPr>
                <w:p w14:paraId="4DB7BA73">
                  <w:pPr>
                    <w:jc w:val="center"/>
                    <w:rPr>
                      <w:color w:val="auto"/>
                      <w:szCs w:val="21"/>
                      <w:highlight w:val="none"/>
                    </w:rPr>
                  </w:pPr>
                  <w:r>
                    <w:rPr>
                      <w:color w:val="auto"/>
                      <w:szCs w:val="21"/>
                      <w:highlight w:val="none"/>
                    </w:rPr>
                    <w:t>测试</w:t>
                  </w:r>
                </w:p>
              </w:tc>
              <w:tc>
                <w:tcPr>
                  <w:tcW w:w="1058" w:type="pct"/>
                  <w:tcBorders>
                    <w:tl2br w:val="nil"/>
                    <w:tr2bl w:val="nil"/>
                  </w:tcBorders>
                  <w:vAlign w:val="center"/>
                </w:tcPr>
                <w:p w14:paraId="0564547F">
                  <w:pPr>
                    <w:jc w:val="center"/>
                    <w:rPr>
                      <w:color w:val="auto"/>
                      <w:szCs w:val="21"/>
                      <w:highlight w:val="none"/>
                    </w:rPr>
                  </w:pPr>
                  <w:r>
                    <w:rPr>
                      <w:color w:val="auto"/>
                      <w:szCs w:val="21"/>
                      <w:highlight w:val="none"/>
                    </w:rPr>
                    <w:t>气密测试仪</w:t>
                  </w:r>
                </w:p>
              </w:tc>
              <w:tc>
                <w:tcPr>
                  <w:tcW w:w="924" w:type="pct"/>
                  <w:tcBorders>
                    <w:tl2br w:val="nil"/>
                    <w:tr2bl w:val="nil"/>
                  </w:tcBorders>
                  <w:vAlign w:val="center"/>
                </w:tcPr>
                <w:p w14:paraId="78AA21FF">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77E19C23">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0FAE25D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96880FD">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6A566C8E">
                  <w:pPr>
                    <w:jc w:val="center"/>
                    <w:rPr>
                      <w:color w:val="auto"/>
                      <w:szCs w:val="21"/>
                      <w:highlight w:val="none"/>
                    </w:rPr>
                  </w:pPr>
                  <w:r>
                    <w:rPr>
                      <w:color w:val="auto"/>
                      <w:szCs w:val="21"/>
                      <w:highlight w:val="none"/>
                    </w:rPr>
                    <w:t>原有</w:t>
                  </w:r>
                </w:p>
              </w:tc>
            </w:tr>
            <w:tr w14:paraId="2B502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2A7575F9">
                  <w:pPr>
                    <w:jc w:val="center"/>
                    <w:rPr>
                      <w:bCs/>
                      <w:color w:val="auto"/>
                      <w:szCs w:val="21"/>
                      <w:highlight w:val="none"/>
                    </w:rPr>
                  </w:pPr>
                </w:p>
              </w:tc>
              <w:tc>
                <w:tcPr>
                  <w:tcW w:w="368" w:type="pct"/>
                  <w:vMerge w:val="continue"/>
                  <w:tcBorders>
                    <w:tl2br w:val="nil"/>
                    <w:tr2bl w:val="nil"/>
                  </w:tcBorders>
                  <w:vAlign w:val="center"/>
                </w:tcPr>
                <w:p w14:paraId="23BE9689">
                  <w:pPr>
                    <w:jc w:val="center"/>
                    <w:rPr>
                      <w:color w:val="auto"/>
                      <w:szCs w:val="21"/>
                      <w:highlight w:val="none"/>
                    </w:rPr>
                  </w:pPr>
                </w:p>
              </w:tc>
              <w:tc>
                <w:tcPr>
                  <w:tcW w:w="571" w:type="pct"/>
                  <w:vMerge w:val="continue"/>
                  <w:tcBorders>
                    <w:tl2br w:val="nil"/>
                    <w:tr2bl w:val="nil"/>
                  </w:tcBorders>
                  <w:vAlign w:val="center"/>
                </w:tcPr>
                <w:p w14:paraId="602DA893">
                  <w:pPr>
                    <w:jc w:val="center"/>
                    <w:rPr>
                      <w:color w:val="auto"/>
                      <w:szCs w:val="21"/>
                      <w:highlight w:val="none"/>
                    </w:rPr>
                  </w:pPr>
                </w:p>
              </w:tc>
              <w:tc>
                <w:tcPr>
                  <w:tcW w:w="1058" w:type="pct"/>
                  <w:tcBorders>
                    <w:tl2br w:val="nil"/>
                    <w:tr2bl w:val="nil"/>
                  </w:tcBorders>
                  <w:vAlign w:val="center"/>
                </w:tcPr>
                <w:p w14:paraId="12F29C1C">
                  <w:pPr>
                    <w:jc w:val="center"/>
                    <w:rPr>
                      <w:color w:val="auto"/>
                      <w:szCs w:val="21"/>
                      <w:highlight w:val="none"/>
                    </w:rPr>
                  </w:pPr>
                  <w:r>
                    <w:rPr>
                      <w:color w:val="auto"/>
                      <w:szCs w:val="21"/>
                      <w:highlight w:val="none"/>
                    </w:rPr>
                    <w:t>电气测试仪</w:t>
                  </w:r>
                </w:p>
              </w:tc>
              <w:tc>
                <w:tcPr>
                  <w:tcW w:w="924" w:type="pct"/>
                  <w:tcBorders>
                    <w:tl2br w:val="nil"/>
                    <w:tr2bl w:val="nil"/>
                  </w:tcBorders>
                  <w:vAlign w:val="center"/>
                </w:tcPr>
                <w:p w14:paraId="45C2A1E7">
                  <w:pPr>
                    <w:jc w:val="center"/>
                    <w:rPr>
                      <w:color w:val="auto"/>
                      <w:szCs w:val="21"/>
                      <w:highlight w:val="none"/>
                    </w:rPr>
                  </w:pPr>
                  <w:r>
                    <w:rPr>
                      <w:color w:val="auto"/>
                      <w:szCs w:val="21"/>
                      <w:highlight w:val="none"/>
                    </w:rPr>
                    <w:t>/</w:t>
                  </w:r>
                </w:p>
              </w:tc>
              <w:tc>
                <w:tcPr>
                  <w:tcW w:w="454" w:type="pct"/>
                  <w:tcBorders>
                    <w:tl2br w:val="nil"/>
                    <w:tr2bl w:val="nil"/>
                  </w:tcBorders>
                  <w:vAlign w:val="center"/>
                </w:tcPr>
                <w:p w14:paraId="4545F150">
                  <w:pPr>
                    <w:jc w:val="center"/>
                    <w:rPr>
                      <w:color w:val="auto"/>
                      <w:szCs w:val="21"/>
                      <w:highlight w:val="none"/>
                    </w:rPr>
                  </w:pPr>
                  <w:r>
                    <w:rPr>
                      <w:color w:val="auto"/>
                      <w:szCs w:val="21"/>
                      <w:highlight w:val="none"/>
                    </w:rPr>
                    <w:t>2</w:t>
                  </w:r>
                </w:p>
              </w:tc>
              <w:tc>
                <w:tcPr>
                  <w:tcW w:w="427" w:type="pct"/>
                  <w:tcBorders>
                    <w:tl2br w:val="nil"/>
                    <w:tr2bl w:val="nil"/>
                  </w:tcBorders>
                  <w:vAlign w:val="center"/>
                </w:tcPr>
                <w:p w14:paraId="75F52EAA">
                  <w:pPr>
                    <w:jc w:val="center"/>
                    <w:rPr>
                      <w:color w:val="auto"/>
                      <w:szCs w:val="21"/>
                      <w:highlight w:val="none"/>
                    </w:rPr>
                  </w:pPr>
                  <w:r>
                    <w:rPr>
                      <w:color w:val="auto"/>
                      <w:szCs w:val="21"/>
                      <w:highlight w:val="none"/>
                    </w:rPr>
                    <w:t>2</w:t>
                  </w:r>
                </w:p>
              </w:tc>
              <w:tc>
                <w:tcPr>
                  <w:tcW w:w="334" w:type="pct"/>
                  <w:tcBorders>
                    <w:tl2br w:val="nil"/>
                    <w:tr2bl w:val="nil"/>
                  </w:tcBorders>
                  <w:vAlign w:val="center"/>
                </w:tcPr>
                <w:p w14:paraId="63A8BC41">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6F073E8F">
                  <w:pPr>
                    <w:jc w:val="center"/>
                    <w:rPr>
                      <w:color w:val="auto"/>
                      <w:szCs w:val="21"/>
                      <w:highlight w:val="none"/>
                    </w:rPr>
                  </w:pPr>
                  <w:r>
                    <w:rPr>
                      <w:color w:val="auto"/>
                      <w:szCs w:val="21"/>
                      <w:highlight w:val="none"/>
                    </w:rPr>
                    <w:t>原有</w:t>
                  </w:r>
                </w:p>
              </w:tc>
            </w:tr>
            <w:tr w14:paraId="1DA01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17D97100">
                  <w:pPr>
                    <w:jc w:val="center"/>
                    <w:rPr>
                      <w:bCs/>
                      <w:color w:val="auto"/>
                      <w:szCs w:val="21"/>
                      <w:highlight w:val="none"/>
                    </w:rPr>
                  </w:pPr>
                </w:p>
              </w:tc>
              <w:tc>
                <w:tcPr>
                  <w:tcW w:w="368" w:type="pct"/>
                  <w:vMerge w:val="continue"/>
                  <w:tcBorders>
                    <w:tl2br w:val="nil"/>
                    <w:tr2bl w:val="nil"/>
                  </w:tcBorders>
                  <w:vAlign w:val="center"/>
                </w:tcPr>
                <w:p w14:paraId="351089B2">
                  <w:pPr>
                    <w:jc w:val="center"/>
                    <w:rPr>
                      <w:color w:val="auto"/>
                      <w:szCs w:val="21"/>
                      <w:highlight w:val="none"/>
                    </w:rPr>
                  </w:pPr>
                </w:p>
              </w:tc>
              <w:tc>
                <w:tcPr>
                  <w:tcW w:w="571" w:type="pct"/>
                  <w:tcBorders>
                    <w:tl2br w:val="nil"/>
                    <w:tr2bl w:val="nil"/>
                  </w:tcBorders>
                  <w:vAlign w:val="center"/>
                </w:tcPr>
                <w:p w14:paraId="7A959119">
                  <w:pPr>
                    <w:jc w:val="center"/>
                    <w:rPr>
                      <w:color w:val="auto"/>
                      <w:szCs w:val="21"/>
                      <w:highlight w:val="none"/>
                    </w:rPr>
                  </w:pPr>
                  <w:r>
                    <w:rPr>
                      <w:color w:val="auto"/>
                      <w:szCs w:val="21"/>
                      <w:highlight w:val="none"/>
                    </w:rPr>
                    <w:t>点胶、安装分配环</w:t>
                  </w:r>
                </w:p>
              </w:tc>
              <w:tc>
                <w:tcPr>
                  <w:tcW w:w="1058" w:type="pct"/>
                  <w:tcBorders>
                    <w:tl2br w:val="nil"/>
                    <w:tr2bl w:val="nil"/>
                  </w:tcBorders>
                  <w:vAlign w:val="center"/>
                </w:tcPr>
                <w:p w14:paraId="27E109FB">
                  <w:pPr>
                    <w:jc w:val="center"/>
                    <w:rPr>
                      <w:color w:val="auto"/>
                      <w:szCs w:val="21"/>
                      <w:highlight w:val="none"/>
                    </w:rPr>
                  </w:pPr>
                  <w:r>
                    <w:rPr>
                      <w:color w:val="auto"/>
                      <w:szCs w:val="21"/>
                      <w:highlight w:val="none"/>
                    </w:rPr>
                    <w:t>分配环点胶安装机</w:t>
                  </w:r>
                </w:p>
              </w:tc>
              <w:tc>
                <w:tcPr>
                  <w:tcW w:w="924" w:type="pct"/>
                  <w:tcBorders>
                    <w:tl2br w:val="nil"/>
                    <w:tr2bl w:val="nil"/>
                  </w:tcBorders>
                  <w:vAlign w:val="center"/>
                </w:tcPr>
                <w:p w14:paraId="2FB41722">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0E8439DB">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5235939A">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E563122">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78980AB8">
                  <w:pPr>
                    <w:jc w:val="center"/>
                    <w:rPr>
                      <w:color w:val="auto"/>
                      <w:szCs w:val="21"/>
                      <w:highlight w:val="none"/>
                    </w:rPr>
                  </w:pPr>
                  <w:r>
                    <w:rPr>
                      <w:color w:val="auto"/>
                      <w:szCs w:val="21"/>
                      <w:highlight w:val="none"/>
                    </w:rPr>
                    <w:t>原有</w:t>
                  </w:r>
                </w:p>
              </w:tc>
            </w:tr>
            <w:tr w14:paraId="6A6C2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0" w:type="pct"/>
                  <w:vMerge w:val="continue"/>
                  <w:tcBorders>
                    <w:tl2br w:val="nil"/>
                    <w:tr2bl w:val="nil"/>
                  </w:tcBorders>
                  <w:vAlign w:val="center"/>
                </w:tcPr>
                <w:p w14:paraId="22007748">
                  <w:pPr>
                    <w:jc w:val="center"/>
                    <w:rPr>
                      <w:bCs/>
                      <w:color w:val="auto"/>
                      <w:szCs w:val="21"/>
                      <w:highlight w:val="none"/>
                    </w:rPr>
                  </w:pPr>
                </w:p>
              </w:tc>
              <w:tc>
                <w:tcPr>
                  <w:tcW w:w="368" w:type="pct"/>
                  <w:vMerge w:val="continue"/>
                  <w:tcBorders>
                    <w:tl2br w:val="nil"/>
                    <w:tr2bl w:val="nil"/>
                  </w:tcBorders>
                  <w:vAlign w:val="center"/>
                </w:tcPr>
                <w:p w14:paraId="51E159EA">
                  <w:pPr>
                    <w:jc w:val="center"/>
                    <w:rPr>
                      <w:color w:val="auto"/>
                      <w:szCs w:val="21"/>
                      <w:highlight w:val="none"/>
                    </w:rPr>
                  </w:pPr>
                </w:p>
              </w:tc>
              <w:tc>
                <w:tcPr>
                  <w:tcW w:w="571" w:type="pct"/>
                  <w:tcBorders>
                    <w:tl2br w:val="nil"/>
                    <w:tr2bl w:val="nil"/>
                  </w:tcBorders>
                  <w:vAlign w:val="center"/>
                </w:tcPr>
                <w:p w14:paraId="79E2FBD4">
                  <w:pPr>
                    <w:jc w:val="center"/>
                    <w:rPr>
                      <w:color w:val="auto"/>
                      <w:szCs w:val="21"/>
                      <w:highlight w:val="none"/>
                    </w:rPr>
                  </w:pPr>
                  <w:r>
                    <w:rPr>
                      <w:color w:val="auto"/>
                      <w:szCs w:val="21"/>
                      <w:highlight w:val="none"/>
                    </w:rPr>
                    <w:t>打标</w:t>
                  </w:r>
                </w:p>
              </w:tc>
              <w:tc>
                <w:tcPr>
                  <w:tcW w:w="1058" w:type="pct"/>
                  <w:tcBorders>
                    <w:tl2br w:val="nil"/>
                    <w:tr2bl w:val="nil"/>
                  </w:tcBorders>
                  <w:vAlign w:val="center"/>
                </w:tcPr>
                <w:p w14:paraId="2B51F5AE">
                  <w:pPr>
                    <w:jc w:val="center"/>
                    <w:rPr>
                      <w:color w:val="auto"/>
                      <w:szCs w:val="21"/>
                      <w:highlight w:val="none"/>
                    </w:rPr>
                  </w:pPr>
                  <w:r>
                    <w:rPr>
                      <w:color w:val="auto"/>
                      <w:szCs w:val="21"/>
                      <w:highlight w:val="none"/>
                    </w:rPr>
                    <w:t>定子打标机</w:t>
                  </w:r>
                </w:p>
              </w:tc>
              <w:tc>
                <w:tcPr>
                  <w:tcW w:w="924" w:type="pct"/>
                  <w:tcBorders>
                    <w:tl2br w:val="nil"/>
                    <w:tr2bl w:val="nil"/>
                  </w:tcBorders>
                  <w:vAlign w:val="center"/>
                </w:tcPr>
                <w:p w14:paraId="7BDD6F1F">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2D072546">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05E832DC">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3960BEE4">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2E57AD24">
                  <w:pPr>
                    <w:jc w:val="center"/>
                    <w:rPr>
                      <w:color w:val="auto"/>
                      <w:szCs w:val="21"/>
                      <w:highlight w:val="none"/>
                    </w:rPr>
                  </w:pPr>
                  <w:r>
                    <w:rPr>
                      <w:color w:val="auto"/>
                      <w:szCs w:val="21"/>
                      <w:highlight w:val="none"/>
                    </w:rPr>
                    <w:t>原有</w:t>
                  </w:r>
                </w:p>
              </w:tc>
            </w:tr>
            <w:tr w14:paraId="29CC5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69306598">
                  <w:pPr>
                    <w:jc w:val="center"/>
                    <w:rPr>
                      <w:bCs/>
                      <w:color w:val="auto"/>
                      <w:szCs w:val="21"/>
                      <w:highlight w:val="none"/>
                    </w:rPr>
                  </w:pPr>
                </w:p>
              </w:tc>
              <w:tc>
                <w:tcPr>
                  <w:tcW w:w="368" w:type="pct"/>
                  <w:vMerge w:val="continue"/>
                  <w:tcBorders>
                    <w:tl2br w:val="nil"/>
                    <w:tr2bl w:val="nil"/>
                  </w:tcBorders>
                  <w:vAlign w:val="center"/>
                </w:tcPr>
                <w:p w14:paraId="132DA5D3">
                  <w:pPr>
                    <w:jc w:val="center"/>
                    <w:rPr>
                      <w:color w:val="auto"/>
                      <w:szCs w:val="21"/>
                      <w:highlight w:val="none"/>
                    </w:rPr>
                  </w:pPr>
                </w:p>
              </w:tc>
              <w:tc>
                <w:tcPr>
                  <w:tcW w:w="571" w:type="pct"/>
                  <w:tcBorders>
                    <w:tl2br w:val="nil"/>
                    <w:tr2bl w:val="nil"/>
                  </w:tcBorders>
                  <w:vAlign w:val="center"/>
                </w:tcPr>
                <w:p w14:paraId="103B3A57">
                  <w:pPr>
                    <w:jc w:val="center"/>
                    <w:rPr>
                      <w:color w:val="auto"/>
                      <w:szCs w:val="21"/>
                      <w:highlight w:val="none"/>
                    </w:rPr>
                  </w:pPr>
                  <w:r>
                    <w:rPr>
                      <w:color w:val="auto"/>
                      <w:szCs w:val="21"/>
                      <w:highlight w:val="none"/>
                    </w:rPr>
                    <w:t>包装</w:t>
                  </w:r>
                </w:p>
              </w:tc>
              <w:tc>
                <w:tcPr>
                  <w:tcW w:w="1058" w:type="pct"/>
                  <w:tcBorders>
                    <w:tl2br w:val="nil"/>
                    <w:tr2bl w:val="nil"/>
                  </w:tcBorders>
                  <w:vAlign w:val="center"/>
                </w:tcPr>
                <w:p w14:paraId="5FBCEF27">
                  <w:pPr>
                    <w:jc w:val="center"/>
                    <w:rPr>
                      <w:color w:val="auto"/>
                      <w:szCs w:val="21"/>
                      <w:highlight w:val="none"/>
                    </w:rPr>
                  </w:pPr>
                  <w:r>
                    <w:rPr>
                      <w:color w:val="auto"/>
                      <w:szCs w:val="21"/>
                      <w:highlight w:val="none"/>
                    </w:rPr>
                    <w:t>定子目检包装站</w:t>
                  </w:r>
                </w:p>
              </w:tc>
              <w:tc>
                <w:tcPr>
                  <w:tcW w:w="924" w:type="pct"/>
                  <w:tcBorders>
                    <w:tl2br w:val="nil"/>
                    <w:tr2bl w:val="nil"/>
                  </w:tcBorders>
                  <w:vAlign w:val="center"/>
                </w:tcPr>
                <w:p w14:paraId="75E6C7B8">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1380DFD9">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4DCFB352">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9121DD0">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2C5C5EC4">
                  <w:pPr>
                    <w:jc w:val="center"/>
                    <w:rPr>
                      <w:color w:val="auto"/>
                      <w:szCs w:val="21"/>
                      <w:highlight w:val="none"/>
                    </w:rPr>
                  </w:pPr>
                  <w:r>
                    <w:rPr>
                      <w:color w:val="auto"/>
                      <w:szCs w:val="21"/>
                      <w:highlight w:val="none"/>
                    </w:rPr>
                    <w:t>原有</w:t>
                  </w:r>
                </w:p>
              </w:tc>
            </w:tr>
            <w:tr w14:paraId="6776A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3AFA3CAD">
                  <w:pPr>
                    <w:jc w:val="center"/>
                    <w:rPr>
                      <w:bCs/>
                      <w:color w:val="auto"/>
                      <w:szCs w:val="21"/>
                      <w:highlight w:val="none"/>
                    </w:rPr>
                  </w:pPr>
                </w:p>
              </w:tc>
              <w:tc>
                <w:tcPr>
                  <w:tcW w:w="368" w:type="pct"/>
                  <w:vMerge w:val="restart"/>
                  <w:tcBorders>
                    <w:tl2br w:val="nil"/>
                    <w:tr2bl w:val="nil"/>
                  </w:tcBorders>
                  <w:vAlign w:val="center"/>
                </w:tcPr>
                <w:p w14:paraId="76D7F2AF">
                  <w:pPr>
                    <w:jc w:val="center"/>
                    <w:rPr>
                      <w:color w:val="auto"/>
                      <w:szCs w:val="21"/>
                      <w:highlight w:val="none"/>
                    </w:rPr>
                  </w:pPr>
                  <w:r>
                    <w:rPr>
                      <w:color w:val="auto"/>
                      <w:szCs w:val="21"/>
                      <w:highlight w:val="none"/>
                    </w:rPr>
                    <w:t>转子生产</w:t>
                  </w:r>
                </w:p>
              </w:tc>
              <w:tc>
                <w:tcPr>
                  <w:tcW w:w="571" w:type="pct"/>
                  <w:tcBorders>
                    <w:tl2br w:val="nil"/>
                    <w:tr2bl w:val="nil"/>
                  </w:tcBorders>
                  <w:vAlign w:val="center"/>
                </w:tcPr>
                <w:p w14:paraId="0E6C58F7">
                  <w:pPr>
                    <w:jc w:val="center"/>
                    <w:rPr>
                      <w:color w:val="auto"/>
                      <w:szCs w:val="21"/>
                      <w:highlight w:val="none"/>
                    </w:rPr>
                  </w:pPr>
                  <w:r>
                    <w:rPr>
                      <w:color w:val="auto"/>
                      <w:szCs w:val="21"/>
                      <w:highlight w:val="none"/>
                    </w:rPr>
                    <w:t>点胶</w:t>
                  </w:r>
                </w:p>
              </w:tc>
              <w:tc>
                <w:tcPr>
                  <w:tcW w:w="1058" w:type="pct"/>
                  <w:tcBorders>
                    <w:tl2br w:val="nil"/>
                    <w:tr2bl w:val="nil"/>
                  </w:tcBorders>
                  <w:vAlign w:val="center"/>
                </w:tcPr>
                <w:p w14:paraId="781C59D3">
                  <w:pPr>
                    <w:jc w:val="center"/>
                    <w:rPr>
                      <w:color w:val="auto"/>
                      <w:szCs w:val="21"/>
                      <w:highlight w:val="none"/>
                    </w:rPr>
                  </w:pPr>
                  <w:r>
                    <w:rPr>
                      <w:color w:val="auto"/>
                      <w:szCs w:val="21"/>
                      <w:highlight w:val="none"/>
                    </w:rPr>
                    <w:t>点胶装磁钢机</w:t>
                  </w:r>
                </w:p>
              </w:tc>
              <w:tc>
                <w:tcPr>
                  <w:tcW w:w="924" w:type="pct"/>
                  <w:tcBorders>
                    <w:tl2br w:val="nil"/>
                    <w:tr2bl w:val="nil"/>
                  </w:tcBorders>
                  <w:vAlign w:val="center"/>
                </w:tcPr>
                <w:p w14:paraId="3EDE0CDB">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35273B44">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71FC855F">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0E9F23CF">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32F26810">
                  <w:pPr>
                    <w:jc w:val="center"/>
                    <w:rPr>
                      <w:color w:val="auto"/>
                      <w:szCs w:val="21"/>
                      <w:highlight w:val="none"/>
                    </w:rPr>
                  </w:pPr>
                  <w:r>
                    <w:rPr>
                      <w:color w:val="auto"/>
                      <w:szCs w:val="21"/>
                      <w:highlight w:val="none"/>
                    </w:rPr>
                    <w:t>原有</w:t>
                  </w:r>
                </w:p>
              </w:tc>
            </w:tr>
            <w:tr w14:paraId="0717D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461AA313">
                  <w:pPr>
                    <w:jc w:val="center"/>
                    <w:rPr>
                      <w:bCs/>
                      <w:color w:val="auto"/>
                      <w:szCs w:val="21"/>
                      <w:highlight w:val="none"/>
                    </w:rPr>
                  </w:pPr>
                </w:p>
              </w:tc>
              <w:tc>
                <w:tcPr>
                  <w:tcW w:w="368" w:type="pct"/>
                  <w:vMerge w:val="continue"/>
                  <w:tcBorders>
                    <w:tl2br w:val="nil"/>
                    <w:tr2bl w:val="nil"/>
                  </w:tcBorders>
                  <w:vAlign w:val="center"/>
                </w:tcPr>
                <w:p w14:paraId="654C30FC">
                  <w:pPr>
                    <w:jc w:val="center"/>
                    <w:rPr>
                      <w:color w:val="auto"/>
                      <w:szCs w:val="21"/>
                      <w:highlight w:val="none"/>
                    </w:rPr>
                  </w:pPr>
                </w:p>
              </w:tc>
              <w:tc>
                <w:tcPr>
                  <w:tcW w:w="571" w:type="pct"/>
                  <w:tcBorders>
                    <w:tl2br w:val="nil"/>
                    <w:tr2bl w:val="nil"/>
                  </w:tcBorders>
                  <w:vAlign w:val="center"/>
                </w:tcPr>
                <w:p w14:paraId="430750DF">
                  <w:pPr>
                    <w:jc w:val="center"/>
                    <w:rPr>
                      <w:color w:val="auto"/>
                      <w:szCs w:val="21"/>
                      <w:highlight w:val="none"/>
                    </w:rPr>
                  </w:pPr>
                  <w:r>
                    <w:rPr>
                      <w:color w:val="auto"/>
                      <w:szCs w:val="21"/>
                      <w:highlight w:val="none"/>
                    </w:rPr>
                    <w:t>磁钢安装</w:t>
                  </w:r>
                </w:p>
              </w:tc>
              <w:tc>
                <w:tcPr>
                  <w:tcW w:w="1058" w:type="pct"/>
                  <w:tcBorders>
                    <w:tl2br w:val="nil"/>
                    <w:tr2bl w:val="nil"/>
                  </w:tcBorders>
                  <w:vAlign w:val="center"/>
                </w:tcPr>
                <w:p w14:paraId="1A7FC295">
                  <w:pPr>
                    <w:jc w:val="center"/>
                    <w:rPr>
                      <w:color w:val="auto"/>
                      <w:szCs w:val="21"/>
                      <w:highlight w:val="none"/>
                    </w:rPr>
                  </w:pPr>
                  <w:r>
                    <w:rPr>
                      <w:color w:val="auto"/>
                      <w:szCs w:val="21"/>
                      <w:highlight w:val="none"/>
                    </w:rPr>
                    <w:t>内模压装机</w:t>
                  </w:r>
                </w:p>
              </w:tc>
              <w:tc>
                <w:tcPr>
                  <w:tcW w:w="924" w:type="pct"/>
                  <w:tcBorders>
                    <w:tl2br w:val="nil"/>
                    <w:tr2bl w:val="nil"/>
                  </w:tcBorders>
                  <w:vAlign w:val="center"/>
                </w:tcPr>
                <w:p w14:paraId="1CB563C4">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7DD18270">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78B6F7E7">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711817F0">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0D373FBE">
                  <w:pPr>
                    <w:jc w:val="center"/>
                    <w:rPr>
                      <w:color w:val="auto"/>
                      <w:szCs w:val="21"/>
                      <w:highlight w:val="none"/>
                    </w:rPr>
                  </w:pPr>
                  <w:r>
                    <w:rPr>
                      <w:color w:val="auto"/>
                      <w:szCs w:val="21"/>
                      <w:highlight w:val="none"/>
                    </w:rPr>
                    <w:t>原有</w:t>
                  </w:r>
                </w:p>
              </w:tc>
            </w:tr>
            <w:tr w14:paraId="3FBA0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1276677A">
                  <w:pPr>
                    <w:jc w:val="center"/>
                    <w:rPr>
                      <w:bCs/>
                      <w:color w:val="auto"/>
                      <w:szCs w:val="21"/>
                      <w:highlight w:val="none"/>
                    </w:rPr>
                  </w:pPr>
                </w:p>
              </w:tc>
              <w:tc>
                <w:tcPr>
                  <w:tcW w:w="368" w:type="pct"/>
                  <w:vMerge w:val="continue"/>
                  <w:tcBorders>
                    <w:tl2br w:val="nil"/>
                    <w:tr2bl w:val="nil"/>
                  </w:tcBorders>
                  <w:vAlign w:val="center"/>
                </w:tcPr>
                <w:p w14:paraId="553314DB">
                  <w:pPr>
                    <w:jc w:val="center"/>
                    <w:rPr>
                      <w:color w:val="auto"/>
                      <w:szCs w:val="21"/>
                      <w:highlight w:val="none"/>
                    </w:rPr>
                  </w:pPr>
                </w:p>
              </w:tc>
              <w:tc>
                <w:tcPr>
                  <w:tcW w:w="571" w:type="pct"/>
                  <w:tcBorders>
                    <w:tl2br w:val="nil"/>
                    <w:tr2bl w:val="nil"/>
                  </w:tcBorders>
                  <w:vAlign w:val="center"/>
                </w:tcPr>
                <w:p w14:paraId="15BD423A">
                  <w:pPr>
                    <w:jc w:val="center"/>
                    <w:rPr>
                      <w:color w:val="auto"/>
                      <w:szCs w:val="21"/>
                      <w:highlight w:val="none"/>
                    </w:rPr>
                  </w:pPr>
                  <w:r>
                    <w:rPr>
                      <w:color w:val="auto"/>
                      <w:szCs w:val="21"/>
                      <w:highlight w:val="none"/>
                    </w:rPr>
                    <w:t>固化</w:t>
                  </w:r>
                </w:p>
              </w:tc>
              <w:tc>
                <w:tcPr>
                  <w:tcW w:w="1058" w:type="pct"/>
                  <w:tcBorders>
                    <w:tl2br w:val="nil"/>
                    <w:tr2bl w:val="nil"/>
                  </w:tcBorders>
                  <w:vAlign w:val="center"/>
                </w:tcPr>
                <w:p w14:paraId="2DFFBC75">
                  <w:pPr>
                    <w:jc w:val="center"/>
                    <w:rPr>
                      <w:color w:val="auto"/>
                      <w:szCs w:val="21"/>
                      <w:highlight w:val="none"/>
                    </w:rPr>
                  </w:pPr>
                  <w:r>
                    <w:rPr>
                      <w:color w:val="auto"/>
                      <w:szCs w:val="21"/>
                      <w:highlight w:val="none"/>
                    </w:rPr>
                    <w:t>固化烘箱(6 pcs)</w:t>
                  </w:r>
                </w:p>
              </w:tc>
              <w:tc>
                <w:tcPr>
                  <w:tcW w:w="924" w:type="pct"/>
                  <w:tcBorders>
                    <w:tl2br w:val="nil"/>
                    <w:tr2bl w:val="nil"/>
                  </w:tcBorders>
                  <w:vAlign w:val="center"/>
                </w:tcPr>
                <w:p w14:paraId="0481263B">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31E3CEBE">
                  <w:pPr>
                    <w:jc w:val="center"/>
                    <w:rPr>
                      <w:color w:val="auto"/>
                      <w:szCs w:val="21"/>
                      <w:highlight w:val="none"/>
                    </w:rPr>
                  </w:pPr>
                  <w:r>
                    <w:rPr>
                      <w:color w:val="auto"/>
                      <w:szCs w:val="21"/>
                      <w:highlight w:val="none"/>
                    </w:rPr>
                    <w:t>6</w:t>
                  </w:r>
                </w:p>
              </w:tc>
              <w:tc>
                <w:tcPr>
                  <w:tcW w:w="427" w:type="pct"/>
                  <w:tcBorders>
                    <w:tl2br w:val="nil"/>
                    <w:tr2bl w:val="nil"/>
                  </w:tcBorders>
                  <w:vAlign w:val="center"/>
                </w:tcPr>
                <w:p w14:paraId="5618432F">
                  <w:pPr>
                    <w:jc w:val="center"/>
                    <w:rPr>
                      <w:color w:val="auto"/>
                      <w:szCs w:val="21"/>
                      <w:highlight w:val="none"/>
                    </w:rPr>
                  </w:pPr>
                  <w:r>
                    <w:rPr>
                      <w:color w:val="auto"/>
                      <w:szCs w:val="21"/>
                      <w:highlight w:val="none"/>
                    </w:rPr>
                    <w:t>6</w:t>
                  </w:r>
                </w:p>
              </w:tc>
              <w:tc>
                <w:tcPr>
                  <w:tcW w:w="334" w:type="pct"/>
                  <w:tcBorders>
                    <w:tl2br w:val="nil"/>
                    <w:tr2bl w:val="nil"/>
                  </w:tcBorders>
                  <w:vAlign w:val="center"/>
                </w:tcPr>
                <w:p w14:paraId="3FE9842F">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314B5999">
                  <w:pPr>
                    <w:jc w:val="center"/>
                    <w:rPr>
                      <w:color w:val="auto"/>
                      <w:szCs w:val="21"/>
                      <w:highlight w:val="none"/>
                    </w:rPr>
                  </w:pPr>
                  <w:r>
                    <w:rPr>
                      <w:color w:val="auto"/>
                      <w:szCs w:val="21"/>
                      <w:highlight w:val="none"/>
                    </w:rPr>
                    <w:t>原有</w:t>
                  </w:r>
                </w:p>
              </w:tc>
            </w:tr>
            <w:tr w14:paraId="106C5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719896B4">
                  <w:pPr>
                    <w:jc w:val="center"/>
                    <w:rPr>
                      <w:bCs/>
                      <w:color w:val="auto"/>
                      <w:szCs w:val="21"/>
                      <w:highlight w:val="none"/>
                    </w:rPr>
                  </w:pPr>
                </w:p>
              </w:tc>
              <w:tc>
                <w:tcPr>
                  <w:tcW w:w="368" w:type="pct"/>
                  <w:vMerge w:val="continue"/>
                  <w:tcBorders>
                    <w:tl2br w:val="nil"/>
                    <w:tr2bl w:val="nil"/>
                  </w:tcBorders>
                  <w:vAlign w:val="center"/>
                </w:tcPr>
                <w:p w14:paraId="06CEB857">
                  <w:pPr>
                    <w:jc w:val="center"/>
                    <w:rPr>
                      <w:color w:val="auto"/>
                      <w:szCs w:val="21"/>
                      <w:highlight w:val="none"/>
                    </w:rPr>
                  </w:pPr>
                </w:p>
              </w:tc>
              <w:tc>
                <w:tcPr>
                  <w:tcW w:w="571" w:type="pct"/>
                  <w:vMerge w:val="restart"/>
                  <w:tcBorders>
                    <w:tl2br w:val="nil"/>
                    <w:tr2bl w:val="nil"/>
                  </w:tcBorders>
                  <w:vAlign w:val="center"/>
                </w:tcPr>
                <w:p w14:paraId="50A85E66">
                  <w:pPr>
                    <w:jc w:val="center"/>
                    <w:rPr>
                      <w:color w:val="auto"/>
                      <w:szCs w:val="21"/>
                      <w:highlight w:val="none"/>
                    </w:rPr>
                  </w:pPr>
                  <w:r>
                    <w:rPr>
                      <w:color w:val="auto"/>
                      <w:szCs w:val="21"/>
                      <w:highlight w:val="none"/>
                    </w:rPr>
                    <w:t>检验</w:t>
                  </w:r>
                </w:p>
              </w:tc>
              <w:tc>
                <w:tcPr>
                  <w:tcW w:w="1058" w:type="pct"/>
                  <w:tcBorders>
                    <w:tl2br w:val="nil"/>
                    <w:tr2bl w:val="nil"/>
                  </w:tcBorders>
                  <w:vAlign w:val="center"/>
                </w:tcPr>
                <w:p w14:paraId="44AA8FEB">
                  <w:pPr>
                    <w:jc w:val="center"/>
                    <w:rPr>
                      <w:color w:val="auto"/>
                      <w:szCs w:val="21"/>
                      <w:highlight w:val="none"/>
                    </w:rPr>
                  </w:pPr>
                  <w:r>
                    <w:rPr>
                      <w:color w:val="auto"/>
                      <w:szCs w:val="21"/>
                      <w:highlight w:val="none"/>
                    </w:rPr>
                    <w:t>3D测量仪</w:t>
                  </w:r>
                </w:p>
              </w:tc>
              <w:tc>
                <w:tcPr>
                  <w:tcW w:w="924" w:type="pct"/>
                  <w:tcBorders>
                    <w:tl2br w:val="nil"/>
                    <w:tr2bl w:val="nil"/>
                  </w:tcBorders>
                  <w:vAlign w:val="center"/>
                </w:tcPr>
                <w:p w14:paraId="00AB2B62">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642DB600">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5FF892BF">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28675598">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A8DA4C0">
                  <w:pPr>
                    <w:jc w:val="center"/>
                    <w:rPr>
                      <w:color w:val="auto"/>
                      <w:szCs w:val="21"/>
                      <w:highlight w:val="none"/>
                    </w:rPr>
                  </w:pPr>
                  <w:r>
                    <w:rPr>
                      <w:color w:val="auto"/>
                      <w:szCs w:val="21"/>
                      <w:highlight w:val="none"/>
                    </w:rPr>
                    <w:t>原有</w:t>
                  </w:r>
                </w:p>
              </w:tc>
            </w:tr>
            <w:tr w14:paraId="3C6F1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5CA06099">
                  <w:pPr>
                    <w:jc w:val="center"/>
                    <w:rPr>
                      <w:bCs/>
                      <w:color w:val="auto"/>
                      <w:szCs w:val="21"/>
                      <w:highlight w:val="none"/>
                    </w:rPr>
                  </w:pPr>
                </w:p>
              </w:tc>
              <w:tc>
                <w:tcPr>
                  <w:tcW w:w="368" w:type="pct"/>
                  <w:vMerge w:val="continue"/>
                  <w:tcBorders>
                    <w:tl2br w:val="nil"/>
                    <w:tr2bl w:val="nil"/>
                  </w:tcBorders>
                  <w:vAlign w:val="center"/>
                </w:tcPr>
                <w:p w14:paraId="2BBEC6A4">
                  <w:pPr>
                    <w:jc w:val="center"/>
                    <w:rPr>
                      <w:color w:val="auto"/>
                      <w:szCs w:val="21"/>
                      <w:highlight w:val="none"/>
                    </w:rPr>
                  </w:pPr>
                </w:p>
              </w:tc>
              <w:tc>
                <w:tcPr>
                  <w:tcW w:w="571" w:type="pct"/>
                  <w:vMerge w:val="continue"/>
                  <w:tcBorders>
                    <w:tl2br w:val="nil"/>
                    <w:tr2bl w:val="nil"/>
                  </w:tcBorders>
                  <w:vAlign w:val="center"/>
                </w:tcPr>
                <w:p w14:paraId="3657565C">
                  <w:pPr>
                    <w:jc w:val="center"/>
                    <w:rPr>
                      <w:color w:val="auto"/>
                      <w:szCs w:val="21"/>
                      <w:highlight w:val="none"/>
                    </w:rPr>
                  </w:pPr>
                </w:p>
              </w:tc>
              <w:tc>
                <w:tcPr>
                  <w:tcW w:w="1058" w:type="pct"/>
                  <w:tcBorders>
                    <w:tl2br w:val="nil"/>
                    <w:tr2bl w:val="nil"/>
                  </w:tcBorders>
                  <w:vAlign w:val="center"/>
                </w:tcPr>
                <w:p w14:paraId="58C9C6C4">
                  <w:pPr>
                    <w:jc w:val="center"/>
                    <w:rPr>
                      <w:color w:val="auto"/>
                      <w:szCs w:val="21"/>
                      <w:highlight w:val="none"/>
                    </w:rPr>
                  </w:pPr>
                  <w:r>
                    <w:rPr>
                      <w:color w:val="auto"/>
                      <w:szCs w:val="21"/>
                      <w:highlight w:val="none"/>
                    </w:rPr>
                    <w:t>显微镜</w:t>
                  </w:r>
                </w:p>
              </w:tc>
              <w:tc>
                <w:tcPr>
                  <w:tcW w:w="924" w:type="pct"/>
                  <w:tcBorders>
                    <w:tl2br w:val="nil"/>
                    <w:tr2bl w:val="nil"/>
                  </w:tcBorders>
                  <w:vAlign w:val="center"/>
                </w:tcPr>
                <w:p w14:paraId="477FAB65">
                  <w:pPr>
                    <w:jc w:val="center"/>
                    <w:rPr>
                      <w:color w:val="auto"/>
                      <w:szCs w:val="21"/>
                      <w:highlight w:val="none"/>
                    </w:rPr>
                  </w:pPr>
                  <w:r>
                    <w:rPr>
                      <w:color w:val="auto"/>
                      <w:szCs w:val="21"/>
                      <w:highlight w:val="none"/>
                    </w:rPr>
                    <w:t>/</w:t>
                  </w:r>
                </w:p>
              </w:tc>
              <w:tc>
                <w:tcPr>
                  <w:tcW w:w="454" w:type="pct"/>
                  <w:tcBorders>
                    <w:tl2br w:val="nil"/>
                    <w:tr2bl w:val="nil"/>
                  </w:tcBorders>
                  <w:vAlign w:val="center"/>
                </w:tcPr>
                <w:p w14:paraId="70D2F6F1">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9C5699D">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3113F4E5">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5E5A037">
                  <w:pPr>
                    <w:jc w:val="center"/>
                    <w:rPr>
                      <w:color w:val="auto"/>
                      <w:szCs w:val="21"/>
                      <w:highlight w:val="none"/>
                    </w:rPr>
                  </w:pPr>
                  <w:r>
                    <w:rPr>
                      <w:color w:val="auto"/>
                      <w:szCs w:val="21"/>
                      <w:highlight w:val="none"/>
                    </w:rPr>
                    <w:t>原有</w:t>
                  </w:r>
                </w:p>
              </w:tc>
            </w:tr>
            <w:tr w14:paraId="21A11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5C5E9335">
                  <w:pPr>
                    <w:jc w:val="center"/>
                    <w:rPr>
                      <w:bCs/>
                      <w:color w:val="auto"/>
                      <w:szCs w:val="21"/>
                      <w:highlight w:val="none"/>
                    </w:rPr>
                  </w:pPr>
                </w:p>
              </w:tc>
              <w:tc>
                <w:tcPr>
                  <w:tcW w:w="368" w:type="pct"/>
                  <w:vMerge w:val="continue"/>
                  <w:tcBorders>
                    <w:tl2br w:val="nil"/>
                    <w:tr2bl w:val="nil"/>
                  </w:tcBorders>
                  <w:vAlign w:val="center"/>
                </w:tcPr>
                <w:p w14:paraId="009EA0CD">
                  <w:pPr>
                    <w:jc w:val="center"/>
                    <w:rPr>
                      <w:color w:val="auto"/>
                      <w:szCs w:val="21"/>
                      <w:highlight w:val="none"/>
                    </w:rPr>
                  </w:pPr>
                </w:p>
              </w:tc>
              <w:tc>
                <w:tcPr>
                  <w:tcW w:w="571" w:type="pct"/>
                  <w:vMerge w:val="continue"/>
                  <w:tcBorders>
                    <w:tl2br w:val="nil"/>
                    <w:tr2bl w:val="nil"/>
                  </w:tcBorders>
                  <w:vAlign w:val="center"/>
                </w:tcPr>
                <w:p w14:paraId="3999D974">
                  <w:pPr>
                    <w:jc w:val="center"/>
                    <w:rPr>
                      <w:color w:val="auto"/>
                      <w:szCs w:val="21"/>
                      <w:highlight w:val="none"/>
                    </w:rPr>
                  </w:pPr>
                </w:p>
              </w:tc>
              <w:tc>
                <w:tcPr>
                  <w:tcW w:w="1058" w:type="pct"/>
                  <w:tcBorders>
                    <w:tl2br w:val="nil"/>
                    <w:tr2bl w:val="nil"/>
                  </w:tcBorders>
                  <w:vAlign w:val="center"/>
                </w:tcPr>
                <w:p w14:paraId="171251E3">
                  <w:pPr>
                    <w:jc w:val="center"/>
                    <w:rPr>
                      <w:color w:val="auto"/>
                      <w:szCs w:val="21"/>
                      <w:highlight w:val="none"/>
                    </w:rPr>
                  </w:pPr>
                  <w:r>
                    <w:rPr>
                      <w:color w:val="auto"/>
                      <w:szCs w:val="21"/>
                      <w:highlight w:val="none"/>
                    </w:rPr>
                    <w:t>清洁测试台</w:t>
                  </w:r>
                </w:p>
              </w:tc>
              <w:tc>
                <w:tcPr>
                  <w:tcW w:w="924" w:type="pct"/>
                  <w:tcBorders>
                    <w:tl2br w:val="nil"/>
                    <w:tr2bl w:val="nil"/>
                  </w:tcBorders>
                  <w:vAlign w:val="center"/>
                </w:tcPr>
                <w:p w14:paraId="205F11BA">
                  <w:pPr>
                    <w:jc w:val="center"/>
                    <w:rPr>
                      <w:color w:val="auto"/>
                      <w:szCs w:val="21"/>
                      <w:highlight w:val="none"/>
                    </w:rPr>
                  </w:pPr>
                  <w:r>
                    <w:rPr>
                      <w:color w:val="auto"/>
                      <w:szCs w:val="21"/>
                      <w:highlight w:val="none"/>
                    </w:rPr>
                    <w:t>/</w:t>
                  </w:r>
                </w:p>
              </w:tc>
              <w:tc>
                <w:tcPr>
                  <w:tcW w:w="454" w:type="pct"/>
                  <w:tcBorders>
                    <w:tl2br w:val="nil"/>
                    <w:tr2bl w:val="nil"/>
                  </w:tcBorders>
                  <w:vAlign w:val="center"/>
                </w:tcPr>
                <w:p w14:paraId="7DE7BE48">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ED97379">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32BE1813">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4011F05A">
                  <w:pPr>
                    <w:jc w:val="center"/>
                    <w:rPr>
                      <w:color w:val="auto"/>
                      <w:szCs w:val="21"/>
                      <w:highlight w:val="none"/>
                    </w:rPr>
                  </w:pPr>
                  <w:r>
                    <w:rPr>
                      <w:color w:val="auto"/>
                      <w:szCs w:val="21"/>
                      <w:highlight w:val="none"/>
                    </w:rPr>
                    <w:t>原有</w:t>
                  </w:r>
                </w:p>
              </w:tc>
            </w:tr>
            <w:tr w14:paraId="50F4B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pct"/>
                  <w:vMerge w:val="continue"/>
                  <w:tcBorders>
                    <w:tl2br w:val="nil"/>
                    <w:tr2bl w:val="nil"/>
                  </w:tcBorders>
                  <w:vAlign w:val="center"/>
                </w:tcPr>
                <w:p w14:paraId="4F3C898A">
                  <w:pPr>
                    <w:jc w:val="center"/>
                    <w:rPr>
                      <w:bCs/>
                      <w:color w:val="auto"/>
                      <w:szCs w:val="21"/>
                      <w:highlight w:val="none"/>
                    </w:rPr>
                  </w:pPr>
                </w:p>
              </w:tc>
              <w:tc>
                <w:tcPr>
                  <w:tcW w:w="368" w:type="pct"/>
                  <w:vMerge w:val="continue"/>
                  <w:tcBorders>
                    <w:tl2br w:val="nil"/>
                    <w:tr2bl w:val="nil"/>
                  </w:tcBorders>
                  <w:vAlign w:val="center"/>
                </w:tcPr>
                <w:p w14:paraId="21B68337">
                  <w:pPr>
                    <w:jc w:val="center"/>
                    <w:rPr>
                      <w:color w:val="auto"/>
                      <w:szCs w:val="21"/>
                      <w:highlight w:val="none"/>
                    </w:rPr>
                  </w:pPr>
                </w:p>
              </w:tc>
              <w:tc>
                <w:tcPr>
                  <w:tcW w:w="571" w:type="pct"/>
                  <w:tcBorders>
                    <w:tl2br w:val="nil"/>
                    <w:tr2bl w:val="nil"/>
                  </w:tcBorders>
                  <w:vAlign w:val="center"/>
                </w:tcPr>
                <w:p w14:paraId="20E77695">
                  <w:pPr>
                    <w:jc w:val="center"/>
                    <w:rPr>
                      <w:color w:val="auto"/>
                      <w:szCs w:val="21"/>
                      <w:highlight w:val="none"/>
                    </w:rPr>
                  </w:pPr>
                  <w:r>
                    <w:rPr>
                      <w:color w:val="auto"/>
                      <w:szCs w:val="21"/>
                      <w:highlight w:val="none"/>
                    </w:rPr>
                    <w:t>动平衡测试</w:t>
                  </w:r>
                </w:p>
              </w:tc>
              <w:tc>
                <w:tcPr>
                  <w:tcW w:w="1058" w:type="pct"/>
                  <w:tcBorders>
                    <w:tl2br w:val="nil"/>
                    <w:tr2bl w:val="nil"/>
                  </w:tcBorders>
                  <w:vAlign w:val="center"/>
                </w:tcPr>
                <w:p w14:paraId="790185B5">
                  <w:pPr>
                    <w:jc w:val="center"/>
                    <w:rPr>
                      <w:color w:val="auto"/>
                      <w:szCs w:val="21"/>
                      <w:highlight w:val="none"/>
                    </w:rPr>
                  </w:pPr>
                  <w:r>
                    <w:rPr>
                      <w:color w:val="auto"/>
                      <w:szCs w:val="21"/>
                      <w:highlight w:val="none"/>
                    </w:rPr>
                    <w:t>叠片动平衡机</w:t>
                  </w:r>
                </w:p>
              </w:tc>
              <w:tc>
                <w:tcPr>
                  <w:tcW w:w="924" w:type="pct"/>
                  <w:tcBorders>
                    <w:tl2br w:val="nil"/>
                    <w:tr2bl w:val="nil"/>
                  </w:tcBorders>
                  <w:vAlign w:val="center"/>
                </w:tcPr>
                <w:p w14:paraId="73E7BDF9">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03C42925">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39B86BB1">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529617B4">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14E5DB1E">
                  <w:pPr>
                    <w:jc w:val="center"/>
                    <w:rPr>
                      <w:color w:val="auto"/>
                      <w:szCs w:val="21"/>
                      <w:highlight w:val="none"/>
                    </w:rPr>
                  </w:pPr>
                  <w:r>
                    <w:rPr>
                      <w:color w:val="auto"/>
                      <w:szCs w:val="21"/>
                      <w:highlight w:val="none"/>
                    </w:rPr>
                    <w:t>原有</w:t>
                  </w:r>
                </w:p>
              </w:tc>
            </w:tr>
            <w:tr w14:paraId="4EA45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1" w:type="pct"/>
                  <w:gridSpan w:val="3"/>
                  <w:vMerge w:val="restart"/>
                  <w:tcBorders>
                    <w:tl2br w:val="nil"/>
                    <w:tr2bl w:val="nil"/>
                  </w:tcBorders>
                  <w:vAlign w:val="center"/>
                </w:tcPr>
                <w:p w14:paraId="21A5755A">
                  <w:pPr>
                    <w:jc w:val="center"/>
                    <w:rPr>
                      <w:color w:val="auto"/>
                      <w:szCs w:val="21"/>
                      <w:highlight w:val="none"/>
                    </w:rPr>
                  </w:pPr>
                  <w:r>
                    <w:rPr>
                      <w:color w:val="auto"/>
                      <w:szCs w:val="21"/>
                      <w:highlight w:val="none"/>
                    </w:rPr>
                    <w:t>辅助设备</w:t>
                  </w:r>
                </w:p>
              </w:tc>
              <w:tc>
                <w:tcPr>
                  <w:tcW w:w="1058" w:type="pct"/>
                  <w:tcBorders>
                    <w:tl2br w:val="nil"/>
                    <w:tr2bl w:val="nil"/>
                  </w:tcBorders>
                  <w:vAlign w:val="center"/>
                </w:tcPr>
                <w:p w14:paraId="6CEF92D0">
                  <w:pPr>
                    <w:jc w:val="center"/>
                    <w:rPr>
                      <w:color w:val="auto"/>
                      <w:szCs w:val="21"/>
                      <w:highlight w:val="none"/>
                    </w:rPr>
                  </w:pPr>
                  <w:r>
                    <w:rPr>
                      <w:color w:val="auto"/>
                      <w:szCs w:val="21"/>
                      <w:highlight w:val="none"/>
                    </w:rPr>
                    <w:t>空压机</w:t>
                  </w:r>
                </w:p>
              </w:tc>
              <w:tc>
                <w:tcPr>
                  <w:tcW w:w="924" w:type="pct"/>
                  <w:tcBorders>
                    <w:tl2br w:val="nil"/>
                    <w:tr2bl w:val="nil"/>
                  </w:tcBorders>
                  <w:vAlign w:val="center"/>
                </w:tcPr>
                <w:p w14:paraId="18D19785">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709F6D3">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4D87A0C2">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D67166D">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55877D86">
                  <w:pPr>
                    <w:jc w:val="center"/>
                    <w:rPr>
                      <w:color w:val="auto"/>
                      <w:szCs w:val="21"/>
                      <w:highlight w:val="none"/>
                    </w:rPr>
                  </w:pPr>
                  <w:r>
                    <w:rPr>
                      <w:color w:val="auto"/>
                      <w:szCs w:val="21"/>
                      <w:highlight w:val="none"/>
                    </w:rPr>
                    <w:t>新增</w:t>
                  </w:r>
                </w:p>
              </w:tc>
            </w:tr>
            <w:tr w14:paraId="3B892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1" w:type="pct"/>
                  <w:gridSpan w:val="3"/>
                  <w:vMerge w:val="continue"/>
                  <w:tcBorders>
                    <w:tl2br w:val="nil"/>
                    <w:tr2bl w:val="nil"/>
                  </w:tcBorders>
                  <w:vAlign w:val="center"/>
                </w:tcPr>
                <w:p w14:paraId="00BB7284">
                  <w:pPr>
                    <w:jc w:val="center"/>
                    <w:rPr>
                      <w:color w:val="auto"/>
                      <w:szCs w:val="21"/>
                      <w:highlight w:val="none"/>
                    </w:rPr>
                  </w:pPr>
                </w:p>
              </w:tc>
              <w:tc>
                <w:tcPr>
                  <w:tcW w:w="1058" w:type="pct"/>
                  <w:tcBorders>
                    <w:tl2br w:val="nil"/>
                    <w:tr2bl w:val="nil"/>
                  </w:tcBorders>
                  <w:vAlign w:val="center"/>
                </w:tcPr>
                <w:p w14:paraId="684A2624">
                  <w:pPr>
                    <w:jc w:val="center"/>
                    <w:rPr>
                      <w:color w:val="auto"/>
                      <w:szCs w:val="21"/>
                      <w:highlight w:val="none"/>
                    </w:rPr>
                  </w:pPr>
                  <w:r>
                    <w:rPr>
                      <w:color w:val="auto"/>
                      <w:szCs w:val="21"/>
                      <w:highlight w:val="none"/>
                    </w:rPr>
                    <w:t>干燥机</w:t>
                  </w:r>
                </w:p>
              </w:tc>
              <w:tc>
                <w:tcPr>
                  <w:tcW w:w="924" w:type="pct"/>
                  <w:tcBorders>
                    <w:tl2br w:val="nil"/>
                    <w:tr2bl w:val="nil"/>
                  </w:tcBorders>
                  <w:vAlign w:val="center"/>
                </w:tcPr>
                <w:p w14:paraId="12948699">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35353F55">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1BCFAD15">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4710C15C">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2C855F55">
                  <w:pPr>
                    <w:jc w:val="center"/>
                    <w:rPr>
                      <w:color w:val="auto"/>
                      <w:szCs w:val="21"/>
                      <w:highlight w:val="none"/>
                    </w:rPr>
                  </w:pPr>
                  <w:r>
                    <w:rPr>
                      <w:color w:val="auto"/>
                      <w:szCs w:val="21"/>
                      <w:highlight w:val="none"/>
                    </w:rPr>
                    <w:t>新增</w:t>
                  </w:r>
                </w:p>
              </w:tc>
            </w:tr>
            <w:tr w14:paraId="306CE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1" w:type="pct"/>
                  <w:gridSpan w:val="3"/>
                  <w:vMerge w:val="continue"/>
                  <w:tcBorders>
                    <w:tl2br w:val="nil"/>
                    <w:tr2bl w:val="nil"/>
                  </w:tcBorders>
                  <w:vAlign w:val="center"/>
                </w:tcPr>
                <w:p w14:paraId="0BF79812">
                  <w:pPr>
                    <w:jc w:val="center"/>
                    <w:rPr>
                      <w:color w:val="auto"/>
                      <w:szCs w:val="21"/>
                      <w:highlight w:val="none"/>
                    </w:rPr>
                  </w:pPr>
                </w:p>
              </w:tc>
              <w:tc>
                <w:tcPr>
                  <w:tcW w:w="1058" w:type="pct"/>
                  <w:tcBorders>
                    <w:tl2br w:val="nil"/>
                    <w:tr2bl w:val="nil"/>
                  </w:tcBorders>
                  <w:vAlign w:val="center"/>
                </w:tcPr>
                <w:p w14:paraId="3FEE7BBE">
                  <w:pPr>
                    <w:jc w:val="center"/>
                    <w:rPr>
                      <w:color w:val="auto"/>
                      <w:szCs w:val="21"/>
                      <w:highlight w:val="none"/>
                    </w:rPr>
                  </w:pPr>
                  <w:r>
                    <w:rPr>
                      <w:color w:val="auto"/>
                      <w:szCs w:val="21"/>
                      <w:highlight w:val="none"/>
                    </w:rPr>
                    <w:t>冷却</w:t>
                  </w:r>
                  <w:r>
                    <w:rPr>
                      <w:rFonts w:hint="eastAsia"/>
                      <w:color w:val="auto"/>
                      <w:szCs w:val="21"/>
                      <w:highlight w:val="none"/>
                      <w:lang w:val="en-US" w:eastAsia="zh-Hans"/>
                    </w:rPr>
                    <w:t>塔</w:t>
                  </w:r>
                </w:p>
              </w:tc>
              <w:tc>
                <w:tcPr>
                  <w:tcW w:w="924" w:type="pct"/>
                  <w:tcBorders>
                    <w:tl2br w:val="nil"/>
                    <w:tr2bl w:val="nil"/>
                  </w:tcBorders>
                  <w:vAlign w:val="center"/>
                </w:tcPr>
                <w:p w14:paraId="1ECF4B2B">
                  <w:pPr>
                    <w:jc w:val="center"/>
                    <w:rPr>
                      <w:color w:val="auto"/>
                      <w:szCs w:val="21"/>
                      <w:highlight w:val="none"/>
                    </w:rPr>
                  </w:pPr>
                  <w:r>
                    <w:rPr>
                      <w:color w:val="auto"/>
                      <w:szCs w:val="21"/>
                      <w:highlight w:val="none"/>
                    </w:rPr>
                    <w:t>定制</w:t>
                  </w:r>
                </w:p>
              </w:tc>
              <w:tc>
                <w:tcPr>
                  <w:tcW w:w="454" w:type="pct"/>
                  <w:tcBorders>
                    <w:tl2br w:val="nil"/>
                    <w:tr2bl w:val="nil"/>
                  </w:tcBorders>
                  <w:vAlign w:val="center"/>
                </w:tcPr>
                <w:p w14:paraId="51878001">
                  <w:pPr>
                    <w:jc w:val="center"/>
                    <w:rPr>
                      <w:color w:val="auto"/>
                      <w:szCs w:val="21"/>
                      <w:highlight w:val="none"/>
                    </w:rPr>
                  </w:pPr>
                  <w:r>
                    <w:rPr>
                      <w:color w:val="auto"/>
                      <w:szCs w:val="21"/>
                      <w:highlight w:val="none"/>
                    </w:rPr>
                    <w:t>0</w:t>
                  </w:r>
                </w:p>
              </w:tc>
              <w:tc>
                <w:tcPr>
                  <w:tcW w:w="427" w:type="pct"/>
                  <w:tcBorders>
                    <w:tl2br w:val="nil"/>
                    <w:tr2bl w:val="nil"/>
                  </w:tcBorders>
                  <w:vAlign w:val="center"/>
                </w:tcPr>
                <w:p w14:paraId="396C6D9B">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1FD83C92">
                  <w:pPr>
                    <w:jc w:val="center"/>
                    <w:rPr>
                      <w:color w:val="auto"/>
                      <w:szCs w:val="21"/>
                      <w:highlight w:val="none"/>
                    </w:rPr>
                  </w:pPr>
                  <w:r>
                    <w:rPr>
                      <w:color w:val="auto"/>
                      <w:szCs w:val="21"/>
                      <w:highlight w:val="none"/>
                    </w:rPr>
                    <w:t>+1</w:t>
                  </w:r>
                </w:p>
              </w:tc>
              <w:tc>
                <w:tcPr>
                  <w:tcW w:w="428" w:type="pct"/>
                  <w:tcBorders>
                    <w:tl2br w:val="nil"/>
                    <w:tr2bl w:val="nil"/>
                  </w:tcBorders>
                  <w:vAlign w:val="center"/>
                </w:tcPr>
                <w:p w14:paraId="2F47729D">
                  <w:pPr>
                    <w:jc w:val="center"/>
                    <w:rPr>
                      <w:rFonts w:hint="eastAsia" w:eastAsia="宋体"/>
                      <w:color w:val="auto"/>
                      <w:szCs w:val="21"/>
                      <w:highlight w:val="none"/>
                      <w:lang w:eastAsia="zh-Hans"/>
                    </w:rPr>
                  </w:pPr>
                  <w:r>
                    <w:rPr>
                      <w:rFonts w:hint="eastAsia"/>
                      <w:color w:val="auto"/>
                      <w:szCs w:val="21"/>
                      <w:highlight w:val="none"/>
                      <w:lang w:val="en-US" w:eastAsia="zh-Hans"/>
                    </w:rPr>
                    <w:t>新增</w:t>
                  </w:r>
                </w:p>
              </w:tc>
            </w:tr>
            <w:tr w14:paraId="331BC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1" w:type="pct"/>
                  <w:gridSpan w:val="3"/>
                  <w:vMerge w:val="continue"/>
                  <w:tcBorders>
                    <w:tl2br w:val="nil"/>
                    <w:tr2bl w:val="nil"/>
                  </w:tcBorders>
                  <w:vAlign w:val="center"/>
                </w:tcPr>
                <w:p w14:paraId="4275B1B7">
                  <w:pPr>
                    <w:jc w:val="center"/>
                    <w:rPr>
                      <w:color w:val="auto"/>
                      <w:szCs w:val="21"/>
                      <w:highlight w:val="none"/>
                    </w:rPr>
                  </w:pPr>
                </w:p>
              </w:tc>
              <w:tc>
                <w:tcPr>
                  <w:tcW w:w="1058" w:type="pct"/>
                  <w:tcBorders>
                    <w:tl2br w:val="nil"/>
                    <w:tr2bl w:val="nil"/>
                  </w:tcBorders>
                  <w:vAlign w:val="center"/>
                </w:tcPr>
                <w:p w14:paraId="7B5CDA8F">
                  <w:pPr>
                    <w:jc w:val="center"/>
                    <w:rPr>
                      <w:color w:val="auto"/>
                      <w:szCs w:val="21"/>
                      <w:highlight w:val="none"/>
                    </w:rPr>
                  </w:pPr>
                  <w:r>
                    <w:rPr>
                      <w:color w:val="auto"/>
                      <w:szCs w:val="21"/>
                      <w:highlight w:val="none"/>
                    </w:rPr>
                    <w:t>纯水制备系统</w:t>
                  </w:r>
                </w:p>
              </w:tc>
              <w:tc>
                <w:tcPr>
                  <w:tcW w:w="924" w:type="pct"/>
                  <w:tcBorders>
                    <w:tl2br w:val="nil"/>
                    <w:tr2bl w:val="nil"/>
                  </w:tcBorders>
                  <w:vAlign w:val="center"/>
                </w:tcPr>
                <w:p w14:paraId="69310C15">
                  <w:pPr>
                    <w:jc w:val="center"/>
                    <w:rPr>
                      <w:color w:val="auto"/>
                      <w:szCs w:val="21"/>
                      <w:highlight w:val="none"/>
                    </w:rPr>
                  </w:pPr>
                  <w:r>
                    <w:rPr>
                      <w:color w:val="auto"/>
                      <w:szCs w:val="21"/>
                      <w:highlight w:val="none"/>
                    </w:rPr>
                    <w:t>/</w:t>
                  </w:r>
                </w:p>
              </w:tc>
              <w:tc>
                <w:tcPr>
                  <w:tcW w:w="454" w:type="pct"/>
                  <w:tcBorders>
                    <w:tl2br w:val="nil"/>
                    <w:tr2bl w:val="nil"/>
                  </w:tcBorders>
                  <w:vAlign w:val="center"/>
                </w:tcPr>
                <w:p w14:paraId="60B48668">
                  <w:pPr>
                    <w:jc w:val="center"/>
                    <w:rPr>
                      <w:color w:val="auto"/>
                      <w:szCs w:val="21"/>
                      <w:highlight w:val="none"/>
                    </w:rPr>
                  </w:pPr>
                  <w:r>
                    <w:rPr>
                      <w:color w:val="auto"/>
                      <w:szCs w:val="21"/>
                      <w:highlight w:val="none"/>
                    </w:rPr>
                    <w:t>1</w:t>
                  </w:r>
                </w:p>
              </w:tc>
              <w:tc>
                <w:tcPr>
                  <w:tcW w:w="427" w:type="pct"/>
                  <w:tcBorders>
                    <w:tl2br w:val="nil"/>
                    <w:tr2bl w:val="nil"/>
                  </w:tcBorders>
                  <w:vAlign w:val="center"/>
                </w:tcPr>
                <w:p w14:paraId="54C30279">
                  <w:pPr>
                    <w:jc w:val="center"/>
                    <w:rPr>
                      <w:color w:val="auto"/>
                      <w:szCs w:val="21"/>
                      <w:highlight w:val="none"/>
                    </w:rPr>
                  </w:pPr>
                  <w:r>
                    <w:rPr>
                      <w:color w:val="auto"/>
                      <w:szCs w:val="21"/>
                      <w:highlight w:val="none"/>
                    </w:rPr>
                    <w:t>1</w:t>
                  </w:r>
                </w:p>
              </w:tc>
              <w:tc>
                <w:tcPr>
                  <w:tcW w:w="334" w:type="pct"/>
                  <w:tcBorders>
                    <w:tl2br w:val="nil"/>
                    <w:tr2bl w:val="nil"/>
                  </w:tcBorders>
                  <w:vAlign w:val="center"/>
                </w:tcPr>
                <w:p w14:paraId="0D5BB027">
                  <w:pPr>
                    <w:jc w:val="center"/>
                    <w:rPr>
                      <w:color w:val="auto"/>
                      <w:szCs w:val="21"/>
                      <w:highlight w:val="none"/>
                    </w:rPr>
                  </w:pPr>
                  <w:r>
                    <w:rPr>
                      <w:color w:val="auto"/>
                      <w:szCs w:val="21"/>
                      <w:highlight w:val="none"/>
                    </w:rPr>
                    <w:t>0</w:t>
                  </w:r>
                </w:p>
              </w:tc>
              <w:tc>
                <w:tcPr>
                  <w:tcW w:w="428" w:type="pct"/>
                  <w:tcBorders>
                    <w:tl2br w:val="nil"/>
                    <w:tr2bl w:val="nil"/>
                  </w:tcBorders>
                  <w:vAlign w:val="center"/>
                </w:tcPr>
                <w:p w14:paraId="61272A8F">
                  <w:pPr>
                    <w:jc w:val="center"/>
                    <w:rPr>
                      <w:color w:val="auto"/>
                      <w:szCs w:val="21"/>
                      <w:highlight w:val="none"/>
                    </w:rPr>
                  </w:pPr>
                  <w:r>
                    <w:rPr>
                      <w:color w:val="auto"/>
                      <w:szCs w:val="21"/>
                      <w:highlight w:val="none"/>
                    </w:rPr>
                    <w:t>原有</w:t>
                  </w:r>
                </w:p>
              </w:tc>
            </w:tr>
          </w:tbl>
          <w:p w14:paraId="0A938928">
            <w:pPr>
              <w:adjustRightInd w:val="0"/>
              <w:snapToGrid w:val="0"/>
              <w:spacing w:line="360" w:lineRule="auto"/>
              <w:ind w:firstLine="480" w:firstLineChars="200"/>
              <w:jc w:val="left"/>
              <w:rPr>
                <w:bCs/>
                <w:color w:val="auto"/>
                <w:sz w:val="24"/>
                <w:highlight w:val="none"/>
              </w:rPr>
            </w:pPr>
            <w:r>
              <w:rPr>
                <w:rFonts w:hint="eastAsia"/>
                <w:bCs/>
                <w:color w:val="auto"/>
                <w:sz w:val="24"/>
                <w:highlight w:val="none"/>
              </w:rPr>
              <w:t>本项目生产过程中定子产线、转子产线为连续生产线，设计生产节拍均约为6min（即每6分钟产出一套产品（一套产品为一片转子+一片定子）），本项目年工作7200h，产线综合利用率约95%，则本项目理论年产68400台电机，符合产能要求。</w:t>
            </w:r>
          </w:p>
          <w:p w14:paraId="7F90B100">
            <w:pPr>
              <w:adjustRightInd w:val="0"/>
              <w:snapToGrid w:val="0"/>
              <w:jc w:val="left"/>
              <w:rPr>
                <w:b/>
                <w:color w:val="auto"/>
                <w:sz w:val="24"/>
                <w:highlight w:val="none"/>
              </w:rPr>
            </w:pPr>
            <w:r>
              <w:rPr>
                <w:rFonts w:hAnsi="宋体"/>
                <w:b/>
                <w:color w:val="auto"/>
                <w:sz w:val="24"/>
                <w:highlight w:val="none"/>
              </w:rPr>
              <w:t>5、项目原辅材料消耗表</w:t>
            </w:r>
          </w:p>
          <w:p w14:paraId="5535DF94">
            <w:pPr>
              <w:adjustRightInd w:val="0"/>
              <w:snapToGrid w:val="0"/>
              <w:jc w:val="both"/>
              <w:rPr>
                <w:rFonts w:hAnsi="宋体"/>
                <w:b/>
                <w:bCs/>
                <w:color w:val="auto"/>
                <w:sz w:val="24"/>
                <w:highlight w:val="none"/>
              </w:rPr>
            </w:pPr>
          </w:p>
          <w:p w14:paraId="0A4F8A67">
            <w:pPr>
              <w:adjustRightInd w:val="0"/>
              <w:snapToGrid w:val="0"/>
              <w:ind w:firstLine="482" w:firstLineChars="200"/>
              <w:jc w:val="center"/>
              <w:rPr>
                <w:b/>
                <w:bCs/>
                <w:color w:val="auto"/>
                <w:sz w:val="24"/>
                <w:highlight w:val="none"/>
              </w:rPr>
            </w:pPr>
            <w:r>
              <w:rPr>
                <w:rFonts w:hAnsi="宋体"/>
                <w:b/>
                <w:bCs/>
                <w:color w:val="auto"/>
                <w:sz w:val="24"/>
                <w:highlight w:val="none"/>
              </w:rPr>
              <w:t>表</w:t>
            </w:r>
            <w:r>
              <w:rPr>
                <w:b/>
                <w:bCs/>
                <w:color w:val="auto"/>
                <w:sz w:val="24"/>
                <w:highlight w:val="none"/>
              </w:rPr>
              <w:t xml:space="preserve">2-4 </w:t>
            </w:r>
            <w:r>
              <w:rPr>
                <w:rFonts w:hint="eastAsia"/>
                <w:b/>
                <w:bCs/>
                <w:color w:val="auto"/>
                <w:sz w:val="24"/>
                <w:highlight w:val="none"/>
              </w:rPr>
              <w:t xml:space="preserve"> </w:t>
            </w:r>
            <w:r>
              <w:rPr>
                <w:rFonts w:hAnsi="宋体"/>
                <w:b/>
                <w:bCs/>
                <w:color w:val="auto"/>
                <w:sz w:val="24"/>
                <w:highlight w:val="none"/>
              </w:rPr>
              <w:t>项目原辅材料消耗表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427"/>
              <w:gridCol w:w="800"/>
              <w:gridCol w:w="1320"/>
              <w:gridCol w:w="2735"/>
              <w:gridCol w:w="727"/>
              <w:gridCol w:w="794"/>
              <w:gridCol w:w="913"/>
              <w:gridCol w:w="795"/>
              <w:gridCol w:w="775"/>
            </w:tblGrid>
            <w:tr w14:paraId="034E5F6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28" w:hRule="atLeast"/>
                <w:jc w:val="center"/>
              </w:trPr>
              <w:tc>
                <w:tcPr>
                  <w:tcW w:w="229" w:type="pct"/>
                  <w:vMerge w:val="restart"/>
                  <w:tcBorders>
                    <w:tl2br w:val="nil"/>
                    <w:tr2bl w:val="nil"/>
                  </w:tcBorders>
                  <w:vAlign w:val="center"/>
                </w:tcPr>
                <w:p w14:paraId="4370F761">
                  <w:pPr>
                    <w:adjustRightInd w:val="0"/>
                    <w:snapToGrid w:val="0"/>
                    <w:jc w:val="center"/>
                    <w:rPr>
                      <w:b/>
                      <w:bCs/>
                      <w:color w:val="auto"/>
                      <w:szCs w:val="21"/>
                      <w:highlight w:val="none"/>
                    </w:rPr>
                  </w:pPr>
                  <w:r>
                    <w:rPr>
                      <w:b/>
                      <w:bCs/>
                      <w:color w:val="auto"/>
                      <w:szCs w:val="21"/>
                      <w:highlight w:val="none"/>
                    </w:rPr>
                    <w:t>序号</w:t>
                  </w:r>
                </w:p>
              </w:tc>
              <w:tc>
                <w:tcPr>
                  <w:tcW w:w="430" w:type="pct"/>
                  <w:vMerge w:val="restart"/>
                  <w:tcBorders>
                    <w:tl2br w:val="nil"/>
                    <w:tr2bl w:val="nil"/>
                  </w:tcBorders>
                  <w:vAlign w:val="center"/>
                </w:tcPr>
                <w:p w14:paraId="551896D4">
                  <w:pPr>
                    <w:adjustRightInd w:val="0"/>
                    <w:snapToGrid w:val="0"/>
                    <w:jc w:val="center"/>
                    <w:rPr>
                      <w:b/>
                      <w:bCs/>
                      <w:color w:val="auto"/>
                      <w:szCs w:val="21"/>
                      <w:highlight w:val="none"/>
                    </w:rPr>
                  </w:pPr>
                  <w:r>
                    <w:rPr>
                      <w:b/>
                      <w:bCs/>
                      <w:color w:val="auto"/>
                      <w:szCs w:val="21"/>
                      <w:highlight w:val="none"/>
                    </w:rPr>
                    <w:t>产品</w:t>
                  </w:r>
                </w:p>
              </w:tc>
              <w:tc>
                <w:tcPr>
                  <w:tcW w:w="719" w:type="pct"/>
                  <w:vMerge w:val="restart"/>
                  <w:tcBorders>
                    <w:tl2br w:val="nil"/>
                    <w:tr2bl w:val="nil"/>
                  </w:tcBorders>
                  <w:vAlign w:val="center"/>
                </w:tcPr>
                <w:p w14:paraId="36F202EE">
                  <w:pPr>
                    <w:adjustRightInd w:val="0"/>
                    <w:snapToGrid w:val="0"/>
                    <w:jc w:val="center"/>
                    <w:rPr>
                      <w:b/>
                      <w:bCs/>
                      <w:color w:val="auto"/>
                      <w:szCs w:val="21"/>
                      <w:highlight w:val="none"/>
                    </w:rPr>
                  </w:pPr>
                  <w:r>
                    <w:rPr>
                      <w:b/>
                      <w:bCs/>
                      <w:color w:val="auto"/>
                      <w:szCs w:val="21"/>
                      <w:highlight w:val="none"/>
                    </w:rPr>
                    <w:t>物料名称</w:t>
                  </w:r>
                </w:p>
              </w:tc>
              <w:tc>
                <w:tcPr>
                  <w:tcW w:w="1480" w:type="pct"/>
                  <w:vMerge w:val="restart"/>
                  <w:tcBorders>
                    <w:tl2br w:val="nil"/>
                    <w:tr2bl w:val="nil"/>
                  </w:tcBorders>
                  <w:vAlign w:val="center"/>
                </w:tcPr>
                <w:p w14:paraId="2EA0C6E1">
                  <w:pPr>
                    <w:adjustRightInd w:val="0"/>
                    <w:snapToGrid w:val="0"/>
                    <w:jc w:val="center"/>
                    <w:rPr>
                      <w:b/>
                      <w:bCs/>
                      <w:color w:val="auto"/>
                      <w:szCs w:val="21"/>
                      <w:highlight w:val="none"/>
                    </w:rPr>
                  </w:pPr>
                  <w:r>
                    <w:rPr>
                      <w:b/>
                      <w:bCs/>
                      <w:color w:val="auto"/>
                      <w:szCs w:val="21"/>
                      <w:highlight w:val="none"/>
                    </w:rPr>
                    <w:t>规格/成分</w:t>
                  </w:r>
                </w:p>
              </w:tc>
              <w:tc>
                <w:tcPr>
                  <w:tcW w:w="1288" w:type="pct"/>
                  <w:gridSpan w:val="3"/>
                  <w:tcBorders>
                    <w:tl2br w:val="nil"/>
                    <w:tr2bl w:val="nil"/>
                  </w:tcBorders>
                  <w:vAlign w:val="center"/>
                </w:tcPr>
                <w:p w14:paraId="140B8DFB">
                  <w:pPr>
                    <w:adjustRightInd w:val="0"/>
                    <w:snapToGrid w:val="0"/>
                    <w:jc w:val="center"/>
                    <w:rPr>
                      <w:b/>
                      <w:bCs/>
                      <w:color w:val="auto"/>
                      <w:szCs w:val="21"/>
                      <w:highlight w:val="none"/>
                    </w:rPr>
                  </w:pPr>
                  <w:r>
                    <w:rPr>
                      <w:b/>
                      <w:bCs/>
                      <w:color w:val="auto"/>
                      <w:szCs w:val="21"/>
                      <w:highlight w:val="none"/>
                    </w:rPr>
                    <w:t>年用量（t/a）</w:t>
                  </w:r>
                </w:p>
              </w:tc>
              <w:tc>
                <w:tcPr>
                  <w:tcW w:w="425" w:type="pct"/>
                  <w:vMerge w:val="restart"/>
                  <w:tcBorders>
                    <w:tl2br w:val="nil"/>
                    <w:tr2bl w:val="nil"/>
                  </w:tcBorders>
                  <w:vAlign w:val="center"/>
                </w:tcPr>
                <w:p w14:paraId="56AFC72C">
                  <w:pPr>
                    <w:adjustRightInd w:val="0"/>
                    <w:snapToGrid w:val="0"/>
                    <w:jc w:val="center"/>
                    <w:rPr>
                      <w:b/>
                      <w:bCs/>
                      <w:color w:val="auto"/>
                      <w:szCs w:val="21"/>
                      <w:highlight w:val="none"/>
                    </w:rPr>
                  </w:pPr>
                  <w:r>
                    <w:rPr>
                      <w:b/>
                      <w:bCs/>
                      <w:color w:val="auto"/>
                      <w:szCs w:val="21"/>
                      <w:highlight w:val="none"/>
                    </w:rPr>
                    <w:t>最大存储量（t）</w:t>
                  </w:r>
                </w:p>
              </w:tc>
              <w:tc>
                <w:tcPr>
                  <w:tcW w:w="425" w:type="pct"/>
                  <w:vMerge w:val="restart"/>
                  <w:tcBorders>
                    <w:tl2br w:val="nil"/>
                    <w:tr2bl w:val="nil"/>
                  </w:tcBorders>
                  <w:vAlign w:val="center"/>
                </w:tcPr>
                <w:p w14:paraId="43C2C414">
                  <w:pPr>
                    <w:adjustRightInd w:val="0"/>
                    <w:snapToGrid w:val="0"/>
                    <w:jc w:val="center"/>
                    <w:rPr>
                      <w:b/>
                      <w:bCs/>
                      <w:color w:val="auto"/>
                      <w:szCs w:val="21"/>
                      <w:highlight w:val="none"/>
                      <w:lang w:eastAsia="zh-Hans"/>
                    </w:rPr>
                  </w:pPr>
                  <w:r>
                    <w:rPr>
                      <w:rFonts w:hint="eastAsia"/>
                      <w:b/>
                      <w:bCs/>
                      <w:color w:val="auto"/>
                      <w:szCs w:val="21"/>
                      <w:highlight w:val="none"/>
                      <w:lang w:eastAsia="zh-Hans"/>
                    </w:rPr>
                    <w:t>储存位置</w:t>
                  </w:r>
                </w:p>
              </w:tc>
            </w:tr>
            <w:tr w14:paraId="1101966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28" w:hRule="atLeast"/>
                <w:jc w:val="center"/>
              </w:trPr>
              <w:tc>
                <w:tcPr>
                  <w:tcW w:w="229" w:type="pct"/>
                  <w:vMerge w:val="continue"/>
                  <w:tcBorders>
                    <w:tl2br w:val="nil"/>
                    <w:tr2bl w:val="nil"/>
                  </w:tcBorders>
                  <w:vAlign w:val="center"/>
                </w:tcPr>
                <w:p w14:paraId="3D6AEC7C">
                  <w:pPr>
                    <w:adjustRightInd w:val="0"/>
                    <w:snapToGrid w:val="0"/>
                    <w:jc w:val="center"/>
                    <w:rPr>
                      <w:color w:val="auto"/>
                      <w:szCs w:val="21"/>
                      <w:highlight w:val="none"/>
                    </w:rPr>
                  </w:pPr>
                </w:p>
              </w:tc>
              <w:tc>
                <w:tcPr>
                  <w:tcW w:w="430" w:type="pct"/>
                  <w:vMerge w:val="continue"/>
                  <w:tcBorders>
                    <w:tl2br w:val="nil"/>
                    <w:tr2bl w:val="nil"/>
                  </w:tcBorders>
                  <w:vAlign w:val="center"/>
                </w:tcPr>
                <w:p w14:paraId="6A72BA2C">
                  <w:pPr>
                    <w:adjustRightInd w:val="0"/>
                    <w:snapToGrid w:val="0"/>
                    <w:jc w:val="center"/>
                    <w:rPr>
                      <w:color w:val="auto"/>
                      <w:szCs w:val="21"/>
                      <w:highlight w:val="none"/>
                    </w:rPr>
                  </w:pPr>
                </w:p>
              </w:tc>
              <w:tc>
                <w:tcPr>
                  <w:tcW w:w="719" w:type="pct"/>
                  <w:vMerge w:val="continue"/>
                  <w:tcBorders>
                    <w:tl2br w:val="nil"/>
                    <w:tr2bl w:val="nil"/>
                  </w:tcBorders>
                  <w:vAlign w:val="center"/>
                </w:tcPr>
                <w:p w14:paraId="1C25B4BB">
                  <w:pPr>
                    <w:adjustRightInd w:val="0"/>
                    <w:snapToGrid w:val="0"/>
                    <w:jc w:val="center"/>
                    <w:rPr>
                      <w:color w:val="auto"/>
                      <w:szCs w:val="21"/>
                      <w:highlight w:val="none"/>
                    </w:rPr>
                  </w:pPr>
                </w:p>
              </w:tc>
              <w:tc>
                <w:tcPr>
                  <w:tcW w:w="1480" w:type="pct"/>
                  <w:vMerge w:val="continue"/>
                  <w:tcBorders>
                    <w:tl2br w:val="nil"/>
                    <w:tr2bl w:val="nil"/>
                  </w:tcBorders>
                  <w:vAlign w:val="center"/>
                </w:tcPr>
                <w:p w14:paraId="09B5347F">
                  <w:pPr>
                    <w:adjustRightInd w:val="0"/>
                    <w:snapToGrid w:val="0"/>
                    <w:jc w:val="center"/>
                    <w:rPr>
                      <w:color w:val="auto"/>
                      <w:szCs w:val="21"/>
                      <w:highlight w:val="none"/>
                    </w:rPr>
                  </w:pPr>
                </w:p>
              </w:tc>
              <w:tc>
                <w:tcPr>
                  <w:tcW w:w="400" w:type="pct"/>
                  <w:tcBorders>
                    <w:tl2br w:val="nil"/>
                    <w:tr2bl w:val="nil"/>
                  </w:tcBorders>
                  <w:vAlign w:val="center"/>
                </w:tcPr>
                <w:p w14:paraId="01E405F9">
                  <w:pPr>
                    <w:jc w:val="center"/>
                    <w:rPr>
                      <w:b/>
                      <w:bCs/>
                      <w:color w:val="auto"/>
                      <w:szCs w:val="21"/>
                      <w:highlight w:val="none"/>
                    </w:rPr>
                  </w:pPr>
                  <w:r>
                    <w:rPr>
                      <w:b/>
                      <w:color w:val="auto"/>
                      <w:szCs w:val="21"/>
                      <w:highlight w:val="none"/>
                    </w:rPr>
                    <w:t>改建前</w:t>
                  </w:r>
                </w:p>
              </w:tc>
              <w:tc>
                <w:tcPr>
                  <w:tcW w:w="400" w:type="pct"/>
                  <w:tcBorders>
                    <w:tl2br w:val="nil"/>
                    <w:tr2bl w:val="nil"/>
                  </w:tcBorders>
                  <w:vAlign w:val="center"/>
                </w:tcPr>
                <w:p w14:paraId="2E1E61D4">
                  <w:pPr>
                    <w:jc w:val="center"/>
                    <w:rPr>
                      <w:b/>
                      <w:bCs/>
                      <w:color w:val="auto"/>
                      <w:szCs w:val="21"/>
                      <w:highlight w:val="none"/>
                    </w:rPr>
                  </w:pPr>
                  <w:r>
                    <w:rPr>
                      <w:b/>
                      <w:color w:val="auto"/>
                      <w:szCs w:val="21"/>
                      <w:highlight w:val="none"/>
                    </w:rPr>
                    <w:t>改建后</w:t>
                  </w:r>
                </w:p>
              </w:tc>
              <w:tc>
                <w:tcPr>
                  <w:tcW w:w="487" w:type="pct"/>
                  <w:tcBorders>
                    <w:tl2br w:val="nil"/>
                    <w:tr2bl w:val="nil"/>
                  </w:tcBorders>
                  <w:vAlign w:val="center"/>
                </w:tcPr>
                <w:p w14:paraId="5735CCB8">
                  <w:pPr>
                    <w:jc w:val="center"/>
                    <w:rPr>
                      <w:b/>
                      <w:bCs/>
                      <w:color w:val="auto"/>
                      <w:szCs w:val="21"/>
                      <w:highlight w:val="none"/>
                    </w:rPr>
                  </w:pPr>
                  <w:r>
                    <w:rPr>
                      <w:b/>
                      <w:color w:val="auto"/>
                      <w:szCs w:val="21"/>
                      <w:highlight w:val="none"/>
                    </w:rPr>
                    <w:t>变化量</w:t>
                  </w:r>
                </w:p>
              </w:tc>
              <w:tc>
                <w:tcPr>
                  <w:tcW w:w="425" w:type="pct"/>
                  <w:vMerge w:val="continue"/>
                  <w:tcBorders>
                    <w:tl2br w:val="nil"/>
                    <w:tr2bl w:val="nil"/>
                  </w:tcBorders>
                  <w:vAlign w:val="center"/>
                </w:tcPr>
                <w:p w14:paraId="34158ED0">
                  <w:pPr>
                    <w:adjustRightInd w:val="0"/>
                    <w:snapToGrid w:val="0"/>
                    <w:jc w:val="center"/>
                    <w:rPr>
                      <w:b/>
                      <w:bCs/>
                      <w:color w:val="auto"/>
                      <w:szCs w:val="21"/>
                      <w:highlight w:val="none"/>
                    </w:rPr>
                  </w:pPr>
                </w:p>
              </w:tc>
              <w:tc>
                <w:tcPr>
                  <w:tcW w:w="425" w:type="pct"/>
                  <w:vMerge w:val="continue"/>
                  <w:tcBorders>
                    <w:tl2br w:val="nil"/>
                    <w:tr2bl w:val="nil"/>
                  </w:tcBorders>
                  <w:vAlign w:val="center"/>
                </w:tcPr>
                <w:p w14:paraId="1987C590">
                  <w:pPr>
                    <w:adjustRightInd w:val="0"/>
                    <w:snapToGrid w:val="0"/>
                    <w:jc w:val="center"/>
                    <w:rPr>
                      <w:b/>
                      <w:bCs/>
                      <w:color w:val="auto"/>
                      <w:szCs w:val="21"/>
                      <w:highlight w:val="none"/>
                    </w:rPr>
                  </w:pPr>
                </w:p>
              </w:tc>
            </w:tr>
            <w:tr w14:paraId="36F416A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3528A56B">
                  <w:pPr>
                    <w:adjustRightInd w:val="0"/>
                    <w:snapToGrid w:val="0"/>
                    <w:jc w:val="center"/>
                    <w:rPr>
                      <w:bCs/>
                      <w:color w:val="auto"/>
                      <w:szCs w:val="21"/>
                      <w:highlight w:val="none"/>
                    </w:rPr>
                  </w:pPr>
                  <w:r>
                    <w:rPr>
                      <w:bCs/>
                      <w:color w:val="auto"/>
                      <w:szCs w:val="21"/>
                      <w:highlight w:val="none"/>
                    </w:rPr>
                    <w:t>1</w:t>
                  </w:r>
                </w:p>
              </w:tc>
              <w:tc>
                <w:tcPr>
                  <w:tcW w:w="430" w:type="pct"/>
                  <w:vMerge w:val="restart"/>
                  <w:tcBorders>
                    <w:tl2br w:val="nil"/>
                    <w:tr2bl w:val="nil"/>
                  </w:tcBorders>
                  <w:vAlign w:val="center"/>
                </w:tcPr>
                <w:p w14:paraId="2C1AE75B">
                  <w:pPr>
                    <w:jc w:val="center"/>
                    <w:rPr>
                      <w:color w:val="auto"/>
                      <w:szCs w:val="21"/>
                      <w:highlight w:val="none"/>
                    </w:rPr>
                  </w:pPr>
                  <w:r>
                    <w:rPr>
                      <w:bCs/>
                      <w:color w:val="auto"/>
                      <w:szCs w:val="21"/>
                      <w:highlight w:val="none"/>
                    </w:rPr>
                    <w:t>FG270电机</w:t>
                  </w:r>
                </w:p>
              </w:tc>
              <w:tc>
                <w:tcPr>
                  <w:tcW w:w="719" w:type="pct"/>
                  <w:tcBorders>
                    <w:tl2br w:val="nil"/>
                    <w:tr2bl w:val="nil"/>
                  </w:tcBorders>
                  <w:vAlign w:val="center"/>
                </w:tcPr>
                <w:p w14:paraId="24B2C692">
                  <w:pPr>
                    <w:jc w:val="center"/>
                    <w:rPr>
                      <w:color w:val="auto"/>
                      <w:szCs w:val="21"/>
                      <w:highlight w:val="none"/>
                    </w:rPr>
                  </w:pPr>
                  <w:r>
                    <w:rPr>
                      <w:color w:val="auto"/>
                      <w:szCs w:val="21"/>
                      <w:highlight w:val="none"/>
                    </w:rPr>
                    <w:t>分割铁芯</w:t>
                  </w:r>
                </w:p>
              </w:tc>
              <w:tc>
                <w:tcPr>
                  <w:tcW w:w="1480" w:type="pct"/>
                  <w:tcBorders>
                    <w:tl2br w:val="nil"/>
                    <w:tr2bl w:val="nil"/>
                  </w:tcBorders>
                  <w:vAlign w:val="center"/>
                </w:tcPr>
                <w:p w14:paraId="2B6B2B7D">
                  <w:pPr>
                    <w:jc w:val="center"/>
                    <w:rPr>
                      <w:color w:val="auto"/>
                      <w:szCs w:val="21"/>
                      <w:highlight w:val="none"/>
                    </w:rPr>
                  </w:pPr>
                  <w:r>
                    <w:rPr>
                      <w:rFonts w:hint="eastAsia"/>
                      <w:color w:val="auto"/>
                      <w:szCs w:val="21"/>
                      <w:highlight w:val="none"/>
                    </w:rPr>
                    <w:t>固体，</w:t>
                  </w:r>
                  <w:r>
                    <w:rPr>
                      <w:color w:val="auto"/>
                      <w:szCs w:val="21"/>
                      <w:highlight w:val="none"/>
                    </w:rPr>
                    <w:t>硅钢片、365g*22opcs</w:t>
                  </w:r>
                </w:p>
              </w:tc>
              <w:tc>
                <w:tcPr>
                  <w:tcW w:w="400" w:type="pct"/>
                  <w:tcBorders>
                    <w:tl2br w:val="nil"/>
                    <w:tr2bl w:val="nil"/>
                  </w:tcBorders>
                  <w:vAlign w:val="center"/>
                </w:tcPr>
                <w:p w14:paraId="0C0C03FD">
                  <w:pPr>
                    <w:jc w:val="center"/>
                    <w:rPr>
                      <w:color w:val="auto"/>
                      <w:szCs w:val="21"/>
                      <w:highlight w:val="none"/>
                    </w:rPr>
                  </w:pPr>
                  <w:r>
                    <w:rPr>
                      <w:color w:val="auto"/>
                      <w:szCs w:val="21"/>
                      <w:highlight w:val="none"/>
                    </w:rPr>
                    <w:t>96万个</w:t>
                  </w:r>
                </w:p>
              </w:tc>
              <w:tc>
                <w:tcPr>
                  <w:tcW w:w="400" w:type="pct"/>
                  <w:tcBorders>
                    <w:tl2br w:val="nil"/>
                    <w:tr2bl w:val="nil"/>
                  </w:tcBorders>
                  <w:vAlign w:val="center"/>
                </w:tcPr>
                <w:p w14:paraId="0A1A4A2F">
                  <w:pPr>
                    <w:jc w:val="center"/>
                    <w:rPr>
                      <w:bCs/>
                      <w:color w:val="auto"/>
                      <w:szCs w:val="21"/>
                      <w:highlight w:val="none"/>
                    </w:rPr>
                  </w:pPr>
                  <w:r>
                    <w:rPr>
                      <w:color w:val="auto"/>
                      <w:szCs w:val="21"/>
                      <w:highlight w:val="none"/>
                    </w:rPr>
                    <w:t>96万个</w:t>
                  </w:r>
                </w:p>
              </w:tc>
              <w:tc>
                <w:tcPr>
                  <w:tcW w:w="487" w:type="pct"/>
                  <w:tcBorders>
                    <w:tl2br w:val="nil"/>
                    <w:tr2bl w:val="nil"/>
                  </w:tcBorders>
                  <w:vAlign w:val="center"/>
                </w:tcPr>
                <w:p w14:paraId="4FBC24A1">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030AD4B1">
                  <w:pPr>
                    <w:adjustRightInd w:val="0"/>
                    <w:snapToGrid w:val="0"/>
                    <w:jc w:val="center"/>
                    <w:rPr>
                      <w:color w:val="auto"/>
                      <w:szCs w:val="21"/>
                      <w:highlight w:val="none"/>
                    </w:rPr>
                  </w:pPr>
                  <w:r>
                    <w:rPr>
                      <w:color w:val="auto"/>
                      <w:szCs w:val="21"/>
                      <w:highlight w:val="none"/>
                    </w:rPr>
                    <w:t>6万个</w:t>
                  </w:r>
                </w:p>
              </w:tc>
              <w:tc>
                <w:tcPr>
                  <w:tcW w:w="425" w:type="pct"/>
                  <w:vMerge w:val="restart"/>
                  <w:tcBorders>
                    <w:tl2br w:val="nil"/>
                    <w:tr2bl w:val="nil"/>
                  </w:tcBorders>
                  <w:vAlign w:val="center"/>
                </w:tcPr>
                <w:p w14:paraId="2B84924F">
                  <w:pPr>
                    <w:adjustRightInd w:val="0"/>
                    <w:snapToGrid w:val="0"/>
                    <w:jc w:val="center"/>
                    <w:rPr>
                      <w:color w:val="auto"/>
                      <w:szCs w:val="21"/>
                      <w:highlight w:val="none"/>
                      <w:lang w:eastAsia="zh-Hans"/>
                    </w:rPr>
                  </w:pPr>
                  <w:r>
                    <w:rPr>
                      <w:rFonts w:hint="eastAsia"/>
                      <w:color w:val="auto"/>
                      <w:szCs w:val="21"/>
                      <w:highlight w:val="none"/>
                      <w:lang w:eastAsia="zh-Hans"/>
                    </w:rPr>
                    <w:t>原料仓库</w:t>
                  </w:r>
                </w:p>
              </w:tc>
            </w:tr>
            <w:tr w14:paraId="5D31F19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01" w:hRule="atLeast"/>
                <w:jc w:val="center"/>
              </w:trPr>
              <w:tc>
                <w:tcPr>
                  <w:tcW w:w="229" w:type="pct"/>
                  <w:tcBorders>
                    <w:tl2br w:val="nil"/>
                    <w:tr2bl w:val="nil"/>
                  </w:tcBorders>
                  <w:vAlign w:val="center"/>
                </w:tcPr>
                <w:p w14:paraId="28DA49C4">
                  <w:pPr>
                    <w:adjustRightInd w:val="0"/>
                    <w:snapToGrid w:val="0"/>
                    <w:jc w:val="center"/>
                    <w:rPr>
                      <w:bCs/>
                      <w:color w:val="auto"/>
                      <w:szCs w:val="21"/>
                      <w:highlight w:val="none"/>
                    </w:rPr>
                  </w:pPr>
                  <w:r>
                    <w:rPr>
                      <w:bCs/>
                      <w:color w:val="auto"/>
                      <w:szCs w:val="21"/>
                      <w:highlight w:val="none"/>
                    </w:rPr>
                    <w:t>2</w:t>
                  </w:r>
                </w:p>
              </w:tc>
              <w:tc>
                <w:tcPr>
                  <w:tcW w:w="430" w:type="pct"/>
                  <w:vMerge w:val="continue"/>
                  <w:tcBorders>
                    <w:tl2br w:val="nil"/>
                    <w:tr2bl w:val="nil"/>
                  </w:tcBorders>
                  <w:vAlign w:val="center"/>
                </w:tcPr>
                <w:p w14:paraId="45F633CE">
                  <w:pPr>
                    <w:jc w:val="center"/>
                    <w:rPr>
                      <w:color w:val="auto"/>
                      <w:szCs w:val="21"/>
                      <w:highlight w:val="none"/>
                    </w:rPr>
                  </w:pPr>
                </w:p>
              </w:tc>
              <w:tc>
                <w:tcPr>
                  <w:tcW w:w="719" w:type="pct"/>
                  <w:tcBorders>
                    <w:tl2br w:val="nil"/>
                    <w:tr2bl w:val="nil"/>
                  </w:tcBorders>
                  <w:vAlign w:val="center"/>
                </w:tcPr>
                <w:p w14:paraId="4AAC4113">
                  <w:pPr>
                    <w:jc w:val="center"/>
                    <w:rPr>
                      <w:color w:val="auto"/>
                      <w:szCs w:val="21"/>
                      <w:highlight w:val="none"/>
                    </w:rPr>
                  </w:pPr>
                  <w:r>
                    <w:rPr>
                      <w:color w:val="auto"/>
                      <w:szCs w:val="21"/>
                      <w:highlight w:val="none"/>
                    </w:rPr>
                    <w:t>线圈上支架</w:t>
                  </w:r>
                </w:p>
              </w:tc>
              <w:tc>
                <w:tcPr>
                  <w:tcW w:w="1480" w:type="pct"/>
                  <w:tcBorders>
                    <w:tl2br w:val="nil"/>
                    <w:tr2bl w:val="nil"/>
                  </w:tcBorders>
                  <w:vAlign w:val="center"/>
                </w:tcPr>
                <w:p w14:paraId="0A5FFA48">
                  <w:pPr>
                    <w:jc w:val="center"/>
                    <w:rPr>
                      <w:color w:val="auto"/>
                      <w:szCs w:val="21"/>
                      <w:highlight w:val="none"/>
                    </w:rPr>
                  </w:pPr>
                  <w:r>
                    <w:rPr>
                      <w:rFonts w:hint="eastAsia"/>
                      <w:color w:val="auto"/>
                      <w:szCs w:val="21"/>
                      <w:highlight w:val="none"/>
                    </w:rPr>
                    <w:t>固体，</w:t>
                  </w:r>
                  <w:r>
                    <w:rPr>
                      <w:color w:val="auto"/>
                      <w:szCs w:val="21"/>
                      <w:highlight w:val="none"/>
                    </w:rPr>
                    <w:t>PPS、6g/</w:t>
                  </w:r>
                  <w:r>
                    <w:rPr>
                      <w:rFonts w:hint="eastAsia"/>
                      <w:color w:val="auto"/>
                      <w:szCs w:val="21"/>
                      <w:highlight w:val="none"/>
                      <w:lang w:eastAsia="zh-Hans"/>
                    </w:rPr>
                    <w:t>个</w:t>
                  </w:r>
                </w:p>
              </w:tc>
              <w:tc>
                <w:tcPr>
                  <w:tcW w:w="400" w:type="pct"/>
                  <w:tcBorders>
                    <w:tl2br w:val="nil"/>
                    <w:tr2bl w:val="nil"/>
                  </w:tcBorders>
                  <w:vAlign w:val="center"/>
                </w:tcPr>
                <w:p w14:paraId="3F84B615">
                  <w:pPr>
                    <w:jc w:val="center"/>
                    <w:rPr>
                      <w:color w:val="auto"/>
                      <w:szCs w:val="21"/>
                      <w:highlight w:val="none"/>
                    </w:rPr>
                  </w:pPr>
                  <w:r>
                    <w:rPr>
                      <w:color w:val="auto"/>
                      <w:szCs w:val="21"/>
                      <w:highlight w:val="none"/>
                    </w:rPr>
                    <w:t>96万个</w:t>
                  </w:r>
                </w:p>
              </w:tc>
              <w:tc>
                <w:tcPr>
                  <w:tcW w:w="400" w:type="pct"/>
                  <w:tcBorders>
                    <w:tl2br w:val="nil"/>
                    <w:tr2bl w:val="nil"/>
                  </w:tcBorders>
                  <w:vAlign w:val="center"/>
                </w:tcPr>
                <w:p w14:paraId="19DD0F1A">
                  <w:pPr>
                    <w:jc w:val="center"/>
                    <w:rPr>
                      <w:color w:val="auto"/>
                      <w:szCs w:val="21"/>
                      <w:highlight w:val="none"/>
                    </w:rPr>
                  </w:pPr>
                  <w:r>
                    <w:rPr>
                      <w:color w:val="auto"/>
                      <w:szCs w:val="21"/>
                      <w:highlight w:val="none"/>
                    </w:rPr>
                    <w:t>96万个</w:t>
                  </w:r>
                </w:p>
              </w:tc>
              <w:tc>
                <w:tcPr>
                  <w:tcW w:w="487" w:type="pct"/>
                  <w:tcBorders>
                    <w:tl2br w:val="nil"/>
                    <w:tr2bl w:val="nil"/>
                  </w:tcBorders>
                  <w:vAlign w:val="center"/>
                </w:tcPr>
                <w:p w14:paraId="34BAC86B">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1607E53E">
                  <w:pPr>
                    <w:adjustRightInd w:val="0"/>
                    <w:snapToGrid w:val="0"/>
                    <w:jc w:val="center"/>
                    <w:rPr>
                      <w:color w:val="auto"/>
                      <w:szCs w:val="21"/>
                      <w:highlight w:val="none"/>
                    </w:rPr>
                  </w:pPr>
                  <w:r>
                    <w:rPr>
                      <w:color w:val="auto"/>
                      <w:szCs w:val="21"/>
                      <w:highlight w:val="none"/>
                    </w:rPr>
                    <w:t>6万个</w:t>
                  </w:r>
                </w:p>
              </w:tc>
              <w:tc>
                <w:tcPr>
                  <w:tcW w:w="425" w:type="pct"/>
                  <w:vMerge w:val="continue"/>
                  <w:tcBorders>
                    <w:tl2br w:val="nil"/>
                    <w:tr2bl w:val="nil"/>
                  </w:tcBorders>
                  <w:vAlign w:val="center"/>
                </w:tcPr>
                <w:p w14:paraId="2E1EBA99">
                  <w:pPr>
                    <w:adjustRightInd w:val="0"/>
                    <w:snapToGrid w:val="0"/>
                    <w:jc w:val="center"/>
                    <w:rPr>
                      <w:color w:val="auto"/>
                      <w:szCs w:val="21"/>
                      <w:highlight w:val="none"/>
                    </w:rPr>
                  </w:pPr>
                </w:p>
              </w:tc>
            </w:tr>
            <w:tr w14:paraId="1714C90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87" w:hRule="atLeast"/>
                <w:jc w:val="center"/>
              </w:trPr>
              <w:tc>
                <w:tcPr>
                  <w:tcW w:w="229" w:type="pct"/>
                  <w:tcBorders>
                    <w:tl2br w:val="nil"/>
                    <w:tr2bl w:val="nil"/>
                  </w:tcBorders>
                  <w:vAlign w:val="center"/>
                </w:tcPr>
                <w:p w14:paraId="74809E40">
                  <w:pPr>
                    <w:adjustRightInd w:val="0"/>
                    <w:snapToGrid w:val="0"/>
                    <w:jc w:val="center"/>
                    <w:rPr>
                      <w:bCs/>
                      <w:color w:val="auto"/>
                      <w:szCs w:val="21"/>
                      <w:highlight w:val="none"/>
                    </w:rPr>
                  </w:pPr>
                  <w:r>
                    <w:rPr>
                      <w:bCs/>
                      <w:color w:val="auto"/>
                      <w:szCs w:val="21"/>
                      <w:highlight w:val="none"/>
                    </w:rPr>
                    <w:t>3</w:t>
                  </w:r>
                </w:p>
              </w:tc>
              <w:tc>
                <w:tcPr>
                  <w:tcW w:w="430" w:type="pct"/>
                  <w:vMerge w:val="continue"/>
                  <w:tcBorders>
                    <w:tl2br w:val="nil"/>
                    <w:tr2bl w:val="nil"/>
                  </w:tcBorders>
                  <w:vAlign w:val="center"/>
                </w:tcPr>
                <w:p w14:paraId="31468E78">
                  <w:pPr>
                    <w:widowControl/>
                    <w:jc w:val="center"/>
                    <w:textAlignment w:val="center"/>
                    <w:rPr>
                      <w:color w:val="auto"/>
                      <w:szCs w:val="21"/>
                      <w:highlight w:val="none"/>
                    </w:rPr>
                  </w:pPr>
                </w:p>
              </w:tc>
              <w:tc>
                <w:tcPr>
                  <w:tcW w:w="719" w:type="pct"/>
                  <w:tcBorders>
                    <w:tl2br w:val="nil"/>
                    <w:tr2bl w:val="nil"/>
                  </w:tcBorders>
                  <w:vAlign w:val="center"/>
                </w:tcPr>
                <w:p w14:paraId="76BACA65">
                  <w:pPr>
                    <w:widowControl/>
                    <w:jc w:val="center"/>
                    <w:textAlignment w:val="center"/>
                    <w:rPr>
                      <w:color w:val="auto"/>
                      <w:szCs w:val="21"/>
                      <w:highlight w:val="none"/>
                    </w:rPr>
                  </w:pPr>
                  <w:r>
                    <w:rPr>
                      <w:color w:val="auto"/>
                      <w:szCs w:val="21"/>
                      <w:highlight w:val="none"/>
                    </w:rPr>
                    <w:t>线圈下支架</w:t>
                  </w:r>
                </w:p>
              </w:tc>
              <w:tc>
                <w:tcPr>
                  <w:tcW w:w="1480" w:type="pct"/>
                  <w:tcBorders>
                    <w:tl2br w:val="nil"/>
                    <w:tr2bl w:val="nil"/>
                  </w:tcBorders>
                  <w:vAlign w:val="center"/>
                </w:tcPr>
                <w:p w14:paraId="7E7B6F4D">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PPS、5.5g/</w:t>
                  </w:r>
                  <w:r>
                    <w:rPr>
                      <w:rFonts w:hint="eastAsia"/>
                      <w:color w:val="auto"/>
                      <w:szCs w:val="21"/>
                      <w:highlight w:val="none"/>
                      <w:lang w:eastAsia="zh-Hans"/>
                    </w:rPr>
                    <w:t>个</w:t>
                  </w:r>
                </w:p>
              </w:tc>
              <w:tc>
                <w:tcPr>
                  <w:tcW w:w="400" w:type="pct"/>
                  <w:tcBorders>
                    <w:tl2br w:val="nil"/>
                    <w:tr2bl w:val="nil"/>
                  </w:tcBorders>
                  <w:vAlign w:val="center"/>
                </w:tcPr>
                <w:p w14:paraId="5E3EDC0D">
                  <w:pPr>
                    <w:jc w:val="center"/>
                    <w:rPr>
                      <w:color w:val="auto"/>
                      <w:szCs w:val="21"/>
                      <w:highlight w:val="none"/>
                    </w:rPr>
                  </w:pPr>
                  <w:r>
                    <w:rPr>
                      <w:color w:val="auto"/>
                      <w:szCs w:val="21"/>
                      <w:highlight w:val="none"/>
                    </w:rPr>
                    <w:t>96万个</w:t>
                  </w:r>
                </w:p>
              </w:tc>
              <w:tc>
                <w:tcPr>
                  <w:tcW w:w="400" w:type="pct"/>
                  <w:tcBorders>
                    <w:tl2br w:val="nil"/>
                    <w:tr2bl w:val="nil"/>
                  </w:tcBorders>
                  <w:vAlign w:val="center"/>
                </w:tcPr>
                <w:p w14:paraId="165B8609">
                  <w:pPr>
                    <w:jc w:val="center"/>
                    <w:rPr>
                      <w:color w:val="auto"/>
                      <w:szCs w:val="21"/>
                      <w:highlight w:val="none"/>
                    </w:rPr>
                  </w:pPr>
                  <w:r>
                    <w:rPr>
                      <w:color w:val="auto"/>
                      <w:szCs w:val="21"/>
                      <w:highlight w:val="none"/>
                    </w:rPr>
                    <w:t>96万个</w:t>
                  </w:r>
                </w:p>
              </w:tc>
              <w:tc>
                <w:tcPr>
                  <w:tcW w:w="487" w:type="pct"/>
                  <w:tcBorders>
                    <w:tl2br w:val="nil"/>
                    <w:tr2bl w:val="nil"/>
                  </w:tcBorders>
                  <w:vAlign w:val="center"/>
                </w:tcPr>
                <w:p w14:paraId="48DE50CC">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7365EB4D">
                  <w:pPr>
                    <w:adjustRightInd w:val="0"/>
                    <w:snapToGrid w:val="0"/>
                    <w:jc w:val="center"/>
                    <w:rPr>
                      <w:color w:val="auto"/>
                      <w:szCs w:val="21"/>
                      <w:highlight w:val="none"/>
                    </w:rPr>
                  </w:pPr>
                  <w:r>
                    <w:rPr>
                      <w:color w:val="auto"/>
                      <w:szCs w:val="21"/>
                      <w:highlight w:val="none"/>
                    </w:rPr>
                    <w:t>6万个</w:t>
                  </w:r>
                </w:p>
              </w:tc>
              <w:tc>
                <w:tcPr>
                  <w:tcW w:w="425" w:type="pct"/>
                  <w:vMerge w:val="continue"/>
                  <w:tcBorders>
                    <w:tl2br w:val="nil"/>
                    <w:tr2bl w:val="nil"/>
                  </w:tcBorders>
                  <w:vAlign w:val="center"/>
                </w:tcPr>
                <w:p w14:paraId="0C0F67FD">
                  <w:pPr>
                    <w:adjustRightInd w:val="0"/>
                    <w:snapToGrid w:val="0"/>
                    <w:jc w:val="center"/>
                    <w:rPr>
                      <w:color w:val="auto"/>
                      <w:szCs w:val="21"/>
                      <w:highlight w:val="none"/>
                    </w:rPr>
                  </w:pPr>
                </w:p>
              </w:tc>
            </w:tr>
            <w:tr w14:paraId="2B498E5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51E7AFA4">
                  <w:pPr>
                    <w:adjustRightInd w:val="0"/>
                    <w:snapToGrid w:val="0"/>
                    <w:jc w:val="center"/>
                    <w:rPr>
                      <w:bCs/>
                      <w:color w:val="auto"/>
                      <w:szCs w:val="21"/>
                      <w:highlight w:val="none"/>
                    </w:rPr>
                  </w:pPr>
                  <w:r>
                    <w:rPr>
                      <w:bCs/>
                      <w:color w:val="auto"/>
                      <w:szCs w:val="21"/>
                      <w:highlight w:val="none"/>
                    </w:rPr>
                    <w:t>4</w:t>
                  </w:r>
                </w:p>
              </w:tc>
              <w:tc>
                <w:tcPr>
                  <w:tcW w:w="430" w:type="pct"/>
                  <w:vMerge w:val="continue"/>
                  <w:tcBorders>
                    <w:tl2br w:val="nil"/>
                    <w:tr2bl w:val="nil"/>
                  </w:tcBorders>
                  <w:vAlign w:val="center"/>
                </w:tcPr>
                <w:p w14:paraId="192A84D4">
                  <w:pPr>
                    <w:widowControl/>
                    <w:jc w:val="center"/>
                    <w:textAlignment w:val="center"/>
                    <w:rPr>
                      <w:color w:val="auto"/>
                      <w:szCs w:val="21"/>
                      <w:highlight w:val="none"/>
                    </w:rPr>
                  </w:pPr>
                </w:p>
              </w:tc>
              <w:tc>
                <w:tcPr>
                  <w:tcW w:w="719" w:type="pct"/>
                  <w:tcBorders>
                    <w:tl2br w:val="nil"/>
                    <w:tr2bl w:val="nil"/>
                  </w:tcBorders>
                  <w:vAlign w:val="center"/>
                </w:tcPr>
                <w:p w14:paraId="3A861173">
                  <w:pPr>
                    <w:widowControl/>
                    <w:jc w:val="center"/>
                    <w:textAlignment w:val="center"/>
                    <w:rPr>
                      <w:color w:val="auto"/>
                      <w:szCs w:val="21"/>
                      <w:highlight w:val="none"/>
                    </w:rPr>
                  </w:pPr>
                  <w:r>
                    <w:rPr>
                      <w:color w:val="auto"/>
                      <w:szCs w:val="21"/>
                      <w:highlight w:val="none"/>
                    </w:rPr>
                    <w:t>漆包线</w:t>
                  </w:r>
                </w:p>
              </w:tc>
              <w:tc>
                <w:tcPr>
                  <w:tcW w:w="1480" w:type="pct"/>
                  <w:tcBorders>
                    <w:tl2br w:val="nil"/>
                    <w:tr2bl w:val="nil"/>
                  </w:tcBorders>
                  <w:vAlign w:val="center"/>
                </w:tcPr>
                <w:p w14:paraId="6569C4FA">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铜</w:t>
                  </w:r>
                </w:p>
              </w:tc>
              <w:tc>
                <w:tcPr>
                  <w:tcW w:w="400" w:type="pct"/>
                  <w:tcBorders>
                    <w:tl2br w:val="nil"/>
                    <w:tr2bl w:val="nil"/>
                  </w:tcBorders>
                  <w:vAlign w:val="center"/>
                </w:tcPr>
                <w:p w14:paraId="7CF98F7F">
                  <w:pPr>
                    <w:jc w:val="center"/>
                    <w:rPr>
                      <w:color w:val="auto"/>
                      <w:szCs w:val="21"/>
                      <w:highlight w:val="none"/>
                    </w:rPr>
                  </w:pPr>
                  <w:r>
                    <w:rPr>
                      <w:color w:val="auto"/>
                      <w:szCs w:val="21"/>
                      <w:highlight w:val="none"/>
                    </w:rPr>
                    <w:t xml:space="preserve">200 </w:t>
                  </w:r>
                </w:p>
              </w:tc>
              <w:tc>
                <w:tcPr>
                  <w:tcW w:w="400" w:type="pct"/>
                  <w:tcBorders>
                    <w:tl2br w:val="nil"/>
                    <w:tr2bl w:val="nil"/>
                  </w:tcBorders>
                  <w:vAlign w:val="center"/>
                </w:tcPr>
                <w:p w14:paraId="2DE632AD">
                  <w:pPr>
                    <w:jc w:val="center"/>
                    <w:rPr>
                      <w:color w:val="auto"/>
                      <w:szCs w:val="21"/>
                      <w:highlight w:val="none"/>
                    </w:rPr>
                  </w:pPr>
                  <w:r>
                    <w:rPr>
                      <w:color w:val="auto"/>
                      <w:szCs w:val="21"/>
                      <w:highlight w:val="none"/>
                    </w:rPr>
                    <w:t>200</w:t>
                  </w:r>
                </w:p>
              </w:tc>
              <w:tc>
                <w:tcPr>
                  <w:tcW w:w="487" w:type="pct"/>
                  <w:tcBorders>
                    <w:tl2br w:val="nil"/>
                    <w:tr2bl w:val="nil"/>
                  </w:tcBorders>
                  <w:vAlign w:val="center"/>
                </w:tcPr>
                <w:p w14:paraId="62B98B32">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56E63E57">
                  <w:pPr>
                    <w:adjustRightInd w:val="0"/>
                    <w:snapToGrid w:val="0"/>
                    <w:jc w:val="center"/>
                    <w:rPr>
                      <w:color w:val="auto"/>
                      <w:szCs w:val="21"/>
                      <w:highlight w:val="none"/>
                    </w:rPr>
                  </w:pPr>
                  <w:r>
                    <w:rPr>
                      <w:color w:val="auto"/>
                      <w:szCs w:val="21"/>
                      <w:highlight w:val="none"/>
                    </w:rPr>
                    <w:t>10</w:t>
                  </w:r>
                </w:p>
              </w:tc>
              <w:tc>
                <w:tcPr>
                  <w:tcW w:w="425" w:type="pct"/>
                  <w:vMerge w:val="continue"/>
                  <w:tcBorders>
                    <w:tl2br w:val="nil"/>
                    <w:tr2bl w:val="nil"/>
                  </w:tcBorders>
                  <w:vAlign w:val="center"/>
                </w:tcPr>
                <w:p w14:paraId="25812F54">
                  <w:pPr>
                    <w:adjustRightInd w:val="0"/>
                    <w:snapToGrid w:val="0"/>
                    <w:jc w:val="center"/>
                    <w:rPr>
                      <w:color w:val="auto"/>
                      <w:szCs w:val="21"/>
                      <w:highlight w:val="none"/>
                    </w:rPr>
                  </w:pPr>
                </w:p>
              </w:tc>
            </w:tr>
            <w:tr w14:paraId="4719315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6E6CB59B">
                  <w:pPr>
                    <w:adjustRightInd w:val="0"/>
                    <w:snapToGrid w:val="0"/>
                    <w:jc w:val="center"/>
                    <w:rPr>
                      <w:bCs/>
                      <w:color w:val="auto"/>
                      <w:szCs w:val="21"/>
                      <w:highlight w:val="none"/>
                    </w:rPr>
                  </w:pPr>
                  <w:r>
                    <w:rPr>
                      <w:bCs/>
                      <w:color w:val="auto"/>
                      <w:szCs w:val="21"/>
                      <w:highlight w:val="none"/>
                    </w:rPr>
                    <w:t>5</w:t>
                  </w:r>
                </w:p>
              </w:tc>
              <w:tc>
                <w:tcPr>
                  <w:tcW w:w="430" w:type="pct"/>
                  <w:vMerge w:val="continue"/>
                  <w:tcBorders>
                    <w:tl2br w:val="nil"/>
                    <w:tr2bl w:val="nil"/>
                  </w:tcBorders>
                  <w:vAlign w:val="center"/>
                </w:tcPr>
                <w:p w14:paraId="1EEE6A94">
                  <w:pPr>
                    <w:widowControl/>
                    <w:jc w:val="center"/>
                    <w:textAlignment w:val="center"/>
                    <w:rPr>
                      <w:color w:val="auto"/>
                      <w:szCs w:val="21"/>
                      <w:highlight w:val="none"/>
                    </w:rPr>
                  </w:pPr>
                </w:p>
              </w:tc>
              <w:tc>
                <w:tcPr>
                  <w:tcW w:w="719" w:type="pct"/>
                  <w:tcBorders>
                    <w:tl2br w:val="nil"/>
                    <w:tr2bl w:val="nil"/>
                  </w:tcBorders>
                  <w:vAlign w:val="center"/>
                </w:tcPr>
                <w:p w14:paraId="36A432E5">
                  <w:pPr>
                    <w:widowControl/>
                    <w:jc w:val="center"/>
                    <w:textAlignment w:val="center"/>
                    <w:rPr>
                      <w:color w:val="auto"/>
                      <w:szCs w:val="21"/>
                      <w:highlight w:val="none"/>
                    </w:rPr>
                  </w:pPr>
                  <w:r>
                    <w:rPr>
                      <w:color w:val="auto"/>
                      <w:szCs w:val="21"/>
                      <w:highlight w:val="none"/>
                    </w:rPr>
                    <w:t>分配环</w:t>
                  </w:r>
                </w:p>
              </w:tc>
              <w:tc>
                <w:tcPr>
                  <w:tcW w:w="1480" w:type="pct"/>
                  <w:tcBorders>
                    <w:tl2br w:val="nil"/>
                    <w:tr2bl w:val="nil"/>
                  </w:tcBorders>
                  <w:vAlign w:val="center"/>
                </w:tcPr>
                <w:p w14:paraId="1B7957B2">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PPS+铜、312.6pg</w:t>
                  </w:r>
                </w:p>
              </w:tc>
              <w:tc>
                <w:tcPr>
                  <w:tcW w:w="400" w:type="pct"/>
                  <w:tcBorders>
                    <w:tl2br w:val="nil"/>
                    <w:tr2bl w:val="nil"/>
                  </w:tcBorders>
                  <w:vAlign w:val="center"/>
                </w:tcPr>
                <w:p w14:paraId="3CD59603">
                  <w:pPr>
                    <w:jc w:val="center"/>
                    <w:rPr>
                      <w:color w:val="auto"/>
                      <w:szCs w:val="21"/>
                      <w:highlight w:val="none"/>
                    </w:rPr>
                  </w:pPr>
                  <w:r>
                    <w:rPr>
                      <w:color w:val="auto"/>
                      <w:szCs w:val="21"/>
                      <w:highlight w:val="none"/>
                    </w:rPr>
                    <w:t>4万个</w:t>
                  </w:r>
                </w:p>
              </w:tc>
              <w:tc>
                <w:tcPr>
                  <w:tcW w:w="400" w:type="pct"/>
                  <w:tcBorders>
                    <w:tl2br w:val="nil"/>
                    <w:tr2bl w:val="nil"/>
                  </w:tcBorders>
                  <w:vAlign w:val="center"/>
                </w:tcPr>
                <w:p w14:paraId="5ACED132">
                  <w:pPr>
                    <w:jc w:val="center"/>
                    <w:rPr>
                      <w:color w:val="auto"/>
                      <w:szCs w:val="21"/>
                      <w:highlight w:val="none"/>
                    </w:rPr>
                  </w:pPr>
                  <w:r>
                    <w:rPr>
                      <w:color w:val="auto"/>
                      <w:szCs w:val="21"/>
                      <w:highlight w:val="none"/>
                    </w:rPr>
                    <w:t>4万个</w:t>
                  </w:r>
                </w:p>
              </w:tc>
              <w:tc>
                <w:tcPr>
                  <w:tcW w:w="487" w:type="pct"/>
                  <w:tcBorders>
                    <w:tl2br w:val="nil"/>
                    <w:tr2bl w:val="nil"/>
                  </w:tcBorders>
                  <w:vAlign w:val="center"/>
                </w:tcPr>
                <w:p w14:paraId="304179C6">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5E891877">
                  <w:pPr>
                    <w:adjustRightInd w:val="0"/>
                    <w:snapToGrid w:val="0"/>
                    <w:jc w:val="center"/>
                    <w:rPr>
                      <w:color w:val="auto"/>
                      <w:szCs w:val="21"/>
                      <w:highlight w:val="none"/>
                    </w:rPr>
                  </w:pPr>
                  <w:r>
                    <w:rPr>
                      <w:color w:val="auto"/>
                      <w:szCs w:val="21"/>
                      <w:highlight w:val="none"/>
                    </w:rPr>
                    <w:t>1万个</w:t>
                  </w:r>
                </w:p>
              </w:tc>
              <w:tc>
                <w:tcPr>
                  <w:tcW w:w="425" w:type="pct"/>
                  <w:vMerge w:val="continue"/>
                  <w:tcBorders>
                    <w:tl2br w:val="nil"/>
                    <w:tr2bl w:val="nil"/>
                  </w:tcBorders>
                  <w:vAlign w:val="center"/>
                </w:tcPr>
                <w:p w14:paraId="1B23BB83">
                  <w:pPr>
                    <w:adjustRightInd w:val="0"/>
                    <w:snapToGrid w:val="0"/>
                    <w:jc w:val="center"/>
                    <w:rPr>
                      <w:color w:val="auto"/>
                      <w:szCs w:val="21"/>
                      <w:highlight w:val="none"/>
                    </w:rPr>
                  </w:pPr>
                </w:p>
              </w:tc>
            </w:tr>
            <w:tr w14:paraId="15BA69E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18" w:hRule="atLeast"/>
                <w:jc w:val="center"/>
              </w:trPr>
              <w:tc>
                <w:tcPr>
                  <w:tcW w:w="229" w:type="pct"/>
                  <w:tcBorders>
                    <w:tl2br w:val="nil"/>
                    <w:tr2bl w:val="nil"/>
                  </w:tcBorders>
                  <w:vAlign w:val="center"/>
                </w:tcPr>
                <w:p w14:paraId="0B04478A">
                  <w:pPr>
                    <w:adjustRightInd w:val="0"/>
                    <w:snapToGrid w:val="0"/>
                    <w:jc w:val="center"/>
                    <w:rPr>
                      <w:bCs/>
                      <w:color w:val="auto"/>
                      <w:szCs w:val="21"/>
                      <w:highlight w:val="none"/>
                    </w:rPr>
                  </w:pPr>
                  <w:r>
                    <w:rPr>
                      <w:bCs/>
                      <w:color w:val="auto"/>
                      <w:szCs w:val="21"/>
                      <w:highlight w:val="none"/>
                    </w:rPr>
                    <w:t>6</w:t>
                  </w:r>
                </w:p>
              </w:tc>
              <w:tc>
                <w:tcPr>
                  <w:tcW w:w="430" w:type="pct"/>
                  <w:vMerge w:val="continue"/>
                  <w:tcBorders>
                    <w:tl2br w:val="nil"/>
                    <w:tr2bl w:val="nil"/>
                  </w:tcBorders>
                  <w:vAlign w:val="center"/>
                </w:tcPr>
                <w:p w14:paraId="283C8976">
                  <w:pPr>
                    <w:widowControl/>
                    <w:jc w:val="center"/>
                    <w:textAlignment w:val="center"/>
                    <w:rPr>
                      <w:color w:val="auto"/>
                      <w:szCs w:val="21"/>
                      <w:highlight w:val="none"/>
                    </w:rPr>
                  </w:pPr>
                </w:p>
              </w:tc>
              <w:tc>
                <w:tcPr>
                  <w:tcW w:w="719" w:type="pct"/>
                  <w:tcBorders>
                    <w:tl2br w:val="nil"/>
                    <w:tr2bl w:val="nil"/>
                  </w:tcBorders>
                  <w:vAlign w:val="center"/>
                </w:tcPr>
                <w:p w14:paraId="05AFA161">
                  <w:pPr>
                    <w:widowControl/>
                    <w:jc w:val="center"/>
                    <w:textAlignment w:val="center"/>
                    <w:rPr>
                      <w:color w:val="auto"/>
                      <w:szCs w:val="21"/>
                      <w:highlight w:val="none"/>
                    </w:rPr>
                  </w:pPr>
                  <w:r>
                    <w:rPr>
                      <w:color w:val="auto"/>
                      <w:szCs w:val="21"/>
                      <w:highlight w:val="none"/>
                    </w:rPr>
                    <w:t>温度传感器组件</w:t>
                  </w:r>
                </w:p>
              </w:tc>
              <w:tc>
                <w:tcPr>
                  <w:tcW w:w="1480" w:type="pct"/>
                  <w:tcBorders>
                    <w:tl2br w:val="nil"/>
                    <w:tr2bl w:val="nil"/>
                  </w:tcBorders>
                  <w:vAlign w:val="center"/>
                </w:tcPr>
                <w:p w14:paraId="5923D11A">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PPS+铜、25g/</w:t>
                  </w:r>
                  <w:r>
                    <w:rPr>
                      <w:rFonts w:hint="eastAsia"/>
                      <w:color w:val="auto"/>
                      <w:szCs w:val="21"/>
                      <w:highlight w:val="none"/>
                      <w:lang w:eastAsia="zh-Hans"/>
                    </w:rPr>
                    <w:t>个</w:t>
                  </w:r>
                </w:p>
              </w:tc>
              <w:tc>
                <w:tcPr>
                  <w:tcW w:w="400" w:type="pct"/>
                  <w:tcBorders>
                    <w:tl2br w:val="nil"/>
                    <w:tr2bl w:val="nil"/>
                  </w:tcBorders>
                  <w:vAlign w:val="center"/>
                </w:tcPr>
                <w:p w14:paraId="5605A403">
                  <w:pPr>
                    <w:jc w:val="center"/>
                    <w:rPr>
                      <w:color w:val="auto"/>
                      <w:szCs w:val="21"/>
                      <w:highlight w:val="none"/>
                    </w:rPr>
                  </w:pPr>
                  <w:r>
                    <w:rPr>
                      <w:color w:val="auto"/>
                      <w:szCs w:val="21"/>
                      <w:highlight w:val="none"/>
                    </w:rPr>
                    <w:t>4万个</w:t>
                  </w:r>
                </w:p>
              </w:tc>
              <w:tc>
                <w:tcPr>
                  <w:tcW w:w="400" w:type="pct"/>
                  <w:tcBorders>
                    <w:tl2br w:val="nil"/>
                    <w:tr2bl w:val="nil"/>
                  </w:tcBorders>
                  <w:vAlign w:val="center"/>
                </w:tcPr>
                <w:p w14:paraId="798A03A6">
                  <w:pPr>
                    <w:jc w:val="center"/>
                    <w:rPr>
                      <w:color w:val="auto"/>
                      <w:szCs w:val="21"/>
                      <w:highlight w:val="none"/>
                    </w:rPr>
                  </w:pPr>
                  <w:r>
                    <w:rPr>
                      <w:color w:val="auto"/>
                      <w:szCs w:val="21"/>
                      <w:highlight w:val="none"/>
                    </w:rPr>
                    <w:t>4万个</w:t>
                  </w:r>
                </w:p>
              </w:tc>
              <w:tc>
                <w:tcPr>
                  <w:tcW w:w="487" w:type="pct"/>
                  <w:tcBorders>
                    <w:tl2br w:val="nil"/>
                    <w:tr2bl w:val="nil"/>
                  </w:tcBorders>
                  <w:vAlign w:val="center"/>
                </w:tcPr>
                <w:p w14:paraId="7A33D402">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30E0E608">
                  <w:pPr>
                    <w:adjustRightInd w:val="0"/>
                    <w:snapToGrid w:val="0"/>
                    <w:jc w:val="center"/>
                    <w:rPr>
                      <w:color w:val="auto"/>
                      <w:szCs w:val="21"/>
                      <w:highlight w:val="none"/>
                    </w:rPr>
                  </w:pPr>
                  <w:r>
                    <w:rPr>
                      <w:color w:val="auto"/>
                      <w:szCs w:val="21"/>
                      <w:highlight w:val="none"/>
                    </w:rPr>
                    <w:t>1万个</w:t>
                  </w:r>
                </w:p>
              </w:tc>
              <w:tc>
                <w:tcPr>
                  <w:tcW w:w="425" w:type="pct"/>
                  <w:vMerge w:val="continue"/>
                  <w:tcBorders>
                    <w:tl2br w:val="nil"/>
                    <w:tr2bl w:val="nil"/>
                  </w:tcBorders>
                  <w:vAlign w:val="center"/>
                </w:tcPr>
                <w:p w14:paraId="5E80ECEB">
                  <w:pPr>
                    <w:adjustRightInd w:val="0"/>
                    <w:snapToGrid w:val="0"/>
                    <w:jc w:val="center"/>
                    <w:rPr>
                      <w:color w:val="auto"/>
                      <w:szCs w:val="21"/>
                      <w:highlight w:val="none"/>
                    </w:rPr>
                  </w:pPr>
                </w:p>
              </w:tc>
            </w:tr>
            <w:tr w14:paraId="333E3AA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5DAEF283">
                  <w:pPr>
                    <w:adjustRightInd w:val="0"/>
                    <w:snapToGrid w:val="0"/>
                    <w:jc w:val="center"/>
                    <w:rPr>
                      <w:bCs/>
                      <w:color w:val="auto"/>
                      <w:szCs w:val="21"/>
                      <w:highlight w:val="none"/>
                    </w:rPr>
                  </w:pPr>
                  <w:r>
                    <w:rPr>
                      <w:bCs/>
                      <w:color w:val="auto"/>
                      <w:szCs w:val="21"/>
                      <w:highlight w:val="none"/>
                    </w:rPr>
                    <w:t>7</w:t>
                  </w:r>
                </w:p>
              </w:tc>
              <w:tc>
                <w:tcPr>
                  <w:tcW w:w="430" w:type="pct"/>
                  <w:vMerge w:val="continue"/>
                  <w:tcBorders>
                    <w:tl2br w:val="nil"/>
                    <w:tr2bl w:val="nil"/>
                  </w:tcBorders>
                  <w:vAlign w:val="center"/>
                </w:tcPr>
                <w:p w14:paraId="43B65C36">
                  <w:pPr>
                    <w:widowControl/>
                    <w:jc w:val="center"/>
                    <w:textAlignment w:val="center"/>
                    <w:rPr>
                      <w:color w:val="auto"/>
                      <w:szCs w:val="21"/>
                      <w:highlight w:val="none"/>
                    </w:rPr>
                  </w:pPr>
                </w:p>
              </w:tc>
              <w:tc>
                <w:tcPr>
                  <w:tcW w:w="719" w:type="pct"/>
                  <w:tcBorders>
                    <w:tl2br w:val="nil"/>
                    <w:tr2bl w:val="nil"/>
                  </w:tcBorders>
                  <w:vAlign w:val="center"/>
                </w:tcPr>
                <w:p w14:paraId="2CF7D2B1">
                  <w:pPr>
                    <w:widowControl/>
                    <w:jc w:val="center"/>
                    <w:textAlignment w:val="center"/>
                    <w:rPr>
                      <w:color w:val="auto"/>
                      <w:szCs w:val="21"/>
                      <w:highlight w:val="none"/>
                    </w:rPr>
                  </w:pPr>
                  <w:r>
                    <w:rPr>
                      <w:color w:val="auto"/>
                      <w:szCs w:val="21"/>
                      <w:highlight w:val="none"/>
                    </w:rPr>
                    <w:t>转接头</w:t>
                  </w:r>
                </w:p>
              </w:tc>
              <w:tc>
                <w:tcPr>
                  <w:tcW w:w="1480" w:type="pct"/>
                  <w:tcBorders>
                    <w:tl2br w:val="nil"/>
                    <w:tr2bl w:val="nil"/>
                  </w:tcBorders>
                  <w:vAlign w:val="center"/>
                </w:tcPr>
                <w:p w14:paraId="0B57EC06">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PPS+铜、22g/</w:t>
                  </w:r>
                  <w:r>
                    <w:rPr>
                      <w:rFonts w:hint="eastAsia"/>
                      <w:color w:val="auto"/>
                      <w:szCs w:val="21"/>
                      <w:highlight w:val="none"/>
                      <w:lang w:eastAsia="zh-Hans"/>
                    </w:rPr>
                    <w:t>个</w:t>
                  </w:r>
                </w:p>
              </w:tc>
              <w:tc>
                <w:tcPr>
                  <w:tcW w:w="400" w:type="pct"/>
                  <w:tcBorders>
                    <w:tl2br w:val="nil"/>
                    <w:tr2bl w:val="nil"/>
                  </w:tcBorders>
                  <w:vAlign w:val="center"/>
                </w:tcPr>
                <w:p w14:paraId="109E42A1">
                  <w:pPr>
                    <w:jc w:val="center"/>
                    <w:rPr>
                      <w:color w:val="auto"/>
                      <w:szCs w:val="21"/>
                      <w:highlight w:val="none"/>
                    </w:rPr>
                  </w:pPr>
                  <w:r>
                    <w:rPr>
                      <w:color w:val="auto"/>
                      <w:szCs w:val="21"/>
                      <w:highlight w:val="none"/>
                    </w:rPr>
                    <w:t>4万个</w:t>
                  </w:r>
                </w:p>
              </w:tc>
              <w:tc>
                <w:tcPr>
                  <w:tcW w:w="400" w:type="pct"/>
                  <w:tcBorders>
                    <w:tl2br w:val="nil"/>
                    <w:tr2bl w:val="nil"/>
                  </w:tcBorders>
                  <w:vAlign w:val="center"/>
                </w:tcPr>
                <w:p w14:paraId="5364B93B">
                  <w:pPr>
                    <w:jc w:val="center"/>
                    <w:rPr>
                      <w:color w:val="auto"/>
                      <w:szCs w:val="21"/>
                      <w:highlight w:val="none"/>
                    </w:rPr>
                  </w:pPr>
                  <w:r>
                    <w:rPr>
                      <w:color w:val="auto"/>
                      <w:szCs w:val="21"/>
                      <w:highlight w:val="none"/>
                    </w:rPr>
                    <w:t>4万个</w:t>
                  </w:r>
                </w:p>
              </w:tc>
              <w:tc>
                <w:tcPr>
                  <w:tcW w:w="487" w:type="pct"/>
                  <w:tcBorders>
                    <w:tl2br w:val="nil"/>
                    <w:tr2bl w:val="nil"/>
                  </w:tcBorders>
                  <w:vAlign w:val="center"/>
                </w:tcPr>
                <w:p w14:paraId="548B55C5">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55D515CA">
                  <w:pPr>
                    <w:adjustRightInd w:val="0"/>
                    <w:snapToGrid w:val="0"/>
                    <w:jc w:val="center"/>
                    <w:rPr>
                      <w:color w:val="auto"/>
                      <w:szCs w:val="21"/>
                      <w:highlight w:val="none"/>
                    </w:rPr>
                  </w:pPr>
                  <w:r>
                    <w:rPr>
                      <w:color w:val="auto"/>
                      <w:szCs w:val="21"/>
                      <w:highlight w:val="none"/>
                    </w:rPr>
                    <w:t>1万个</w:t>
                  </w:r>
                </w:p>
              </w:tc>
              <w:tc>
                <w:tcPr>
                  <w:tcW w:w="425" w:type="pct"/>
                  <w:vMerge w:val="continue"/>
                  <w:tcBorders>
                    <w:tl2br w:val="nil"/>
                    <w:tr2bl w:val="nil"/>
                  </w:tcBorders>
                  <w:vAlign w:val="center"/>
                </w:tcPr>
                <w:p w14:paraId="3EE50122">
                  <w:pPr>
                    <w:adjustRightInd w:val="0"/>
                    <w:snapToGrid w:val="0"/>
                    <w:jc w:val="center"/>
                    <w:rPr>
                      <w:color w:val="auto"/>
                      <w:szCs w:val="21"/>
                      <w:highlight w:val="none"/>
                    </w:rPr>
                  </w:pPr>
                </w:p>
              </w:tc>
            </w:tr>
            <w:tr w14:paraId="352B4E9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649DFF73">
                  <w:pPr>
                    <w:adjustRightInd w:val="0"/>
                    <w:snapToGrid w:val="0"/>
                    <w:jc w:val="center"/>
                    <w:rPr>
                      <w:bCs/>
                      <w:color w:val="auto"/>
                      <w:szCs w:val="21"/>
                      <w:highlight w:val="none"/>
                    </w:rPr>
                  </w:pPr>
                  <w:r>
                    <w:rPr>
                      <w:bCs/>
                      <w:color w:val="auto"/>
                      <w:szCs w:val="21"/>
                      <w:highlight w:val="none"/>
                    </w:rPr>
                    <w:t>8</w:t>
                  </w:r>
                </w:p>
              </w:tc>
              <w:tc>
                <w:tcPr>
                  <w:tcW w:w="430" w:type="pct"/>
                  <w:vMerge w:val="continue"/>
                  <w:tcBorders>
                    <w:tl2br w:val="nil"/>
                    <w:tr2bl w:val="nil"/>
                  </w:tcBorders>
                  <w:vAlign w:val="center"/>
                </w:tcPr>
                <w:p w14:paraId="274D9CA8">
                  <w:pPr>
                    <w:widowControl/>
                    <w:jc w:val="center"/>
                    <w:textAlignment w:val="center"/>
                    <w:rPr>
                      <w:color w:val="auto"/>
                      <w:szCs w:val="21"/>
                      <w:highlight w:val="none"/>
                    </w:rPr>
                  </w:pPr>
                </w:p>
              </w:tc>
              <w:tc>
                <w:tcPr>
                  <w:tcW w:w="719" w:type="pct"/>
                  <w:tcBorders>
                    <w:tl2br w:val="nil"/>
                    <w:tr2bl w:val="nil"/>
                  </w:tcBorders>
                  <w:vAlign w:val="center"/>
                </w:tcPr>
                <w:p w14:paraId="13B3A12F">
                  <w:pPr>
                    <w:widowControl/>
                    <w:jc w:val="center"/>
                    <w:textAlignment w:val="center"/>
                    <w:rPr>
                      <w:color w:val="auto"/>
                      <w:szCs w:val="21"/>
                      <w:highlight w:val="none"/>
                    </w:rPr>
                  </w:pPr>
                  <w:r>
                    <w:rPr>
                      <w:color w:val="auto"/>
                      <w:szCs w:val="21"/>
                      <w:highlight w:val="none"/>
                    </w:rPr>
                    <w:t>内壳</w:t>
                  </w:r>
                </w:p>
              </w:tc>
              <w:tc>
                <w:tcPr>
                  <w:tcW w:w="1480" w:type="pct"/>
                  <w:tcBorders>
                    <w:tl2br w:val="nil"/>
                    <w:tr2bl w:val="nil"/>
                  </w:tcBorders>
                  <w:vAlign w:val="center"/>
                </w:tcPr>
                <w:p w14:paraId="659170E0">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 xml:space="preserve">Q345、3kg </w:t>
                  </w:r>
                  <w:r>
                    <w:rPr>
                      <w:color w:val="auto"/>
                      <w:szCs w:val="21"/>
                      <w:highlight w:val="none"/>
                      <w:shd w:val="clear" w:color="auto" w:fill="FFFFFF"/>
                    </w:rPr>
                    <w:t>Φ270</w:t>
                  </w:r>
                </w:p>
              </w:tc>
              <w:tc>
                <w:tcPr>
                  <w:tcW w:w="400" w:type="pct"/>
                  <w:tcBorders>
                    <w:tl2br w:val="nil"/>
                    <w:tr2bl w:val="nil"/>
                  </w:tcBorders>
                  <w:vAlign w:val="center"/>
                </w:tcPr>
                <w:p w14:paraId="6F2036C3">
                  <w:pPr>
                    <w:jc w:val="center"/>
                    <w:rPr>
                      <w:color w:val="auto"/>
                      <w:szCs w:val="21"/>
                      <w:highlight w:val="none"/>
                    </w:rPr>
                  </w:pPr>
                  <w:r>
                    <w:rPr>
                      <w:color w:val="auto"/>
                      <w:szCs w:val="21"/>
                      <w:highlight w:val="none"/>
                    </w:rPr>
                    <w:t>4万个</w:t>
                  </w:r>
                </w:p>
              </w:tc>
              <w:tc>
                <w:tcPr>
                  <w:tcW w:w="400" w:type="pct"/>
                  <w:tcBorders>
                    <w:tl2br w:val="nil"/>
                    <w:tr2bl w:val="nil"/>
                  </w:tcBorders>
                  <w:vAlign w:val="center"/>
                </w:tcPr>
                <w:p w14:paraId="3BB5F4E8">
                  <w:pPr>
                    <w:jc w:val="center"/>
                    <w:rPr>
                      <w:color w:val="auto"/>
                      <w:szCs w:val="21"/>
                      <w:highlight w:val="none"/>
                    </w:rPr>
                  </w:pPr>
                  <w:r>
                    <w:rPr>
                      <w:color w:val="auto"/>
                      <w:szCs w:val="21"/>
                      <w:highlight w:val="none"/>
                    </w:rPr>
                    <w:t>4万个</w:t>
                  </w:r>
                </w:p>
              </w:tc>
              <w:tc>
                <w:tcPr>
                  <w:tcW w:w="487" w:type="pct"/>
                  <w:tcBorders>
                    <w:tl2br w:val="nil"/>
                    <w:tr2bl w:val="nil"/>
                  </w:tcBorders>
                  <w:vAlign w:val="center"/>
                </w:tcPr>
                <w:p w14:paraId="395CC95B">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547568DA">
                  <w:pPr>
                    <w:adjustRightInd w:val="0"/>
                    <w:snapToGrid w:val="0"/>
                    <w:jc w:val="center"/>
                    <w:rPr>
                      <w:color w:val="auto"/>
                      <w:szCs w:val="21"/>
                      <w:highlight w:val="none"/>
                    </w:rPr>
                  </w:pPr>
                  <w:r>
                    <w:rPr>
                      <w:color w:val="auto"/>
                      <w:szCs w:val="21"/>
                      <w:highlight w:val="none"/>
                    </w:rPr>
                    <w:t>1万个</w:t>
                  </w:r>
                </w:p>
              </w:tc>
              <w:tc>
                <w:tcPr>
                  <w:tcW w:w="425" w:type="pct"/>
                  <w:vMerge w:val="continue"/>
                  <w:tcBorders>
                    <w:tl2br w:val="nil"/>
                    <w:tr2bl w:val="nil"/>
                  </w:tcBorders>
                  <w:vAlign w:val="center"/>
                </w:tcPr>
                <w:p w14:paraId="37BB16EE">
                  <w:pPr>
                    <w:adjustRightInd w:val="0"/>
                    <w:snapToGrid w:val="0"/>
                    <w:jc w:val="center"/>
                    <w:rPr>
                      <w:color w:val="auto"/>
                      <w:szCs w:val="21"/>
                      <w:highlight w:val="none"/>
                    </w:rPr>
                  </w:pPr>
                </w:p>
              </w:tc>
            </w:tr>
            <w:tr w14:paraId="69CBF59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280D92E4">
                  <w:pPr>
                    <w:adjustRightInd w:val="0"/>
                    <w:snapToGrid w:val="0"/>
                    <w:jc w:val="center"/>
                    <w:rPr>
                      <w:bCs/>
                      <w:color w:val="auto"/>
                      <w:szCs w:val="21"/>
                      <w:highlight w:val="none"/>
                    </w:rPr>
                  </w:pPr>
                  <w:r>
                    <w:rPr>
                      <w:bCs/>
                      <w:color w:val="auto"/>
                      <w:szCs w:val="21"/>
                      <w:highlight w:val="none"/>
                    </w:rPr>
                    <w:t>9</w:t>
                  </w:r>
                </w:p>
              </w:tc>
              <w:tc>
                <w:tcPr>
                  <w:tcW w:w="430" w:type="pct"/>
                  <w:vMerge w:val="continue"/>
                  <w:tcBorders>
                    <w:tl2br w:val="nil"/>
                    <w:tr2bl w:val="nil"/>
                  </w:tcBorders>
                  <w:vAlign w:val="center"/>
                </w:tcPr>
                <w:p w14:paraId="48418B50">
                  <w:pPr>
                    <w:widowControl/>
                    <w:jc w:val="center"/>
                    <w:textAlignment w:val="center"/>
                    <w:rPr>
                      <w:color w:val="auto"/>
                      <w:szCs w:val="21"/>
                      <w:highlight w:val="none"/>
                    </w:rPr>
                  </w:pPr>
                </w:p>
              </w:tc>
              <w:tc>
                <w:tcPr>
                  <w:tcW w:w="719" w:type="pct"/>
                  <w:tcBorders>
                    <w:tl2br w:val="nil"/>
                    <w:tr2bl w:val="nil"/>
                  </w:tcBorders>
                  <w:vAlign w:val="center"/>
                </w:tcPr>
                <w:p w14:paraId="577685BC">
                  <w:pPr>
                    <w:widowControl/>
                    <w:jc w:val="center"/>
                    <w:textAlignment w:val="center"/>
                    <w:rPr>
                      <w:color w:val="auto"/>
                      <w:szCs w:val="21"/>
                      <w:highlight w:val="none"/>
                    </w:rPr>
                  </w:pPr>
                  <w:r>
                    <w:rPr>
                      <w:color w:val="auto"/>
                      <w:szCs w:val="21"/>
                      <w:highlight w:val="none"/>
                    </w:rPr>
                    <w:t>转子铁芯</w:t>
                  </w:r>
                </w:p>
              </w:tc>
              <w:tc>
                <w:tcPr>
                  <w:tcW w:w="1480" w:type="pct"/>
                  <w:tcBorders>
                    <w:tl2br w:val="nil"/>
                    <w:tr2bl w:val="nil"/>
                  </w:tcBorders>
                  <w:vAlign w:val="center"/>
                </w:tcPr>
                <w:p w14:paraId="03321CDC">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 xml:space="preserve">硅钢片、460g </w:t>
                  </w:r>
                  <w:r>
                    <w:rPr>
                      <w:color w:val="auto"/>
                      <w:szCs w:val="21"/>
                      <w:highlight w:val="none"/>
                      <w:shd w:val="clear" w:color="auto" w:fill="FFFFFF"/>
                    </w:rPr>
                    <w:t>Φ185</w:t>
                  </w:r>
                </w:p>
              </w:tc>
              <w:tc>
                <w:tcPr>
                  <w:tcW w:w="400" w:type="pct"/>
                  <w:tcBorders>
                    <w:tl2br w:val="nil"/>
                    <w:tr2bl w:val="nil"/>
                  </w:tcBorders>
                  <w:vAlign w:val="center"/>
                </w:tcPr>
                <w:p w14:paraId="6A904887">
                  <w:pPr>
                    <w:jc w:val="center"/>
                    <w:rPr>
                      <w:color w:val="auto"/>
                      <w:szCs w:val="21"/>
                      <w:highlight w:val="none"/>
                    </w:rPr>
                  </w:pPr>
                  <w:r>
                    <w:rPr>
                      <w:color w:val="auto"/>
                      <w:szCs w:val="21"/>
                      <w:highlight w:val="none"/>
                    </w:rPr>
                    <w:t>28万片</w:t>
                  </w:r>
                </w:p>
              </w:tc>
              <w:tc>
                <w:tcPr>
                  <w:tcW w:w="400" w:type="pct"/>
                  <w:tcBorders>
                    <w:tl2br w:val="nil"/>
                    <w:tr2bl w:val="nil"/>
                  </w:tcBorders>
                  <w:vAlign w:val="center"/>
                </w:tcPr>
                <w:p w14:paraId="5D8B1A66">
                  <w:pPr>
                    <w:jc w:val="center"/>
                    <w:rPr>
                      <w:color w:val="auto"/>
                      <w:szCs w:val="21"/>
                      <w:highlight w:val="none"/>
                    </w:rPr>
                  </w:pPr>
                  <w:r>
                    <w:rPr>
                      <w:color w:val="auto"/>
                      <w:szCs w:val="21"/>
                      <w:highlight w:val="none"/>
                    </w:rPr>
                    <w:t>28万片</w:t>
                  </w:r>
                </w:p>
              </w:tc>
              <w:tc>
                <w:tcPr>
                  <w:tcW w:w="487" w:type="pct"/>
                  <w:tcBorders>
                    <w:tl2br w:val="nil"/>
                    <w:tr2bl w:val="nil"/>
                  </w:tcBorders>
                  <w:vAlign w:val="center"/>
                </w:tcPr>
                <w:p w14:paraId="3888657F">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0130FB0D">
                  <w:pPr>
                    <w:adjustRightInd w:val="0"/>
                    <w:snapToGrid w:val="0"/>
                    <w:jc w:val="center"/>
                    <w:rPr>
                      <w:color w:val="auto"/>
                      <w:szCs w:val="21"/>
                      <w:highlight w:val="none"/>
                    </w:rPr>
                  </w:pPr>
                  <w:r>
                    <w:rPr>
                      <w:color w:val="auto"/>
                      <w:szCs w:val="21"/>
                      <w:highlight w:val="none"/>
                    </w:rPr>
                    <w:t>2万片</w:t>
                  </w:r>
                </w:p>
              </w:tc>
              <w:tc>
                <w:tcPr>
                  <w:tcW w:w="425" w:type="pct"/>
                  <w:vMerge w:val="continue"/>
                  <w:tcBorders>
                    <w:tl2br w:val="nil"/>
                    <w:tr2bl w:val="nil"/>
                  </w:tcBorders>
                  <w:vAlign w:val="center"/>
                </w:tcPr>
                <w:p w14:paraId="61EA488D">
                  <w:pPr>
                    <w:adjustRightInd w:val="0"/>
                    <w:snapToGrid w:val="0"/>
                    <w:jc w:val="center"/>
                    <w:rPr>
                      <w:color w:val="auto"/>
                      <w:szCs w:val="21"/>
                      <w:highlight w:val="none"/>
                    </w:rPr>
                  </w:pPr>
                </w:p>
              </w:tc>
            </w:tr>
            <w:tr w14:paraId="327557D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45198AF7">
                  <w:pPr>
                    <w:adjustRightInd w:val="0"/>
                    <w:snapToGrid w:val="0"/>
                    <w:jc w:val="center"/>
                    <w:rPr>
                      <w:bCs/>
                      <w:color w:val="auto"/>
                      <w:szCs w:val="21"/>
                      <w:highlight w:val="none"/>
                    </w:rPr>
                  </w:pPr>
                  <w:r>
                    <w:rPr>
                      <w:bCs/>
                      <w:color w:val="auto"/>
                      <w:szCs w:val="21"/>
                      <w:highlight w:val="none"/>
                    </w:rPr>
                    <w:t>10</w:t>
                  </w:r>
                </w:p>
              </w:tc>
              <w:tc>
                <w:tcPr>
                  <w:tcW w:w="430" w:type="pct"/>
                  <w:vMerge w:val="continue"/>
                  <w:tcBorders>
                    <w:tl2br w:val="nil"/>
                    <w:tr2bl w:val="nil"/>
                  </w:tcBorders>
                  <w:vAlign w:val="center"/>
                </w:tcPr>
                <w:p w14:paraId="67BADCB0">
                  <w:pPr>
                    <w:widowControl/>
                    <w:jc w:val="center"/>
                    <w:textAlignment w:val="center"/>
                    <w:rPr>
                      <w:color w:val="auto"/>
                      <w:szCs w:val="21"/>
                      <w:highlight w:val="none"/>
                    </w:rPr>
                  </w:pPr>
                </w:p>
              </w:tc>
              <w:tc>
                <w:tcPr>
                  <w:tcW w:w="719" w:type="pct"/>
                  <w:tcBorders>
                    <w:tl2br w:val="nil"/>
                    <w:tr2bl w:val="nil"/>
                  </w:tcBorders>
                  <w:vAlign w:val="center"/>
                </w:tcPr>
                <w:p w14:paraId="705BCFD2">
                  <w:pPr>
                    <w:widowControl/>
                    <w:jc w:val="center"/>
                    <w:textAlignment w:val="center"/>
                    <w:rPr>
                      <w:color w:val="auto"/>
                      <w:szCs w:val="21"/>
                      <w:highlight w:val="none"/>
                    </w:rPr>
                  </w:pPr>
                  <w:r>
                    <w:rPr>
                      <w:color w:val="auto"/>
                      <w:szCs w:val="21"/>
                      <w:highlight w:val="none"/>
                    </w:rPr>
                    <w:t>磁钢</w:t>
                  </w:r>
                </w:p>
              </w:tc>
              <w:tc>
                <w:tcPr>
                  <w:tcW w:w="1480" w:type="pct"/>
                  <w:tcBorders>
                    <w:tl2br w:val="nil"/>
                    <w:tr2bl w:val="nil"/>
                  </w:tcBorders>
                  <w:vAlign w:val="center"/>
                </w:tcPr>
                <w:p w14:paraId="0F30295B">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shd w:val="clear" w:color="auto" w:fill="FFFFFF"/>
                    </w:rPr>
                    <w:t>钕铁硼、密度7.69/cm</w:t>
                  </w:r>
                  <w:r>
                    <w:rPr>
                      <w:color w:val="auto"/>
                      <w:szCs w:val="21"/>
                      <w:highlight w:val="none"/>
                      <w:shd w:val="clear" w:color="auto" w:fill="FFFFFF"/>
                      <w:vertAlign w:val="superscript"/>
                    </w:rPr>
                    <w:t>3</w:t>
                  </w:r>
                  <w:r>
                    <w:rPr>
                      <w:color w:val="auto"/>
                      <w:szCs w:val="21"/>
                      <w:highlight w:val="none"/>
                    </w:rPr>
                    <w:t>、10.5g/</w:t>
                  </w:r>
                  <w:r>
                    <w:rPr>
                      <w:rFonts w:hint="eastAsia"/>
                      <w:color w:val="auto"/>
                      <w:szCs w:val="21"/>
                      <w:highlight w:val="none"/>
                      <w:lang w:eastAsia="zh-Hans"/>
                    </w:rPr>
                    <w:t>个</w:t>
                  </w:r>
                </w:p>
              </w:tc>
              <w:tc>
                <w:tcPr>
                  <w:tcW w:w="400" w:type="pct"/>
                  <w:tcBorders>
                    <w:tl2br w:val="nil"/>
                    <w:tr2bl w:val="nil"/>
                  </w:tcBorders>
                  <w:vAlign w:val="center"/>
                </w:tcPr>
                <w:p w14:paraId="2202CC3E">
                  <w:pPr>
                    <w:jc w:val="center"/>
                    <w:rPr>
                      <w:color w:val="auto"/>
                      <w:szCs w:val="21"/>
                      <w:highlight w:val="none"/>
                    </w:rPr>
                  </w:pPr>
                  <w:r>
                    <w:rPr>
                      <w:color w:val="auto"/>
                      <w:szCs w:val="21"/>
                      <w:highlight w:val="none"/>
                    </w:rPr>
                    <w:t>448万块</w:t>
                  </w:r>
                </w:p>
              </w:tc>
              <w:tc>
                <w:tcPr>
                  <w:tcW w:w="400" w:type="pct"/>
                  <w:tcBorders>
                    <w:tl2br w:val="nil"/>
                    <w:tr2bl w:val="nil"/>
                  </w:tcBorders>
                  <w:vAlign w:val="center"/>
                </w:tcPr>
                <w:p w14:paraId="098CBBA3">
                  <w:pPr>
                    <w:jc w:val="center"/>
                    <w:rPr>
                      <w:color w:val="auto"/>
                      <w:szCs w:val="21"/>
                      <w:highlight w:val="none"/>
                    </w:rPr>
                  </w:pPr>
                  <w:r>
                    <w:rPr>
                      <w:color w:val="auto"/>
                      <w:szCs w:val="21"/>
                      <w:highlight w:val="none"/>
                    </w:rPr>
                    <w:t>448万块</w:t>
                  </w:r>
                </w:p>
              </w:tc>
              <w:tc>
                <w:tcPr>
                  <w:tcW w:w="487" w:type="pct"/>
                  <w:tcBorders>
                    <w:tl2br w:val="nil"/>
                    <w:tr2bl w:val="nil"/>
                  </w:tcBorders>
                  <w:vAlign w:val="center"/>
                </w:tcPr>
                <w:p w14:paraId="7BB847F1">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21AA99E7">
                  <w:pPr>
                    <w:adjustRightInd w:val="0"/>
                    <w:snapToGrid w:val="0"/>
                    <w:jc w:val="center"/>
                    <w:rPr>
                      <w:color w:val="auto"/>
                      <w:szCs w:val="21"/>
                      <w:highlight w:val="none"/>
                    </w:rPr>
                  </w:pPr>
                  <w:r>
                    <w:rPr>
                      <w:color w:val="auto"/>
                      <w:szCs w:val="21"/>
                      <w:highlight w:val="none"/>
                    </w:rPr>
                    <w:t>2万片</w:t>
                  </w:r>
                </w:p>
              </w:tc>
              <w:tc>
                <w:tcPr>
                  <w:tcW w:w="425" w:type="pct"/>
                  <w:vMerge w:val="continue"/>
                  <w:tcBorders>
                    <w:tl2br w:val="nil"/>
                    <w:tr2bl w:val="nil"/>
                  </w:tcBorders>
                  <w:vAlign w:val="center"/>
                </w:tcPr>
                <w:p w14:paraId="63E3ADF3">
                  <w:pPr>
                    <w:adjustRightInd w:val="0"/>
                    <w:snapToGrid w:val="0"/>
                    <w:jc w:val="center"/>
                    <w:rPr>
                      <w:color w:val="auto"/>
                      <w:szCs w:val="21"/>
                      <w:highlight w:val="none"/>
                    </w:rPr>
                  </w:pPr>
                </w:p>
              </w:tc>
            </w:tr>
            <w:tr w14:paraId="618A4E5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344EA681">
                  <w:pPr>
                    <w:adjustRightInd w:val="0"/>
                    <w:snapToGrid w:val="0"/>
                    <w:jc w:val="center"/>
                    <w:rPr>
                      <w:bCs/>
                      <w:color w:val="auto"/>
                      <w:szCs w:val="21"/>
                      <w:highlight w:val="none"/>
                    </w:rPr>
                  </w:pPr>
                  <w:r>
                    <w:rPr>
                      <w:bCs/>
                      <w:color w:val="auto"/>
                      <w:szCs w:val="21"/>
                      <w:highlight w:val="none"/>
                    </w:rPr>
                    <w:t>11</w:t>
                  </w:r>
                </w:p>
              </w:tc>
              <w:tc>
                <w:tcPr>
                  <w:tcW w:w="430" w:type="pct"/>
                  <w:vMerge w:val="continue"/>
                  <w:tcBorders>
                    <w:tl2br w:val="nil"/>
                    <w:tr2bl w:val="nil"/>
                  </w:tcBorders>
                  <w:vAlign w:val="center"/>
                </w:tcPr>
                <w:p w14:paraId="238D4F8C">
                  <w:pPr>
                    <w:jc w:val="center"/>
                    <w:rPr>
                      <w:color w:val="auto"/>
                      <w:szCs w:val="21"/>
                      <w:highlight w:val="none"/>
                    </w:rPr>
                  </w:pPr>
                </w:p>
              </w:tc>
              <w:tc>
                <w:tcPr>
                  <w:tcW w:w="719" w:type="pct"/>
                  <w:tcBorders>
                    <w:tl2br w:val="nil"/>
                    <w:tr2bl w:val="nil"/>
                  </w:tcBorders>
                  <w:vAlign w:val="center"/>
                </w:tcPr>
                <w:p w14:paraId="093DA6AD">
                  <w:pPr>
                    <w:jc w:val="center"/>
                    <w:rPr>
                      <w:color w:val="auto"/>
                      <w:szCs w:val="21"/>
                      <w:highlight w:val="none"/>
                    </w:rPr>
                  </w:pPr>
                  <w:r>
                    <w:rPr>
                      <w:color w:val="auto"/>
                      <w:szCs w:val="21"/>
                      <w:highlight w:val="none"/>
                    </w:rPr>
                    <w:t>绝缘纸</w:t>
                  </w:r>
                </w:p>
              </w:tc>
              <w:tc>
                <w:tcPr>
                  <w:tcW w:w="1480" w:type="pct"/>
                  <w:tcBorders>
                    <w:tl2br w:val="nil"/>
                    <w:tr2bl w:val="nil"/>
                  </w:tcBorders>
                  <w:vAlign w:val="center"/>
                </w:tcPr>
                <w:p w14:paraId="037FAF8A">
                  <w:pPr>
                    <w:jc w:val="center"/>
                    <w:rPr>
                      <w:color w:val="auto"/>
                      <w:szCs w:val="21"/>
                      <w:highlight w:val="none"/>
                    </w:rPr>
                  </w:pPr>
                  <w:r>
                    <w:rPr>
                      <w:rFonts w:hint="eastAsia"/>
                      <w:color w:val="auto"/>
                      <w:szCs w:val="21"/>
                      <w:highlight w:val="none"/>
                    </w:rPr>
                    <w:t>固体，</w:t>
                  </w:r>
                  <w:r>
                    <w:rPr>
                      <w:color w:val="auto"/>
                      <w:szCs w:val="21"/>
                      <w:highlight w:val="none"/>
                    </w:rPr>
                    <w:t>可剥离聚酯膜、15mm*78mm*0.17mm</w:t>
                  </w:r>
                </w:p>
              </w:tc>
              <w:tc>
                <w:tcPr>
                  <w:tcW w:w="400" w:type="pct"/>
                  <w:tcBorders>
                    <w:tl2br w:val="nil"/>
                    <w:tr2bl w:val="nil"/>
                  </w:tcBorders>
                  <w:vAlign w:val="center"/>
                </w:tcPr>
                <w:p w14:paraId="2EB769A2">
                  <w:pPr>
                    <w:jc w:val="center"/>
                    <w:rPr>
                      <w:color w:val="auto"/>
                      <w:szCs w:val="21"/>
                      <w:highlight w:val="none"/>
                    </w:rPr>
                  </w:pPr>
                  <w:r>
                    <w:rPr>
                      <w:color w:val="auto"/>
                      <w:szCs w:val="21"/>
                      <w:highlight w:val="none"/>
                    </w:rPr>
                    <w:t>4万片</w:t>
                  </w:r>
                </w:p>
              </w:tc>
              <w:tc>
                <w:tcPr>
                  <w:tcW w:w="400" w:type="pct"/>
                  <w:tcBorders>
                    <w:tl2br w:val="nil"/>
                    <w:tr2bl w:val="nil"/>
                  </w:tcBorders>
                  <w:vAlign w:val="center"/>
                </w:tcPr>
                <w:p w14:paraId="7AC47A72">
                  <w:pPr>
                    <w:jc w:val="center"/>
                    <w:rPr>
                      <w:color w:val="auto"/>
                      <w:szCs w:val="21"/>
                      <w:highlight w:val="none"/>
                    </w:rPr>
                  </w:pPr>
                  <w:r>
                    <w:rPr>
                      <w:color w:val="auto"/>
                      <w:szCs w:val="21"/>
                      <w:highlight w:val="none"/>
                    </w:rPr>
                    <w:t>4万片</w:t>
                  </w:r>
                </w:p>
              </w:tc>
              <w:tc>
                <w:tcPr>
                  <w:tcW w:w="487" w:type="pct"/>
                  <w:tcBorders>
                    <w:tl2br w:val="nil"/>
                    <w:tr2bl w:val="nil"/>
                  </w:tcBorders>
                  <w:vAlign w:val="center"/>
                </w:tcPr>
                <w:p w14:paraId="707218CB">
                  <w:pPr>
                    <w:jc w:val="center"/>
                    <w:rPr>
                      <w:bCs/>
                      <w:color w:val="auto"/>
                      <w:szCs w:val="21"/>
                      <w:highlight w:val="none"/>
                    </w:rPr>
                  </w:pPr>
                  <w:r>
                    <w:rPr>
                      <w:color w:val="auto"/>
                      <w:szCs w:val="21"/>
                      <w:highlight w:val="none"/>
                    </w:rPr>
                    <w:t>0</w:t>
                  </w:r>
                </w:p>
              </w:tc>
              <w:tc>
                <w:tcPr>
                  <w:tcW w:w="425" w:type="pct"/>
                  <w:tcBorders>
                    <w:tl2br w:val="nil"/>
                    <w:tr2bl w:val="nil"/>
                  </w:tcBorders>
                  <w:vAlign w:val="center"/>
                </w:tcPr>
                <w:p w14:paraId="1080BA21">
                  <w:pPr>
                    <w:adjustRightInd w:val="0"/>
                    <w:snapToGrid w:val="0"/>
                    <w:jc w:val="center"/>
                    <w:rPr>
                      <w:bCs/>
                      <w:color w:val="auto"/>
                      <w:szCs w:val="21"/>
                      <w:highlight w:val="none"/>
                    </w:rPr>
                  </w:pPr>
                  <w:r>
                    <w:rPr>
                      <w:color w:val="auto"/>
                      <w:szCs w:val="21"/>
                      <w:highlight w:val="none"/>
                    </w:rPr>
                    <w:t>2万片</w:t>
                  </w:r>
                </w:p>
              </w:tc>
              <w:tc>
                <w:tcPr>
                  <w:tcW w:w="425" w:type="pct"/>
                  <w:vMerge w:val="continue"/>
                  <w:tcBorders>
                    <w:tl2br w:val="nil"/>
                    <w:tr2bl w:val="nil"/>
                  </w:tcBorders>
                  <w:vAlign w:val="center"/>
                </w:tcPr>
                <w:p w14:paraId="4FD17B50">
                  <w:pPr>
                    <w:adjustRightInd w:val="0"/>
                    <w:snapToGrid w:val="0"/>
                    <w:jc w:val="center"/>
                    <w:rPr>
                      <w:color w:val="auto"/>
                      <w:szCs w:val="21"/>
                      <w:highlight w:val="none"/>
                    </w:rPr>
                  </w:pPr>
                </w:p>
              </w:tc>
            </w:tr>
            <w:tr w14:paraId="0B9CBC5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43AB18EE">
                  <w:pPr>
                    <w:adjustRightInd w:val="0"/>
                    <w:snapToGrid w:val="0"/>
                    <w:jc w:val="center"/>
                    <w:rPr>
                      <w:bCs/>
                      <w:color w:val="auto"/>
                      <w:szCs w:val="21"/>
                      <w:highlight w:val="none"/>
                    </w:rPr>
                  </w:pPr>
                  <w:r>
                    <w:rPr>
                      <w:bCs/>
                      <w:color w:val="auto"/>
                      <w:szCs w:val="21"/>
                      <w:highlight w:val="none"/>
                    </w:rPr>
                    <w:t>12</w:t>
                  </w:r>
                </w:p>
              </w:tc>
              <w:tc>
                <w:tcPr>
                  <w:tcW w:w="430" w:type="pct"/>
                  <w:vMerge w:val="continue"/>
                  <w:tcBorders>
                    <w:tl2br w:val="nil"/>
                    <w:tr2bl w:val="nil"/>
                  </w:tcBorders>
                  <w:vAlign w:val="center"/>
                </w:tcPr>
                <w:p w14:paraId="0A73C986">
                  <w:pPr>
                    <w:jc w:val="center"/>
                    <w:rPr>
                      <w:color w:val="auto"/>
                      <w:szCs w:val="21"/>
                      <w:highlight w:val="none"/>
                    </w:rPr>
                  </w:pPr>
                </w:p>
              </w:tc>
              <w:tc>
                <w:tcPr>
                  <w:tcW w:w="719" w:type="pct"/>
                  <w:tcBorders>
                    <w:tl2br w:val="nil"/>
                    <w:tr2bl w:val="nil"/>
                  </w:tcBorders>
                  <w:vAlign w:val="center"/>
                </w:tcPr>
                <w:p w14:paraId="33369248">
                  <w:pPr>
                    <w:jc w:val="center"/>
                    <w:rPr>
                      <w:color w:val="auto"/>
                      <w:szCs w:val="21"/>
                      <w:highlight w:val="none"/>
                    </w:rPr>
                  </w:pPr>
                  <w:r>
                    <w:rPr>
                      <w:color w:val="auto"/>
                      <w:szCs w:val="21"/>
                      <w:highlight w:val="none"/>
                    </w:rPr>
                    <w:t>元器件</w:t>
                  </w:r>
                </w:p>
              </w:tc>
              <w:tc>
                <w:tcPr>
                  <w:tcW w:w="1480" w:type="pct"/>
                  <w:tcBorders>
                    <w:tl2br w:val="nil"/>
                    <w:tr2bl w:val="nil"/>
                  </w:tcBorders>
                  <w:vAlign w:val="center"/>
                </w:tcPr>
                <w:p w14:paraId="7C29F0A4">
                  <w:pPr>
                    <w:jc w:val="center"/>
                    <w:rPr>
                      <w:color w:val="auto"/>
                      <w:szCs w:val="21"/>
                      <w:highlight w:val="none"/>
                    </w:rPr>
                  </w:pPr>
                  <w:r>
                    <w:rPr>
                      <w:rFonts w:hint="eastAsia"/>
                      <w:color w:val="auto"/>
                      <w:szCs w:val="21"/>
                      <w:highlight w:val="none"/>
                    </w:rPr>
                    <w:t>固体，</w:t>
                  </w:r>
                  <w:r>
                    <w:rPr>
                      <w:color w:val="auto"/>
                      <w:szCs w:val="21"/>
                      <w:highlight w:val="none"/>
                    </w:rPr>
                    <w:t>PPS、320g/</w:t>
                  </w:r>
                  <w:r>
                    <w:rPr>
                      <w:rFonts w:hint="eastAsia"/>
                      <w:color w:val="auto"/>
                      <w:szCs w:val="21"/>
                      <w:highlight w:val="none"/>
                      <w:lang w:eastAsia="zh-Hans"/>
                    </w:rPr>
                    <w:t>个</w:t>
                  </w:r>
                </w:p>
              </w:tc>
              <w:tc>
                <w:tcPr>
                  <w:tcW w:w="400" w:type="pct"/>
                  <w:tcBorders>
                    <w:tl2br w:val="nil"/>
                    <w:tr2bl w:val="nil"/>
                  </w:tcBorders>
                  <w:vAlign w:val="center"/>
                </w:tcPr>
                <w:p w14:paraId="51A4D6BB">
                  <w:pPr>
                    <w:jc w:val="center"/>
                    <w:rPr>
                      <w:color w:val="auto"/>
                      <w:szCs w:val="21"/>
                      <w:highlight w:val="none"/>
                    </w:rPr>
                  </w:pPr>
                  <w:r>
                    <w:rPr>
                      <w:color w:val="auto"/>
                      <w:szCs w:val="21"/>
                      <w:highlight w:val="none"/>
                    </w:rPr>
                    <w:t>4万个</w:t>
                  </w:r>
                </w:p>
              </w:tc>
              <w:tc>
                <w:tcPr>
                  <w:tcW w:w="400" w:type="pct"/>
                  <w:tcBorders>
                    <w:tl2br w:val="nil"/>
                    <w:tr2bl w:val="nil"/>
                  </w:tcBorders>
                  <w:vAlign w:val="center"/>
                </w:tcPr>
                <w:p w14:paraId="05374832">
                  <w:pPr>
                    <w:jc w:val="center"/>
                    <w:rPr>
                      <w:color w:val="auto"/>
                      <w:szCs w:val="21"/>
                      <w:highlight w:val="none"/>
                    </w:rPr>
                  </w:pPr>
                  <w:r>
                    <w:rPr>
                      <w:color w:val="auto"/>
                      <w:szCs w:val="21"/>
                      <w:highlight w:val="none"/>
                    </w:rPr>
                    <w:t>4万个</w:t>
                  </w:r>
                </w:p>
              </w:tc>
              <w:tc>
                <w:tcPr>
                  <w:tcW w:w="487" w:type="pct"/>
                  <w:tcBorders>
                    <w:tl2br w:val="nil"/>
                    <w:tr2bl w:val="nil"/>
                  </w:tcBorders>
                  <w:vAlign w:val="center"/>
                </w:tcPr>
                <w:p w14:paraId="56C1E57E">
                  <w:pPr>
                    <w:jc w:val="center"/>
                    <w:rPr>
                      <w:bCs/>
                      <w:color w:val="auto"/>
                      <w:szCs w:val="21"/>
                      <w:highlight w:val="none"/>
                    </w:rPr>
                  </w:pPr>
                  <w:r>
                    <w:rPr>
                      <w:color w:val="auto"/>
                      <w:szCs w:val="21"/>
                      <w:highlight w:val="none"/>
                    </w:rPr>
                    <w:t>0</w:t>
                  </w:r>
                </w:p>
              </w:tc>
              <w:tc>
                <w:tcPr>
                  <w:tcW w:w="425" w:type="pct"/>
                  <w:tcBorders>
                    <w:tl2br w:val="nil"/>
                    <w:tr2bl w:val="nil"/>
                  </w:tcBorders>
                  <w:vAlign w:val="center"/>
                </w:tcPr>
                <w:p w14:paraId="615BA8FD">
                  <w:pPr>
                    <w:adjustRightInd w:val="0"/>
                    <w:snapToGrid w:val="0"/>
                    <w:jc w:val="center"/>
                    <w:rPr>
                      <w:bCs/>
                      <w:color w:val="auto"/>
                      <w:szCs w:val="21"/>
                      <w:highlight w:val="none"/>
                    </w:rPr>
                  </w:pPr>
                  <w:r>
                    <w:rPr>
                      <w:color w:val="auto"/>
                      <w:szCs w:val="21"/>
                      <w:highlight w:val="none"/>
                    </w:rPr>
                    <w:t>1万个</w:t>
                  </w:r>
                </w:p>
              </w:tc>
              <w:tc>
                <w:tcPr>
                  <w:tcW w:w="425" w:type="pct"/>
                  <w:vMerge w:val="continue"/>
                  <w:tcBorders>
                    <w:tl2br w:val="nil"/>
                    <w:tr2bl w:val="nil"/>
                  </w:tcBorders>
                  <w:vAlign w:val="center"/>
                </w:tcPr>
                <w:p w14:paraId="2E25F951">
                  <w:pPr>
                    <w:adjustRightInd w:val="0"/>
                    <w:snapToGrid w:val="0"/>
                    <w:jc w:val="center"/>
                    <w:rPr>
                      <w:color w:val="auto"/>
                      <w:szCs w:val="21"/>
                      <w:highlight w:val="none"/>
                    </w:rPr>
                  </w:pPr>
                </w:p>
              </w:tc>
            </w:tr>
            <w:tr w14:paraId="14484BE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17AFDF90">
                  <w:pPr>
                    <w:adjustRightInd w:val="0"/>
                    <w:snapToGrid w:val="0"/>
                    <w:jc w:val="center"/>
                    <w:rPr>
                      <w:bCs/>
                      <w:color w:val="auto"/>
                      <w:szCs w:val="21"/>
                      <w:highlight w:val="none"/>
                    </w:rPr>
                  </w:pPr>
                  <w:r>
                    <w:rPr>
                      <w:bCs/>
                      <w:color w:val="auto"/>
                      <w:szCs w:val="21"/>
                      <w:highlight w:val="none"/>
                    </w:rPr>
                    <w:t>13</w:t>
                  </w:r>
                </w:p>
              </w:tc>
              <w:tc>
                <w:tcPr>
                  <w:tcW w:w="430" w:type="pct"/>
                  <w:vMerge w:val="continue"/>
                  <w:tcBorders>
                    <w:tl2br w:val="nil"/>
                    <w:tr2bl w:val="nil"/>
                  </w:tcBorders>
                  <w:vAlign w:val="center"/>
                </w:tcPr>
                <w:p w14:paraId="6AE665B2">
                  <w:pPr>
                    <w:jc w:val="center"/>
                    <w:rPr>
                      <w:color w:val="auto"/>
                      <w:szCs w:val="21"/>
                      <w:highlight w:val="none"/>
                    </w:rPr>
                  </w:pPr>
                </w:p>
              </w:tc>
              <w:tc>
                <w:tcPr>
                  <w:tcW w:w="719" w:type="pct"/>
                  <w:tcBorders>
                    <w:tl2br w:val="nil"/>
                    <w:tr2bl w:val="nil"/>
                  </w:tcBorders>
                  <w:vAlign w:val="center"/>
                </w:tcPr>
                <w:p w14:paraId="52084961">
                  <w:pPr>
                    <w:jc w:val="center"/>
                    <w:rPr>
                      <w:color w:val="auto"/>
                      <w:szCs w:val="21"/>
                      <w:highlight w:val="none"/>
                    </w:rPr>
                  </w:pPr>
                  <w:r>
                    <w:rPr>
                      <w:color w:val="auto"/>
                      <w:szCs w:val="21"/>
                      <w:highlight w:val="none"/>
                    </w:rPr>
                    <w:t>水性环氧树脂 VOLTATEX 4250</w:t>
                  </w:r>
                </w:p>
              </w:tc>
              <w:tc>
                <w:tcPr>
                  <w:tcW w:w="1480" w:type="pct"/>
                  <w:tcBorders>
                    <w:tl2br w:val="nil"/>
                    <w:tr2bl w:val="nil"/>
                  </w:tcBorders>
                  <w:vAlign w:val="center"/>
                </w:tcPr>
                <w:p w14:paraId="77CC8A95">
                  <w:pPr>
                    <w:jc w:val="center"/>
                    <w:rPr>
                      <w:color w:val="auto"/>
                      <w:szCs w:val="21"/>
                      <w:highlight w:val="none"/>
                    </w:rPr>
                  </w:pPr>
                  <w:r>
                    <w:rPr>
                      <w:rFonts w:hint="eastAsia"/>
                      <w:color w:val="auto"/>
                      <w:szCs w:val="21"/>
                      <w:highlight w:val="none"/>
                    </w:rPr>
                    <w:t>液体，</w:t>
                  </w:r>
                  <w:r>
                    <w:rPr>
                      <w:color w:val="auto"/>
                      <w:szCs w:val="21"/>
                      <w:highlight w:val="none"/>
                    </w:rPr>
                    <w:t>水44.1%、水溶性改性环氧树脂40%、</w:t>
                  </w:r>
                  <w:r>
                    <w:rPr>
                      <w:bCs/>
                      <w:color w:val="auto"/>
                      <w:szCs w:val="21"/>
                      <w:highlight w:val="none"/>
                    </w:rPr>
                    <w:t>二氧化钛</w:t>
                  </w:r>
                  <w:r>
                    <w:rPr>
                      <w:color w:val="auto"/>
                      <w:szCs w:val="21"/>
                      <w:highlight w:val="none"/>
                    </w:rPr>
                    <w:t>15.6%、二甲苯0.3%</w:t>
                  </w:r>
                </w:p>
              </w:tc>
              <w:tc>
                <w:tcPr>
                  <w:tcW w:w="400" w:type="pct"/>
                  <w:tcBorders>
                    <w:tl2br w:val="nil"/>
                    <w:tr2bl w:val="nil"/>
                  </w:tcBorders>
                  <w:vAlign w:val="center"/>
                </w:tcPr>
                <w:p w14:paraId="3C32C369">
                  <w:pPr>
                    <w:jc w:val="center"/>
                    <w:rPr>
                      <w:color w:val="auto"/>
                      <w:szCs w:val="21"/>
                      <w:highlight w:val="none"/>
                    </w:rPr>
                  </w:pPr>
                  <w:r>
                    <w:rPr>
                      <w:color w:val="auto"/>
                      <w:szCs w:val="21"/>
                      <w:highlight w:val="none"/>
                    </w:rPr>
                    <w:t>1.5</w:t>
                  </w:r>
                </w:p>
              </w:tc>
              <w:tc>
                <w:tcPr>
                  <w:tcW w:w="400" w:type="pct"/>
                  <w:tcBorders>
                    <w:tl2br w:val="nil"/>
                    <w:tr2bl w:val="nil"/>
                  </w:tcBorders>
                  <w:vAlign w:val="center"/>
                </w:tcPr>
                <w:p w14:paraId="2AAB96AA">
                  <w:pPr>
                    <w:jc w:val="center"/>
                    <w:rPr>
                      <w:bCs/>
                      <w:color w:val="auto"/>
                      <w:szCs w:val="21"/>
                      <w:highlight w:val="none"/>
                    </w:rPr>
                  </w:pPr>
                  <w:r>
                    <w:rPr>
                      <w:color w:val="auto"/>
                      <w:szCs w:val="21"/>
                      <w:highlight w:val="none"/>
                    </w:rPr>
                    <w:t>1.5</w:t>
                  </w:r>
                </w:p>
              </w:tc>
              <w:tc>
                <w:tcPr>
                  <w:tcW w:w="487" w:type="pct"/>
                  <w:tcBorders>
                    <w:tl2br w:val="nil"/>
                    <w:tr2bl w:val="nil"/>
                  </w:tcBorders>
                  <w:vAlign w:val="center"/>
                </w:tcPr>
                <w:p w14:paraId="470ACBB3">
                  <w:pPr>
                    <w:jc w:val="center"/>
                    <w:rPr>
                      <w:bCs/>
                      <w:color w:val="auto"/>
                      <w:szCs w:val="21"/>
                      <w:highlight w:val="none"/>
                    </w:rPr>
                  </w:pPr>
                  <w:r>
                    <w:rPr>
                      <w:color w:val="auto"/>
                      <w:szCs w:val="21"/>
                      <w:highlight w:val="none"/>
                    </w:rPr>
                    <w:t>0</w:t>
                  </w:r>
                </w:p>
              </w:tc>
              <w:tc>
                <w:tcPr>
                  <w:tcW w:w="425" w:type="pct"/>
                  <w:tcBorders>
                    <w:tl2br w:val="nil"/>
                    <w:tr2bl w:val="nil"/>
                  </w:tcBorders>
                  <w:vAlign w:val="center"/>
                </w:tcPr>
                <w:p w14:paraId="1B173801">
                  <w:pPr>
                    <w:adjustRightInd w:val="0"/>
                    <w:snapToGrid w:val="0"/>
                    <w:jc w:val="center"/>
                    <w:rPr>
                      <w:bCs/>
                      <w:color w:val="auto"/>
                      <w:szCs w:val="21"/>
                      <w:highlight w:val="none"/>
                    </w:rPr>
                  </w:pPr>
                  <w:r>
                    <w:rPr>
                      <w:color w:val="auto"/>
                      <w:szCs w:val="21"/>
                      <w:highlight w:val="none"/>
                    </w:rPr>
                    <w:t>0.2</w:t>
                  </w:r>
                </w:p>
              </w:tc>
              <w:tc>
                <w:tcPr>
                  <w:tcW w:w="425" w:type="pct"/>
                  <w:vMerge w:val="restart"/>
                  <w:tcBorders>
                    <w:tl2br w:val="nil"/>
                    <w:tr2bl w:val="nil"/>
                  </w:tcBorders>
                  <w:vAlign w:val="center"/>
                </w:tcPr>
                <w:p w14:paraId="6EFC3051">
                  <w:pPr>
                    <w:adjustRightInd w:val="0"/>
                    <w:snapToGrid w:val="0"/>
                    <w:jc w:val="center"/>
                    <w:rPr>
                      <w:color w:val="auto"/>
                      <w:szCs w:val="21"/>
                      <w:highlight w:val="none"/>
                      <w:lang w:eastAsia="zh-Hans"/>
                    </w:rPr>
                  </w:pPr>
                  <w:r>
                    <w:rPr>
                      <w:rFonts w:hint="eastAsia"/>
                      <w:color w:val="auto"/>
                      <w:szCs w:val="21"/>
                      <w:highlight w:val="none"/>
                      <w:lang w:eastAsia="zh-Hans"/>
                    </w:rPr>
                    <w:t>化学品库</w:t>
                  </w:r>
                </w:p>
              </w:tc>
            </w:tr>
            <w:tr w14:paraId="679E2C4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B8E1108">
                  <w:pPr>
                    <w:adjustRightInd w:val="0"/>
                    <w:snapToGrid w:val="0"/>
                    <w:jc w:val="center"/>
                    <w:rPr>
                      <w:bCs/>
                      <w:color w:val="auto"/>
                      <w:szCs w:val="21"/>
                      <w:highlight w:val="none"/>
                    </w:rPr>
                  </w:pPr>
                  <w:r>
                    <w:rPr>
                      <w:bCs/>
                      <w:color w:val="auto"/>
                      <w:szCs w:val="21"/>
                      <w:highlight w:val="none"/>
                    </w:rPr>
                    <w:t>14</w:t>
                  </w:r>
                </w:p>
              </w:tc>
              <w:tc>
                <w:tcPr>
                  <w:tcW w:w="430" w:type="pct"/>
                  <w:vMerge w:val="continue"/>
                  <w:tcBorders>
                    <w:tl2br w:val="nil"/>
                    <w:tr2bl w:val="nil"/>
                  </w:tcBorders>
                  <w:vAlign w:val="center"/>
                </w:tcPr>
                <w:p w14:paraId="3DABCE66">
                  <w:pPr>
                    <w:jc w:val="center"/>
                    <w:rPr>
                      <w:color w:val="auto"/>
                      <w:szCs w:val="21"/>
                      <w:highlight w:val="none"/>
                    </w:rPr>
                  </w:pPr>
                </w:p>
              </w:tc>
              <w:tc>
                <w:tcPr>
                  <w:tcW w:w="719" w:type="pct"/>
                  <w:tcBorders>
                    <w:tl2br w:val="nil"/>
                    <w:tr2bl w:val="nil"/>
                  </w:tcBorders>
                  <w:vAlign w:val="center"/>
                </w:tcPr>
                <w:p w14:paraId="36CD25DD">
                  <w:pPr>
                    <w:jc w:val="center"/>
                    <w:rPr>
                      <w:color w:val="auto"/>
                      <w:szCs w:val="21"/>
                      <w:highlight w:val="none"/>
                    </w:rPr>
                  </w:pPr>
                  <w:r>
                    <w:rPr>
                      <w:color w:val="auto"/>
                      <w:szCs w:val="21"/>
                      <w:highlight w:val="none"/>
                    </w:rPr>
                    <w:t>水性环氧树脂LORD320</w:t>
                  </w:r>
                </w:p>
              </w:tc>
              <w:tc>
                <w:tcPr>
                  <w:tcW w:w="1480" w:type="pct"/>
                  <w:tcBorders>
                    <w:tl2br w:val="nil"/>
                    <w:tr2bl w:val="nil"/>
                  </w:tcBorders>
                  <w:vAlign w:val="center"/>
                </w:tcPr>
                <w:p w14:paraId="1AA55C18">
                  <w:pPr>
                    <w:widowControl/>
                    <w:jc w:val="center"/>
                    <w:textAlignment w:val="center"/>
                    <w:rPr>
                      <w:color w:val="auto"/>
                      <w:szCs w:val="21"/>
                      <w:highlight w:val="none"/>
                    </w:rPr>
                  </w:pPr>
                  <w:r>
                    <w:rPr>
                      <w:rFonts w:hint="eastAsia"/>
                      <w:color w:val="auto"/>
                      <w:szCs w:val="21"/>
                      <w:highlight w:val="none"/>
                    </w:rPr>
                    <w:t>液体，</w:t>
                  </w:r>
                  <w:r>
                    <w:rPr>
                      <w:color w:val="auto"/>
                      <w:szCs w:val="21"/>
                      <w:highlight w:val="none"/>
                    </w:rPr>
                    <w:t>水34%、水溶性改性环氧树脂60%、苯酚5%、二氧化钛1%</w:t>
                  </w:r>
                </w:p>
              </w:tc>
              <w:tc>
                <w:tcPr>
                  <w:tcW w:w="400" w:type="pct"/>
                  <w:tcBorders>
                    <w:tl2br w:val="nil"/>
                    <w:tr2bl w:val="nil"/>
                  </w:tcBorders>
                  <w:vAlign w:val="center"/>
                </w:tcPr>
                <w:p w14:paraId="770679B1">
                  <w:pPr>
                    <w:jc w:val="center"/>
                    <w:rPr>
                      <w:color w:val="auto"/>
                      <w:szCs w:val="21"/>
                      <w:highlight w:val="none"/>
                    </w:rPr>
                  </w:pPr>
                  <w:r>
                    <w:rPr>
                      <w:color w:val="auto"/>
                      <w:szCs w:val="21"/>
                      <w:highlight w:val="none"/>
                    </w:rPr>
                    <w:t>0.4</w:t>
                  </w:r>
                </w:p>
              </w:tc>
              <w:tc>
                <w:tcPr>
                  <w:tcW w:w="400" w:type="pct"/>
                  <w:tcBorders>
                    <w:tl2br w:val="nil"/>
                    <w:tr2bl w:val="nil"/>
                  </w:tcBorders>
                  <w:vAlign w:val="center"/>
                </w:tcPr>
                <w:p w14:paraId="107485A9">
                  <w:pPr>
                    <w:jc w:val="center"/>
                    <w:rPr>
                      <w:color w:val="auto"/>
                      <w:szCs w:val="21"/>
                      <w:highlight w:val="none"/>
                    </w:rPr>
                  </w:pPr>
                  <w:r>
                    <w:rPr>
                      <w:color w:val="auto"/>
                      <w:szCs w:val="21"/>
                      <w:highlight w:val="none"/>
                    </w:rPr>
                    <w:t>0.4</w:t>
                  </w:r>
                </w:p>
              </w:tc>
              <w:tc>
                <w:tcPr>
                  <w:tcW w:w="487" w:type="pct"/>
                  <w:tcBorders>
                    <w:tl2br w:val="nil"/>
                    <w:tr2bl w:val="nil"/>
                  </w:tcBorders>
                  <w:vAlign w:val="center"/>
                </w:tcPr>
                <w:p w14:paraId="3A03B300">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052F2CCB">
                  <w:pPr>
                    <w:adjustRightInd w:val="0"/>
                    <w:snapToGrid w:val="0"/>
                    <w:jc w:val="center"/>
                    <w:rPr>
                      <w:color w:val="auto"/>
                      <w:szCs w:val="21"/>
                      <w:highlight w:val="none"/>
                    </w:rPr>
                  </w:pPr>
                  <w:r>
                    <w:rPr>
                      <w:color w:val="auto"/>
                      <w:szCs w:val="21"/>
                      <w:highlight w:val="none"/>
                    </w:rPr>
                    <w:t>0.1</w:t>
                  </w:r>
                </w:p>
              </w:tc>
              <w:tc>
                <w:tcPr>
                  <w:tcW w:w="425" w:type="pct"/>
                  <w:vMerge w:val="continue"/>
                  <w:tcBorders>
                    <w:tl2br w:val="nil"/>
                    <w:tr2bl w:val="nil"/>
                  </w:tcBorders>
                  <w:vAlign w:val="center"/>
                </w:tcPr>
                <w:p w14:paraId="07141B9E">
                  <w:pPr>
                    <w:adjustRightInd w:val="0"/>
                    <w:snapToGrid w:val="0"/>
                    <w:jc w:val="center"/>
                    <w:rPr>
                      <w:color w:val="auto"/>
                      <w:szCs w:val="21"/>
                      <w:highlight w:val="none"/>
                    </w:rPr>
                  </w:pPr>
                </w:p>
              </w:tc>
            </w:tr>
            <w:tr w14:paraId="7C9DAB0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61367286">
                  <w:pPr>
                    <w:adjustRightInd w:val="0"/>
                    <w:snapToGrid w:val="0"/>
                    <w:jc w:val="center"/>
                    <w:rPr>
                      <w:bCs/>
                      <w:color w:val="auto"/>
                      <w:szCs w:val="21"/>
                      <w:highlight w:val="none"/>
                    </w:rPr>
                  </w:pPr>
                  <w:r>
                    <w:rPr>
                      <w:bCs/>
                      <w:color w:val="auto"/>
                      <w:szCs w:val="21"/>
                      <w:highlight w:val="none"/>
                    </w:rPr>
                    <w:t>15</w:t>
                  </w:r>
                </w:p>
              </w:tc>
              <w:tc>
                <w:tcPr>
                  <w:tcW w:w="430" w:type="pct"/>
                  <w:vMerge w:val="continue"/>
                  <w:tcBorders>
                    <w:tl2br w:val="nil"/>
                    <w:tr2bl w:val="nil"/>
                  </w:tcBorders>
                  <w:vAlign w:val="center"/>
                </w:tcPr>
                <w:p w14:paraId="20A97C34">
                  <w:pPr>
                    <w:jc w:val="center"/>
                    <w:rPr>
                      <w:color w:val="auto"/>
                      <w:szCs w:val="21"/>
                      <w:highlight w:val="none"/>
                    </w:rPr>
                  </w:pPr>
                </w:p>
              </w:tc>
              <w:tc>
                <w:tcPr>
                  <w:tcW w:w="719" w:type="pct"/>
                  <w:tcBorders>
                    <w:tl2br w:val="nil"/>
                    <w:tr2bl w:val="nil"/>
                  </w:tcBorders>
                  <w:vAlign w:val="center"/>
                </w:tcPr>
                <w:p w14:paraId="444D5097">
                  <w:pPr>
                    <w:jc w:val="center"/>
                    <w:rPr>
                      <w:color w:val="auto"/>
                      <w:szCs w:val="21"/>
                      <w:highlight w:val="none"/>
                    </w:rPr>
                  </w:pPr>
                  <w:r>
                    <w:rPr>
                      <w:color w:val="auto"/>
                      <w:szCs w:val="21"/>
                      <w:highlight w:val="none"/>
                    </w:rPr>
                    <w:t>水性环氧树脂LORD322</w:t>
                  </w:r>
                </w:p>
              </w:tc>
              <w:tc>
                <w:tcPr>
                  <w:tcW w:w="1480" w:type="pct"/>
                  <w:tcBorders>
                    <w:tl2br w:val="nil"/>
                    <w:tr2bl w:val="nil"/>
                  </w:tcBorders>
                  <w:vAlign w:val="center"/>
                </w:tcPr>
                <w:p w14:paraId="4C415C4F">
                  <w:pPr>
                    <w:widowControl/>
                    <w:jc w:val="center"/>
                    <w:textAlignment w:val="center"/>
                    <w:rPr>
                      <w:color w:val="auto"/>
                      <w:kern w:val="0"/>
                      <w:szCs w:val="21"/>
                      <w:highlight w:val="none"/>
                    </w:rPr>
                  </w:pPr>
                  <w:r>
                    <w:rPr>
                      <w:rFonts w:hint="eastAsia"/>
                      <w:color w:val="auto"/>
                      <w:szCs w:val="21"/>
                      <w:highlight w:val="none"/>
                    </w:rPr>
                    <w:t>液体，</w:t>
                  </w:r>
                  <w:r>
                    <w:rPr>
                      <w:color w:val="auto"/>
                      <w:szCs w:val="21"/>
                      <w:highlight w:val="none"/>
                    </w:rPr>
                    <w:t>水44.1%、水溶性改性环氧树脂20%、苯酚15%、苯胺20.9%</w:t>
                  </w:r>
                </w:p>
              </w:tc>
              <w:tc>
                <w:tcPr>
                  <w:tcW w:w="400" w:type="pct"/>
                  <w:tcBorders>
                    <w:tl2br w:val="nil"/>
                    <w:tr2bl w:val="nil"/>
                  </w:tcBorders>
                  <w:vAlign w:val="center"/>
                </w:tcPr>
                <w:p w14:paraId="2F90E93F">
                  <w:pPr>
                    <w:jc w:val="center"/>
                    <w:rPr>
                      <w:color w:val="auto"/>
                      <w:szCs w:val="21"/>
                      <w:highlight w:val="none"/>
                    </w:rPr>
                  </w:pPr>
                  <w:r>
                    <w:rPr>
                      <w:color w:val="auto"/>
                      <w:szCs w:val="21"/>
                      <w:highlight w:val="none"/>
                    </w:rPr>
                    <w:t>0.4</w:t>
                  </w:r>
                </w:p>
              </w:tc>
              <w:tc>
                <w:tcPr>
                  <w:tcW w:w="400" w:type="pct"/>
                  <w:tcBorders>
                    <w:tl2br w:val="nil"/>
                    <w:tr2bl w:val="nil"/>
                  </w:tcBorders>
                  <w:vAlign w:val="center"/>
                </w:tcPr>
                <w:p w14:paraId="62CBD8D1">
                  <w:pPr>
                    <w:jc w:val="center"/>
                    <w:rPr>
                      <w:color w:val="auto"/>
                      <w:szCs w:val="21"/>
                      <w:highlight w:val="none"/>
                    </w:rPr>
                  </w:pPr>
                  <w:r>
                    <w:rPr>
                      <w:color w:val="auto"/>
                      <w:szCs w:val="21"/>
                      <w:highlight w:val="none"/>
                    </w:rPr>
                    <w:t>0.4</w:t>
                  </w:r>
                </w:p>
              </w:tc>
              <w:tc>
                <w:tcPr>
                  <w:tcW w:w="487" w:type="pct"/>
                  <w:tcBorders>
                    <w:tl2br w:val="nil"/>
                    <w:tr2bl w:val="nil"/>
                  </w:tcBorders>
                  <w:vAlign w:val="center"/>
                </w:tcPr>
                <w:p w14:paraId="589D2EAA">
                  <w:pPr>
                    <w:jc w:val="center"/>
                    <w:rPr>
                      <w:color w:val="auto"/>
                      <w:szCs w:val="21"/>
                      <w:highlight w:val="none"/>
                    </w:rPr>
                  </w:pPr>
                  <w:r>
                    <w:rPr>
                      <w:color w:val="auto"/>
                      <w:szCs w:val="21"/>
                      <w:highlight w:val="none"/>
                    </w:rPr>
                    <w:t>0</w:t>
                  </w:r>
                </w:p>
              </w:tc>
              <w:tc>
                <w:tcPr>
                  <w:tcW w:w="425" w:type="pct"/>
                  <w:tcBorders>
                    <w:tl2br w:val="nil"/>
                    <w:tr2bl w:val="nil"/>
                  </w:tcBorders>
                  <w:vAlign w:val="center"/>
                </w:tcPr>
                <w:p w14:paraId="7E61C832">
                  <w:pPr>
                    <w:adjustRightInd w:val="0"/>
                    <w:snapToGrid w:val="0"/>
                    <w:jc w:val="center"/>
                    <w:rPr>
                      <w:color w:val="auto"/>
                      <w:szCs w:val="21"/>
                      <w:highlight w:val="none"/>
                    </w:rPr>
                  </w:pPr>
                  <w:r>
                    <w:rPr>
                      <w:color w:val="auto"/>
                      <w:szCs w:val="21"/>
                      <w:highlight w:val="none"/>
                    </w:rPr>
                    <w:t>0.1</w:t>
                  </w:r>
                </w:p>
              </w:tc>
              <w:tc>
                <w:tcPr>
                  <w:tcW w:w="425" w:type="pct"/>
                  <w:vMerge w:val="continue"/>
                  <w:tcBorders>
                    <w:tl2br w:val="nil"/>
                    <w:tr2bl w:val="nil"/>
                  </w:tcBorders>
                  <w:vAlign w:val="center"/>
                </w:tcPr>
                <w:p w14:paraId="00FF5EBE">
                  <w:pPr>
                    <w:adjustRightInd w:val="0"/>
                    <w:snapToGrid w:val="0"/>
                    <w:jc w:val="center"/>
                    <w:rPr>
                      <w:color w:val="auto"/>
                      <w:szCs w:val="21"/>
                      <w:highlight w:val="none"/>
                    </w:rPr>
                  </w:pPr>
                </w:p>
              </w:tc>
            </w:tr>
            <w:tr w14:paraId="578AAD2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5223394E">
                  <w:pPr>
                    <w:adjustRightInd w:val="0"/>
                    <w:snapToGrid w:val="0"/>
                    <w:jc w:val="center"/>
                    <w:rPr>
                      <w:bCs/>
                      <w:color w:val="auto"/>
                      <w:szCs w:val="21"/>
                      <w:highlight w:val="none"/>
                    </w:rPr>
                  </w:pPr>
                  <w:r>
                    <w:rPr>
                      <w:bCs/>
                      <w:color w:val="auto"/>
                      <w:szCs w:val="21"/>
                      <w:highlight w:val="none"/>
                    </w:rPr>
                    <w:t>16</w:t>
                  </w:r>
                </w:p>
              </w:tc>
              <w:tc>
                <w:tcPr>
                  <w:tcW w:w="430" w:type="pct"/>
                  <w:vMerge w:val="restart"/>
                  <w:tcBorders>
                    <w:tl2br w:val="nil"/>
                    <w:tr2bl w:val="nil"/>
                  </w:tcBorders>
                  <w:vAlign w:val="center"/>
                </w:tcPr>
                <w:p w14:paraId="4D6AF393">
                  <w:pPr>
                    <w:jc w:val="center"/>
                    <w:rPr>
                      <w:color w:val="auto"/>
                      <w:szCs w:val="21"/>
                      <w:highlight w:val="none"/>
                    </w:rPr>
                  </w:pPr>
                  <w:r>
                    <w:rPr>
                      <w:color w:val="auto"/>
                      <w:szCs w:val="21"/>
                      <w:highlight w:val="none"/>
                    </w:rPr>
                    <w:t>电机</w:t>
                  </w:r>
                </w:p>
              </w:tc>
              <w:tc>
                <w:tcPr>
                  <w:tcW w:w="719" w:type="pct"/>
                  <w:tcBorders>
                    <w:tl2br w:val="nil"/>
                    <w:tr2bl w:val="nil"/>
                  </w:tcBorders>
                  <w:vAlign w:val="center"/>
                </w:tcPr>
                <w:p w14:paraId="18D81BB7">
                  <w:pPr>
                    <w:jc w:val="center"/>
                    <w:rPr>
                      <w:color w:val="auto"/>
                      <w:szCs w:val="21"/>
                      <w:highlight w:val="none"/>
                    </w:rPr>
                  </w:pPr>
                  <w:r>
                    <w:rPr>
                      <w:color w:val="auto"/>
                      <w:szCs w:val="21"/>
                      <w:highlight w:val="none"/>
                    </w:rPr>
                    <w:t>定子铁芯</w:t>
                  </w:r>
                </w:p>
              </w:tc>
              <w:tc>
                <w:tcPr>
                  <w:tcW w:w="1480" w:type="pct"/>
                  <w:tcBorders>
                    <w:tl2br w:val="nil"/>
                    <w:tr2bl w:val="nil"/>
                  </w:tcBorders>
                  <w:vAlign w:val="center"/>
                </w:tcPr>
                <w:p w14:paraId="5224B3EB">
                  <w:pPr>
                    <w:widowControl/>
                    <w:jc w:val="center"/>
                    <w:textAlignment w:val="center"/>
                    <w:rPr>
                      <w:color w:val="auto"/>
                      <w:szCs w:val="21"/>
                      <w:highlight w:val="none"/>
                    </w:rPr>
                  </w:pPr>
                  <w:r>
                    <w:rPr>
                      <w:rFonts w:hint="eastAsia"/>
                      <w:color w:val="auto"/>
                      <w:szCs w:val="21"/>
                      <w:highlight w:val="none"/>
                    </w:rPr>
                    <w:t>固体，</w:t>
                  </w:r>
                  <w:r>
                    <w:rPr>
                      <w:color w:val="auto"/>
                      <w:szCs w:val="21"/>
                      <w:highlight w:val="none"/>
                    </w:rPr>
                    <w:t>B35AV1900电工钢100%、3.9kg/</w:t>
                  </w:r>
                  <w:r>
                    <w:rPr>
                      <w:rFonts w:hint="eastAsia"/>
                      <w:color w:val="auto"/>
                      <w:szCs w:val="21"/>
                      <w:highlight w:val="none"/>
                      <w:lang w:eastAsia="zh-Hans"/>
                    </w:rPr>
                    <w:t>个</w:t>
                  </w:r>
                </w:p>
              </w:tc>
              <w:tc>
                <w:tcPr>
                  <w:tcW w:w="400" w:type="pct"/>
                  <w:tcBorders>
                    <w:tl2br w:val="nil"/>
                    <w:tr2bl w:val="nil"/>
                  </w:tcBorders>
                  <w:vAlign w:val="center"/>
                </w:tcPr>
                <w:p w14:paraId="429DE73A">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6D98641D">
                  <w:pPr>
                    <w:jc w:val="center"/>
                    <w:rPr>
                      <w:color w:val="auto"/>
                      <w:szCs w:val="21"/>
                      <w:highlight w:val="none"/>
                    </w:rPr>
                  </w:pPr>
                  <w:r>
                    <w:rPr>
                      <w:color w:val="auto"/>
                      <w:szCs w:val="21"/>
                      <w:highlight w:val="none"/>
                    </w:rPr>
                    <w:t>235</w:t>
                  </w:r>
                </w:p>
              </w:tc>
              <w:tc>
                <w:tcPr>
                  <w:tcW w:w="487" w:type="pct"/>
                  <w:tcBorders>
                    <w:tl2br w:val="nil"/>
                    <w:tr2bl w:val="nil"/>
                  </w:tcBorders>
                  <w:vAlign w:val="center"/>
                </w:tcPr>
                <w:p w14:paraId="3A9FB9DF">
                  <w:pPr>
                    <w:jc w:val="center"/>
                    <w:rPr>
                      <w:color w:val="auto"/>
                      <w:szCs w:val="21"/>
                      <w:highlight w:val="none"/>
                    </w:rPr>
                  </w:pPr>
                  <w:r>
                    <w:rPr>
                      <w:color w:val="auto"/>
                      <w:szCs w:val="21"/>
                      <w:highlight w:val="none"/>
                    </w:rPr>
                    <w:t>+235</w:t>
                  </w:r>
                </w:p>
              </w:tc>
              <w:tc>
                <w:tcPr>
                  <w:tcW w:w="425" w:type="pct"/>
                  <w:tcBorders>
                    <w:tl2br w:val="nil"/>
                    <w:tr2bl w:val="nil"/>
                  </w:tcBorders>
                  <w:vAlign w:val="center"/>
                </w:tcPr>
                <w:p w14:paraId="7C9C7347">
                  <w:pPr>
                    <w:jc w:val="center"/>
                    <w:rPr>
                      <w:color w:val="auto"/>
                      <w:szCs w:val="21"/>
                      <w:highlight w:val="none"/>
                    </w:rPr>
                  </w:pPr>
                  <w:r>
                    <w:rPr>
                      <w:color w:val="auto"/>
                      <w:szCs w:val="21"/>
                      <w:highlight w:val="none"/>
                    </w:rPr>
                    <w:t>10</w:t>
                  </w:r>
                </w:p>
              </w:tc>
              <w:tc>
                <w:tcPr>
                  <w:tcW w:w="425" w:type="pct"/>
                  <w:vMerge w:val="restart"/>
                  <w:tcBorders>
                    <w:tl2br w:val="nil"/>
                    <w:tr2bl w:val="nil"/>
                  </w:tcBorders>
                  <w:vAlign w:val="center"/>
                </w:tcPr>
                <w:p w14:paraId="3C5642C5">
                  <w:pPr>
                    <w:jc w:val="center"/>
                    <w:rPr>
                      <w:color w:val="auto"/>
                      <w:szCs w:val="21"/>
                      <w:highlight w:val="none"/>
                      <w:lang w:eastAsia="zh-Hans"/>
                    </w:rPr>
                  </w:pPr>
                  <w:r>
                    <w:rPr>
                      <w:rFonts w:hint="eastAsia"/>
                      <w:color w:val="auto"/>
                      <w:szCs w:val="21"/>
                      <w:highlight w:val="none"/>
                      <w:lang w:eastAsia="zh-Hans"/>
                    </w:rPr>
                    <w:t>原料仓库</w:t>
                  </w:r>
                </w:p>
              </w:tc>
            </w:tr>
            <w:tr w14:paraId="391A31B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6CB9DE7A">
                  <w:pPr>
                    <w:adjustRightInd w:val="0"/>
                    <w:snapToGrid w:val="0"/>
                    <w:jc w:val="center"/>
                    <w:rPr>
                      <w:bCs/>
                      <w:color w:val="auto"/>
                      <w:szCs w:val="21"/>
                      <w:highlight w:val="none"/>
                    </w:rPr>
                  </w:pPr>
                  <w:r>
                    <w:rPr>
                      <w:bCs/>
                      <w:color w:val="auto"/>
                      <w:szCs w:val="21"/>
                      <w:highlight w:val="none"/>
                    </w:rPr>
                    <w:t>17</w:t>
                  </w:r>
                </w:p>
              </w:tc>
              <w:tc>
                <w:tcPr>
                  <w:tcW w:w="430" w:type="pct"/>
                  <w:vMerge w:val="continue"/>
                  <w:tcBorders>
                    <w:tl2br w:val="nil"/>
                    <w:tr2bl w:val="nil"/>
                  </w:tcBorders>
                  <w:vAlign w:val="center"/>
                </w:tcPr>
                <w:p w14:paraId="214B0FA8">
                  <w:pPr>
                    <w:jc w:val="center"/>
                    <w:rPr>
                      <w:color w:val="auto"/>
                      <w:szCs w:val="21"/>
                      <w:highlight w:val="none"/>
                    </w:rPr>
                  </w:pPr>
                </w:p>
              </w:tc>
              <w:tc>
                <w:tcPr>
                  <w:tcW w:w="719" w:type="pct"/>
                  <w:tcBorders>
                    <w:tl2br w:val="nil"/>
                    <w:tr2bl w:val="nil"/>
                  </w:tcBorders>
                  <w:vAlign w:val="center"/>
                </w:tcPr>
                <w:p w14:paraId="18670822">
                  <w:pPr>
                    <w:jc w:val="center"/>
                    <w:rPr>
                      <w:color w:val="auto"/>
                      <w:szCs w:val="21"/>
                      <w:highlight w:val="none"/>
                    </w:rPr>
                  </w:pPr>
                  <w:r>
                    <w:rPr>
                      <w:color w:val="auto"/>
                      <w:szCs w:val="21"/>
                      <w:highlight w:val="none"/>
                    </w:rPr>
                    <w:t>分配环组件</w:t>
                  </w:r>
                </w:p>
              </w:tc>
              <w:tc>
                <w:tcPr>
                  <w:tcW w:w="1480" w:type="pct"/>
                  <w:tcBorders>
                    <w:tl2br w:val="nil"/>
                    <w:tr2bl w:val="nil"/>
                  </w:tcBorders>
                  <w:vAlign w:val="center"/>
                </w:tcPr>
                <w:p w14:paraId="02A97B3A">
                  <w:pPr>
                    <w:jc w:val="center"/>
                    <w:rPr>
                      <w:color w:val="auto"/>
                      <w:kern w:val="0"/>
                      <w:szCs w:val="21"/>
                      <w:highlight w:val="none"/>
                    </w:rPr>
                  </w:pPr>
                  <w:r>
                    <w:rPr>
                      <w:rFonts w:hint="eastAsia"/>
                      <w:color w:val="auto"/>
                      <w:szCs w:val="21"/>
                      <w:highlight w:val="none"/>
                    </w:rPr>
                    <w:t>固体，</w:t>
                  </w:r>
                  <w:r>
                    <w:rPr>
                      <w:color w:val="auto"/>
                      <w:szCs w:val="21"/>
                      <w:highlight w:val="none"/>
                    </w:rPr>
                    <w:t>铜85%；G4012T-14%；10#钢1%、289g/</w:t>
                  </w:r>
                  <w:r>
                    <w:rPr>
                      <w:rFonts w:hint="eastAsia"/>
                      <w:color w:val="auto"/>
                      <w:szCs w:val="21"/>
                      <w:highlight w:val="none"/>
                      <w:lang w:eastAsia="zh-Hans"/>
                    </w:rPr>
                    <w:t>个</w:t>
                  </w:r>
                </w:p>
              </w:tc>
              <w:tc>
                <w:tcPr>
                  <w:tcW w:w="400" w:type="pct"/>
                  <w:tcBorders>
                    <w:tl2br w:val="nil"/>
                    <w:tr2bl w:val="nil"/>
                  </w:tcBorders>
                  <w:vAlign w:val="center"/>
                </w:tcPr>
                <w:p w14:paraId="79D2D661">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1D9C1F02">
                  <w:pPr>
                    <w:jc w:val="center"/>
                    <w:rPr>
                      <w:color w:val="auto"/>
                      <w:szCs w:val="21"/>
                      <w:highlight w:val="none"/>
                    </w:rPr>
                  </w:pPr>
                  <w:r>
                    <w:rPr>
                      <w:color w:val="auto"/>
                      <w:szCs w:val="21"/>
                      <w:highlight w:val="none"/>
                    </w:rPr>
                    <w:t>17.35</w:t>
                  </w:r>
                </w:p>
              </w:tc>
              <w:tc>
                <w:tcPr>
                  <w:tcW w:w="487" w:type="pct"/>
                  <w:tcBorders>
                    <w:tl2br w:val="nil"/>
                    <w:tr2bl w:val="nil"/>
                  </w:tcBorders>
                  <w:vAlign w:val="center"/>
                </w:tcPr>
                <w:p w14:paraId="0EE49E5D">
                  <w:pPr>
                    <w:jc w:val="center"/>
                    <w:rPr>
                      <w:color w:val="auto"/>
                      <w:szCs w:val="21"/>
                      <w:highlight w:val="none"/>
                    </w:rPr>
                  </w:pPr>
                  <w:r>
                    <w:rPr>
                      <w:color w:val="auto"/>
                      <w:szCs w:val="21"/>
                      <w:highlight w:val="none"/>
                    </w:rPr>
                    <w:t>+17.35</w:t>
                  </w:r>
                </w:p>
              </w:tc>
              <w:tc>
                <w:tcPr>
                  <w:tcW w:w="425" w:type="pct"/>
                  <w:tcBorders>
                    <w:tl2br w:val="nil"/>
                    <w:tr2bl w:val="nil"/>
                  </w:tcBorders>
                  <w:vAlign w:val="center"/>
                </w:tcPr>
                <w:p w14:paraId="38E1453E">
                  <w:pPr>
                    <w:jc w:val="center"/>
                    <w:rPr>
                      <w:color w:val="auto"/>
                      <w:szCs w:val="21"/>
                      <w:highlight w:val="none"/>
                    </w:rPr>
                  </w:pPr>
                  <w:r>
                    <w:rPr>
                      <w:color w:val="auto"/>
                      <w:szCs w:val="21"/>
                      <w:highlight w:val="none"/>
                    </w:rPr>
                    <w:t>8</w:t>
                  </w:r>
                </w:p>
              </w:tc>
              <w:tc>
                <w:tcPr>
                  <w:tcW w:w="425" w:type="pct"/>
                  <w:vMerge w:val="continue"/>
                  <w:tcBorders>
                    <w:tl2br w:val="nil"/>
                    <w:tr2bl w:val="nil"/>
                  </w:tcBorders>
                  <w:vAlign w:val="center"/>
                </w:tcPr>
                <w:p w14:paraId="12B4941B">
                  <w:pPr>
                    <w:jc w:val="center"/>
                    <w:rPr>
                      <w:color w:val="auto"/>
                      <w:szCs w:val="21"/>
                      <w:highlight w:val="none"/>
                    </w:rPr>
                  </w:pPr>
                </w:p>
              </w:tc>
            </w:tr>
            <w:tr w14:paraId="2BF279C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410C2DCA">
                  <w:pPr>
                    <w:adjustRightInd w:val="0"/>
                    <w:snapToGrid w:val="0"/>
                    <w:jc w:val="center"/>
                    <w:rPr>
                      <w:bCs/>
                      <w:color w:val="auto"/>
                      <w:szCs w:val="21"/>
                      <w:highlight w:val="none"/>
                    </w:rPr>
                  </w:pPr>
                  <w:r>
                    <w:rPr>
                      <w:bCs/>
                      <w:color w:val="auto"/>
                      <w:szCs w:val="21"/>
                      <w:highlight w:val="none"/>
                    </w:rPr>
                    <w:t>18</w:t>
                  </w:r>
                </w:p>
              </w:tc>
              <w:tc>
                <w:tcPr>
                  <w:tcW w:w="430" w:type="pct"/>
                  <w:vMerge w:val="continue"/>
                  <w:tcBorders>
                    <w:tl2br w:val="nil"/>
                    <w:tr2bl w:val="nil"/>
                  </w:tcBorders>
                  <w:vAlign w:val="center"/>
                </w:tcPr>
                <w:p w14:paraId="37B5C029">
                  <w:pPr>
                    <w:jc w:val="center"/>
                    <w:rPr>
                      <w:color w:val="auto"/>
                      <w:szCs w:val="21"/>
                      <w:highlight w:val="none"/>
                    </w:rPr>
                  </w:pPr>
                </w:p>
              </w:tc>
              <w:tc>
                <w:tcPr>
                  <w:tcW w:w="719" w:type="pct"/>
                  <w:tcBorders>
                    <w:tl2br w:val="nil"/>
                    <w:tr2bl w:val="nil"/>
                  </w:tcBorders>
                  <w:vAlign w:val="center"/>
                </w:tcPr>
                <w:p w14:paraId="7C376B94">
                  <w:pPr>
                    <w:jc w:val="center"/>
                    <w:rPr>
                      <w:color w:val="auto"/>
                      <w:szCs w:val="21"/>
                      <w:highlight w:val="none"/>
                    </w:rPr>
                  </w:pPr>
                  <w:r>
                    <w:rPr>
                      <w:color w:val="auto"/>
                      <w:szCs w:val="21"/>
                      <w:highlight w:val="none"/>
                    </w:rPr>
                    <w:t>线圈支架</w:t>
                  </w:r>
                </w:p>
              </w:tc>
              <w:tc>
                <w:tcPr>
                  <w:tcW w:w="1480" w:type="pct"/>
                  <w:tcBorders>
                    <w:tl2br w:val="nil"/>
                    <w:tr2bl w:val="nil"/>
                  </w:tcBorders>
                  <w:vAlign w:val="center"/>
                </w:tcPr>
                <w:p w14:paraId="2CDEADDF">
                  <w:pPr>
                    <w:jc w:val="center"/>
                    <w:rPr>
                      <w:color w:val="auto"/>
                      <w:kern w:val="0"/>
                      <w:szCs w:val="21"/>
                      <w:highlight w:val="none"/>
                    </w:rPr>
                  </w:pPr>
                  <w:r>
                    <w:rPr>
                      <w:rFonts w:hint="eastAsia"/>
                      <w:color w:val="auto"/>
                      <w:szCs w:val="21"/>
                      <w:highlight w:val="none"/>
                    </w:rPr>
                    <w:t>固体，</w:t>
                  </w:r>
                  <w:r>
                    <w:rPr>
                      <w:color w:val="auto"/>
                      <w:szCs w:val="21"/>
                      <w:highlight w:val="none"/>
                    </w:rPr>
                    <w:t>G3080R-100%、5.8g/</w:t>
                  </w:r>
                  <w:r>
                    <w:rPr>
                      <w:rFonts w:hint="eastAsia"/>
                      <w:color w:val="auto"/>
                      <w:szCs w:val="21"/>
                      <w:highlight w:val="none"/>
                      <w:lang w:eastAsia="zh-Hans"/>
                    </w:rPr>
                    <w:t>个</w:t>
                  </w:r>
                </w:p>
              </w:tc>
              <w:tc>
                <w:tcPr>
                  <w:tcW w:w="400" w:type="pct"/>
                  <w:tcBorders>
                    <w:tl2br w:val="nil"/>
                    <w:tr2bl w:val="nil"/>
                  </w:tcBorders>
                  <w:vAlign w:val="center"/>
                </w:tcPr>
                <w:p w14:paraId="6E1CAA51">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6F40D25A">
                  <w:pPr>
                    <w:jc w:val="center"/>
                    <w:rPr>
                      <w:color w:val="auto"/>
                      <w:szCs w:val="21"/>
                      <w:highlight w:val="none"/>
                    </w:rPr>
                  </w:pPr>
                  <w:r>
                    <w:rPr>
                      <w:color w:val="auto"/>
                      <w:szCs w:val="21"/>
                      <w:highlight w:val="none"/>
                    </w:rPr>
                    <w:t>0.36</w:t>
                  </w:r>
                </w:p>
              </w:tc>
              <w:tc>
                <w:tcPr>
                  <w:tcW w:w="487" w:type="pct"/>
                  <w:tcBorders>
                    <w:tl2br w:val="nil"/>
                    <w:tr2bl w:val="nil"/>
                  </w:tcBorders>
                  <w:vAlign w:val="center"/>
                </w:tcPr>
                <w:p w14:paraId="2D5433E3">
                  <w:pPr>
                    <w:jc w:val="center"/>
                    <w:rPr>
                      <w:color w:val="auto"/>
                      <w:szCs w:val="21"/>
                      <w:highlight w:val="none"/>
                    </w:rPr>
                  </w:pPr>
                  <w:r>
                    <w:rPr>
                      <w:color w:val="auto"/>
                      <w:szCs w:val="21"/>
                      <w:highlight w:val="none"/>
                    </w:rPr>
                    <w:t>+0.36</w:t>
                  </w:r>
                </w:p>
              </w:tc>
              <w:tc>
                <w:tcPr>
                  <w:tcW w:w="425" w:type="pct"/>
                  <w:tcBorders>
                    <w:tl2br w:val="nil"/>
                    <w:tr2bl w:val="nil"/>
                  </w:tcBorders>
                  <w:vAlign w:val="center"/>
                </w:tcPr>
                <w:p w14:paraId="10EB2FA1">
                  <w:pPr>
                    <w:jc w:val="center"/>
                    <w:rPr>
                      <w:color w:val="auto"/>
                      <w:szCs w:val="21"/>
                      <w:highlight w:val="none"/>
                    </w:rPr>
                  </w:pPr>
                  <w:r>
                    <w:rPr>
                      <w:color w:val="auto"/>
                      <w:szCs w:val="21"/>
                      <w:highlight w:val="none"/>
                    </w:rPr>
                    <w:t>0.36</w:t>
                  </w:r>
                </w:p>
              </w:tc>
              <w:tc>
                <w:tcPr>
                  <w:tcW w:w="425" w:type="pct"/>
                  <w:vMerge w:val="continue"/>
                  <w:tcBorders>
                    <w:tl2br w:val="nil"/>
                    <w:tr2bl w:val="nil"/>
                  </w:tcBorders>
                  <w:vAlign w:val="center"/>
                </w:tcPr>
                <w:p w14:paraId="32D92ACE">
                  <w:pPr>
                    <w:jc w:val="center"/>
                    <w:rPr>
                      <w:color w:val="auto"/>
                      <w:szCs w:val="21"/>
                      <w:highlight w:val="none"/>
                    </w:rPr>
                  </w:pPr>
                </w:p>
              </w:tc>
            </w:tr>
            <w:tr w14:paraId="6A3B161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3C00979E">
                  <w:pPr>
                    <w:adjustRightInd w:val="0"/>
                    <w:snapToGrid w:val="0"/>
                    <w:jc w:val="center"/>
                    <w:rPr>
                      <w:bCs/>
                      <w:color w:val="auto"/>
                      <w:szCs w:val="21"/>
                      <w:highlight w:val="none"/>
                    </w:rPr>
                  </w:pPr>
                  <w:r>
                    <w:rPr>
                      <w:bCs/>
                      <w:color w:val="auto"/>
                      <w:szCs w:val="21"/>
                      <w:highlight w:val="none"/>
                    </w:rPr>
                    <w:t>19</w:t>
                  </w:r>
                </w:p>
              </w:tc>
              <w:tc>
                <w:tcPr>
                  <w:tcW w:w="430" w:type="pct"/>
                  <w:vMerge w:val="continue"/>
                  <w:tcBorders>
                    <w:tl2br w:val="nil"/>
                    <w:tr2bl w:val="nil"/>
                  </w:tcBorders>
                  <w:vAlign w:val="center"/>
                </w:tcPr>
                <w:p w14:paraId="3DAB1A68">
                  <w:pPr>
                    <w:jc w:val="center"/>
                    <w:rPr>
                      <w:color w:val="auto"/>
                      <w:szCs w:val="21"/>
                      <w:highlight w:val="none"/>
                    </w:rPr>
                  </w:pPr>
                </w:p>
              </w:tc>
              <w:tc>
                <w:tcPr>
                  <w:tcW w:w="719" w:type="pct"/>
                  <w:tcBorders>
                    <w:tl2br w:val="nil"/>
                    <w:tr2bl w:val="nil"/>
                  </w:tcBorders>
                  <w:vAlign w:val="center"/>
                </w:tcPr>
                <w:p w14:paraId="0BD7AB21">
                  <w:pPr>
                    <w:jc w:val="center"/>
                    <w:rPr>
                      <w:color w:val="auto"/>
                      <w:szCs w:val="21"/>
                      <w:highlight w:val="none"/>
                    </w:rPr>
                  </w:pPr>
                  <w:r>
                    <w:rPr>
                      <w:color w:val="auto"/>
                      <w:szCs w:val="21"/>
                      <w:highlight w:val="none"/>
                    </w:rPr>
                    <w:t>漆包线</w:t>
                  </w:r>
                </w:p>
              </w:tc>
              <w:tc>
                <w:tcPr>
                  <w:tcW w:w="1480" w:type="pct"/>
                  <w:tcBorders>
                    <w:tl2br w:val="nil"/>
                    <w:tr2bl w:val="nil"/>
                  </w:tcBorders>
                  <w:vAlign w:val="center"/>
                </w:tcPr>
                <w:p w14:paraId="0ECB9764">
                  <w:pPr>
                    <w:jc w:val="center"/>
                    <w:rPr>
                      <w:color w:val="auto"/>
                      <w:kern w:val="0"/>
                      <w:szCs w:val="21"/>
                      <w:highlight w:val="none"/>
                    </w:rPr>
                  </w:pPr>
                  <w:r>
                    <w:rPr>
                      <w:rFonts w:hint="eastAsia"/>
                      <w:color w:val="auto"/>
                      <w:szCs w:val="21"/>
                      <w:highlight w:val="none"/>
                    </w:rPr>
                    <w:t>固体，</w:t>
                  </w:r>
                  <w:r>
                    <w:rPr>
                      <w:color w:val="auto"/>
                      <w:szCs w:val="21"/>
                      <w:highlight w:val="none"/>
                    </w:rPr>
                    <w:t>0.9、铜95%；Polyamidimide5%</w:t>
                  </w:r>
                </w:p>
              </w:tc>
              <w:tc>
                <w:tcPr>
                  <w:tcW w:w="400" w:type="pct"/>
                  <w:tcBorders>
                    <w:tl2br w:val="nil"/>
                    <w:tr2bl w:val="nil"/>
                  </w:tcBorders>
                  <w:vAlign w:val="center"/>
                </w:tcPr>
                <w:p w14:paraId="375BD060">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2DB4D29F">
                  <w:pPr>
                    <w:jc w:val="center"/>
                    <w:rPr>
                      <w:color w:val="auto"/>
                      <w:szCs w:val="21"/>
                      <w:highlight w:val="none"/>
                    </w:rPr>
                  </w:pPr>
                  <w:r>
                    <w:rPr>
                      <w:color w:val="auto"/>
                      <w:szCs w:val="21"/>
                      <w:highlight w:val="none"/>
                    </w:rPr>
                    <w:t>101</w:t>
                  </w:r>
                </w:p>
              </w:tc>
              <w:tc>
                <w:tcPr>
                  <w:tcW w:w="487" w:type="pct"/>
                  <w:tcBorders>
                    <w:tl2br w:val="nil"/>
                    <w:tr2bl w:val="nil"/>
                  </w:tcBorders>
                  <w:vAlign w:val="center"/>
                </w:tcPr>
                <w:p w14:paraId="2C13D646">
                  <w:pPr>
                    <w:jc w:val="center"/>
                    <w:rPr>
                      <w:color w:val="auto"/>
                      <w:szCs w:val="21"/>
                      <w:highlight w:val="none"/>
                    </w:rPr>
                  </w:pPr>
                  <w:r>
                    <w:rPr>
                      <w:color w:val="auto"/>
                      <w:szCs w:val="21"/>
                      <w:highlight w:val="none"/>
                    </w:rPr>
                    <w:t>+101</w:t>
                  </w:r>
                </w:p>
              </w:tc>
              <w:tc>
                <w:tcPr>
                  <w:tcW w:w="425" w:type="pct"/>
                  <w:tcBorders>
                    <w:tl2br w:val="nil"/>
                    <w:tr2bl w:val="nil"/>
                  </w:tcBorders>
                  <w:vAlign w:val="center"/>
                </w:tcPr>
                <w:p w14:paraId="6E463DCD">
                  <w:pPr>
                    <w:jc w:val="center"/>
                    <w:rPr>
                      <w:color w:val="auto"/>
                      <w:szCs w:val="21"/>
                      <w:highlight w:val="none"/>
                    </w:rPr>
                  </w:pPr>
                  <w:r>
                    <w:rPr>
                      <w:color w:val="auto"/>
                      <w:szCs w:val="21"/>
                      <w:highlight w:val="none"/>
                    </w:rPr>
                    <w:t>10</w:t>
                  </w:r>
                </w:p>
              </w:tc>
              <w:tc>
                <w:tcPr>
                  <w:tcW w:w="425" w:type="pct"/>
                  <w:vMerge w:val="continue"/>
                  <w:tcBorders>
                    <w:tl2br w:val="nil"/>
                    <w:tr2bl w:val="nil"/>
                  </w:tcBorders>
                  <w:vAlign w:val="center"/>
                </w:tcPr>
                <w:p w14:paraId="7AC3938D">
                  <w:pPr>
                    <w:jc w:val="center"/>
                    <w:rPr>
                      <w:color w:val="auto"/>
                      <w:szCs w:val="21"/>
                      <w:highlight w:val="none"/>
                    </w:rPr>
                  </w:pPr>
                </w:p>
              </w:tc>
            </w:tr>
            <w:tr w14:paraId="6BB3C66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2DB1E166">
                  <w:pPr>
                    <w:adjustRightInd w:val="0"/>
                    <w:snapToGrid w:val="0"/>
                    <w:jc w:val="center"/>
                    <w:rPr>
                      <w:bCs/>
                      <w:color w:val="auto"/>
                      <w:szCs w:val="21"/>
                      <w:highlight w:val="none"/>
                    </w:rPr>
                  </w:pPr>
                  <w:r>
                    <w:rPr>
                      <w:bCs/>
                      <w:color w:val="auto"/>
                      <w:szCs w:val="21"/>
                      <w:highlight w:val="none"/>
                    </w:rPr>
                    <w:t>20</w:t>
                  </w:r>
                </w:p>
              </w:tc>
              <w:tc>
                <w:tcPr>
                  <w:tcW w:w="430" w:type="pct"/>
                  <w:vMerge w:val="continue"/>
                  <w:tcBorders>
                    <w:tl2br w:val="nil"/>
                    <w:tr2bl w:val="nil"/>
                  </w:tcBorders>
                  <w:vAlign w:val="center"/>
                </w:tcPr>
                <w:p w14:paraId="77D08D6F">
                  <w:pPr>
                    <w:jc w:val="center"/>
                    <w:rPr>
                      <w:color w:val="auto"/>
                      <w:szCs w:val="21"/>
                      <w:highlight w:val="none"/>
                    </w:rPr>
                  </w:pPr>
                </w:p>
              </w:tc>
              <w:tc>
                <w:tcPr>
                  <w:tcW w:w="719" w:type="pct"/>
                  <w:tcBorders>
                    <w:tl2br w:val="nil"/>
                    <w:tr2bl w:val="nil"/>
                  </w:tcBorders>
                  <w:vAlign w:val="center"/>
                </w:tcPr>
                <w:p w14:paraId="48836998">
                  <w:pPr>
                    <w:jc w:val="center"/>
                    <w:rPr>
                      <w:color w:val="auto"/>
                      <w:szCs w:val="21"/>
                      <w:highlight w:val="none"/>
                    </w:rPr>
                  </w:pPr>
                  <w:r>
                    <w:rPr>
                      <w:color w:val="auto"/>
                      <w:szCs w:val="21"/>
                      <w:highlight w:val="none"/>
                    </w:rPr>
                    <w:t>绝缘纸</w:t>
                  </w:r>
                </w:p>
              </w:tc>
              <w:tc>
                <w:tcPr>
                  <w:tcW w:w="1480" w:type="pct"/>
                  <w:tcBorders>
                    <w:tl2br w:val="nil"/>
                    <w:tr2bl w:val="nil"/>
                  </w:tcBorders>
                  <w:vAlign w:val="center"/>
                </w:tcPr>
                <w:p w14:paraId="01852308">
                  <w:pPr>
                    <w:widowControl/>
                    <w:jc w:val="center"/>
                    <w:textAlignment w:val="center"/>
                    <w:rPr>
                      <w:color w:val="auto"/>
                      <w:kern w:val="0"/>
                      <w:szCs w:val="21"/>
                      <w:highlight w:val="none"/>
                    </w:rPr>
                  </w:pPr>
                  <w:r>
                    <w:rPr>
                      <w:rFonts w:hint="eastAsia"/>
                      <w:color w:val="auto"/>
                      <w:szCs w:val="21"/>
                      <w:highlight w:val="none"/>
                    </w:rPr>
                    <w:t>固体，</w:t>
                  </w:r>
                  <w:r>
                    <w:rPr>
                      <w:color w:val="auto"/>
                      <w:szCs w:val="21"/>
                      <w:highlight w:val="none"/>
                    </w:rPr>
                    <w:t>ISOVOLTA复合纸</w:t>
                  </w:r>
                </w:p>
              </w:tc>
              <w:tc>
                <w:tcPr>
                  <w:tcW w:w="400" w:type="pct"/>
                  <w:tcBorders>
                    <w:tl2br w:val="nil"/>
                    <w:tr2bl w:val="nil"/>
                  </w:tcBorders>
                  <w:vAlign w:val="center"/>
                </w:tcPr>
                <w:p w14:paraId="4FBF3D8D">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7C84F781">
                  <w:pPr>
                    <w:widowControl/>
                    <w:jc w:val="center"/>
                    <w:textAlignment w:val="center"/>
                    <w:rPr>
                      <w:color w:val="auto"/>
                      <w:szCs w:val="21"/>
                      <w:highlight w:val="none"/>
                    </w:rPr>
                  </w:pPr>
                  <w:r>
                    <w:rPr>
                      <w:color w:val="auto"/>
                      <w:szCs w:val="21"/>
                      <w:highlight w:val="none"/>
                    </w:rPr>
                    <w:t>0.01</w:t>
                  </w:r>
                </w:p>
              </w:tc>
              <w:tc>
                <w:tcPr>
                  <w:tcW w:w="487" w:type="pct"/>
                  <w:tcBorders>
                    <w:tl2br w:val="nil"/>
                    <w:tr2bl w:val="nil"/>
                  </w:tcBorders>
                  <w:vAlign w:val="center"/>
                </w:tcPr>
                <w:p w14:paraId="5C0FD05B">
                  <w:pPr>
                    <w:widowControl/>
                    <w:jc w:val="center"/>
                    <w:textAlignment w:val="center"/>
                    <w:rPr>
                      <w:color w:val="auto"/>
                      <w:szCs w:val="21"/>
                      <w:highlight w:val="none"/>
                    </w:rPr>
                  </w:pPr>
                  <w:r>
                    <w:rPr>
                      <w:color w:val="auto"/>
                      <w:szCs w:val="21"/>
                      <w:highlight w:val="none"/>
                    </w:rPr>
                    <w:t>+0.01</w:t>
                  </w:r>
                </w:p>
              </w:tc>
              <w:tc>
                <w:tcPr>
                  <w:tcW w:w="425" w:type="pct"/>
                  <w:tcBorders>
                    <w:tl2br w:val="nil"/>
                    <w:tr2bl w:val="nil"/>
                  </w:tcBorders>
                  <w:vAlign w:val="center"/>
                </w:tcPr>
                <w:p w14:paraId="5240D892">
                  <w:pPr>
                    <w:jc w:val="center"/>
                    <w:rPr>
                      <w:color w:val="auto"/>
                      <w:szCs w:val="21"/>
                      <w:highlight w:val="none"/>
                    </w:rPr>
                  </w:pPr>
                  <w:r>
                    <w:rPr>
                      <w:color w:val="auto"/>
                      <w:szCs w:val="21"/>
                      <w:highlight w:val="none"/>
                    </w:rPr>
                    <w:t>0.01</w:t>
                  </w:r>
                </w:p>
              </w:tc>
              <w:tc>
                <w:tcPr>
                  <w:tcW w:w="425" w:type="pct"/>
                  <w:vMerge w:val="continue"/>
                  <w:tcBorders>
                    <w:tl2br w:val="nil"/>
                    <w:tr2bl w:val="nil"/>
                  </w:tcBorders>
                  <w:vAlign w:val="center"/>
                </w:tcPr>
                <w:p w14:paraId="5049FFBA">
                  <w:pPr>
                    <w:jc w:val="center"/>
                    <w:rPr>
                      <w:color w:val="auto"/>
                      <w:szCs w:val="21"/>
                      <w:highlight w:val="none"/>
                    </w:rPr>
                  </w:pPr>
                </w:p>
              </w:tc>
            </w:tr>
            <w:tr w14:paraId="1EB9B13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3322AC1B">
                  <w:pPr>
                    <w:adjustRightInd w:val="0"/>
                    <w:snapToGrid w:val="0"/>
                    <w:jc w:val="center"/>
                    <w:rPr>
                      <w:bCs/>
                      <w:color w:val="auto"/>
                      <w:szCs w:val="21"/>
                      <w:highlight w:val="none"/>
                    </w:rPr>
                  </w:pPr>
                  <w:r>
                    <w:rPr>
                      <w:bCs/>
                      <w:color w:val="auto"/>
                      <w:szCs w:val="21"/>
                      <w:highlight w:val="none"/>
                    </w:rPr>
                    <w:t>21</w:t>
                  </w:r>
                </w:p>
              </w:tc>
              <w:tc>
                <w:tcPr>
                  <w:tcW w:w="430" w:type="pct"/>
                  <w:vMerge w:val="continue"/>
                  <w:tcBorders>
                    <w:tl2br w:val="nil"/>
                    <w:tr2bl w:val="nil"/>
                  </w:tcBorders>
                  <w:vAlign w:val="center"/>
                </w:tcPr>
                <w:p w14:paraId="650773C3">
                  <w:pPr>
                    <w:jc w:val="center"/>
                    <w:rPr>
                      <w:color w:val="auto"/>
                      <w:szCs w:val="21"/>
                      <w:highlight w:val="none"/>
                    </w:rPr>
                  </w:pPr>
                </w:p>
              </w:tc>
              <w:tc>
                <w:tcPr>
                  <w:tcW w:w="719" w:type="pct"/>
                  <w:tcBorders>
                    <w:tl2br w:val="nil"/>
                    <w:tr2bl w:val="nil"/>
                  </w:tcBorders>
                  <w:vAlign w:val="center"/>
                </w:tcPr>
                <w:p w14:paraId="511D319F">
                  <w:pPr>
                    <w:jc w:val="center"/>
                    <w:rPr>
                      <w:color w:val="auto"/>
                      <w:szCs w:val="21"/>
                      <w:highlight w:val="none"/>
                    </w:rPr>
                  </w:pPr>
                  <w:r>
                    <w:rPr>
                      <w:color w:val="auto"/>
                      <w:szCs w:val="21"/>
                      <w:highlight w:val="none"/>
                    </w:rPr>
                    <w:t>NTC</w:t>
                  </w:r>
                  <w:r>
                    <w:rPr>
                      <w:rStyle w:val="29"/>
                      <w:rFonts w:hint="eastAsia"/>
                      <w:color w:val="auto"/>
                      <w:kern w:val="0"/>
                      <w:szCs w:val="20"/>
                      <w:highlight w:val="none"/>
                      <w:lang w:val="zh-CN"/>
                    </w:rPr>
                    <w:t>（</w:t>
                  </w:r>
                  <w:r>
                    <w:rPr>
                      <w:rStyle w:val="29"/>
                      <w:rFonts w:hint="eastAsia"/>
                      <w:color w:val="auto"/>
                      <w:kern w:val="0"/>
                      <w:szCs w:val="20"/>
                      <w:highlight w:val="none"/>
                    </w:rPr>
                    <w:t>热敏电阻材料</w:t>
                  </w:r>
                  <w:r>
                    <w:rPr>
                      <w:rStyle w:val="29"/>
                      <w:rFonts w:hint="eastAsia"/>
                      <w:color w:val="auto"/>
                      <w:kern w:val="0"/>
                      <w:szCs w:val="20"/>
                      <w:highlight w:val="none"/>
                      <w:lang w:val="zh-CN"/>
                    </w:rPr>
                    <w:t>）</w:t>
                  </w:r>
                </w:p>
              </w:tc>
              <w:tc>
                <w:tcPr>
                  <w:tcW w:w="1480" w:type="pct"/>
                  <w:tcBorders>
                    <w:tl2br w:val="nil"/>
                    <w:tr2bl w:val="nil"/>
                  </w:tcBorders>
                  <w:vAlign w:val="center"/>
                </w:tcPr>
                <w:p w14:paraId="4D27D321">
                  <w:pPr>
                    <w:adjustRightInd w:val="0"/>
                    <w:snapToGrid w:val="0"/>
                    <w:jc w:val="center"/>
                    <w:rPr>
                      <w:color w:val="auto"/>
                      <w:szCs w:val="21"/>
                      <w:highlight w:val="none"/>
                    </w:rPr>
                  </w:pPr>
                  <w:r>
                    <w:rPr>
                      <w:rFonts w:hint="eastAsia"/>
                      <w:color w:val="auto"/>
                      <w:szCs w:val="21"/>
                      <w:highlight w:val="none"/>
                    </w:rPr>
                    <w:t>固体，</w:t>
                  </w:r>
                  <w:r>
                    <w:rPr>
                      <w:color w:val="auto"/>
                      <w:szCs w:val="21"/>
                      <w:highlight w:val="none"/>
                    </w:rPr>
                    <w:t>Trimanganese tetraoxide-30%；</w:t>
                  </w:r>
                </w:p>
                <w:p w14:paraId="7B05664A">
                  <w:pPr>
                    <w:adjustRightInd w:val="0"/>
                    <w:snapToGrid w:val="0"/>
                    <w:jc w:val="center"/>
                    <w:rPr>
                      <w:color w:val="auto"/>
                      <w:szCs w:val="21"/>
                      <w:highlight w:val="none"/>
                    </w:rPr>
                  </w:pPr>
                  <w:r>
                    <w:rPr>
                      <w:color w:val="auto"/>
                      <w:szCs w:val="21"/>
                      <w:highlight w:val="none"/>
                    </w:rPr>
                    <w:t>Calcium-carbonate-20%；</w:t>
                  </w:r>
                </w:p>
                <w:p w14:paraId="4AE64175">
                  <w:pPr>
                    <w:adjustRightInd w:val="0"/>
                    <w:snapToGrid w:val="0"/>
                    <w:jc w:val="center"/>
                    <w:rPr>
                      <w:color w:val="auto"/>
                      <w:szCs w:val="21"/>
                      <w:highlight w:val="none"/>
                    </w:rPr>
                  </w:pPr>
                  <w:r>
                    <w:rPr>
                      <w:color w:val="auto"/>
                      <w:szCs w:val="21"/>
                      <w:highlight w:val="none"/>
                    </w:rPr>
                    <w:t>Chromium(III)oxide-20%；</w:t>
                  </w:r>
                </w:p>
                <w:p w14:paraId="657CD63E">
                  <w:pPr>
                    <w:adjustRightInd w:val="0"/>
                    <w:snapToGrid w:val="0"/>
                    <w:jc w:val="center"/>
                    <w:rPr>
                      <w:color w:val="auto"/>
                      <w:szCs w:val="21"/>
                      <w:highlight w:val="none"/>
                    </w:rPr>
                  </w:pPr>
                  <w:r>
                    <w:rPr>
                      <w:color w:val="auto"/>
                      <w:szCs w:val="21"/>
                      <w:highlight w:val="none"/>
                    </w:rPr>
                    <w:t>Yttrium-oxide-20%</w:t>
                  </w:r>
                </w:p>
                <w:p w14:paraId="42A789C5">
                  <w:pPr>
                    <w:adjustRightInd w:val="0"/>
                    <w:snapToGrid w:val="0"/>
                    <w:jc w:val="center"/>
                    <w:rPr>
                      <w:color w:val="auto"/>
                      <w:szCs w:val="21"/>
                      <w:highlight w:val="none"/>
                    </w:rPr>
                  </w:pPr>
                  <w:r>
                    <w:rPr>
                      <w:color w:val="auto"/>
                      <w:szCs w:val="21"/>
                      <w:highlight w:val="none"/>
                    </w:rPr>
                    <w:t>Platinum-4.8%；</w:t>
                  </w:r>
                </w:p>
                <w:p w14:paraId="781454CD">
                  <w:pPr>
                    <w:widowControl/>
                    <w:jc w:val="center"/>
                    <w:textAlignment w:val="center"/>
                    <w:rPr>
                      <w:color w:val="auto"/>
                      <w:kern w:val="0"/>
                      <w:szCs w:val="21"/>
                      <w:highlight w:val="none"/>
                    </w:rPr>
                  </w:pPr>
                  <w:r>
                    <w:rPr>
                      <w:color w:val="auto"/>
                      <w:szCs w:val="21"/>
                      <w:highlight w:val="none"/>
                    </w:rPr>
                    <w:t>Quartz (SiO2)-0.2%、9.2g/</w:t>
                  </w:r>
                  <w:r>
                    <w:rPr>
                      <w:rFonts w:hint="eastAsia"/>
                      <w:color w:val="auto"/>
                      <w:szCs w:val="21"/>
                      <w:highlight w:val="none"/>
                      <w:lang w:eastAsia="zh-Hans"/>
                    </w:rPr>
                    <w:t>个</w:t>
                  </w:r>
                </w:p>
              </w:tc>
              <w:tc>
                <w:tcPr>
                  <w:tcW w:w="400" w:type="pct"/>
                  <w:tcBorders>
                    <w:tl2br w:val="nil"/>
                    <w:tr2bl w:val="nil"/>
                  </w:tcBorders>
                  <w:vAlign w:val="center"/>
                </w:tcPr>
                <w:p w14:paraId="05006D2D">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03E8D324">
                  <w:pPr>
                    <w:widowControl/>
                    <w:jc w:val="center"/>
                    <w:textAlignment w:val="center"/>
                    <w:rPr>
                      <w:color w:val="auto"/>
                      <w:szCs w:val="21"/>
                      <w:highlight w:val="none"/>
                    </w:rPr>
                  </w:pPr>
                  <w:r>
                    <w:rPr>
                      <w:color w:val="auto"/>
                      <w:szCs w:val="21"/>
                      <w:highlight w:val="none"/>
                    </w:rPr>
                    <w:t>0.55</w:t>
                  </w:r>
                </w:p>
              </w:tc>
              <w:tc>
                <w:tcPr>
                  <w:tcW w:w="487" w:type="pct"/>
                  <w:tcBorders>
                    <w:tl2br w:val="nil"/>
                    <w:tr2bl w:val="nil"/>
                  </w:tcBorders>
                  <w:vAlign w:val="center"/>
                </w:tcPr>
                <w:p w14:paraId="7D638D5A">
                  <w:pPr>
                    <w:widowControl/>
                    <w:jc w:val="center"/>
                    <w:textAlignment w:val="center"/>
                    <w:rPr>
                      <w:color w:val="auto"/>
                      <w:szCs w:val="21"/>
                      <w:highlight w:val="none"/>
                    </w:rPr>
                  </w:pPr>
                  <w:r>
                    <w:rPr>
                      <w:color w:val="auto"/>
                      <w:szCs w:val="21"/>
                      <w:highlight w:val="none"/>
                    </w:rPr>
                    <w:t>+0.55</w:t>
                  </w:r>
                </w:p>
              </w:tc>
              <w:tc>
                <w:tcPr>
                  <w:tcW w:w="425" w:type="pct"/>
                  <w:tcBorders>
                    <w:tl2br w:val="nil"/>
                    <w:tr2bl w:val="nil"/>
                  </w:tcBorders>
                  <w:vAlign w:val="center"/>
                </w:tcPr>
                <w:p w14:paraId="77577FDD">
                  <w:pPr>
                    <w:jc w:val="center"/>
                    <w:rPr>
                      <w:color w:val="auto"/>
                      <w:szCs w:val="21"/>
                      <w:highlight w:val="none"/>
                    </w:rPr>
                  </w:pPr>
                  <w:r>
                    <w:rPr>
                      <w:color w:val="auto"/>
                      <w:szCs w:val="21"/>
                      <w:highlight w:val="none"/>
                    </w:rPr>
                    <w:t>0.55</w:t>
                  </w:r>
                </w:p>
              </w:tc>
              <w:tc>
                <w:tcPr>
                  <w:tcW w:w="425" w:type="pct"/>
                  <w:vMerge w:val="continue"/>
                  <w:tcBorders>
                    <w:tl2br w:val="nil"/>
                    <w:tr2bl w:val="nil"/>
                  </w:tcBorders>
                  <w:vAlign w:val="center"/>
                </w:tcPr>
                <w:p w14:paraId="6F17F260">
                  <w:pPr>
                    <w:jc w:val="center"/>
                    <w:rPr>
                      <w:color w:val="auto"/>
                      <w:szCs w:val="21"/>
                      <w:highlight w:val="none"/>
                    </w:rPr>
                  </w:pPr>
                </w:p>
              </w:tc>
            </w:tr>
            <w:tr w14:paraId="388FA16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28416D97">
                  <w:pPr>
                    <w:adjustRightInd w:val="0"/>
                    <w:snapToGrid w:val="0"/>
                    <w:jc w:val="center"/>
                    <w:rPr>
                      <w:bCs/>
                      <w:color w:val="auto"/>
                      <w:szCs w:val="21"/>
                      <w:highlight w:val="none"/>
                    </w:rPr>
                  </w:pPr>
                  <w:r>
                    <w:rPr>
                      <w:bCs/>
                      <w:color w:val="auto"/>
                      <w:szCs w:val="21"/>
                      <w:highlight w:val="none"/>
                    </w:rPr>
                    <w:t>22</w:t>
                  </w:r>
                </w:p>
              </w:tc>
              <w:tc>
                <w:tcPr>
                  <w:tcW w:w="430" w:type="pct"/>
                  <w:vMerge w:val="continue"/>
                  <w:tcBorders>
                    <w:tl2br w:val="nil"/>
                    <w:tr2bl w:val="nil"/>
                  </w:tcBorders>
                  <w:vAlign w:val="center"/>
                </w:tcPr>
                <w:p w14:paraId="1C29B451">
                  <w:pPr>
                    <w:jc w:val="center"/>
                    <w:rPr>
                      <w:color w:val="auto"/>
                      <w:szCs w:val="21"/>
                      <w:highlight w:val="none"/>
                    </w:rPr>
                  </w:pPr>
                </w:p>
              </w:tc>
              <w:tc>
                <w:tcPr>
                  <w:tcW w:w="719" w:type="pct"/>
                  <w:tcBorders>
                    <w:tl2br w:val="nil"/>
                    <w:tr2bl w:val="nil"/>
                  </w:tcBorders>
                  <w:vAlign w:val="center"/>
                </w:tcPr>
                <w:p w14:paraId="27BFBA6E">
                  <w:pPr>
                    <w:jc w:val="center"/>
                    <w:rPr>
                      <w:color w:val="auto"/>
                      <w:szCs w:val="21"/>
                      <w:highlight w:val="none"/>
                    </w:rPr>
                  </w:pPr>
                  <w:r>
                    <w:rPr>
                      <w:color w:val="auto"/>
                      <w:szCs w:val="21"/>
                      <w:highlight w:val="none"/>
                    </w:rPr>
                    <w:t>NTC绑扎带</w:t>
                  </w:r>
                </w:p>
              </w:tc>
              <w:tc>
                <w:tcPr>
                  <w:tcW w:w="1480" w:type="pct"/>
                  <w:tcBorders>
                    <w:tl2br w:val="nil"/>
                    <w:tr2bl w:val="nil"/>
                  </w:tcBorders>
                  <w:vAlign w:val="center"/>
                </w:tcPr>
                <w:p w14:paraId="46CFA653">
                  <w:pPr>
                    <w:jc w:val="center"/>
                    <w:rPr>
                      <w:color w:val="auto"/>
                      <w:kern w:val="0"/>
                      <w:szCs w:val="21"/>
                      <w:highlight w:val="none"/>
                    </w:rPr>
                  </w:pPr>
                  <w:r>
                    <w:rPr>
                      <w:rFonts w:hint="eastAsia"/>
                      <w:color w:val="auto"/>
                      <w:szCs w:val="21"/>
                      <w:highlight w:val="none"/>
                    </w:rPr>
                    <w:t>固体，</w:t>
                  </w:r>
                  <w:r>
                    <w:rPr>
                      <w:color w:val="auto"/>
                      <w:szCs w:val="21"/>
                      <w:highlight w:val="none"/>
                    </w:rPr>
                    <w:t>PPS-100%</w:t>
                  </w:r>
                </w:p>
              </w:tc>
              <w:tc>
                <w:tcPr>
                  <w:tcW w:w="400" w:type="pct"/>
                  <w:tcBorders>
                    <w:tl2br w:val="nil"/>
                    <w:tr2bl w:val="nil"/>
                  </w:tcBorders>
                  <w:vAlign w:val="center"/>
                </w:tcPr>
                <w:p w14:paraId="3EB7E38C">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6811CC35">
                  <w:pPr>
                    <w:jc w:val="center"/>
                    <w:rPr>
                      <w:color w:val="auto"/>
                      <w:szCs w:val="21"/>
                      <w:highlight w:val="none"/>
                    </w:rPr>
                  </w:pPr>
                  <w:r>
                    <w:rPr>
                      <w:color w:val="auto"/>
                      <w:szCs w:val="21"/>
                      <w:highlight w:val="none"/>
                    </w:rPr>
                    <w:t>0.05</w:t>
                  </w:r>
                </w:p>
              </w:tc>
              <w:tc>
                <w:tcPr>
                  <w:tcW w:w="487" w:type="pct"/>
                  <w:tcBorders>
                    <w:tl2br w:val="nil"/>
                    <w:tr2bl w:val="nil"/>
                  </w:tcBorders>
                  <w:vAlign w:val="center"/>
                </w:tcPr>
                <w:p w14:paraId="12876E99">
                  <w:pPr>
                    <w:jc w:val="center"/>
                    <w:rPr>
                      <w:color w:val="auto"/>
                      <w:szCs w:val="21"/>
                      <w:highlight w:val="none"/>
                    </w:rPr>
                  </w:pPr>
                  <w:r>
                    <w:rPr>
                      <w:color w:val="auto"/>
                      <w:szCs w:val="21"/>
                      <w:highlight w:val="none"/>
                    </w:rPr>
                    <w:t>+0.05</w:t>
                  </w:r>
                </w:p>
              </w:tc>
              <w:tc>
                <w:tcPr>
                  <w:tcW w:w="425" w:type="pct"/>
                  <w:tcBorders>
                    <w:tl2br w:val="nil"/>
                    <w:tr2bl w:val="nil"/>
                  </w:tcBorders>
                  <w:vAlign w:val="center"/>
                </w:tcPr>
                <w:p w14:paraId="3D3BDFD4">
                  <w:pPr>
                    <w:jc w:val="center"/>
                    <w:rPr>
                      <w:color w:val="auto"/>
                      <w:szCs w:val="21"/>
                      <w:highlight w:val="none"/>
                    </w:rPr>
                  </w:pPr>
                  <w:r>
                    <w:rPr>
                      <w:color w:val="auto"/>
                      <w:szCs w:val="21"/>
                      <w:highlight w:val="none"/>
                    </w:rPr>
                    <w:t>0.05</w:t>
                  </w:r>
                </w:p>
              </w:tc>
              <w:tc>
                <w:tcPr>
                  <w:tcW w:w="425" w:type="pct"/>
                  <w:vMerge w:val="continue"/>
                  <w:tcBorders>
                    <w:tl2br w:val="nil"/>
                    <w:tr2bl w:val="nil"/>
                  </w:tcBorders>
                  <w:vAlign w:val="center"/>
                </w:tcPr>
                <w:p w14:paraId="1D85075B">
                  <w:pPr>
                    <w:jc w:val="center"/>
                    <w:rPr>
                      <w:color w:val="auto"/>
                      <w:szCs w:val="21"/>
                      <w:highlight w:val="none"/>
                    </w:rPr>
                  </w:pPr>
                </w:p>
              </w:tc>
            </w:tr>
            <w:tr w14:paraId="027C4BC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2AABA0D8">
                  <w:pPr>
                    <w:adjustRightInd w:val="0"/>
                    <w:snapToGrid w:val="0"/>
                    <w:jc w:val="center"/>
                    <w:rPr>
                      <w:bCs/>
                      <w:color w:val="auto"/>
                      <w:szCs w:val="21"/>
                      <w:highlight w:val="none"/>
                    </w:rPr>
                  </w:pPr>
                  <w:r>
                    <w:rPr>
                      <w:bCs/>
                      <w:color w:val="auto"/>
                      <w:szCs w:val="21"/>
                      <w:highlight w:val="none"/>
                    </w:rPr>
                    <w:t>23</w:t>
                  </w:r>
                </w:p>
              </w:tc>
              <w:tc>
                <w:tcPr>
                  <w:tcW w:w="430" w:type="pct"/>
                  <w:vMerge w:val="continue"/>
                  <w:tcBorders>
                    <w:tl2br w:val="nil"/>
                    <w:tr2bl w:val="nil"/>
                  </w:tcBorders>
                  <w:vAlign w:val="center"/>
                </w:tcPr>
                <w:p w14:paraId="18203F6A">
                  <w:pPr>
                    <w:jc w:val="center"/>
                    <w:rPr>
                      <w:color w:val="auto"/>
                      <w:szCs w:val="21"/>
                      <w:highlight w:val="none"/>
                    </w:rPr>
                  </w:pPr>
                </w:p>
              </w:tc>
              <w:tc>
                <w:tcPr>
                  <w:tcW w:w="719" w:type="pct"/>
                  <w:tcBorders>
                    <w:tl2br w:val="nil"/>
                    <w:tr2bl w:val="nil"/>
                  </w:tcBorders>
                  <w:vAlign w:val="center"/>
                </w:tcPr>
                <w:p w14:paraId="3BACF87E">
                  <w:pPr>
                    <w:jc w:val="center"/>
                    <w:rPr>
                      <w:color w:val="auto"/>
                      <w:szCs w:val="21"/>
                      <w:highlight w:val="none"/>
                    </w:rPr>
                  </w:pPr>
                  <w:r>
                    <w:rPr>
                      <w:color w:val="auto"/>
                      <w:szCs w:val="21"/>
                      <w:highlight w:val="none"/>
                    </w:rPr>
                    <w:t>钎料</w:t>
                  </w:r>
                </w:p>
              </w:tc>
              <w:tc>
                <w:tcPr>
                  <w:tcW w:w="1480" w:type="pct"/>
                  <w:tcBorders>
                    <w:tl2br w:val="nil"/>
                    <w:tr2bl w:val="nil"/>
                  </w:tcBorders>
                  <w:vAlign w:val="center"/>
                </w:tcPr>
                <w:p w14:paraId="2557E0E1">
                  <w:pPr>
                    <w:jc w:val="center"/>
                    <w:rPr>
                      <w:color w:val="auto"/>
                      <w:kern w:val="0"/>
                      <w:szCs w:val="21"/>
                      <w:highlight w:val="none"/>
                    </w:rPr>
                  </w:pPr>
                  <w:r>
                    <w:rPr>
                      <w:rFonts w:hint="eastAsia"/>
                      <w:color w:val="auto"/>
                      <w:szCs w:val="21"/>
                      <w:highlight w:val="none"/>
                    </w:rPr>
                    <w:t>固体，</w:t>
                  </w:r>
                  <w:r>
                    <w:rPr>
                      <w:color w:val="auto"/>
                      <w:szCs w:val="21"/>
                      <w:highlight w:val="none"/>
                    </w:rPr>
                    <w:t>铜80%，银15%，磷5%，1000片20.364g/</w:t>
                  </w:r>
                  <w:r>
                    <w:rPr>
                      <w:rFonts w:hint="eastAsia"/>
                      <w:color w:val="auto"/>
                      <w:szCs w:val="21"/>
                      <w:highlight w:val="none"/>
                      <w:lang w:eastAsia="zh-Hans"/>
                    </w:rPr>
                    <w:t>个</w:t>
                  </w:r>
                </w:p>
              </w:tc>
              <w:tc>
                <w:tcPr>
                  <w:tcW w:w="400" w:type="pct"/>
                  <w:tcBorders>
                    <w:tl2br w:val="nil"/>
                    <w:tr2bl w:val="nil"/>
                  </w:tcBorders>
                  <w:vAlign w:val="center"/>
                </w:tcPr>
                <w:p w14:paraId="3DE23F03">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1F2F10D7">
                  <w:pPr>
                    <w:jc w:val="center"/>
                    <w:rPr>
                      <w:color w:val="auto"/>
                      <w:szCs w:val="21"/>
                      <w:highlight w:val="none"/>
                    </w:rPr>
                  </w:pPr>
                  <w:r>
                    <w:rPr>
                      <w:color w:val="auto"/>
                      <w:szCs w:val="21"/>
                      <w:highlight w:val="none"/>
                    </w:rPr>
                    <w:t>0.03</w:t>
                  </w:r>
                </w:p>
              </w:tc>
              <w:tc>
                <w:tcPr>
                  <w:tcW w:w="487" w:type="pct"/>
                  <w:tcBorders>
                    <w:tl2br w:val="nil"/>
                    <w:tr2bl w:val="nil"/>
                  </w:tcBorders>
                  <w:vAlign w:val="center"/>
                </w:tcPr>
                <w:p w14:paraId="2904CE26">
                  <w:pPr>
                    <w:jc w:val="center"/>
                    <w:rPr>
                      <w:color w:val="auto"/>
                      <w:szCs w:val="21"/>
                      <w:highlight w:val="none"/>
                    </w:rPr>
                  </w:pPr>
                  <w:r>
                    <w:rPr>
                      <w:color w:val="auto"/>
                      <w:szCs w:val="21"/>
                      <w:highlight w:val="none"/>
                    </w:rPr>
                    <w:t>+0.03</w:t>
                  </w:r>
                </w:p>
              </w:tc>
              <w:tc>
                <w:tcPr>
                  <w:tcW w:w="425" w:type="pct"/>
                  <w:tcBorders>
                    <w:tl2br w:val="nil"/>
                    <w:tr2bl w:val="nil"/>
                  </w:tcBorders>
                  <w:vAlign w:val="center"/>
                </w:tcPr>
                <w:p w14:paraId="2D63A2ED">
                  <w:pPr>
                    <w:jc w:val="center"/>
                    <w:rPr>
                      <w:color w:val="auto"/>
                      <w:szCs w:val="21"/>
                      <w:highlight w:val="none"/>
                    </w:rPr>
                  </w:pPr>
                  <w:r>
                    <w:rPr>
                      <w:color w:val="auto"/>
                      <w:szCs w:val="21"/>
                      <w:highlight w:val="none"/>
                    </w:rPr>
                    <w:t>0.03</w:t>
                  </w:r>
                </w:p>
              </w:tc>
              <w:tc>
                <w:tcPr>
                  <w:tcW w:w="425" w:type="pct"/>
                  <w:vMerge w:val="continue"/>
                  <w:tcBorders>
                    <w:tl2br w:val="nil"/>
                    <w:tr2bl w:val="nil"/>
                  </w:tcBorders>
                  <w:vAlign w:val="center"/>
                </w:tcPr>
                <w:p w14:paraId="2A835292">
                  <w:pPr>
                    <w:jc w:val="center"/>
                    <w:rPr>
                      <w:color w:val="auto"/>
                      <w:szCs w:val="21"/>
                      <w:highlight w:val="none"/>
                    </w:rPr>
                  </w:pPr>
                </w:p>
              </w:tc>
            </w:tr>
            <w:tr w14:paraId="57F2E26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205A5AF">
                  <w:pPr>
                    <w:adjustRightInd w:val="0"/>
                    <w:snapToGrid w:val="0"/>
                    <w:jc w:val="center"/>
                    <w:rPr>
                      <w:bCs/>
                      <w:color w:val="auto"/>
                      <w:szCs w:val="21"/>
                      <w:highlight w:val="none"/>
                    </w:rPr>
                  </w:pPr>
                  <w:r>
                    <w:rPr>
                      <w:bCs/>
                      <w:color w:val="auto"/>
                      <w:szCs w:val="21"/>
                      <w:highlight w:val="none"/>
                    </w:rPr>
                    <w:t>24</w:t>
                  </w:r>
                </w:p>
              </w:tc>
              <w:tc>
                <w:tcPr>
                  <w:tcW w:w="430" w:type="pct"/>
                  <w:vMerge w:val="continue"/>
                  <w:tcBorders>
                    <w:tl2br w:val="nil"/>
                    <w:tr2bl w:val="nil"/>
                  </w:tcBorders>
                  <w:vAlign w:val="center"/>
                </w:tcPr>
                <w:p w14:paraId="2775E404">
                  <w:pPr>
                    <w:jc w:val="center"/>
                    <w:rPr>
                      <w:color w:val="auto"/>
                      <w:szCs w:val="21"/>
                      <w:highlight w:val="none"/>
                    </w:rPr>
                  </w:pPr>
                </w:p>
              </w:tc>
              <w:tc>
                <w:tcPr>
                  <w:tcW w:w="719" w:type="pct"/>
                  <w:tcBorders>
                    <w:tl2br w:val="nil"/>
                    <w:tr2bl w:val="nil"/>
                  </w:tcBorders>
                  <w:vAlign w:val="center"/>
                </w:tcPr>
                <w:p w14:paraId="3D38A886">
                  <w:pPr>
                    <w:jc w:val="center"/>
                    <w:rPr>
                      <w:color w:val="auto"/>
                      <w:szCs w:val="21"/>
                      <w:highlight w:val="none"/>
                    </w:rPr>
                  </w:pPr>
                  <w:r>
                    <w:rPr>
                      <w:color w:val="auto"/>
                      <w:szCs w:val="21"/>
                      <w:highlight w:val="none"/>
                    </w:rPr>
                    <w:t>浸渍树脂</w:t>
                  </w:r>
                  <w:r>
                    <w:rPr>
                      <w:rStyle w:val="29"/>
                      <w:rFonts w:hint="eastAsia"/>
                      <w:color w:val="auto"/>
                      <w:kern w:val="0"/>
                      <w:szCs w:val="20"/>
                      <w:highlight w:val="none"/>
                    </w:rPr>
                    <w:t>胶</w:t>
                  </w:r>
                </w:p>
              </w:tc>
              <w:tc>
                <w:tcPr>
                  <w:tcW w:w="1480" w:type="pct"/>
                  <w:tcBorders>
                    <w:tl2br w:val="nil"/>
                    <w:tr2bl w:val="nil"/>
                  </w:tcBorders>
                  <w:vAlign w:val="center"/>
                </w:tcPr>
                <w:p w14:paraId="445E271F">
                  <w:pPr>
                    <w:jc w:val="center"/>
                    <w:rPr>
                      <w:color w:val="auto"/>
                      <w:kern w:val="0"/>
                      <w:szCs w:val="21"/>
                      <w:highlight w:val="none"/>
                    </w:rPr>
                  </w:pPr>
                  <w:r>
                    <w:rPr>
                      <w:rFonts w:hint="eastAsia"/>
                      <w:color w:val="auto"/>
                      <w:szCs w:val="21"/>
                      <w:highlight w:val="none"/>
                    </w:rPr>
                    <w:t>液体，</w:t>
                  </w:r>
                  <w:r>
                    <w:rPr>
                      <w:color w:val="auto"/>
                      <w:szCs w:val="21"/>
                      <w:highlight w:val="none"/>
                    </w:rPr>
                    <w:t>甲基丙烯酸脂类30%-40%；甲基苯乙烯3%-5%，非危害组分55-67%</w:t>
                  </w:r>
                  <w:r>
                    <w:rPr>
                      <w:rFonts w:hint="eastAsia"/>
                      <w:color w:val="auto"/>
                      <w:szCs w:val="21"/>
                      <w:highlight w:val="none"/>
                      <w:lang w:eastAsia="zh-Hans"/>
                    </w:rPr>
                    <w:t>，</w:t>
                  </w:r>
                  <w:r>
                    <w:rPr>
                      <w:rFonts w:hint="eastAsia"/>
                      <w:color w:val="auto"/>
                      <w:highlight w:val="none"/>
                      <w:lang w:eastAsia="zh-Hans"/>
                    </w:rPr>
                    <w:t>规格</w:t>
                  </w:r>
                  <w:r>
                    <w:rPr>
                      <w:color w:val="auto"/>
                      <w:highlight w:val="none"/>
                      <w:lang w:eastAsia="zh-Hans"/>
                    </w:rPr>
                    <w:t>20</w:t>
                  </w:r>
                  <w:r>
                    <w:rPr>
                      <w:rFonts w:hint="eastAsia"/>
                      <w:color w:val="auto"/>
                      <w:highlight w:val="none"/>
                      <w:lang w:eastAsia="zh-Hans"/>
                    </w:rPr>
                    <w:t>kg</w:t>
                  </w:r>
                  <w:r>
                    <w:rPr>
                      <w:color w:val="auto"/>
                      <w:highlight w:val="none"/>
                      <w:lang w:eastAsia="zh-Hans"/>
                    </w:rPr>
                    <w:t>/</w:t>
                  </w:r>
                  <w:r>
                    <w:rPr>
                      <w:rFonts w:hint="eastAsia"/>
                      <w:color w:val="auto"/>
                      <w:highlight w:val="none"/>
                      <w:lang w:eastAsia="zh-Hans"/>
                    </w:rPr>
                    <w:t>桶</w:t>
                  </w:r>
                </w:p>
              </w:tc>
              <w:tc>
                <w:tcPr>
                  <w:tcW w:w="400" w:type="pct"/>
                  <w:tcBorders>
                    <w:tl2br w:val="nil"/>
                    <w:tr2bl w:val="nil"/>
                  </w:tcBorders>
                  <w:vAlign w:val="center"/>
                </w:tcPr>
                <w:p w14:paraId="7A7E2EB8">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312B7083">
                  <w:pPr>
                    <w:jc w:val="center"/>
                    <w:rPr>
                      <w:color w:val="auto"/>
                      <w:szCs w:val="21"/>
                      <w:highlight w:val="none"/>
                    </w:rPr>
                  </w:pPr>
                  <w:r>
                    <w:rPr>
                      <w:color w:val="auto"/>
                      <w:szCs w:val="21"/>
                      <w:highlight w:val="none"/>
                    </w:rPr>
                    <w:t>3.6</w:t>
                  </w:r>
                </w:p>
              </w:tc>
              <w:tc>
                <w:tcPr>
                  <w:tcW w:w="487" w:type="pct"/>
                  <w:tcBorders>
                    <w:tl2br w:val="nil"/>
                    <w:tr2bl w:val="nil"/>
                  </w:tcBorders>
                  <w:vAlign w:val="center"/>
                </w:tcPr>
                <w:p w14:paraId="36ECBC8A">
                  <w:pPr>
                    <w:jc w:val="center"/>
                    <w:rPr>
                      <w:color w:val="auto"/>
                      <w:szCs w:val="21"/>
                      <w:highlight w:val="none"/>
                    </w:rPr>
                  </w:pPr>
                  <w:r>
                    <w:rPr>
                      <w:color w:val="auto"/>
                      <w:szCs w:val="21"/>
                      <w:highlight w:val="none"/>
                    </w:rPr>
                    <w:t>+3.6</w:t>
                  </w:r>
                </w:p>
              </w:tc>
              <w:tc>
                <w:tcPr>
                  <w:tcW w:w="425" w:type="pct"/>
                  <w:tcBorders>
                    <w:tl2br w:val="nil"/>
                    <w:tr2bl w:val="nil"/>
                  </w:tcBorders>
                  <w:vAlign w:val="center"/>
                </w:tcPr>
                <w:p w14:paraId="50D5367D">
                  <w:pPr>
                    <w:jc w:val="center"/>
                    <w:rPr>
                      <w:color w:val="auto"/>
                      <w:szCs w:val="21"/>
                      <w:highlight w:val="none"/>
                    </w:rPr>
                  </w:pPr>
                  <w:r>
                    <w:rPr>
                      <w:color w:val="auto"/>
                      <w:szCs w:val="21"/>
                      <w:highlight w:val="none"/>
                    </w:rPr>
                    <w:t>3.6</w:t>
                  </w:r>
                </w:p>
              </w:tc>
              <w:tc>
                <w:tcPr>
                  <w:tcW w:w="425" w:type="pct"/>
                  <w:vMerge w:val="restart"/>
                  <w:tcBorders>
                    <w:tl2br w:val="nil"/>
                    <w:tr2bl w:val="nil"/>
                  </w:tcBorders>
                  <w:vAlign w:val="center"/>
                </w:tcPr>
                <w:p w14:paraId="78D8BE15">
                  <w:pPr>
                    <w:jc w:val="center"/>
                    <w:rPr>
                      <w:color w:val="auto"/>
                      <w:szCs w:val="21"/>
                      <w:highlight w:val="none"/>
                      <w:lang w:eastAsia="zh-Hans"/>
                    </w:rPr>
                  </w:pPr>
                  <w:r>
                    <w:rPr>
                      <w:rFonts w:hint="eastAsia"/>
                      <w:color w:val="auto"/>
                      <w:szCs w:val="21"/>
                      <w:highlight w:val="none"/>
                      <w:lang w:eastAsia="zh-Hans"/>
                    </w:rPr>
                    <w:t>化学品库</w:t>
                  </w:r>
                </w:p>
              </w:tc>
            </w:tr>
            <w:tr w14:paraId="4A49AD5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9E881F8">
                  <w:pPr>
                    <w:adjustRightInd w:val="0"/>
                    <w:snapToGrid w:val="0"/>
                    <w:jc w:val="center"/>
                    <w:rPr>
                      <w:bCs/>
                      <w:color w:val="auto"/>
                      <w:szCs w:val="21"/>
                      <w:highlight w:val="none"/>
                    </w:rPr>
                  </w:pPr>
                  <w:r>
                    <w:rPr>
                      <w:bCs/>
                      <w:color w:val="auto"/>
                      <w:szCs w:val="21"/>
                      <w:highlight w:val="none"/>
                    </w:rPr>
                    <w:t>25</w:t>
                  </w:r>
                </w:p>
              </w:tc>
              <w:tc>
                <w:tcPr>
                  <w:tcW w:w="430" w:type="pct"/>
                  <w:vMerge w:val="continue"/>
                  <w:tcBorders>
                    <w:tl2br w:val="nil"/>
                    <w:tr2bl w:val="nil"/>
                  </w:tcBorders>
                  <w:vAlign w:val="center"/>
                </w:tcPr>
                <w:p w14:paraId="4A53DBA8">
                  <w:pPr>
                    <w:jc w:val="center"/>
                    <w:rPr>
                      <w:color w:val="auto"/>
                      <w:szCs w:val="21"/>
                      <w:highlight w:val="none"/>
                    </w:rPr>
                  </w:pPr>
                </w:p>
              </w:tc>
              <w:tc>
                <w:tcPr>
                  <w:tcW w:w="719" w:type="pct"/>
                  <w:tcBorders>
                    <w:tl2br w:val="nil"/>
                    <w:tr2bl w:val="nil"/>
                  </w:tcBorders>
                  <w:vAlign w:val="center"/>
                </w:tcPr>
                <w:p w14:paraId="6702160A">
                  <w:pPr>
                    <w:jc w:val="center"/>
                    <w:rPr>
                      <w:color w:val="auto"/>
                      <w:szCs w:val="21"/>
                      <w:highlight w:val="none"/>
                    </w:rPr>
                  </w:pPr>
                  <w:r>
                    <w:rPr>
                      <w:color w:val="auto"/>
                      <w:szCs w:val="21"/>
                      <w:highlight w:val="none"/>
                    </w:rPr>
                    <w:t>树脂粉</w:t>
                  </w:r>
                </w:p>
              </w:tc>
              <w:tc>
                <w:tcPr>
                  <w:tcW w:w="1480" w:type="pct"/>
                  <w:tcBorders>
                    <w:tl2br w:val="nil"/>
                    <w:tr2bl w:val="nil"/>
                  </w:tcBorders>
                  <w:vAlign w:val="center"/>
                </w:tcPr>
                <w:p w14:paraId="17A6582D">
                  <w:pPr>
                    <w:jc w:val="center"/>
                    <w:rPr>
                      <w:color w:val="auto"/>
                      <w:highlight w:val="none"/>
                    </w:rPr>
                  </w:pPr>
                  <w:r>
                    <w:rPr>
                      <w:rFonts w:hint="eastAsia"/>
                      <w:color w:val="auto"/>
                      <w:highlight w:val="none"/>
                    </w:rPr>
                    <w:t>固体，</w:t>
                  </w:r>
                  <w:r>
                    <w:rPr>
                      <w:color w:val="auto"/>
                      <w:highlight w:val="none"/>
                    </w:rPr>
                    <w:t>双酚A型固态环氧树脂35-40%；二氧化硅45-55%；二氧化钛1-5%</w:t>
                  </w:r>
                  <w:r>
                    <w:rPr>
                      <w:rFonts w:hint="eastAsia"/>
                      <w:color w:val="auto"/>
                      <w:highlight w:val="none"/>
                      <w:lang w:eastAsia="zh-Hans"/>
                    </w:rPr>
                    <w:t>，规格</w:t>
                  </w:r>
                  <w:r>
                    <w:rPr>
                      <w:color w:val="auto"/>
                      <w:highlight w:val="none"/>
                      <w:lang w:eastAsia="zh-Hans"/>
                    </w:rPr>
                    <w:t>20</w:t>
                  </w:r>
                  <w:r>
                    <w:rPr>
                      <w:rFonts w:hint="eastAsia"/>
                      <w:color w:val="auto"/>
                      <w:highlight w:val="none"/>
                      <w:lang w:eastAsia="zh-Hans"/>
                    </w:rPr>
                    <w:t>kg</w:t>
                  </w:r>
                  <w:r>
                    <w:rPr>
                      <w:color w:val="auto"/>
                      <w:highlight w:val="none"/>
                      <w:lang w:eastAsia="zh-Hans"/>
                    </w:rPr>
                    <w:t>/</w:t>
                  </w:r>
                  <w:r>
                    <w:rPr>
                      <w:rFonts w:hint="eastAsia"/>
                      <w:color w:val="auto"/>
                      <w:highlight w:val="none"/>
                      <w:lang w:eastAsia="zh-Hans"/>
                    </w:rPr>
                    <w:t>袋</w:t>
                  </w:r>
                </w:p>
              </w:tc>
              <w:tc>
                <w:tcPr>
                  <w:tcW w:w="400" w:type="pct"/>
                  <w:tcBorders>
                    <w:tl2br w:val="nil"/>
                    <w:tr2bl w:val="nil"/>
                  </w:tcBorders>
                  <w:vAlign w:val="center"/>
                </w:tcPr>
                <w:p w14:paraId="278185B0">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0F85A473">
                  <w:pPr>
                    <w:jc w:val="center"/>
                    <w:rPr>
                      <w:color w:val="auto"/>
                      <w:szCs w:val="21"/>
                      <w:highlight w:val="none"/>
                    </w:rPr>
                  </w:pPr>
                  <w:r>
                    <w:rPr>
                      <w:color w:val="auto"/>
                      <w:szCs w:val="21"/>
                      <w:highlight w:val="none"/>
                    </w:rPr>
                    <w:t>6</w:t>
                  </w:r>
                </w:p>
              </w:tc>
              <w:tc>
                <w:tcPr>
                  <w:tcW w:w="487" w:type="pct"/>
                  <w:tcBorders>
                    <w:tl2br w:val="nil"/>
                    <w:tr2bl w:val="nil"/>
                  </w:tcBorders>
                  <w:vAlign w:val="center"/>
                </w:tcPr>
                <w:p w14:paraId="42143C6B">
                  <w:pPr>
                    <w:jc w:val="center"/>
                    <w:rPr>
                      <w:color w:val="auto"/>
                      <w:szCs w:val="21"/>
                      <w:highlight w:val="none"/>
                    </w:rPr>
                  </w:pPr>
                  <w:r>
                    <w:rPr>
                      <w:color w:val="auto"/>
                      <w:szCs w:val="21"/>
                      <w:highlight w:val="none"/>
                    </w:rPr>
                    <w:t>+6</w:t>
                  </w:r>
                </w:p>
              </w:tc>
              <w:tc>
                <w:tcPr>
                  <w:tcW w:w="425" w:type="pct"/>
                  <w:tcBorders>
                    <w:tl2br w:val="nil"/>
                    <w:tr2bl w:val="nil"/>
                  </w:tcBorders>
                  <w:vAlign w:val="center"/>
                </w:tcPr>
                <w:p w14:paraId="4A68BE17">
                  <w:pPr>
                    <w:jc w:val="center"/>
                    <w:rPr>
                      <w:color w:val="auto"/>
                      <w:szCs w:val="21"/>
                      <w:highlight w:val="none"/>
                    </w:rPr>
                  </w:pPr>
                  <w:r>
                    <w:rPr>
                      <w:color w:val="auto"/>
                      <w:szCs w:val="21"/>
                      <w:highlight w:val="none"/>
                    </w:rPr>
                    <w:t>1</w:t>
                  </w:r>
                </w:p>
              </w:tc>
              <w:tc>
                <w:tcPr>
                  <w:tcW w:w="425" w:type="pct"/>
                  <w:vMerge w:val="continue"/>
                  <w:tcBorders>
                    <w:tl2br w:val="nil"/>
                    <w:tr2bl w:val="nil"/>
                  </w:tcBorders>
                  <w:vAlign w:val="center"/>
                </w:tcPr>
                <w:p w14:paraId="16B4374B">
                  <w:pPr>
                    <w:jc w:val="center"/>
                    <w:rPr>
                      <w:color w:val="auto"/>
                      <w:szCs w:val="21"/>
                      <w:highlight w:val="none"/>
                    </w:rPr>
                  </w:pPr>
                </w:p>
              </w:tc>
            </w:tr>
            <w:tr w14:paraId="1D83C3D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6DF96D3">
                  <w:pPr>
                    <w:adjustRightInd w:val="0"/>
                    <w:snapToGrid w:val="0"/>
                    <w:jc w:val="center"/>
                    <w:rPr>
                      <w:bCs/>
                      <w:color w:val="auto"/>
                      <w:szCs w:val="21"/>
                      <w:highlight w:val="none"/>
                    </w:rPr>
                  </w:pPr>
                  <w:r>
                    <w:rPr>
                      <w:bCs/>
                      <w:color w:val="auto"/>
                      <w:szCs w:val="21"/>
                      <w:highlight w:val="none"/>
                    </w:rPr>
                    <w:t>26</w:t>
                  </w:r>
                </w:p>
              </w:tc>
              <w:tc>
                <w:tcPr>
                  <w:tcW w:w="430" w:type="pct"/>
                  <w:vMerge w:val="continue"/>
                  <w:tcBorders>
                    <w:tl2br w:val="nil"/>
                    <w:tr2bl w:val="nil"/>
                  </w:tcBorders>
                  <w:vAlign w:val="center"/>
                </w:tcPr>
                <w:p w14:paraId="36809428">
                  <w:pPr>
                    <w:widowControl/>
                    <w:jc w:val="center"/>
                    <w:textAlignment w:val="center"/>
                    <w:rPr>
                      <w:color w:val="auto"/>
                      <w:szCs w:val="21"/>
                      <w:highlight w:val="none"/>
                    </w:rPr>
                  </w:pPr>
                </w:p>
              </w:tc>
              <w:tc>
                <w:tcPr>
                  <w:tcW w:w="719" w:type="pct"/>
                  <w:tcBorders>
                    <w:tl2br w:val="nil"/>
                    <w:tr2bl w:val="nil"/>
                  </w:tcBorders>
                  <w:vAlign w:val="center"/>
                </w:tcPr>
                <w:p w14:paraId="2A004FDD">
                  <w:pPr>
                    <w:widowControl/>
                    <w:jc w:val="center"/>
                    <w:textAlignment w:val="center"/>
                    <w:rPr>
                      <w:color w:val="auto"/>
                      <w:szCs w:val="21"/>
                      <w:highlight w:val="none"/>
                    </w:rPr>
                  </w:pPr>
                  <w:r>
                    <w:rPr>
                      <w:color w:val="auto"/>
                      <w:szCs w:val="21"/>
                      <w:highlight w:val="none"/>
                    </w:rPr>
                    <w:t>三相铜牌支架</w:t>
                  </w:r>
                </w:p>
              </w:tc>
              <w:tc>
                <w:tcPr>
                  <w:tcW w:w="1480" w:type="pct"/>
                  <w:tcBorders>
                    <w:tl2br w:val="nil"/>
                    <w:tr2bl w:val="nil"/>
                  </w:tcBorders>
                  <w:vAlign w:val="center"/>
                </w:tcPr>
                <w:p w14:paraId="241C1118">
                  <w:pPr>
                    <w:widowControl/>
                    <w:jc w:val="center"/>
                    <w:textAlignment w:val="center"/>
                    <w:rPr>
                      <w:color w:val="auto"/>
                      <w:kern w:val="0"/>
                      <w:szCs w:val="21"/>
                      <w:highlight w:val="none"/>
                    </w:rPr>
                  </w:pPr>
                  <w:r>
                    <w:rPr>
                      <w:rFonts w:hint="eastAsia"/>
                      <w:color w:val="auto"/>
                      <w:szCs w:val="21"/>
                      <w:highlight w:val="none"/>
                    </w:rPr>
                    <w:t>固体，</w:t>
                  </w:r>
                  <w:r>
                    <w:rPr>
                      <w:color w:val="auto"/>
                      <w:szCs w:val="21"/>
                      <w:highlight w:val="none"/>
                    </w:rPr>
                    <w:t>G3080R-5%、55.5g/</w:t>
                  </w:r>
                  <w:r>
                    <w:rPr>
                      <w:rFonts w:hint="eastAsia"/>
                      <w:color w:val="auto"/>
                      <w:szCs w:val="21"/>
                      <w:highlight w:val="none"/>
                      <w:lang w:eastAsia="zh-Hans"/>
                    </w:rPr>
                    <w:t>个</w:t>
                  </w:r>
                </w:p>
              </w:tc>
              <w:tc>
                <w:tcPr>
                  <w:tcW w:w="400" w:type="pct"/>
                  <w:tcBorders>
                    <w:tl2br w:val="nil"/>
                    <w:tr2bl w:val="nil"/>
                  </w:tcBorders>
                  <w:vAlign w:val="center"/>
                </w:tcPr>
                <w:p w14:paraId="5BD55125">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53555667">
                  <w:pPr>
                    <w:widowControl/>
                    <w:jc w:val="center"/>
                    <w:textAlignment w:val="center"/>
                    <w:rPr>
                      <w:color w:val="auto"/>
                      <w:szCs w:val="21"/>
                      <w:highlight w:val="none"/>
                    </w:rPr>
                  </w:pPr>
                  <w:r>
                    <w:rPr>
                      <w:color w:val="auto"/>
                      <w:szCs w:val="21"/>
                      <w:highlight w:val="none"/>
                    </w:rPr>
                    <w:t>3.33</w:t>
                  </w:r>
                </w:p>
              </w:tc>
              <w:tc>
                <w:tcPr>
                  <w:tcW w:w="487" w:type="pct"/>
                  <w:tcBorders>
                    <w:tl2br w:val="nil"/>
                    <w:tr2bl w:val="nil"/>
                  </w:tcBorders>
                  <w:vAlign w:val="center"/>
                </w:tcPr>
                <w:p w14:paraId="07F73C4D">
                  <w:pPr>
                    <w:widowControl/>
                    <w:jc w:val="center"/>
                    <w:textAlignment w:val="center"/>
                    <w:rPr>
                      <w:color w:val="auto"/>
                      <w:szCs w:val="21"/>
                      <w:highlight w:val="none"/>
                    </w:rPr>
                  </w:pPr>
                  <w:r>
                    <w:rPr>
                      <w:color w:val="auto"/>
                      <w:szCs w:val="21"/>
                      <w:highlight w:val="none"/>
                    </w:rPr>
                    <w:t>+3.33</w:t>
                  </w:r>
                </w:p>
              </w:tc>
              <w:tc>
                <w:tcPr>
                  <w:tcW w:w="425" w:type="pct"/>
                  <w:tcBorders>
                    <w:tl2br w:val="nil"/>
                    <w:tr2bl w:val="nil"/>
                  </w:tcBorders>
                  <w:vAlign w:val="center"/>
                </w:tcPr>
                <w:p w14:paraId="2C32D86E">
                  <w:pPr>
                    <w:jc w:val="center"/>
                    <w:rPr>
                      <w:color w:val="auto"/>
                      <w:szCs w:val="21"/>
                      <w:highlight w:val="none"/>
                    </w:rPr>
                  </w:pPr>
                  <w:r>
                    <w:rPr>
                      <w:color w:val="auto"/>
                      <w:szCs w:val="21"/>
                      <w:highlight w:val="none"/>
                    </w:rPr>
                    <w:t>3</w:t>
                  </w:r>
                </w:p>
              </w:tc>
              <w:tc>
                <w:tcPr>
                  <w:tcW w:w="425" w:type="pct"/>
                  <w:vMerge w:val="restart"/>
                  <w:tcBorders>
                    <w:tl2br w:val="nil"/>
                    <w:tr2bl w:val="nil"/>
                  </w:tcBorders>
                  <w:vAlign w:val="center"/>
                </w:tcPr>
                <w:p w14:paraId="3F02D484">
                  <w:pPr>
                    <w:jc w:val="center"/>
                    <w:rPr>
                      <w:color w:val="auto"/>
                      <w:szCs w:val="21"/>
                      <w:highlight w:val="none"/>
                      <w:lang w:eastAsia="zh-Hans"/>
                    </w:rPr>
                  </w:pPr>
                  <w:r>
                    <w:rPr>
                      <w:rFonts w:hint="eastAsia"/>
                      <w:color w:val="auto"/>
                      <w:szCs w:val="21"/>
                      <w:highlight w:val="none"/>
                      <w:lang w:eastAsia="zh-Hans"/>
                    </w:rPr>
                    <w:t>原料仓库</w:t>
                  </w:r>
                </w:p>
              </w:tc>
            </w:tr>
            <w:tr w14:paraId="42A234B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A4F03DF">
                  <w:pPr>
                    <w:adjustRightInd w:val="0"/>
                    <w:snapToGrid w:val="0"/>
                    <w:jc w:val="center"/>
                    <w:rPr>
                      <w:bCs/>
                      <w:color w:val="auto"/>
                      <w:szCs w:val="21"/>
                      <w:highlight w:val="none"/>
                    </w:rPr>
                  </w:pPr>
                  <w:r>
                    <w:rPr>
                      <w:bCs/>
                      <w:color w:val="auto"/>
                      <w:szCs w:val="21"/>
                      <w:highlight w:val="none"/>
                    </w:rPr>
                    <w:t>27</w:t>
                  </w:r>
                </w:p>
              </w:tc>
              <w:tc>
                <w:tcPr>
                  <w:tcW w:w="430" w:type="pct"/>
                  <w:vMerge w:val="continue"/>
                  <w:tcBorders>
                    <w:tl2br w:val="nil"/>
                    <w:tr2bl w:val="nil"/>
                  </w:tcBorders>
                  <w:vAlign w:val="center"/>
                </w:tcPr>
                <w:p w14:paraId="7F5F5355">
                  <w:pPr>
                    <w:widowControl/>
                    <w:jc w:val="center"/>
                    <w:textAlignment w:val="center"/>
                    <w:rPr>
                      <w:color w:val="auto"/>
                      <w:szCs w:val="21"/>
                      <w:highlight w:val="none"/>
                    </w:rPr>
                  </w:pPr>
                </w:p>
              </w:tc>
              <w:tc>
                <w:tcPr>
                  <w:tcW w:w="719" w:type="pct"/>
                  <w:tcBorders>
                    <w:tl2br w:val="nil"/>
                    <w:tr2bl w:val="nil"/>
                  </w:tcBorders>
                  <w:vAlign w:val="center"/>
                </w:tcPr>
                <w:p w14:paraId="64F247F3">
                  <w:pPr>
                    <w:widowControl/>
                    <w:jc w:val="center"/>
                    <w:textAlignment w:val="center"/>
                    <w:rPr>
                      <w:color w:val="auto"/>
                      <w:szCs w:val="21"/>
                      <w:highlight w:val="none"/>
                    </w:rPr>
                  </w:pPr>
                  <w:r>
                    <w:rPr>
                      <w:color w:val="auto"/>
                      <w:szCs w:val="21"/>
                      <w:highlight w:val="none"/>
                    </w:rPr>
                    <w:t>转子铁芯</w:t>
                  </w:r>
                </w:p>
              </w:tc>
              <w:tc>
                <w:tcPr>
                  <w:tcW w:w="1480" w:type="pct"/>
                  <w:tcBorders>
                    <w:tl2br w:val="nil"/>
                    <w:tr2bl w:val="nil"/>
                  </w:tcBorders>
                  <w:vAlign w:val="center"/>
                </w:tcPr>
                <w:p w14:paraId="49345CC8">
                  <w:pPr>
                    <w:widowControl/>
                    <w:jc w:val="center"/>
                    <w:textAlignment w:val="center"/>
                    <w:rPr>
                      <w:color w:val="auto"/>
                      <w:kern w:val="0"/>
                      <w:szCs w:val="21"/>
                      <w:highlight w:val="none"/>
                    </w:rPr>
                  </w:pPr>
                  <w:r>
                    <w:rPr>
                      <w:rFonts w:hint="eastAsia"/>
                      <w:color w:val="auto"/>
                      <w:szCs w:val="21"/>
                      <w:highlight w:val="none"/>
                    </w:rPr>
                    <w:t>固体，</w:t>
                  </w:r>
                  <w:r>
                    <w:rPr>
                      <w:color w:val="auto"/>
                      <w:szCs w:val="21"/>
                      <w:highlight w:val="none"/>
                    </w:rPr>
                    <w:t>B35AV1900电工钢100%，655g/</w:t>
                  </w:r>
                  <w:r>
                    <w:rPr>
                      <w:rFonts w:hint="eastAsia"/>
                      <w:color w:val="auto"/>
                      <w:szCs w:val="21"/>
                      <w:highlight w:val="none"/>
                      <w:lang w:eastAsia="zh-Hans"/>
                    </w:rPr>
                    <w:t>个</w:t>
                  </w:r>
                </w:p>
              </w:tc>
              <w:tc>
                <w:tcPr>
                  <w:tcW w:w="400" w:type="pct"/>
                  <w:tcBorders>
                    <w:tl2br w:val="nil"/>
                    <w:tr2bl w:val="nil"/>
                  </w:tcBorders>
                  <w:vAlign w:val="center"/>
                </w:tcPr>
                <w:p w14:paraId="395271AC">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6F8BCE0E">
                  <w:pPr>
                    <w:widowControl/>
                    <w:jc w:val="center"/>
                    <w:textAlignment w:val="center"/>
                    <w:rPr>
                      <w:color w:val="auto"/>
                      <w:szCs w:val="21"/>
                      <w:highlight w:val="none"/>
                    </w:rPr>
                  </w:pPr>
                  <w:r>
                    <w:rPr>
                      <w:color w:val="auto"/>
                      <w:szCs w:val="21"/>
                      <w:highlight w:val="none"/>
                    </w:rPr>
                    <w:t>117.9</w:t>
                  </w:r>
                </w:p>
              </w:tc>
              <w:tc>
                <w:tcPr>
                  <w:tcW w:w="487" w:type="pct"/>
                  <w:tcBorders>
                    <w:tl2br w:val="nil"/>
                    <w:tr2bl w:val="nil"/>
                  </w:tcBorders>
                  <w:vAlign w:val="center"/>
                </w:tcPr>
                <w:p w14:paraId="0C357DE8">
                  <w:pPr>
                    <w:widowControl/>
                    <w:jc w:val="center"/>
                    <w:textAlignment w:val="center"/>
                    <w:rPr>
                      <w:color w:val="auto"/>
                      <w:szCs w:val="21"/>
                      <w:highlight w:val="none"/>
                    </w:rPr>
                  </w:pPr>
                  <w:r>
                    <w:rPr>
                      <w:color w:val="auto"/>
                      <w:szCs w:val="21"/>
                      <w:highlight w:val="none"/>
                    </w:rPr>
                    <w:t>+117.9</w:t>
                  </w:r>
                </w:p>
              </w:tc>
              <w:tc>
                <w:tcPr>
                  <w:tcW w:w="425" w:type="pct"/>
                  <w:tcBorders>
                    <w:tl2br w:val="nil"/>
                    <w:tr2bl w:val="nil"/>
                  </w:tcBorders>
                  <w:vAlign w:val="center"/>
                </w:tcPr>
                <w:p w14:paraId="549D3D48">
                  <w:pPr>
                    <w:jc w:val="center"/>
                    <w:rPr>
                      <w:color w:val="auto"/>
                      <w:szCs w:val="21"/>
                      <w:highlight w:val="none"/>
                    </w:rPr>
                  </w:pPr>
                  <w:r>
                    <w:rPr>
                      <w:color w:val="auto"/>
                      <w:szCs w:val="21"/>
                      <w:highlight w:val="none"/>
                    </w:rPr>
                    <w:t>10</w:t>
                  </w:r>
                </w:p>
              </w:tc>
              <w:tc>
                <w:tcPr>
                  <w:tcW w:w="425" w:type="pct"/>
                  <w:vMerge w:val="continue"/>
                  <w:tcBorders>
                    <w:tl2br w:val="nil"/>
                    <w:tr2bl w:val="nil"/>
                  </w:tcBorders>
                  <w:vAlign w:val="center"/>
                </w:tcPr>
                <w:p w14:paraId="38C09313">
                  <w:pPr>
                    <w:jc w:val="center"/>
                    <w:rPr>
                      <w:color w:val="auto"/>
                      <w:szCs w:val="21"/>
                      <w:highlight w:val="none"/>
                    </w:rPr>
                  </w:pPr>
                </w:p>
              </w:tc>
            </w:tr>
            <w:tr w14:paraId="08E7504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61C56B1F">
                  <w:pPr>
                    <w:adjustRightInd w:val="0"/>
                    <w:snapToGrid w:val="0"/>
                    <w:jc w:val="center"/>
                    <w:rPr>
                      <w:bCs/>
                      <w:color w:val="auto"/>
                      <w:szCs w:val="21"/>
                      <w:highlight w:val="none"/>
                    </w:rPr>
                  </w:pPr>
                  <w:r>
                    <w:rPr>
                      <w:bCs/>
                      <w:color w:val="auto"/>
                      <w:szCs w:val="21"/>
                      <w:highlight w:val="none"/>
                    </w:rPr>
                    <w:t>28</w:t>
                  </w:r>
                </w:p>
              </w:tc>
              <w:tc>
                <w:tcPr>
                  <w:tcW w:w="430" w:type="pct"/>
                  <w:vMerge w:val="continue"/>
                  <w:tcBorders>
                    <w:tl2br w:val="nil"/>
                    <w:tr2bl w:val="nil"/>
                  </w:tcBorders>
                  <w:vAlign w:val="center"/>
                </w:tcPr>
                <w:p w14:paraId="206F9FAB">
                  <w:pPr>
                    <w:jc w:val="center"/>
                    <w:rPr>
                      <w:color w:val="auto"/>
                      <w:szCs w:val="21"/>
                      <w:highlight w:val="none"/>
                    </w:rPr>
                  </w:pPr>
                </w:p>
              </w:tc>
              <w:tc>
                <w:tcPr>
                  <w:tcW w:w="719" w:type="pct"/>
                  <w:tcBorders>
                    <w:tl2br w:val="nil"/>
                    <w:tr2bl w:val="nil"/>
                  </w:tcBorders>
                  <w:vAlign w:val="center"/>
                </w:tcPr>
                <w:p w14:paraId="2F62BBE4">
                  <w:pPr>
                    <w:jc w:val="center"/>
                    <w:rPr>
                      <w:color w:val="auto"/>
                      <w:szCs w:val="21"/>
                      <w:highlight w:val="none"/>
                    </w:rPr>
                  </w:pPr>
                  <w:r>
                    <w:rPr>
                      <w:color w:val="auto"/>
                      <w:szCs w:val="21"/>
                      <w:highlight w:val="none"/>
                    </w:rPr>
                    <w:t>磁钢</w:t>
                  </w:r>
                </w:p>
              </w:tc>
              <w:tc>
                <w:tcPr>
                  <w:tcW w:w="1480" w:type="pct"/>
                  <w:tcBorders>
                    <w:tl2br w:val="nil"/>
                    <w:tr2bl w:val="nil"/>
                  </w:tcBorders>
                  <w:vAlign w:val="center"/>
                </w:tcPr>
                <w:p w14:paraId="45F93489">
                  <w:pPr>
                    <w:jc w:val="center"/>
                    <w:rPr>
                      <w:color w:val="auto"/>
                      <w:szCs w:val="21"/>
                      <w:highlight w:val="none"/>
                    </w:rPr>
                  </w:pPr>
                  <w:r>
                    <w:rPr>
                      <w:rFonts w:hint="eastAsia"/>
                      <w:color w:val="auto"/>
                      <w:szCs w:val="21"/>
                      <w:highlight w:val="none"/>
                    </w:rPr>
                    <w:t>固体，</w:t>
                  </w:r>
                  <w:r>
                    <w:rPr>
                      <w:color w:val="auto"/>
                      <w:szCs w:val="21"/>
                      <w:highlight w:val="none"/>
                    </w:rPr>
                    <w:t>32.11*11.9*5.3、15g/</w:t>
                  </w:r>
                  <w:r>
                    <w:rPr>
                      <w:rFonts w:hint="eastAsia"/>
                      <w:color w:val="auto"/>
                      <w:szCs w:val="21"/>
                      <w:highlight w:val="none"/>
                      <w:lang w:eastAsia="zh-Hans"/>
                    </w:rPr>
                    <w:t>个</w:t>
                  </w:r>
                </w:p>
              </w:tc>
              <w:tc>
                <w:tcPr>
                  <w:tcW w:w="400" w:type="pct"/>
                  <w:tcBorders>
                    <w:tl2br w:val="nil"/>
                    <w:tr2bl w:val="nil"/>
                  </w:tcBorders>
                  <w:vAlign w:val="center"/>
                </w:tcPr>
                <w:p w14:paraId="1FD735F4">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60D4D18C">
                  <w:pPr>
                    <w:jc w:val="center"/>
                    <w:rPr>
                      <w:color w:val="auto"/>
                      <w:szCs w:val="21"/>
                      <w:highlight w:val="none"/>
                    </w:rPr>
                  </w:pPr>
                  <w:r>
                    <w:rPr>
                      <w:color w:val="auto"/>
                      <w:szCs w:val="21"/>
                      <w:highlight w:val="none"/>
                    </w:rPr>
                    <w:t>14.4</w:t>
                  </w:r>
                </w:p>
              </w:tc>
              <w:tc>
                <w:tcPr>
                  <w:tcW w:w="487" w:type="pct"/>
                  <w:tcBorders>
                    <w:tl2br w:val="nil"/>
                    <w:tr2bl w:val="nil"/>
                  </w:tcBorders>
                  <w:vAlign w:val="center"/>
                </w:tcPr>
                <w:p w14:paraId="5AD9BFE1">
                  <w:pPr>
                    <w:jc w:val="center"/>
                    <w:rPr>
                      <w:color w:val="auto"/>
                      <w:szCs w:val="21"/>
                      <w:highlight w:val="none"/>
                    </w:rPr>
                  </w:pPr>
                  <w:r>
                    <w:rPr>
                      <w:color w:val="auto"/>
                      <w:szCs w:val="21"/>
                      <w:highlight w:val="none"/>
                    </w:rPr>
                    <w:t>+14.4</w:t>
                  </w:r>
                </w:p>
              </w:tc>
              <w:tc>
                <w:tcPr>
                  <w:tcW w:w="425" w:type="pct"/>
                  <w:tcBorders>
                    <w:tl2br w:val="nil"/>
                    <w:tr2bl w:val="nil"/>
                  </w:tcBorders>
                  <w:vAlign w:val="center"/>
                </w:tcPr>
                <w:p w14:paraId="19177493">
                  <w:pPr>
                    <w:jc w:val="center"/>
                    <w:rPr>
                      <w:color w:val="auto"/>
                      <w:szCs w:val="21"/>
                      <w:highlight w:val="none"/>
                    </w:rPr>
                  </w:pPr>
                  <w:r>
                    <w:rPr>
                      <w:color w:val="auto"/>
                      <w:szCs w:val="21"/>
                      <w:highlight w:val="none"/>
                    </w:rPr>
                    <w:t>8</w:t>
                  </w:r>
                </w:p>
              </w:tc>
              <w:tc>
                <w:tcPr>
                  <w:tcW w:w="425" w:type="pct"/>
                  <w:vMerge w:val="continue"/>
                  <w:tcBorders>
                    <w:tl2br w:val="nil"/>
                    <w:tr2bl w:val="nil"/>
                  </w:tcBorders>
                  <w:vAlign w:val="center"/>
                </w:tcPr>
                <w:p w14:paraId="0B465BDD">
                  <w:pPr>
                    <w:jc w:val="center"/>
                    <w:rPr>
                      <w:color w:val="auto"/>
                      <w:szCs w:val="21"/>
                      <w:highlight w:val="none"/>
                    </w:rPr>
                  </w:pPr>
                </w:p>
              </w:tc>
            </w:tr>
            <w:tr w14:paraId="61F9890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A3795EA">
                  <w:pPr>
                    <w:adjustRightInd w:val="0"/>
                    <w:snapToGrid w:val="0"/>
                    <w:jc w:val="center"/>
                    <w:rPr>
                      <w:bCs/>
                      <w:color w:val="auto"/>
                      <w:szCs w:val="21"/>
                      <w:highlight w:val="none"/>
                    </w:rPr>
                  </w:pPr>
                  <w:r>
                    <w:rPr>
                      <w:bCs/>
                      <w:color w:val="auto"/>
                      <w:szCs w:val="21"/>
                      <w:highlight w:val="none"/>
                    </w:rPr>
                    <w:t>29</w:t>
                  </w:r>
                </w:p>
              </w:tc>
              <w:tc>
                <w:tcPr>
                  <w:tcW w:w="430" w:type="pct"/>
                  <w:vMerge w:val="continue"/>
                  <w:tcBorders>
                    <w:tl2br w:val="nil"/>
                    <w:tr2bl w:val="nil"/>
                  </w:tcBorders>
                  <w:vAlign w:val="center"/>
                </w:tcPr>
                <w:p w14:paraId="55A969A8">
                  <w:pPr>
                    <w:jc w:val="center"/>
                    <w:rPr>
                      <w:color w:val="auto"/>
                      <w:szCs w:val="21"/>
                      <w:highlight w:val="none"/>
                    </w:rPr>
                  </w:pPr>
                </w:p>
              </w:tc>
              <w:tc>
                <w:tcPr>
                  <w:tcW w:w="719" w:type="pct"/>
                  <w:tcBorders>
                    <w:tl2br w:val="nil"/>
                    <w:tr2bl w:val="nil"/>
                  </w:tcBorders>
                  <w:vAlign w:val="center"/>
                </w:tcPr>
                <w:p w14:paraId="78163F0C">
                  <w:pPr>
                    <w:jc w:val="center"/>
                    <w:rPr>
                      <w:color w:val="auto"/>
                      <w:szCs w:val="21"/>
                      <w:highlight w:val="none"/>
                    </w:rPr>
                  </w:pPr>
                  <w:r>
                    <w:rPr>
                      <w:color w:val="auto"/>
                      <w:szCs w:val="21"/>
                      <w:highlight w:val="none"/>
                    </w:rPr>
                    <w:t>聚酯树脂胶</w:t>
                  </w:r>
                </w:p>
              </w:tc>
              <w:tc>
                <w:tcPr>
                  <w:tcW w:w="1480" w:type="pct"/>
                  <w:tcBorders>
                    <w:tl2br w:val="nil"/>
                    <w:tr2bl w:val="nil"/>
                  </w:tcBorders>
                  <w:vAlign w:val="center"/>
                </w:tcPr>
                <w:p w14:paraId="7A0B1FC3">
                  <w:pPr>
                    <w:jc w:val="center"/>
                    <w:rPr>
                      <w:color w:val="auto"/>
                      <w:szCs w:val="21"/>
                      <w:highlight w:val="none"/>
                    </w:rPr>
                  </w:pPr>
                  <w:r>
                    <w:rPr>
                      <w:rFonts w:hint="eastAsia"/>
                      <w:color w:val="auto"/>
                      <w:szCs w:val="21"/>
                      <w:highlight w:val="none"/>
                    </w:rPr>
                    <w:t>液体，</w:t>
                  </w:r>
                  <w:r>
                    <w:rPr>
                      <w:color w:val="auto"/>
                      <w:szCs w:val="21"/>
                      <w:highlight w:val="none"/>
                    </w:rPr>
                    <w:t>水44.1%、水容性改性环氧树脂40%、二氧化钛15.6%、二甲苯0.3%</w:t>
                  </w:r>
                  <w:r>
                    <w:rPr>
                      <w:rFonts w:hint="eastAsia"/>
                      <w:color w:val="auto"/>
                      <w:szCs w:val="21"/>
                      <w:highlight w:val="none"/>
                      <w:lang w:eastAsia="zh-Hans"/>
                    </w:rPr>
                    <w:t>，</w:t>
                  </w:r>
                  <w:r>
                    <w:rPr>
                      <w:rFonts w:hint="eastAsia"/>
                      <w:color w:val="auto"/>
                      <w:highlight w:val="none"/>
                      <w:lang w:eastAsia="zh-Hans"/>
                    </w:rPr>
                    <w:t>规格</w:t>
                  </w:r>
                  <w:r>
                    <w:rPr>
                      <w:color w:val="auto"/>
                      <w:highlight w:val="none"/>
                      <w:lang w:eastAsia="zh-Hans"/>
                    </w:rPr>
                    <w:t>20</w:t>
                  </w:r>
                  <w:r>
                    <w:rPr>
                      <w:rFonts w:hint="eastAsia"/>
                      <w:color w:val="auto"/>
                      <w:highlight w:val="none"/>
                      <w:lang w:eastAsia="zh-Hans"/>
                    </w:rPr>
                    <w:t>kg</w:t>
                  </w:r>
                  <w:r>
                    <w:rPr>
                      <w:color w:val="auto"/>
                      <w:highlight w:val="none"/>
                      <w:lang w:eastAsia="zh-Hans"/>
                    </w:rPr>
                    <w:t>/</w:t>
                  </w:r>
                  <w:r>
                    <w:rPr>
                      <w:rFonts w:hint="eastAsia"/>
                      <w:color w:val="auto"/>
                      <w:highlight w:val="none"/>
                      <w:lang w:eastAsia="zh-Hans"/>
                    </w:rPr>
                    <w:t>桶</w:t>
                  </w:r>
                </w:p>
              </w:tc>
              <w:tc>
                <w:tcPr>
                  <w:tcW w:w="400" w:type="pct"/>
                  <w:tcBorders>
                    <w:tl2br w:val="nil"/>
                    <w:tr2bl w:val="nil"/>
                  </w:tcBorders>
                  <w:vAlign w:val="center"/>
                </w:tcPr>
                <w:p w14:paraId="7DDBC7E3">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1A5D6433">
                  <w:pPr>
                    <w:jc w:val="center"/>
                    <w:rPr>
                      <w:color w:val="auto"/>
                      <w:szCs w:val="21"/>
                      <w:highlight w:val="none"/>
                    </w:rPr>
                  </w:pPr>
                  <w:r>
                    <w:rPr>
                      <w:color w:val="auto"/>
                      <w:szCs w:val="21"/>
                      <w:highlight w:val="none"/>
                    </w:rPr>
                    <w:t>1.3</w:t>
                  </w:r>
                </w:p>
              </w:tc>
              <w:tc>
                <w:tcPr>
                  <w:tcW w:w="487" w:type="pct"/>
                  <w:tcBorders>
                    <w:tl2br w:val="nil"/>
                    <w:tr2bl w:val="nil"/>
                  </w:tcBorders>
                  <w:vAlign w:val="center"/>
                </w:tcPr>
                <w:p w14:paraId="294B16FB">
                  <w:pPr>
                    <w:jc w:val="center"/>
                    <w:rPr>
                      <w:bCs/>
                      <w:color w:val="auto"/>
                      <w:szCs w:val="21"/>
                      <w:highlight w:val="none"/>
                    </w:rPr>
                  </w:pPr>
                  <w:r>
                    <w:rPr>
                      <w:color w:val="auto"/>
                      <w:szCs w:val="21"/>
                      <w:highlight w:val="none"/>
                    </w:rPr>
                    <w:t>+1.3</w:t>
                  </w:r>
                </w:p>
              </w:tc>
              <w:tc>
                <w:tcPr>
                  <w:tcW w:w="425" w:type="pct"/>
                  <w:tcBorders>
                    <w:tl2br w:val="nil"/>
                    <w:tr2bl w:val="nil"/>
                  </w:tcBorders>
                  <w:vAlign w:val="center"/>
                </w:tcPr>
                <w:p w14:paraId="58C1D872">
                  <w:pPr>
                    <w:jc w:val="center"/>
                    <w:rPr>
                      <w:color w:val="auto"/>
                      <w:szCs w:val="21"/>
                      <w:highlight w:val="none"/>
                    </w:rPr>
                  </w:pPr>
                  <w:r>
                    <w:rPr>
                      <w:color w:val="auto"/>
                      <w:szCs w:val="21"/>
                      <w:highlight w:val="none"/>
                    </w:rPr>
                    <w:t>0.4</w:t>
                  </w:r>
                </w:p>
              </w:tc>
              <w:tc>
                <w:tcPr>
                  <w:tcW w:w="425" w:type="pct"/>
                  <w:tcBorders>
                    <w:tl2br w:val="nil"/>
                    <w:tr2bl w:val="nil"/>
                  </w:tcBorders>
                  <w:vAlign w:val="center"/>
                </w:tcPr>
                <w:p w14:paraId="038C2666">
                  <w:pPr>
                    <w:jc w:val="center"/>
                    <w:rPr>
                      <w:color w:val="auto"/>
                      <w:szCs w:val="21"/>
                      <w:highlight w:val="none"/>
                      <w:lang w:eastAsia="zh-Hans"/>
                    </w:rPr>
                  </w:pPr>
                  <w:r>
                    <w:rPr>
                      <w:rFonts w:hint="eastAsia"/>
                      <w:color w:val="auto"/>
                      <w:szCs w:val="21"/>
                      <w:highlight w:val="none"/>
                      <w:lang w:eastAsia="zh-Hans"/>
                    </w:rPr>
                    <w:t>化学品库</w:t>
                  </w:r>
                </w:p>
              </w:tc>
            </w:tr>
            <w:tr w14:paraId="1330E97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7D80869C">
                  <w:pPr>
                    <w:adjustRightInd w:val="0"/>
                    <w:snapToGrid w:val="0"/>
                    <w:jc w:val="center"/>
                    <w:rPr>
                      <w:bCs/>
                      <w:color w:val="auto"/>
                      <w:szCs w:val="21"/>
                      <w:highlight w:val="none"/>
                    </w:rPr>
                  </w:pPr>
                  <w:r>
                    <w:rPr>
                      <w:bCs/>
                      <w:color w:val="auto"/>
                      <w:szCs w:val="21"/>
                      <w:highlight w:val="none"/>
                    </w:rPr>
                    <w:t>30</w:t>
                  </w:r>
                </w:p>
              </w:tc>
              <w:tc>
                <w:tcPr>
                  <w:tcW w:w="430" w:type="pct"/>
                  <w:vMerge w:val="continue"/>
                  <w:tcBorders>
                    <w:tl2br w:val="nil"/>
                    <w:tr2bl w:val="nil"/>
                  </w:tcBorders>
                  <w:vAlign w:val="center"/>
                </w:tcPr>
                <w:p w14:paraId="5DBBFC34">
                  <w:pPr>
                    <w:jc w:val="center"/>
                    <w:rPr>
                      <w:color w:val="auto"/>
                      <w:szCs w:val="21"/>
                      <w:highlight w:val="none"/>
                    </w:rPr>
                  </w:pPr>
                </w:p>
              </w:tc>
              <w:tc>
                <w:tcPr>
                  <w:tcW w:w="719" w:type="pct"/>
                  <w:tcBorders>
                    <w:tl2br w:val="nil"/>
                    <w:tr2bl w:val="nil"/>
                  </w:tcBorders>
                  <w:vAlign w:val="center"/>
                </w:tcPr>
                <w:p w14:paraId="40A32005">
                  <w:pPr>
                    <w:jc w:val="center"/>
                    <w:rPr>
                      <w:color w:val="auto"/>
                      <w:szCs w:val="21"/>
                      <w:highlight w:val="none"/>
                    </w:rPr>
                  </w:pPr>
                  <w:r>
                    <w:rPr>
                      <w:color w:val="auto"/>
                      <w:szCs w:val="21"/>
                      <w:highlight w:val="none"/>
                    </w:rPr>
                    <w:t>转子毂组件</w:t>
                  </w:r>
                </w:p>
              </w:tc>
              <w:tc>
                <w:tcPr>
                  <w:tcW w:w="1480" w:type="pct"/>
                  <w:tcBorders>
                    <w:tl2br w:val="nil"/>
                    <w:tr2bl w:val="nil"/>
                  </w:tcBorders>
                  <w:vAlign w:val="center"/>
                </w:tcPr>
                <w:p w14:paraId="2CACE28E">
                  <w:pPr>
                    <w:jc w:val="center"/>
                    <w:rPr>
                      <w:color w:val="auto"/>
                      <w:szCs w:val="21"/>
                      <w:highlight w:val="none"/>
                    </w:rPr>
                  </w:pPr>
                  <w:r>
                    <w:rPr>
                      <w:rFonts w:hint="eastAsia"/>
                      <w:color w:val="auto"/>
                      <w:szCs w:val="21"/>
                      <w:highlight w:val="none"/>
                    </w:rPr>
                    <w:t>固体，</w:t>
                  </w:r>
                  <w:r>
                    <w:rPr>
                      <w:color w:val="auto"/>
                      <w:szCs w:val="21"/>
                      <w:highlight w:val="none"/>
                    </w:rPr>
                    <w:t>SAPH440-46%；35CrMoH-35%；20CrMoH-19%；、1.8kg/</w:t>
                  </w:r>
                  <w:r>
                    <w:rPr>
                      <w:rFonts w:hint="eastAsia"/>
                      <w:color w:val="auto"/>
                      <w:szCs w:val="21"/>
                      <w:highlight w:val="none"/>
                      <w:lang w:eastAsia="zh-Hans"/>
                    </w:rPr>
                    <w:t>个</w:t>
                  </w:r>
                </w:p>
              </w:tc>
              <w:tc>
                <w:tcPr>
                  <w:tcW w:w="400" w:type="pct"/>
                  <w:tcBorders>
                    <w:tl2br w:val="nil"/>
                    <w:tr2bl w:val="nil"/>
                  </w:tcBorders>
                  <w:vAlign w:val="center"/>
                </w:tcPr>
                <w:p w14:paraId="31F5DD44">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4860CAC9">
                  <w:pPr>
                    <w:jc w:val="center"/>
                    <w:rPr>
                      <w:color w:val="auto"/>
                      <w:szCs w:val="21"/>
                      <w:highlight w:val="none"/>
                    </w:rPr>
                  </w:pPr>
                  <w:r>
                    <w:rPr>
                      <w:color w:val="auto"/>
                      <w:szCs w:val="21"/>
                      <w:highlight w:val="none"/>
                    </w:rPr>
                    <w:t>108</w:t>
                  </w:r>
                </w:p>
              </w:tc>
              <w:tc>
                <w:tcPr>
                  <w:tcW w:w="487" w:type="pct"/>
                  <w:tcBorders>
                    <w:tl2br w:val="nil"/>
                    <w:tr2bl w:val="nil"/>
                  </w:tcBorders>
                  <w:vAlign w:val="center"/>
                </w:tcPr>
                <w:p w14:paraId="75731AD6">
                  <w:pPr>
                    <w:jc w:val="center"/>
                    <w:rPr>
                      <w:bCs/>
                      <w:color w:val="auto"/>
                      <w:szCs w:val="21"/>
                      <w:highlight w:val="none"/>
                    </w:rPr>
                  </w:pPr>
                  <w:r>
                    <w:rPr>
                      <w:color w:val="auto"/>
                      <w:szCs w:val="21"/>
                      <w:highlight w:val="none"/>
                    </w:rPr>
                    <w:t>+108</w:t>
                  </w:r>
                </w:p>
              </w:tc>
              <w:tc>
                <w:tcPr>
                  <w:tcW w:w="425" w:type="pct"/>
                  <w:tcBorders>
                    <w:tl2br w:val="nil"/>
                    <w:tr2bl w:val="nil"/>
                  </w:tcBorders>
                  <w:vAlign w:val="center"/>
                </w:tcPr>
                <w:p w14:paraId="6DD31C38">
                  <w:pPr>
                    <w:jc w:val="center"/>
                    <w:rPr>
                      <w:color w:val="auto"/>
                      <w:szCs w:val="21"/>
                      <w:highlight w:val="none"/>
                    </w:rPr>
                  </w:pPr>
                  <w:r>
                    <w:rPr>
                      <w:color w:val="auto"/>
                      <w:szCs w:val="21"/>
                      <w:highlight w:val="none"/>
                    </w:rPr>
                    <w:t>10</w:t>
                  </w:r>
                </w:p>
              </w:tc>
              <w:tc>
                <w:tcPr>
                  <w:tcW w:w="425" w:type="pct"/>
                  <w:vMerge w:val="restart"/>
                  <w:tcBorders>
                    <w:tl2br w:val="nil"/>
                    <w:tr2bl w:val="nil"/>
                  </w:tcBorders>
                  <w:vAlign w:val="center"/>
                </w:tcPr>
                <w:p w14:paraId="5A0B2344">
                  <w:pPr>
                    <w:jc w:val="center"/>
                    <w:rPr>
                      <w:color w:val="auto"/>
                      <w:szCs w:val="21"/>
                      <w:highlight w:val="none"/>
                      <w:lang w:eastAsia="zh-Hans"/>
                    </w:rPr>
                  </w:pPr>
                  <w:r>
                    <w:rPr>
                      <w:rFonts w:hint="eastAsia"/>
                      <w:color w:val="auto"/>
                      <w:szCs w:val="21"/>
                      <w:highlight w:val="none"/>
                      <w:lang w:eastAsia="zh-Hans"/>
                    </w:rPr>
                    <w:t>原料仓库</w:t>
                  </w:r>
                </w:p>
              </w:tc>
            </w:tr>
            <w:tr w14:paraId="0039169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4D580028">
                  <w:pPr>
                    <w:adjustRightInd w:val="0"/>
                    <w:snapToGrid w:val="0"/>
                    <w:jc w:val="center"/>
                    <w:rPr>
                      <w:bCs/>
                      <w:color w:val="auto"/>
                      <w:szCs w:val="21"/>
                      <w:highlight w:val="none"/>
                    </w:rPr>
                  </w:pPr>
                  <w:r>
                    <w:rPr>
                      <w:bCs/>
                      <w:color w:val="auto"/>
                      <w:szCs w:val="21"/>
                      <w:highlight w:val="none"/>
                    </w:rPr>
                    <w:t>31</w:t>
                  </w:r>
                </w:p>
              </w:tc>
              <w:tc>
                <w:tcPr>
                  <w:tcW w:w="430" w:type="pct"/>
                  <w:vMerge w:val="continue"/>
                  <w:tcBorders>
                    <w:tl2br w:val="nil"/>
                    <w:tr2bl w:val="nil"/>
                  </w:tcBorders>
                  <w:vAlign w:val="center"/>
                </w:tcPr>
                <w:p w14:paraId="7A798AB8">
                  <w:pPr>
                    <w:jc w:val="center"/>
                    <w:rPr>
                      <w:color w:val="auto"/>
                      <w:szCs w:val="21"/>
                      <w:highlight w:val="none"/>
                    </w:rPr>
                  </w:pPr>
                </w:p>
              </w:tc>
              <w:tc>
                <w:tcPr>
                  <w:tcW w:w="719" w:type="pct"/>
                  <w:tcBorders>
                    <w:tl2br w:val="nil"/>
                    <w:tr2bl w:val="nil"/>
                  </w:tcBorders>
                  <w:vAlign w:val="center"/>
                </w:tcPr>
                <w:p w14:paraId="0619B8C0">
                  <w:pPr>
                    <w:jc w:val="center"/>
                    <w:rPr>
                      <w:color w:val="auto"/>
                      <w:szCs w:val="21"/>
                      <w:highlight w:val="none"/>
                    </w:rPr>
                  </w:pPr>
                  <w:r>
                    <w:rPr>
                      <w:color w:val="auto"/>
                      <w:szCs w:val="21"/>
                      <w:highlight w:val="none"/>
                    </w:rPr>
                    <w:t>旋变转子</w:t>
                  </w:r>
                </w:p>
              </w:tc>
              <w:tc>
                <w:tcPr>
                  <w:tcW w:w="1480" w:type="pct"/>
                  <w:tcBorders>
                    <w:tl2br w:val="nil"/>
                    <w:tr2bl w:val="nil"/>
                  </w:tcBorders>
                  <w:vAlign w:val="center"/>
                </w:tcPr>
                <w:p w14:paraId="5ADFE597">
                  <w:pPr>
                    <w:jc w:val="center"/>
                    <w:rPr>
                      <w:color w:val="auto"/>
                      <w:szCs w:val="21"/>
                      <w:highlight w:val="none"/>
                    </w:rPr>
                  </w:pPr>
                  <w:r>
                    <w:rPr>
                      <w:rFonts w:hint="eastAsia"/>
                      <w:color w:val="auto"/>
                      <w:szCs w:val="21"/>
                      <w:highlight w:val="none"/>
                    </w:rPr>
                    <w:t>固体，</w:t>
                  </w:r>
                  <w:r>
                    <w:rPr>
                      <w:color w:val="auto"/>
                      <w:szCs w:val="21"/>
                      <w:highlight w:val="none"/>
                    </w:rPr>
                    <w:t>35JNE250*A1-100%、220g/</w:t>
                  </w:r>
                  <w:r>
                    <w:rPr>
                      <w:rFonts w:hint="eastAsia"/>
                      <w:color w:val="auto"/>
                      <w:szCs w:val="21"/>
                      <w:highlight w:val="none"/>
                      <w:lang w:eastAsia="zh-Hans"/>
                    </w:rPr>
                    <w:t>个</w:t>
                  </w:r>
                </w:p>
              </w:tc>
              <w:tc>
                <w:tcPr>
                  <w:tcW w:w="400" w:type="pct"/>
                  <w:tcBorders>
                    <w:tl2br w:val="nil"/>
                    <w:tr2bl w:val="nil"/>
                  </w:tcBorders>
                  <w:vAlign w:val="center"/>
                </w:tcPr>
                <w:p w14:paraId="6C999B7B">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3F3BC7A1">
                  <w:pPr>
                    <w:jc w:val="center"/>
                    <w:rPr>
                      <w:color w:val="auto"/>
                      <w:szCs w:val="21"/>
                      <w:highlight w:val="none"/>
                    </w:rPr>
                  </w:pPr>
                  <w:r>
                    <w:rPr>
                      <w:color w:val="auto"/>
                      <w:szCs w:val="21"/>
                      <w:highlight w:val="none"/>
                    </w:rPr>
                    <w:t>13.2</w:t>
                  </w:r>
                </w:p>
              </w:tc>
              <w:tc>
                <w:tcPr>
                  <w:tcW w:w="487" w:type="pct"/>
                  <w:tcBorders>
                    <w:tl2br w:val="nil"/>
                    <w:tr2bl w:val="nil"/>
                  </w:tcBorders>
                  <w:vAlign w:val="center"/>
                </w:tcPr>
                <w:p w14:paraId="5FFEFB62">
                  <w:pPr>
                    <w:jc w:val="center"/>
                    <w:rPr>
                      <w:bCs/>
                      <w:color w:val="auto"/>
                      <w:szCs w:val="21"/>
                      <w:highlight w:val="none"/>
                    </w:rPr>
                  </w:pPr>
                  <w:r>
                    <w:rPr>
                      <w:color w:val="auto"/>
                      <w:szCs w:val="21"/>
                      <w:highlight w:val="none"/>
                    </w:rPr>
                    <w:t>+13.2</w:t>
                  </w:r>
                </w:p>
              </w:tc>
              <w:tc>
                <w:tcPr>
                  <w:tcW w:w="425" w:type="pct"/>
                  <w:tcBorders>
                    <w:tl2br w:val="nil"/>
                    <w:tr2bl w:val="nil"/>
                  </w:tcBorders>
                  <w:vAlign w:val="center"/>
                </w:tcPr>
                <w:p w14:paraId="49A0FF3F">
                  <w:pPr>
                    <w:jc w:val="center"/>
                    <w:rPr>
                      <w:color w:val="auto"/>
                      <w:szCs w:val="21"/>
                      <w:highlight w:val="none"/>
                    </w:rPr>
                  </w:pPr>
                  <w:r>
                    <w:rPr>
                      <w:color w:val="auto"/>
                      <w:szCs w:val="21"/>
                      <w:highlight w:val="none"/>
                    </w:rPr>
                    <w:t>6</w:t>
                  </w:r>
                </w:p>
              </w:tc>
              <w:tc>
                <w:tcPr>
                  <w:tcW w:w="425" w:type="pct"/>
                  <w:vMerge w:val="continue"/>
                  <w:tcBorders>
                    <w:tl2br w:val="nil"/>
                    <w:tr2bl w:val="nil"/>
                  </w:tcBorders>
                  <w:vAlign w:val="center"/>
                </w:tcPr>
                <w:p w14:paraId="62D56278">
                  <w:pPr>
                    <w:jc w:val="center"/>
                    <w:rPr>
                      <w:color w:val="auto"/>
                      <w:szCs w:val="21"/>
                      <w:highlight w:val="none"/>
                    </w:rPr>
                  </w:pPr>
                </w:p>
              </w:tc>
            </w:tr>
            <w:tr w14:paraId="2AF05F3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01F258AA">
                  <w:pPr>
                    <w:adjustRightInd w:val="0"/>
                    <w:snapToGrid w:val="0"/>
                    <w:jc w:val="center"/>
                    <w:rPr>
                      <w:bCs/>
                      <w:color w:val="auto"/>
                      <w:szCs w:val="21"/>
                      <w:highlight w:val="none"/>
                    </w:rPr>
                  </w:pPr>
                  <w:r>
                    <w:rPr>
                      <w:bCs/>
                      <w:color w:val="auto"/>
                      <w:szCs w:val="21"/>
                      <w:highlight w:val="none"/>
                    </w:rPr>
                    <w:t>32</w:t>
                  </w:r>
                </w:p>
              </w:tc>
              <w:tc>
                <w:tcPr>
                  <w:tcW w:w="430" w:type="pct"/>
                  <w:vMerge w:val="continue"/>
                  <w:tcBorders>
                    <w:tl2br w:val="nil"/>
                    <w:tr2bl w:val="nil"/>
                  </w:tcBorders>
                  <w:vAlign w:val="center"/>
                </w:tcPr>
                <w:p w14:paraId="007ED13B">
                  <w:pPr>
                    <w:jc w:val="center"/>
                    <w:rPr>
                      <w:color w:val="auto"/>
                      <w:szCs w:val="21"/>
                      <w:highlight w:val="none"/>
                    </w:rPr>
                  </w:pPr>
                </w:p>
              </w:tc>
              <w:tc>
                <w:tcPr>
                  <w:tcW w:w="719" w:type="pct"/>
                  <w:tcBorders>
                    <w:tl2br w:val="nil"/>
                    <w:tr2bl w:val="nil"/>
                  </w:tcBorders>
                  <w:vAlign w:val="center"/>
                </w:tcPr>
                <w:p w14:paraId="0754607B">
                  <w:pPr>
                    <w:jc w:val="center"/>
                    <w:rPr>
                      <w:color w:val="auto"/>
                      <w:szCs w:val="21"/>
                      <w:highlight w:val="none"/>
                    </w:rPr>
                  </w:pPr>
                  <w:r>
                    <w:rPr>
                      <w:color w:val="auto"/>
                      <w:szCs w:val="21"/>
                      <w:highlight w:val="none"/>
                    </w:rPr>
                    <w:t>铆钉</w:t>
                  </w:r>
                </w:p>
              </w:tc>
              <w:tc>
                <w:tcPr>
                  <w:tcW w:w="1480" w:type="pct"/>
                  <w:tcBorders>
                    <w:tl2br w:val="nil"/>
                    <w:tr2bl w:val="nil"/>
                  </w:tcBorders>
                  <w:vAlign w:val="center"/>
                </w:tcPr>
                <w:p w14:paraId="161F42C5">
                  <w:pPr>
                    <w:jc w:val="center"/>
                    <w:rPr>
                      <w:color w:val="auto"/>
                      <w:szCs w:val="21"/>
                      <w:highlight w:val="none"/>
                    </w:rPr>
                  </w:pPr>
                  <w:r>
                    <w:rPr>
                      <w:rFonts w:hint="eastAsia"/>
                      <w:color w:val="auto"/>
                      <w:szCs w:val="21"/>
                      <w:highlight w:val="none"/>
                    </w:rPr>
                    <w:t>固体，</w:t>
                  </w:r>
                  <w:r>
                    <w:rPr>
                      <w:color w:val="auto"/>
                      <w:szCs w:val="21"/>
                      <w:highlight w:val="none"/>
                    </w:rPr>
                    <w:t>10#钢100%、1.2g/</w:t>
                  </w:r>
                  <w:r>
                    <w:rPr>
                      <w:rFonts w:hint="eastAsia"/>
                      <w:color w:val="auto"/>
                      <w:szCs w:val="21"/>
                      <w:highlight w:val="none"/>
                      <w:lang w:eastAsia="zh-Hans"/>
                    </w:rPr>
                    <w:t>个</w:t>
                  </w:r>
                </w:p>
              </w:tc>
              <w:tc>
                <w:tcPr>
                  <w:tcW w:w="400" w:type="pct"/>
                  <w:tcBorders>
                    <w:tl2br w:val="nil"/>
                    <w:tr2bl w:val="nil"/>
                  </w:tcBorders>
                  <w:vAlign w:val="center"/>
                </w:tcPr>
                <w:p w14:paraId="48341CCE">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52510065">
                  <w:pPr>
                    <w:jc w:val="center"/>
                    <w:rPr>
                      <w:color w:val="auto"/>
                      <w:szCs w:val="21"/>
                      <w:highlight w:val="none"/>
                    </w:rPr>
                  </w:pPr>
                  <w:r>
                    <w:rPr>
                      <w:color w:val="auto"/>
                      <w:szCs w:val="21"/>
                      <w:highlight w:val="none"/>
                    </w:rPr>
                    <w:t>0.288</w:t>
                  </w:r>
                </w:p>
              </w:tc>
              <w:tc>
                <w:tcPr>
                  <w:tcW w:w="487" w:type="pct"/>
                  <w:tcBorders>
                    <w:tl2br w:val="nil"/>
                    <w:tr2bl w:val="nil"/>
                  </w:tcBorders>
                  <w:vAlign w:val="center"/>
                </w:tcPr>
                <w:p w14:paraId="5193E650">
                  <w:pPr>
                    <w:jc w:val="center"/>
                    <w:rPr>
                      <w:bCs/>
                      <w:color w:val="auto"/>
                      <w:szCs w:val="21"/>
                      <w:highlight w:val="none"/>
                    </w:rPr>
                  </w:pPr>
                  <w:r>
                    <w:rPr>
                      <w:color w:val="auto"/>
                      <w:szCs w:val="21"/>
                      <w:highlight w:val="none"/>
                    </w:rPr>
                    <w:t>+0.288</w:t>
                  </w:r>
                </w:p>
              </w:tc>
              <w:tc>
                <w:tcPr>
                  <w:tcW w:w="425" w:type="pct"/>
                  <w:tcBorders>
                    <w:tl2br w:val="nil"/>
                    <w:tr2bl w:val="nil"/>
                  </w:tcBorders>
                  <w:vAlign w:val="center"/>
                </w:tcPr>
                <w:p w14:paraId="58DFFC17">
                  <w:pPr>
                    <w:jc w:val="center"/>
                    <w:rPr>
                      <w:color w:val="auto"/>
                      <w:szCs w:val="21"/>
                      <w:highlight w:val="none"/>
                    </w:rPr>
                  </w:pPr>
                  <w:r>
                    <w:rPr>
                      <w:color w:val="auto"/>
                      <w:szCs w:val="21"/>
                      <w:highlight w:val="none"/>
                    </w:rPr>
                    <w:t>0.288</w:t>
                  </w:r>
                </w:p>
              </w:tc>
              <w:tc>
                <w:tcPr>
                  <w:tcW w:w="425" w:type="pct"/>
                  <w:vMerge w:val="continue"/>
                  <w:tcBorders>
                    <w:tl2br w:val="nil"/>
                    <w:tr2bl w:val="nil"/>
                  </w:tcBorders>
                  <w:vAlign w:val="center"/>
                </w:tcPr>
                <w:p w14:paraId="29AFD7F4">
                  <w:pPr>
                    <w:jc w:val="center"/>
                    <w:rPr>
                      <w:color w:val="auto"/>
                      <w:szCs w:val="21"/>
                      <w:highlight w:val="none"/>
                    </w:rPr>
                  </w:pPr>
                </w:p>
              </w:tc>
            </w:tr>
            <w:tr w14:paraId="2ADD8FC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229" w:type="pct"/>
                  <w:tcBorders>
                    <w:tl2br w:val="nil"/>
                    <w:tr2bl w:val="nil"/>
                  </w:tcBorders>
                  <w:vAlign w:val="center"/>
                </w:tcPr>
                <w:p w14:paraId="63E63627">
                  <w:pPr>
                    <w:adjustRightInd w:val="0"/>
                    <w:snapToGrid w:val="0"/>
                    <w:jc w:val="center"/>
                    <w:rPr>
                      <w:bCs/>
                      <w:color w:val="auto"/>
                      <w:szCs w:val="21"/>
                      <w:highlight w:val="none"/>
                    </w:rPr>
                  </w:pPr>
                  <w:r>
                    <w:rPr>
                      <w:bCs/>
                      <w:color w:val="auto"/>
                      <w:szCs w:val="21"/>
                      <w:highlight w:val="none"/>
                    </w:rPr>
                    <w:t>33</w:t>
                  </w:r>
                </w:p>
              </w:tc>
              <w:tc>
                <w:tcPr>
                  <w:tcW w:w="430" w:type="pct"/>
                  <w:vMerge w:val="continue"/>
                  <w:tcBorders>
                    <w:tl2br w:val="nil"/>
                    <w:tr2bl w:val="nil"/>
                  </w:tcBorders>
                  <w:vAlign w:val="center"/>
                </w:tcPr>
                <w:p w14:paraId="60D17A6F">
                  <w:pPr>
                    <w:jc w:val="center"/>
                    <w:rPr>
                      <w:color w:val="auto"/>
                      <w:szCs w:val="21"/>
                      <w:highlight w:val="none"/>
                    </w:rPr>
                  </w:pPr>
                </w:p>
              </w:tc>
              <w:tc>
                <w:tcPr>
                  <w:tcW w:w="719" w:type="pct"/>
                  <w:tcBorders>
                    <w:tl2br w:val="nil"/>
                    <w:tr2bl w:val="nil"/>
                  </w:tcBorders>
                  <w:vAlign w:val="center"/>
                </w:tcPr>
                <w:p w14:paraId="3E98F204">
                  <w:pPr>
                    <w:jc w:val="center"/>
                    <w:rPr>
                      <w:color w:val="auto"/>
                      <w:szCs w:val="21"/>
                      <w:highlight w:val="none"/>
                    </w:rPr>
                  </w:pPr>
                  <w:r>
                    <w:rPr>
                      <w:color w:val="auto"/>
                      <w:szCs w:val="21"/>
                      <w:highlight w:val="none"/>
                    </w:rPr>
                    <w:t>旋变定子</w:t>
                  </w:r>
                </w:p>
              </w:tc>
              <w:tc>
                <w:tcPr>
                  <w:tcW w:w="1480" w:type="pct"/>
                  <w:tcBorders>
                    <w:tl2br w:val="nil"/>
                    <w:tr2bl w:val="nil"/>
                  </w:tcBorders>
                  <w:vAlign w:val="center"/>
                </w:tcPr>
                <w:p w14:paraId="334C7712">
                  <w:pPr>
                    <w:jc w:val="center"/>
                    <w:rPr>
                      <w:color w:val="auto"/>
                      <w:szCs w:val="21"/>
                      <w:highlight w:val="none"/>
                    </w:rPr>
                  </w:pPr>
                  <w:r>
                    <w:rPr>
                      <w:rFonts w:hint="eastAsia"/>
                      <w:color w:val="auto"/>
                      <w:szCs w:val="21"/>
                      <w:highlight w:val="none"/>
                    </w:rPr>
                    <w:t>固体，</w:t>
                  </w:r>
                  <w:r>
                    <w:rPr>
                      <w:color w:val="auto"/>
                      <w:szCs w:val="21"/>
                      <w:highlight w:val="none"/>
                    </w:rPr>
                    <w:t>350g/</w:t>
                  </w:r>
                  <w:r>
                    <w:rPr>
                      <w:rFonts w:hint="eastAsia"/>
                      <w:color w:val="auto"/>
                      <w:szCs w:val="21"/>
                      <w:highlight w:val="none"/>
                      <w:lang w:eastAsia="zh-Hans"/>
                    </w:rPr>
                    <w:t>个</w:t>
                  </w:r>
                </w:p>
              </w:tc>
              <w:tc>
                <w:tcPr>
                  <w:tcW w:w="400" w:type="pct"/>
                  <w:tcBorders>
                    <w:tl2br w:val="nil"/>
                    <w:tr2bl w:val="nil"/>
                  </w:tcBorders>
                  <w:vAlign w:val="center"/>
                </w:tcPr>
                <w:p w14:paraId="02A129B7">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46EDD28B">
                  <w:pPr>
                    <w:jc w:val="center"/>
                    <w:rPr>
                      <w:color w:val="auto"/>
                      <w:szCs w:val="21"/>
                      <w:highlight w:val="none"/>
                    </w:rPr>
                  </w:pPr>
                  <w:r>
                    <w:rPr>
                      <w:color w:val="auto"/>
                      <w:szCs w:val="21"/>
                      <w:highlight w:val="none"/>
                    </w:rPr>
                    <w:t>21</w:t>
                  </w:r>
                </w:p>
              </w:tc>
              <w:tc>
                <w:tcPr>
                  <w:tcW w:w="487" w:type="pct"/>
                  <w:tcBorders>
                    <w:tl2br w:val="nil"/>
                    <w:tr2bl w:val="nil"/>
                  </w:tcBorders>
                  <w:vAlign w:val="center"/>
                </w:tcPr>
                <w:p w14:paraId="13D44CB8">
                  <w:pPr>
                    <w:jc w:val="center"/>
                    <w:rPr>
                      <w:bCs/>
                      <w:color w:val="auto"/>
                      <w:szCs w:val="21"/>
                      <w:highlight w:val="none"/>
                    </w:rPr>
                  </w:pPr>
                  <w:r>
                    <w:rPr>
                      <w:color w:val="auto"/>
                      <w:szCs w:val="21"/>
                      <w:highlight w:val="none"/>
                    </w:rPr>
                    <w:t>+21</w:t>
                  </w:r>
                </w:p>
              </w:tc>
              <w:tc>
                <w:tcPr>
                  <w:tcW w:w="425" w:type="pct"/>
                  <w:tcBorders>
                    <w:tl2br w:val="nil"/>
                    <w:tr2bl w:val="nil"/>
                  </w:tcBorders>
                  <w:vAlign w:val="center"/>
                </w:tcPr>
                <w:p w14:paraId="36606015">
                  <w:pPr>
                    <w:jc w:val="center"/>
                    <w:rPr>
                      <w:color w:val="auto"/>
                      <w:szCs w:val="21"/>
                      <w:highlight w:val="none"/>
                    </w:rPr>
                  </w:pPr>
                  <w:r>
                    <w:rPr>
                      <w:color w:val="auto"/>
                      <w:szCs w:val="21"/>
                      <w:highlight w:val="none"/>
                    </w:rPr>
                    <w:t>10</w:t>
                  </w:r>
                </w:p>
              </w:tc>
              <w:tc>
                <w:tcPr>
                  <w:tcW w:w="425" w:type="pct"/>
                  <w:vMerge w:val="continue"/>
                  <w:tcBorders>
                    <w:tl2br w:val="nil"/>
                    <w:tr2bl w:val="nil"/>
                  </w:tcBorders>
                  <w:vAlign w:val="center"/>
                </w:tcPr>
                <w:p w14:paraId="619FFDBF">
                  <w:pPr>
                    <w:jc w:val="center"/>
                    <w:rPr>
                      <w:color w:val="auto"/>
                      <w:szCs w:val="21"/>
                      <w:highlight w:val="none"/>
                    </w:rPr>
                  </w:pPr>
                </w:p>
              </w:tc>
            </w:tr>
            <w:tr w14:paraId="3D19799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05" w:hRule="atLeast"/>
                <w:jc w:val="center"/>
              </w:trPr>
              <w:tc>
                <w:tcPr>
                  <w:tcW w:w="229" w:type="pct"/>
                  <w:tcBorders>
                    <w:tl2br w:val="nil"/>
                    <w:tr2bl w:val="nil"/>
                  </w:tcBorders>
                  <w:vAlign w:val="center"/>
                </w:tcPr>
                <w:p w14:paraId="60BEB487">
                  <w:pPr>
                    <w:adjustRightInd w:val="0"/>
                    <w:snapToGrid w:val="0"/>
                    <w:jc w:val="center"/>
                    <w:rPr>
                      <w:bCs/>
                      <w:color w:val="auto"/>
                      <w:szCs w:val="21"/>
                      <w:highlight w:val="none"/>
                    </w:rPr>
                  </w:pPr>
                  <w:r>
                    <w:rPr>
                      <w:bCs/>
                      <w:color w:val="auto"/>
                      <w:szCs w:val="21"/>
                      <w:highlight w:val="none"/>
                    </w:rPr>
                    <w:t>34</w:t>
                  </w:r>
                </w:p>
              </w:tc>
              <w:tc>
                <w:tcPr>
                  <w:tcW w:w="430" w:type="pct"/>
                  <w:vMerge w:val="continue"/>
                  <w:tcBorders>
                    <w:tl2br w:val="nil"/>
                    <w:tr2bl w:val="nil"/>
                  </w:tcBorders>
                  <w:vAlign w:val="center"/>
                </w:tcPr>
                <w:p w14:paraId="79611A45">
                  <w:pPr>
                    <w:jc w:val="center"/>
                    <w:rPr>
                      <w:color w:val="auto"/>
                      <w:szCs w:val="21"/>
                      <w:highlight w:val="none"/>
                    </w:rPr>
                  </w:pPr>
                </w:p>
              </w:tc>
              <w:tc>
                <w:tcPr>
                  <w:tcW w:w="719" w:type="pct"/>
                  <w:tcBorders>
                    <w:tl2br w:val="nil"/>
                    <w:tr2bl w:val="nil"/>
                  </w:tcBorders>
                  <w:vAlign w:val="center"/>
                </w:tcPr>
                <w:p w14:paraId="543C4479">
                  <w:pPr>
                    <w:jc w:val="center"/>
                    <w:rPr>
                      <w:rFonts w:hint="eastAsia" w:eastAsia="宋体"/>
                      <w:color w:val="auto"/>
                      <w:szCs w:val="21"/>
                      <w:highlight w:val="none"/>
                      <w:lang w:val="en-US" w:eastAsia="zh-Hans"/>
                    </w:rPr>
                  </w:pPr>
                  <w:r>
                    <w:rPr>
                      <w:rFonts w:hint="eastAsia"/>
                      <w:color w:val="auto"/>
                      <w:szCs w:val="21"/>
                      <w:highlight w:val="none"/>
                      <w:lang w:val="en-US" w:eastAsia="zh-Hans"/>
                    </w:rPr>
                    <w:t>润滑油</w:t>
                  </w:r>
                </w:p>
              </w:tc>
              <w:tc>
                <w:tcPr>
                  <w:tcW w:w="1480" w:type="pct"/>
                  <w:tcBorders>
                    <w:tl2br w:val="nil"/>
                    <w:tr2bl w:val="nil"/>
                  </w:tcBorders>
                  <w:vAlign w:val="center"/>
                </w:tcPr>
                <w:p w14:paraId="55733F6E">
                  <w:pPr>
                    <w:jc w:val="center"/>
                    <w:rPr>
                      <w:rFonts w:hint="eastAsia"/>
                      <w:color w:val="auto"/>
                      <w:szCs w:val="21"/>
                      <w:highlight w:val="none"/>
                    </w:rPr>
                  </w:pPr>
                  <w:r>
                    <w:rPr>
                      <w:rFonts w:hint="eastAsia"/>
                      <w:color w:val="auto"/>
                      <w:szCs w:val="21"/>
                      <w:highlight w:val="none"/>
                      <w:lang w:val="en-US" w:eastAsia="zh-Hans"/>
                    </w:rPr>
                    <w:t>液体，</w:t>
                  </w:r>
                  <w:r>
                    <w:rPr>
                      <w:rFonts w:hint="default"/>
                      <w:color w:val="auto"/>
                      <w:szCs w:val="21"/>
                      <w:highlight w:val="none"/>
                    </w:rPr>
                    <w:t>20</w:t>
                  </w:r>
                  <w:r>
                    <w:rPr>
                      <w:rFonts w:hint="eastAsia"/>
                      <w:color w:val="auto"/>
                      <w:szCs w:val="21"/>
                      <w:highlight w:val="none"/>
                      <w:lang w:val="en-US" w:eastAsia="zh-Hans"/>
                    </w:rPr>
                    <w:t>L</w:t>
                  </w:r>
                  <w:r>
                    <w:rPr>
                      <w:rFonts w:hint="default"/>
                      <w:color w:val="auto"/>
                      <w:szCs w:val="21"/>
                      <w:highlight w:val="none"/>
                      <w:lang w:eastAsia="zh-Hans"/>
                    </w:rPr>
                    <w:t>/</w:t>
                  </w:r>
                  <w:r>
                    <w:rPr>
                      <w:rFonts w:hint="eastAsia"/>
                      <w:color w:val="auto"/>
                      <w:szCs w:val="21"/>
                      <w:highlight w:val="none"/>
                      <w:lang w:val="en-US" w:eastAsia="zh-Hans"/>
                    </w:rPr>
                    <w:t>桶</w:t>
                  </w:r>
                </w:p>
              </w:tc>
              <w:tc>
                <w:tcPr>
                  <w:tcW w:w="400" w:type="pct"/>
                  <w:tcBorders>
                    <w:tl2br w:val="nil"/>
                    <w:tr2bl w:val="nil"/>
                  </w:tcBorders>
                  <w:vAlign w:val="center"/>
                </w:tcPr>
                <w:p w14:paraId="3D273C39">
                  <w:pPr>
                    <w:jc w:val="center"/>
                    <w:rPr>
                      <w:color w:val="auto"/>
                      <w:szCs w:val="21"/>
                      <w:highlight w:val="none"/>
                    </w:rPr>
                  </w:pPr>
                  <w:r>
                    <w:rPr>
                      <w:color w:val="auto"/>
                      <w:szCs w:val="21"/>
                      <w:highlight w:val="none"/>
                    </w:rPr>
                    <w:t>0</w:t>
                  </w:r>
                </w:p>
              </w:tc>
              <w:tc>
                <w:tcPr>
                  <w:tcW w:w="400" w:type="pct"/>
                  <w:tcBorders>
                    <w:tl2br w:val="nil"/>
                    <w:tr2bl w:val="nil"/>
                  </w:tcBorders>
                  <w:vAlign w:val="center"/>
                </w:tcPr>
                <w:p w14:paraId="082CD81F">
                  <w:pPr>
                    <w:jc w:val="center"/>
                    <w:rPr>
                      <w:color w:val="auto"/>
                      <w:szCs w:val="21"/>
                      <w:highlight w:val="none"/>
                    </w:rPr>
                  </w:pPr>
                  <w:r>
                    <w:rPr>
                      <w:color w:val="auto"/>
                      <w:szCs w:val="21"/>
                      <w:highlight w:val="none"/>
                    </w:rPr>
                    <w:t>0.0868</w:t>
                  </w:r>
                </w:p>
              </w:tc>
              <w:tc>
                <w:tcPr>
                  <w:tcW w:w="487" w:type="pct"/>
                  <w:tcBorders>
                    <w:tl2br w:val="nil"/>
                    <w:tr2bl w:val="nil"/>
                  </w:tcBorders>
                  <w:vAlign w:val="center"/>
                </w:tcPr>
                <w:p w14:paraId="4344F05C">
                  <w:pPr>
                    <w:jc w:val="center"/>
                    <w:rPr>
                      <w:color w:val="auto"/>
                      <w:szCs w:val="21"/>
                      <w:highlight w:val="none"/>
                    </w:rPr>
                  </w:pPr>
                  <w:r>
                    <w:rPr>
                      <w:color w:val="auto"/>
                      <w:szCs w:val="21"/>
                      <w:highlight w:val="none"/>
                    </w:rPr>
                    <w:t>+0.0868</w:t>
                  </w:r>
                </w:p>
              </w:tc>
              <w:tc>
                <w:tcPr>
                  <w:tcW w:w="425" w:type="pct"/>
                  <w:tcBorders>
                    <w:tl2br w:val="nil"/>
                    <w:tr2bl w:val="nil"/>
                  </w:tcBorders>
                  <w:vAlign w:val="center"/>
                </w:tcPr>
                <w:p w14:paraId="5D7D39AF">
                  <w:pPr>
                    <w:jc w:val="center"/>
                    <w:rPr>
                      <w:color w:val="auto"/>
                      <w:szCs w:val="21"/>
                      <w:highlight w:val="none"/>
                    </w:rPr>
                  </w:pPr>
                  <w:r>
                    <w:rPr>
                      <w:color w:val="auto"/>
                      <w:szCs w:val="21"/>
                      <w:highlight w:val="none"/>
                    </w:rPr>
                    <w:t>0.0868</w:t>
                  </w:r>
                </w:p>
              </w:tc>
              <w:tc>
                <w:tcPr>
                  <w:tcW w:w="425" w:type="pct"/>
                  <w:vMerge w:val="continue"/>
                  <w:tcBorders>
                    <w:tl2br w:val="nil"/>
                    <w:tr2bl w:val="nil"/>
                  </w:tcBorders>
                  <w:vAlign w:val="center"/>
                </w:tcPr>
                <w:p w14:paraId="2A463C37">
                  <w:pPr>
                    <w:jc w:val="center"/>
                    <w:rPr>
                      <w:color w:val="auto"/>
                      <w:szCs w:val="21"/>
                      <w:highlight w:val="none"/>
                    </w:rPr>
                  </w:pPr>
                </w:p>
              </w:tc>
            </w:tr>
          </w:tbl>
          <w:p w14:paraId="21399C46">
            <w:pPr>
              <w:pStyle w:val="94"/>
              <w:adjustRightInd w:val="0"/>
              <w:snapToGrid w:val="0"/>
              <w:spacing w:before="120" w:beforeLines="50"/>
              <w:ind w:firstLine="0" w:firstLineChars="0"/>
              <w:jc w:val="both"/>
              <w:rPr>
                <w:b/>
                <w:bCs/>
                <w:color w:val="auto"/>
                <w:sz w:val="24"/>
                <w:highlight w:val="none"/>
              </w:rPr>
            </w:pPr>
          </w:p>
          <w:p w14:paraId="68BF89B6">
            <w:pPr>
              <w:pStyle w:val="94"/>
              <w:adjustRightInd w:val="0"/>
              <w:snapToGrid w:val="0"/>
              <w:spacing w:before="120" w:beforeLines="50"/>
              <w:ind w:firstLine="0" w:firstLineChars="0"/>
              <w:jc w:val="center"/>
              <w:rPr>
                <w:b/>
                <w:bCs/>
                <w:color w:val="auto"/>
                <w:sz w:val="24"/>
                <w:highlight w:val="none"/>
              </w:rPr>
            </w:pPr>
          </w:p>
          <w:p w14:paraId="29EF0A4B">
            <w:pPr>
              <w:pStyle w:val="94"/>
              <w:adjustRightInd w:val="0"/>
              <w:snapToGrid w:val="0"/>
              <w:spacing w:before="120" w:beforeLines="50"/>
              <w:ind w:firstLine="0" w:firstLineChars="0"/>
              <w:jc w:val="center"/>
              <w:rPr>
                <w:b/>
                <w:bCs/>
                <w:color w:val="auto"/>
                <w:sz w:val="24"/>
                <w:highlight w:val="none"/>
              </w:rPr>
            </w:pPr>
          </w:p>
          <w:p w14:paraId="317DA272">
            <w:pPr>
              <w:pStyle w:val="94"/>
              <w:adjustRightInd w:val="0"/>
              <w:snapToGrid w:val="0"/>
              <w:spacing w:before="120" w:beforeLines="50"/>
              <w:ind w:firstLine="0" w:firstLineChars="0"/>
              <w:jc w:val="center"/>
              <w:rPr>
                <w:b/>
                <w:bCs/>
                <w:color w:val="auto"/>
                <w:sz w:val="24"/>
                <w:highlight w:val="none"/>
              </w:rPr>
            </w:pPr>
            <w:r>
              <w:rPr>
                <w:b/>
                <w:bCs/>
                <w:color w:val="auto"/>
                <w:sz w:val="24"/>
                <w:highlight w:val="none"/>
              </w:rPr>
              <w:t>表</w:t>
            </w:r>
            <w:r>
              <w:rPr>
                <w:rFonts w:hint="eastAsia"/>
                <w:b/>
                <w:bCs/>
                <w:color w:val="auto"/>
                <w:sz w:val="24"/>
                <w:highlight w:val="none"/>
              </w:rPr>
              <w:t>2-5</w:t>
            </w:r>
            <w:r>
              <w:rPr>
                <w:b/>
                <w:bCs/>
                <w:color w:val="auto"/>
                <w:sz w:val="24"/>
                <w:highlight w:val="none"/>
              </w:rPr>
              <w:t xml:space="preserve">  主要原辅材料理化性质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62"/>
              <w:gridCol w:w="5103"/>
              <w:gridCol w:w="1094"/>
              <w:gridCol w:w="2227"/>
            </w:tblGrid>
            <w:tr w14:paraId="7FABC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64" w:type="pct"/>
                  <w:vAlign w:val="center"/>
                </w:tcPr>
                <w:p w14:paraId="22D8F9A5">
                  <w:pPr>
                    <w:jc w:val="center"/>
                    <w:rPr>
                      <w:b/>
                      <w:color w:val="auto"/>
                      <w:szCs w:val="21"/>
                      <w:highlight w:val="none"/>
                    </w:rPr>
                  </w:pPr>
                  <w:r>
                    <w:rPr>
                      <w:b/>
                      <w:color w:val="auto"/>
                      <w:szCs w:val="21"/>
                      <w:highlight w:val="none"/>
                    </w:rPr>
                    <w:t>名称</w:t>
                  </w:r>
                </w:p>
              </w:tc>
              <w:tc>
                <w:tcPr>
                  <w:tcW w:w="2747" w:type="pct"/>
                  <w:vAlign w:val="center"/>
                </w:tcPr>
                <w:p w14:paraId="32ED9D09">
                  <w:pPr>
                    <w:jc w:val="center"/>
                    <w:rPr>
                      <w:b/>
                      <w:color w:val="auto"/>
                      <w:szCs w:val="21"/>
                      <w:highlight w:val="none"/>
                    </w:rPr>
                  </w:pPr>
                  <w:r>
                    <w:rPr>
                      <w:b/>
                      <w:color w:val="auto"/>
                      <w:szCs w:val="21"/>
                      <w:highlight w:val="none"/>
                    </w:rPr>
                    <w:t>理化性质</w:t>
                  </w:r>
                </w:p>
              </w:tc>
              <w:tc>
                <w:tcPr>
                  <w:tcW w:w="589" w:type="pct"/>
                  <w:vAlign w:val="center"/>
                </w:tcPr>
                <w:p w14:paraId="09085B53">
                  <w:pPr>
                    <w:jc w:val="center"/>
                    <w:rPr>
                      <w:b/>
                      <w:color w:val="auto"/>
                      <w:szCs w:val="21"/>
                      <w:highlight w:val="none"/>
                    </w:rPr>
                  </w:pPr>
                  <w:r>
                    <w:rPr>
                      <w:b/>
                      <w:color w:val="auto"/>
                      <w:szCs w:val="21"/>
                      <w:highlight w:val="none"/>
                    </w:rPr>
                    <w:t>燃烧爆炸性</w:t>
                  </w:r>
                </w:p>
              </w:tc>
              <w:tc>
                <w:tcPr>
                  <w:tcW w:w="1199" w:type="pct"/>
                  <w:vAlign w:val="center"/>
                </w:tcPr>
                <w:p w14:paraId="04474237">
                  <w:pPr>
                    <w:jc w:val="center"/>
                    <w:rPr>
                      <w:b/>
                      <w:color w:val="auto"/>
                      <w:szCs w:val="21"/>
                      <w:highlight w:val="none"/>
                    </w:rPr>
                  </w:pPr>
                  <w:r>
                    <w:rPr>
                      <w:b/>
                      <w:color w:val="auto"/>
                      <w:szCs w:val="21"/>
                      <w:highlight w:val="none"/>
                    </w:rPr>
                    <w:t>毒性毒理</w:t>
                  </w:r>
                </w:p>
              </w:tc>
            </w:tr>
            <w:tr w14:paraId="31B4B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64" w:type="pct"/>
                  <w:vAlign w:val="center"/>
                </w:tcPr>
                <w:p w14:paraId="338F0288">
                  <w:pPr>
                    <w:jc w:val="center"/>
                    <w:rPr>
                      <w:color w:val="auto"/>
                      <w:szCs w:val="21"/>
                      <w:highlight w:val="none"/>
                    </w:rPr>
                  </w:pPr>
                  <w:r>
                    <w:rPr>
                      <w:rFonts w:hint="eastAsia"/>
                      <w:color w:val="auto"/>
                      <w:szCs w:val="21"/>
                      <w:highlight w:val="none"/>
                    </w:rPr>
                    <w:t>钎料</w:t>
                  </w:r>
                </w:p>
              </w:tc>
              <w:tc>
                <w:tcPr>
                  <w:tcW w:w="2747" w:type="pct"/>
                  <w:vAlign w:val="center"/>
                </w:tcPr>
                <w:p w14:paraId="59F84779">
                  <w:pPr>
                    <w:jc w:val="center"/>
                    <w:rPr>
                      <w:color w:val="auto"/>
                      <w:szCs w:val="21"/>
                      <w:highlight w:val="none"/>
                    </w:rPr>
                  </w:pPr>
                  <w:r>
                    <w:rPr>
                      <w:rFonts w:hint="eastAsia"/>
                      <w:color w:val="auto"/>
                      <w:szCs w:val="21"/>
                      <w:highlight w:val="none"/>
                    </w:rPr>
                    <w:t>主要成分为</w:t>
                  </w:r>
                  <w:r>
                    <w:rPr>
                      <w:color w:val="auto"/>
                      <w:szCs w:val="21"/>
                      <w:highlight w:val="none"/>
                    </w:rPr>
                    <w:t>铜80%，银15%，磷5%</w:t>
                  </w:r>
                </w:p>
              </w:tc>
              <w:tc>
                <w:tcPr>
                  <w:tcW w:w="589" w:type="pct"/>
                  <w:vAlign w:val="center"/>
                </w:tcPr>
                <w:p w14:paraId="0C9F6ADE">
                  <w:pPr>
                    <w:jc w:val="center"/>
                    <w:rPr>
                      <w:color w:val="auto"/>
                      <w:szCs w:val="21"/>
                      <w:highlight w:val="none"/>
                    </w:rPr>
                  </w:pPr>
                  <w:r>
                    <w:rPr>
                      <w:color w:val="auto"/>
                      <w:szCs w:val="21"/>
                      <w:highlight w:val="none"/>
                    </w:rPr>
                    <w:t>不燃</w:t>
                  </w:r>
                  <w:r>
                    <w:rPr>
                      <w:rFonts w:hint="eastAsia"/>
                      <w:color w:val="auto"/>
                      <w:szCs w:val="21"/>
                      <w:highlight w:val="none"/>
                    </w:rPr>
                    <w:t>不爆</w:t>
                  </w:r>
                </w:p>
              </w:tc>
              <w:tc>
                <w:tcPr>
                  <w:tcW w:w="1199" w:type="pct"/>
                  <w:vAlign w:val="center"/>
                </w:tcPr>
                <w:p w14:paraId="60AE786F">
                  <w:pPr>
                    <w:jc w:val="center"/>
                    <w:rPr>
                      <w:color w:val="auto"/>
                      <w:szCs w:val="21"/>
                      <w:highlight w:val="none"/>
                    </w:rPr>
                  </w:pPr>
                  <w:r>
                    <w:rPr>
                      <w:color w:val="auto"/>
                      <w:szCs w:val="21"/>
                      <w:highlight w:val="none"/>
                    </w:rPr>
                    <w:t>无毒</w:t>
                  </w:r>
                </w:p>
              </w:tc>
            </w:tr>
            <w:tr w14:paraId="2FA07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64" w:type="pct"/>
                  <w:vAlign w:val="center"/>
                </w:tcPr>
                <w:p w14:paraId="40F321EC">
                  <w:pPr>
                    <w:jc w:val="center"/>
                    <w:rPr>
                      <w:color w:val="auto"/>
                      <w:szCs w:val="21"/>
                      <w:highlight w:val="none"/>
                    </w:rPr>
                  </w:pPr>
                  <w:r>
                    <w:rPr>
                      <w:color w:val="auto"/>
                      <w:szCs w:val="21"/>
                      <w:highlight w:val="none"/>
                    </w:rPr>
                    <w:t>浸渍树脂</w:t>
                  </w:r>
                </w:p>
              </w:tc>
              <w:tc>
                <w:tcPr>
                  <w:tcW w:w="2747" w:type="pct"/>
                  <w:vAlign w:val="center"/>
                </w:tcPr>
                <w:p w14:paraId="5FDDAE70">
                  <w:pPr>
                    <w:jc w:val="center"/>
                    <w:rPr>
                      <w:color w:val="auto"/>
                      <w:szCs w:val="21"/>
                      <w:highlight w:val="none"/>
                    </w:rPr>
                  </w:pPr>
                  <w:r>
                    <w:rPr>
                      <w:rFonts w:hint="eastAsia"/>
                      <w:color w:val="auto"/>
                      <w:szCs w:val="21"/>
                      <w:highlight w:val="none"/>
                    </w:rPr>
                    <w:t>透明液体，主要成分为</w:t>
                  </w:r>
                  <w:r>
                    <w:rPr>
                      <w:color w:val="auto"/>
                      <w:szCs w:val="21"/>
                      <w:highlight w:val="none"/>
                    </w:rPr>
                    <w:t>甲基丙烯酸脂类30%-40%</w:t>
                  </w:r>
                  <w:r>
                    <w:rPr>
                      <w:rFonts w:hint="eastAsia"/>
                      <w:color w:val="auto"/>
                      <w:szCs w:val="21"/>
                      <w:highlight w:val="none"/>
                    </w:rPr>
                    <w:t>、</w:t>
                  </w:r>
                  <w:r>
                    <w:rPr>
                      <w:color w:val="auto"/>
                      <w:szCs w:val="21"/>
                      <w:highlight w:val="none"/>
                    </w:rPr>
                    <w:t>甲基苯乙烯3%-5%</w:t>
                  </w:r>
                  <w:r>
                    <w:rPr>
                      <w:rFonts w:hint="eastAsia"/>
                      <w:color w:val="auto"/>
                      <w:szCs w:val="21"/>
                      <w:highlight w:val="none"/>
                    </w:rPr>
                    <w:t>、</w:t>
                  </w:r>
                  <w:r>
                    <w:rPr>
                      <w:color w:val="auto"/>
                      <w:szCs w:val="21"/>
                      <w:highlight w:val="none"/>
                    </w:rPr>
                    <w:t>非危害组分55-67%</w:t>
                  </w:r>
                  <w:r>
                    <w:rPr>
                      <w:rFonts w:hint="eastAsia"/>
                      <w:color w:val="auto"/>
                      <w:szCs w:val="21"/>
                      <w:highlight w:val="none"/>
                    </w:rPr>
                    <w:t>，密度为1.08g/cm</w:t>
                  </w:r>
                  <w:r>
                    <w:rPr>
                      <w:rFonts w:hint="eastAsia"/>
                      <w:color w:val="auto"/>
                      <w:szCs w:val="21"/>
                      <w:highlight w:val="none"/>
                      <w:vertAlign w:val="superscript"/>
                    </w:rPr>
                    <w:t>3</w:t>
                  </w:r>
                  <w:r>
                    <w:rPr>
                      <w:rFonts w:hint="eastAsia"/>
                      <w:color w:val="auto"/>
                      <w:szCs w:val="21"/>
                      <w:highlight w:val="none"/>
                    </w:rPr>
                    <w:t>，闪点76℃</w:t>
                  </w:r>
                </w:p>
              </w:tc>
              <w:tc>
                <w:tcPr>
                  <w:tcW w:w="589" w:type="pct"/>
                  <w:vAlign w:val="center"/>
                </w:tcPr>
                <w:p w14:paraId="18AA93AB">
                  <w:pPr>
                    <w:jc w:val="center"/>
                    <w:rPr>
                      <w:color w:val="auto"/>
                      <w:szCs w:val="21"/>
                      <w:highlight w:val="none"/>
                    </w:rPr>
                  </w:pPr>
                  <w:r>
                    <w:rPr>
                      <w:rFonts w:hint="eastAsia"/>
                      <w:color w:val="auto"/>
                      <w:szCs w:val="21"/>
                      <w:highlight w:val="none"/>
                    </w:rPr>
                    <w:t>可燃不爆</w:t>
                  </w:r>
                </w:p>
              </w:tc>
              <w:tc>
                <w:tcPr>
                  <w:tcW w:w="1199" w:type="pct"/>
                  <w:vAlign w:val="center"/>
                </w:tcPr>
                <w:p w14:paraId="1078AEA3">
                  <w:pPr>
                    <w:jc w:val="center"/>
                    <w:rPr>
                      <w:color w:val="auto"/>
                      <w:szCs w:val="21"/>
                      <w:highlight w:val="none"/>
                    </w:rPr>
                  </w:pPr>
                  <w:r>
                    <w:rPr>
                      <w:color w:val="auto"/>
                      <w:szCs w:val="21"/>
                      <w:highlight w:val="none"/>
                    </w:rPr>
                    <w:t>无毒</w:t>
                  </w:r>
                </w:p>
              </w:tc>
            </w:tr>
            <w:tr w14:paraId="29D70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64" w:type="pct"/>
                  <w:vAlign w:val="center"/>
                </w:tcPr>
                <w:p w14:paraId="7AA74AB6">
                  <w:pPr>
                    <w:jc w:val="center"/>
                    <w:rPr>
                      <w:color w:val="auto"/>
                      <w:szCs w:val="21"/>
                      <w:highlight w:val="none"/>
                    </w:rPr>
                  </w:pPr>
                  <w:r>
                    <w:rPr>
                      <w:color w:val="auto"/>
                      <w:szCs w:val="21"/>
                      <w:highlight w:val="none"/>
                    </w:rPr>
                    <w:t>树脂粉</w:t>
                  </w:r>
                </w:p>
              </w:tc>
              <w:tc>
                <w:tcPr>
                  <w:tcW w:w="2747" w:type="pct"/>
                  <w:vAlign w:val="center"/>
                </w:tcPr>
                <w:p w14:paraId="695EDE93">
                  <w:pPr>
                    <w:adjustRightInd w:val="0"/>
                    <w:snapToGrid w:val="0"/>
                    <w:jc w:val="center"/>
                    <w:rPr>
                      <w:color w:val="auto"/>
                      <w:szCs w:val="21"/>
                      <w:highlight w:val="none"/>
                    </w:rPr>
                  </w:pPr>
                  <w:r>
                    <w:rPr>
                      <w:rFonts w:hint="eastAsia"/>
                      <w:color w:val="auto"/>
                      <w:szCs w:val="21"/>
                      <w:highlight w:val="none"/>
                    </w:rPr>
                    <w:t>灰色固体粉末，主要成分为</w:t>
                  </w:r>
                  <w:r>
                    <w:rPr>
                      <w:color w:val="auto"/>
                      <w:szCs w:val="21"/>
                      <w:highlight w:val="none"/>
                    </w:rPr>
                    <w:t>双酚A型固态环氧树脂35-40%</w:t>
                  </w:r>
                  <w:r>
                    <w:rPr>
                      <w:rFonts w:hint="eastAsia"/>
                      <w:color w:val="auto"/>
                      <w:szCs w:val="21"/>
                      <w:highlight w:val="none"/>
                    </w:rPr>
                    <w:t>、</w:t>
                  </w:r>
                  <w:r>
                    <w:rPr>
                      <w:color w:val="auto"/>
                      <w:szCs w:val="21"/>
                      <w:highlight w:val="none"/>
                    </w:rPr>
                    <w:t>二氧化硅45-55%</w:t>
                  </w:r>
                  <w:r>
                    <w:rPr>
                      <w:rFonts w:hint="eastAsia"/>
                      <w:color w:val="auto"/>
                      <w:szCs w:val="21"/>
                      <w:highlight w:val="none"/>
                    </w:rPr>
                    <w:t>、</w:t>
                  </w:r>
                  <w:r>
                    <w:rPr>
                      <w:color w:val="auto"/>
                      <w:szCs w:val="21"/>
                      <w:highlight w:val="none"/>
                    </w:rPr>
                    <w:t>二氧化钛1-5%</w:t>
                  </w:r>
                  <w:r>
                    <w:rPr>
                      <w:rFonts w:hint="eastAsia"/>
                      <w:color w:val="auto"/>
                      <w:szCs w:val="21"/>
                      <w:highlight w:val="none"/>
                    </w:rPr>
                    <w:t>，密度1.6g/cm</w:t>
                  </w:r>
                  <w:r>
                    <w:rPr>
                      <w:rFonts w:hint="eastAsia"/>
                      <w:color w:val="auto"/>
                      <w:szCs w:val="21"/>
                      <w:highlight w:val="none"/>
                      <w:vertAlign w:val="superscript"/>
                    </w:rPr>
                    <w:t>3</w:t>
                  </w:r>
                  <w:r>
                    <w:rPr>
                      <w:rFonts w:hint="eastAsia"/>
                      <w:color w:val="auto"/>
                      <w:szCs w:val="21"/>
                      <w:highlight w:val="none"/>
                    </w:rPr>
                    <w:t>，不溶于水</w:t>
                  </w:r>
                </w:p>
              </w:tc>
              <w:tc>
                <w:tcPr>
                  <w:tcW w:w="589" w:type="pct"/>
                  <w:vAlign w:val="center"/>
                </w:tcPr>
                <w:p w14:paraId="1D7C8ADF">
                  <w:pPr>
                    <w:jc w:val="center"/>
                    <w:rPr>
                      <w:color w:val="auto"/>
                      <w:szCs w:val="21"/>
                      <w:highlight w:val="none"/>
                    </w:rPr>
                  </w:pPr>
                  <w:r>
                    <w:rPr>
                      <w:color w:val="auto"/>
                      <w:szCs w:val="21"/>
                      <w:highlight w:val="none"/>
                    </w:rPr>
                    <w:t>不燃</w:t>
                  </w:r>
                  <w:r>
                    <w:rPr>
                      <w:rFonts w:hint="eastAsia"/>
                      <w:color w:val="auto"/>
                      <w:szCs w:val="21"/>
                      <w:highlight w:val="none"/>
                    </w:rPr>
                    <w:t>可爆</w:t>
                  </w:r>
                </w:p>
              </w:tc>
              <w:tc>
                <w:tcPr>
                  <w:tcW w:w="1199" w:type="pct"/>
                  <w:vAlign w:val="center"/>
                </w:tcPr>
                <w:p w14:paraId="183A0401">
                  <w:pPr>
                    <w:jc w:val="center"/>
                    <w:rPr>
                      <w:color w:val="auto"/>
                      <w:szCs w:val="21"/>
                      <w:highlight w:val="none"/>
                    </w:rPr>
                  </w:pPr>
                  <w:r>
                    <w:rPr>
                      <w:color w:val="auto"/>
                      <w:szCs w:val="21"/>
                      <w:highlight w:val="none"/>
                    </w:rPr>
                    <w:t>无毒</w:t>
                  </w:r>
                </w:p>
              </w:tc>
            </w:tr>
            <w:tr w14:paraId="5DF90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64" w:type="pct"/>
                  <w:vAlign w:val="center"/>
                </w:tcPr>
                <w:p w14:paraId="7E34073B">
                  <w:pPr>
                    <w:jc w:val="center"/>
                    <w:rPr>
                      <w:color w:val="auto"/>
                      <w:szCs w:val="21"/>
                      <w:highlight w:val="none"/>
                    </w:rPr>
                  </w:pPr>
                  <w:r>
                    <w:rPr>
                      <w:color w:val="auto"/>
                      <w:szCs w:val="21"/>
                      <w:highlight w:val="none"/>
                    </w:rPr>
                    <w:t>聚酯树脂胶</w:t>
                  </w:r>
                </w:p>
              </w:tc>
              <w:tc>
                <w:tcPr>
                  <w:tcW w:w="2747" w:type="pct"/>
                  <w:vAlign w:val="center"/>
                </w:tcPr>
                <w:p w14:paraId="32ADA4FF">
                  <w:pPr>
                    <w:jc w:val="center"/>
                    <w:rPr>
                      <w:color w:val="auto"/>
                      <w:szCs w:val="21"/>
                      <w:highlight w:val="none"/>
                    </w:rPr>
                  </w:pPr>
                  <w:r>
                    <w:rPr>
                      <w:rFonts w:hint="eastAsia"/>
                      <w:color w:val="auto"/>
                      <w:szCs w:val="21"/>
                      <w:highlight w:val="none"/>
                    </w:rPr>
                    <w:t>透明液体，主要成分为</w:t>
                  </w:r>
                  <w:r>
                    <w:rPr>
                      <w:color w:val="auto"/>
                      <w:szCs w:val="21"/>
                      <w:highlight w:val="none"/>
                    </w:rPr>
                    <w:t>水44.1%、水容性改性环氧树脂40%、二氧化钛15.6%、二甲苯0.3%</w:t>
                  </w:r>
                  <w:r>
                    <w:rPr>
                      <w:rFonts w:hint="eastAsia"/>
                      <w:color w:val="auto"/>
                      <w:szCs w:val="21"/>
                      <w:highlight w:val="none"/>
                    </w:rPr>
                    <w:t>，密度约1.05g/cm</w:t>
                  </w:r>
                  <w:r>
                    <w:rPr>
                      <w:rFonts w:hint="eastAsia"/>
                      <w:color w:val="auto"/>
                      <w:szCs w:val="21"/>
                      <w:highlight w:val="none"/>
                      <w:vertAlign w:val="superscript"/>
                    </w:rPr>
                    <w:t>3</w:t>
                  </w:r>
                </w:p>
              </w:tc>
              <w:tc>
                <w:tcPr>
                  <w:tcW w:w="589" w:type="pct"/>
                  <w:vAlign w:val="center"/>
                </w:tcPr>
                <w:p w14:paraId="0B77C596">
                  <w:pPr>
                    <w:jc w:val="center"/>
                    <w:rPr>
                      <w:color w:val="auto"/>
                      <w:szCs w:val="21"/>
                      <w:highlight w:val="none"/>
                    </w:rPr>
                  </w:pPr>
                  <w:r>
                    <w:rPr>
                      <w:color w:val="auto"/>
                      <w:szCs w:val="21"/>
                      <w:highlight w:val="none"/>
                    </w:rPr>
                    <w:t>不燃</w:t>
                  </w:r>
                  <w:r>
                    <w:rPr>
                      <w:rFonts w:hint="eastAsia"/>
                      <w:color w:val="auto"/>
                      <w:szCs w:val="21"/>
                      <w:highlight w:val="none"/>
                    </w:rPr>
                    <w:t>不爆</w:t>
                  </w:r>
                </w:p>
              </w:tc>
              <w:tc>
                <w:tcPr>
                  <w:tcW w:w="1199" w:type="pct"/>
                  <w:vAlign w:val="center"/>
                </w:tcPr>
                <w:p w14:paraId="3C1CFC4B">
                  <w:pPr>
                    <w:jc w:val="center"/>
                    <w:rPr>
                      <w:color w:val="auto"/>
                      <w:szCs w:val="21"/>
                      <w:highlight w:val="none"/>
                    </w:rPr>
                  </w:pPr>
                  <w:r>
                    <w:rPr>
                      <w:color w:val="auto"/>
                      <w:szCs w:val="21"/>
                      <w:highlight w:val="none"/>
                    </w:rPr>
                    <w:t>无毒</w:t>
                  </w:r>
                </w:p>
              </w:tc>
            </w:tr>
            <w:tr w14:paraId="76743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64" w:type="pct"/>
                  <w:vAlign w:val="center"/>
                </w:tcPr>
                <w:p w14:paraId="05C3F2BB">
                  <w:pPr>
                    <w:jc w:val="center"/>
                    <w:rPr>
                      <w:rFonts w:hint="eastAsia" w:eastAsia="宋体"/>
                      <w:color w:val="auto"/>
                      <w:szCs w:val="21"/>
                      <w:highlight w:val="none"/>
                      <w:lang w:val="en-US" w:eastAsia="zh-Hans"/>
                    </w:rPr>
                  </w:pPr>
                  <w:r>
                    <w:rPr>
                      <w:rFonts w:hint="eastAsia"/>
                      <w:color w:val="auto"/>
                      <w:szCs w:val="21"/>
                      <w:highlight w:val="none"/>
                      <w:lang w:val="en-US" w:eastAsia="zh-Hans"/>
                    </w:rPr>
                    <w:t>润滑油</w:t>
                  </w:r>
                </w:p>
              </w:tc>
              <w:tc>
                <w:tcPr>
                  <w:tcW w:w="5103" w:type="dxa"/>
                  <w:vAlign w:val="center"/>
                </w:tcPr>
                <w:p w14:paraId="00DE57A8">
                  <w:pPr>
                    <w:pStyle w:val="60"/>
                    <w:spacing w:beforeLines="0" w:afterLines="0" w:line="240" w:lineRule="auto"/>
                    <w:rPr>
                      <w:rFonts w:hint="eastAsia"/>
                      <w:color w:val="auto"/>
                      <w:szCs w:val="21"/>
                      <w:highlight w:val="none"/>
                    </w:rPr>
                  </w:pPr>
                  <w:r>
                    <w:rPr>
                      <w:rFonts w:hint="eastAsia" w:ascii="Times New Roman Regular" w:hAnsi="Times New Roman Regular" w:cs="Times New Roman Regular"/>
                      <w:color w:val="auto"/>
                      <w:szCs w:val="21"/>
                      <w:lang w:val="en-US" w:eastAsia="zh-Hans"/>
                    </w:rPr>
                    <w:t>油状液体，淡黄色至褐色，无气味或略带气味，用于机械的摩擦部分，起润滑、冷却和密封作用，闪点</w:t>
                  </w:r>
                  <w:r>
                    <w:rPr>
                      <w:rFonts w:ascii="Times New Roman Regular" w:hAnsi="Times New Roman Regular" w:cs="Times New Roman Regular"/>
                      <w:color w:val="auto"/>
                      <w:szCs w:val="21"/>
                      <w:lang w:eastAsia="zh-Hans"/>
                    </w:rPr>
                    <w:t>269</w:t>
                  </w:r>
                  <w:r>
                    <w:rPr>
                      <w:rFonts w:hint="eastAsia" w:ascii="Times New Roman Regular" w:hAnsi="Times New Roman Regular" w:cs="Times New Roman Regular"/>
                      <w:color w:val="auto"/>
                      <w:szCs w:val="21"/>
                      <w:lang w:val="en-US" w:eastAsia="zh-Hans"/>
                    </w:rPr>
                    <w:t>℃，密度约</w:t>
                  </w:r>
                  <w:r>
                    <w:rPr>
                      <w:rFonts w:hint="default" w:ascii="Times New Roman Regular" w:hAnsi="Times New Roman Regular" w:cs="Times New Roman Regular"/>
                      <w:color w:val="auto"/>
                      <w:szCs w:val="21"/>
                      <w:lang w:eastAsia="zh-Hans"/>
                    </w:rPr>
                    <w:t>0.868</w:t>
                  </w:r>
                  <w:r>
                    <w:rPr>
                      <w:rFonts w:hint="eastAsia" w:ascii="Times New Roman Regular" w:hAnsi="Times New Roman Regular" w:cs="Times New Roman Regular"/>
                      <w:color w:val="auto"/>
                      <w:szCs w:val="21"/>
                      <w:lang w:val="en-US" w:eastAsia="zh-Hans"/>
                    </w:rPr>
                    <w:t>g/cm</w:t>
                  </w:r>
                  <w:r>
                    <w:rPr>
                      <w:rFonts w:hint="default" w:ascii="Times New Roman Regular" w:hAnsi="Times New Roman Regular" w:cs="Times New Roman Regular"/>
                      <w:color w:val="auto"/>
                      <w:szCs w:val="21"/>
                      <w:vertAlign w:val="superscript"/>
                      <w:lang w:eastAsia="zh-Hans"/>
                    </w:rPr>
                    <w:t>3</w:t>
                  </w:r>
                  <w:r>
                    <w:rPr>
                      <w:rFonts w:hint="eastAsia" w:ascii="Times New Roman Regular" w:hAnsi="Times New Roman Regular" w:cs="Times New Roman Regular"/>
                      <w:color w:val="auto"/>
                      <w:szCs w:val="21"/>
                      <w:lang w:val="en-US" w:eastAsia="zh-Hans"/>
                    </w:rPr>
                    <w:t>。</w:t>
                  </w:r>
                </w:p>
              </w:tc>
              <w:tc>
                <w:tcPr>
                  <w:tcW w:w="1094" w:type="dxa"/>
                  <w:vAlign w:val="center"/>
                </w:tcPr>
                <w:p w14:paraId="67F77980">
                  <w:pPr>
                    <w:pStyle w:val="60"/>
                    <w:spacing w:beforeLines="0" w:afterLines="0" w:line="240" w:lineRule="auto"/>
                    <w:rPr>
                      <w:color w:val="auto"/>
                      <w:szCs w:val="21"/>
                      <w:highlight w:val="none"/>
                    </w:rPr>
                  </w:pPr>
                  <w:r>
                    <w:rPr>
                      <w:rFonts w:hint="eastAsia" w:ascii="Times New Roman Regular" w:hAnsi="Times New Roman Regular" w:cs="Times New Roman Regular"/>
                      <w:color w:val="auto"/>
                      <w:lang w:val="en-US" w:eastAsia="zh-Hans"/>
                    </w:rPr>
                    <w:t>可燃</w:t>
                  </w:r>
                </w:p>
              </w:tc>
              <w:tc>
                <w:tcPr>
                  <w:tcW w:w="2227" w:type="dxa"/>
                  <w:vAlign w:val="center"/>
                </w:tcPr>
                <w:p w14:paraId="77F705CA">
                  <w:pPr>
                    <w:adjustRightInd w:val="0"/>
                    <w:snapToGrid w:val="0"/>
                    <w:jc w:val="center"/>
                    <w:rPr>
                      <w:color w:val="auto"/>
                      <w:szCs w:val="21"/>
                      <w:highlight w:val="none"/>
                    </w:rPr>
                  </w:pPr>
                  <w:r>
                    <w:rPr>
                      <w:rFonts w:hint="eastAsia" w:ascii="Times New Roman Regular" w:hAnsi="Times New Roman Regular" w:cs="Times New Roman Regular"/>
                      <w:color w:val="auto"/>
                      <w:szCs w:val="21"/>
                      <w:lang w:eastAsia="zh-Hans"/>
                    </w:rPr>
                    <w:t>无资料</w:t>
                  </w:r>
                </w:p>
              </w:tc>
            </w:tr>
          </w:tbl>
          <w:p w14:paraId="44DB8E97">
            <w:pPr>
              <w:adjustRightInd w:val="0"/>
              <w:snapToGrid w:val="0"/>
              <w:spacing w:after="120" w:afterLines="50"/>
              <w:ind w:firstLine="420" w:firstLineChars="200"/>
              <w:rPr>
                <w:rStyle w:val="101"/>
                <w:rFonts w:hint="default" w:ascii="Times New Roman" w:hAnsi="Times New Roman" w:cs="Times New Roman"/>
                <w:color w:val="auto"/>
                <w:sz w:val="18"/>
                <w:szCs w:val="18"/>
                <w:highlight w:val="none"/>
              </w:rPr>
            </w:pPr>
            <w:r>
              <w:rPr>
                <w:rStyle w:val="101"/>
                <w:rFonts w:hint="default" w:ascii="Times New Roman" w:hAnsi="Times New Roman" w:cs="Times New Roman"/>
                <w:color w:val="auto"/>
                <w:sz w:val="21"/>
                <w:szCs w:val="21"/>
                <w:highlight w:val="none"/>
              </w:rPr>
              <w:t>*注：</w:t>
            </w:r>
            <w:r>
              <w:rPr>
                <w:rStyle w:val="101"/>
                <w:rFonts w:cs="Times New Roman"/>
                <w:color w:val="auto"/>
                <w:sz w:val="21"/>
                <w:szCs w:val="21"/>
                <w:highlight w:val="none"/>
                <w:lang w:eastAsia="zh-Hans"/>
              </w:rPr>
              <w:t>本项目产品定子、转子为分体式电机，用于新能源汽车。</w:t>
            </w:r>
            <w:r>
              <w:rPr>
                <w:rStyle w:val="101"/>
                <w:rFonts w:hint="default" w:ascii="Times New Roman" w:hAnsi="Times New Roman" w:cs="Times New Roman"/>
                <w:color w:val="auto"/>
                <w:sz w:val="21"/>
                <w:szCs w:val="21"/>
                <w:highlight w:val="none"/>
              </w:rPr>
              <w:t>本项目聚酯树脂胶中可挥发性有机成分二甲苯占0.3%，则挥发性有机物（VOCs）含量约为3.15g/L，</w:t>
            </w:r>
            <w:r>
              <w:rPr>
                <w:rStyle w:val="101"/>
                <w:rFonts w:hint="default" w:ascii="Times New Roman Regular" w:hAnsi="Times New Roman Regular" w:cs="Times New Roman Regular"/>
                <w:color w:val="auto"/>
                <w:sz w:val="21"/>
                <w:szCs w:val="21"/>
                <w:highlight w:val="none"/>
              </w:rPr>
              <w:t>根据《</w:t>
            </w:r>
            <w:r>
              <w:rPr>
                <w:rStyle w:val="101"/>
                <w:rFonts w:hint="default" w:ascii="Times New Roman Regular" w:hAnsi="Times New Roman Regular" w:cs="Times New Roman Regular"/>
                <w:color w:val="auto"/>
                <w:sz w:val="21"/>
                <w:szCs w:val="21"/>
                <w:highlight w:val="none"/>
                <w:lang w:eastAsia="zh-Hans"/>
              </w:rPr>
              <w:t>胶粘剂挥发性有机化合物限量</w:t>
            </w:r>
            <w:r>
              <w:rPr>
                <w:rStyle w:val="101"/>
                <w:rFonts w:hint="default" w:ascii="Times New Roman Regular" w:hAnsi="Times New Roman Regular" w:cs="Times New Roman Regular"/>
                <w:color w:val="auto"/>
                <w:sz w:val="21"/>
                <w:szCs w:val="21"/>
                <w:highlight w:val="none"/>
              </w:rPr>
              <w:t>》（GB33372-2020），满足表2中</w:t>
            </w:r>
            <w:r>
              <w:rPr>
                <w:rStyle w:val="101"/>
                <w:rFonts w:hint="default" w:ascii="Times New Roman Regular" w:hAnsi="Times New Roman Regular" w:cs="Times New Roman Regular"/>
                <w:color w:val="auto"/>
                <w:sz w:val="21"/>
                <w:szCs w:val="21"/>
                <w:highlight w:val="none"/>
                <w:lang w:eastAsia="zh-Hans"/>
              </w:rPr>
              <w:t>其他类</w:t>
            </w:r>
            <w:r>
              <w:rPr>
                <w:rStyle w:val="101"/>
                <w:rFonts w:hint="default" w:ascii="Times New Roman Regular" w:hAnsi="Times New Roman Regular" w:cs="Times New Roman Regular"/>
                <w:color w:val="auto"/>
                <w:sz w:val="21"/>
                <w:szCs w:val="21"/>
                <w:highlight w:val="none"/>
              </w:rPr>
              <w:t>VOC含量≤50g/L的限量值要求</w:t>
            </w:r>
            <w:r>
              <w:rPr>
                <w:rStyle w:val="101"/>
                <w:rFonts w:hint="default" w:ascii="Times New Roman" w:hAnsi="Times New Roman" w:cs="Times New Roman"/>
                <w:color w:val="auto"/>
                <w:sz w:val="21"/>
                <w:szCs w:val="21"/>
                <w:highlight w:val="none"/>
              </w:rPr>
              <w:t>；浸渍树脂中可挥发性有机成分</w:t>
            </w:r>
            <w:r>
              <w:rPr>
                <w:rStyle w:val="101"/>
                <w:rFonts w:hint="eastAsia" w:cs="Times New Roman"/>
                <w:color w:val="auto"/>
                <w:sz w:val="21"/>
                <w:szCs w:val="21"/>
                <w:highlight w:val="none"/>
                <w:lang w:val="en-US" w:eastAsia="zh-Hans"/>
              </w:rPr>
              <w:t>检测报告，</w:t>
            </w:r>
            <w:r>
              <w:rPr>
                <w:rStyle w:val="101"/>
                <w:rFonts w:hint="default" w:ascii="Times New Roman" w:hAnsi="Times New Roman" w:cs="Times New Roman"/>
                <w:color w:val="auto"/>
                <w:sz w:val="21"/>
                <w:szCs w:val="21"/>
                <w:highlight w:val="none"/>
              </w:rPr>
              <w:t>挥发性有机物（VOCs）含量约为</w:t>
            </w:r>
            <w:r>
              <w:rPr>
                <w:rStyle w:val="101"/>
                <w:rFonts w:hint="default" w:ascii="Times New Roman Regular" w:hAnsi="Times New Roman Regular" w:cs="Times New Roman Regular"/>
                <w:color w:val="auto"/>
                <w:sz w:val="21"/>
                <w:szCs w:val="21"/>
                <w:highlight w:val="none"/>
              </w:rPr>
              <w:t>122g</w:t>
            </w:r>
            <w:r>
              <w:rPr>
                <w:rStyle w:val="101"/>
                <w:rFonts w:hint="default" w:ascii="Times New Roman" w:hAnsi="Times New Roman" w:cs="Times New Roman"/>
                <w:color w:val="auto"/>
                <w:sz w:val="21"/>
                <w:szCs w:val="21"/>
                <w:highlight w:val="none"/>
              </w:rPr>
              <w:t>/L，</w:t>
            </w:r>
            <w:r>
              <w:rPr>
                <w:rStyle w:val="101"/>
                <w:rFonts w:hint="default" w:ascii="Times New Roman Regular" w:hAnsi="Times New Roman Regular" w:cs="Times New Roman Regular"/>
                <w:color w:val="auto"/>
                <w:sz w:val="21"/>
                <w:szCs w:val="21"/>
                <w:highlight w:val="none"/>
              </w:rPr>
              <w:t>根据《低挥发性有机化合物含量涂料产品技术要求》（GB/T 38597-2020），满足表2中工程机械和农业机械涂料(含零部件涂料)VOC含量≤420g/L的限量值要求</w:t>
            </w:r>
            <w:r>
              <w:rPr>
                <w:rStyle w:val="101"/>
                <w:rFonts w:hint="default" w:ascii="Times New Roman" w:hAnsi="Times New Roman" w:cs="Times New Roman"/>
                <w:color w:val="auto"/>
                <w:sz w:val="21"/>
                <w:szCs w:val="21"/>
                <w:highlight w:val="none"/>
              </w:rPr>
              <w:t>，本项目使用的</w:t>
            </w:r>
            <w:r>
              <w:rPr>
                <w:rStyle w:val="101"/>
                <w:rFonts w:cs="Times New Roman"/>
                <w:color w:val="auto"/>
                <w:sz w:val="21"/>
                <w:szCs w:val="21"/>
                <w:highlight w:val="none"/>
                <w:lang w:eastAsia="zh-Hans"/>
              </w:rPr>
              <w:t>原辅料</w:t>
            </w:r>
            <w:r>
              <w:rPr>
                <w:rStyle w:val="101"/>
                <w:rFonts w:hint="default" w:ascii="Times New Roman" w:hAnsi="Times New Roman" w:cs="Times New Roman"/>
                <w:color w:val="auto"/>
                <w:sz w:val="21"/>
                <w:szCs w:val="21"/>
                <w:highlight w:val="none"/>
              </w:rPr>
              <w:t>符合该标准要求。</w:t>
            </w:r>
          </w:p>
          <w:p w14:paraId="63E20580">
            <w:pPr>
              <w:numPr>
                <w:ilvl w:val="0"/>
                <w:numId w:val="4"/>
              </w:numPr>
              <w:adjustRightInd w:val="0"/>
              <w:snapToGrid w:val="0"/>
              <w:spacing w:line="360" w:lineRule="auto"/>
              <w:jc w:val="left"/>
              <w:rPr>
                <w:rFonts w:hAnsi="宋体"/>
                <w:snapToGrid w:val="0"/>
                <w:color w:val="auto"/>
                <w:kern w:val="0"/>
                <w:sz w:val="24"/>
                <w:highlight w:val="none"/>
              </w:rPr>
            </w:pPr>
            <w:r>
              <w:rPr>
                <w:rFonts w:hint="eastAsia" w:hAnsi="宋体"/>
                <w:b/>
                <w:color w:val="auto"/>
                <w:sz w:val="24"/>
                <w:highlight w:val="none"/>
              </w:rPr>
              <w:t>物料平衡</w:t>
            </w:r>
          </w:p>
          <w:p w14:paraId="5A840696">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（1）浸渍树脂胶物料平衡</w:t>
            </w:r>
          </w:p>
          <w:p w14:paraId="39E1241B">
            <w:pPr>
              <w:pStyle w:val="6"/>
              <w:numPr>
                <w:ilvl w:val="0"/>
                <w:numId w:val="0"/>
              </w:numPr>
              <w:spacing w:line="360" w:lineRule="auto"/>
              <w:ind w:firstLine="480" w:firstLineChars="200"/>
              <w:jc w:val="left"/>
              <w:rPr>
                <w:rFonts w:ascii="Times New Roman" w:hAnsi="宋体"/>
                <w:snapToGrid w:val="0"/>
                <w:color w:val="auto"/>
                <w:kern w:val="0"/>
                <w:sz w:val="24"/>
                <w:szCs w:val="24"/>
                <w:highlight w:val="none"/>
              </w:rPr>
            </w:pPr>
            <w:r>
              <w:rPr>
                <w:rFonts w:ascii="Times New Roman" w:hAnsi="Times New Roman"/>
                <w:bCs/>
                <w:color w:val="auto"/>
                <w:sz w:val="24"/>
                <w:szCs w:val="24"/>
                <w:highlight w:val="none"/>
              </w:rPr>
              <w:t>本项目使用浸渍树脂胶3.6t/a，</w:t>
            </w:r>
            <w:r>
              <w:rPr>
                <w:rFonts w:hint="eastAsia" w:ascii="Times New Roman" w:hAnsi="Times New Roman"/>
                <w:bCs/>
                <w:color w:val="auto"/>
                <w:sz w:val="24"/>
                <w:szCs w:val="24"/>
                <w:highlight w:val="none"/>
                <w:lang w:val="en-US" w:eastAsia="zh-Hans"/>
              </w:rPr>
              <w:t>根据浸渍树脂中可挥发性有机成分检测报告</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val="en-US" w:eastAsia="zh-Hans"/>
              </w:rPr>
              <w:t>浸渍树脂挥发性有机物含量约</w:t>
            </w:r>
            <w:r>
              <w:rPr>
                <w:rFonts w:hint="default" w:ascii="Times New Roman" w:hAnsi="Times New Roman"/>
                <w:bCs/>
                <w:color w:val="auto"/>
                <w:sz w:val="24"/>
                <w:szCs w:val="24"/>
                <w:highlight w:val="none"/>
                <w:lang w:eastAsia="zh-Hans"/>
              </w:rPr>
              <w:t>122g/L</w:t>
            </w:r>
            <w:r>
              <w:rPr>
                <w:rFonts w:hint="eastAsia" w:ascii="Times New Roman" w:hAnsi="Times New Roman"/>
                <w:bCs/>
                <w:color w:val="auto"/>
                <w:sz w:val="24"/>
                <w:szCs w:val="24"/>
                <w:highlight w:val="none"/>
                <w:lang w:eastAsia="zh-Hans"/>
              </w:rPr>
              <w:t>，</w:t>
            </w:r>
            <w:r>
              <w:rPr>
                <w:rFonts w:hint="eastAsia" w:ascii="Times New Roman" w:hAnsi="Times New Roman"/>
                <w:bCs/>
                <w:color w:val="auto"/>
                <w:sz w:val="24"/>
                <w:szCs w:val="24"/>
                <w:highlight w:val="none"/>
                <w:lang w:val="en-US" w:eastAsia="zh-Hans"/>
              </w:rPr>
              <w:t>根据浸渍树脂MSDS，浸渍树脂浓度约为</w:t>
            </w:r>
            <w:r>
              <w:rPr>
                <w:rFonts w:hint="default" w:ascii="Times New Roman" w:hAnsi="Times New Roman"/>
                <w:bCs/>
                <w:color w:val="auto"/>
                <w:sz w:val="24"/>
                <w:szCs w:val="24"/>
                <w:highlight w:val="none"/>
                <w:lang w:eastAsia="zh-Hans"/>
              </w:rPr>
              <w:t>1.08g/cm</w:t>
            </w:r>
            <w:r>
              <w:rPr>
                <w:rFonts w:hint="default" w:ascii="Times New Roman" w:hAnsi="Times New Roman"/>
                <w:bCs/>
                <w:color w:val="auto"/>
                <w:sz w:val="24"/>
                <w:szCs w:val="24"/>
                <w:highlight w:val="none"/>
                <w:vertAlign w:val="superscript"/>
                <w:lang w:eastAsia="zh-Hans"/>
              </w:rPr>
              <w:t>3</w:t>
            </w:r>
            <w:r>
              <w:rPr>
                <w:rFonts w:ascii="Times New Roman" w:hAnsi="Times New Roman"/>
                <w:bCs/>
                <w:color w:val="auto"/>
                <w:sz w:val="24"/>
                <w:szCs w:val="24"/>
                <w:highlight w:val="none"/>
              </w:rPr>
              <w:t>，</w:t>
            </w:r>
            <w:r>
              <w:rPr>
                <w:rFonts w:hint="eastAsia" w:ascii="Times New Roman" w:hAnsi="Times New Roman"/>
                <w:bCs/>
                <w:color w:val="auto"/>
                <w:sz w:val="24"/>
                <w:szCs w:val="24"/>
                <w:highlight w:val="none"/>
                <w:lang w:val="en-US" w:eastAsia="zh-Hans"/>
              </w:rPr>
              <w:t>则挥发性成分约占</w:t>
            </w:r>
            <w:r>
              <w:rPr>
                <w:rFonts w:hint="default" w:ascii="Times New Roman" w:hAnsi="Times New Roman"/>
                <w:bCs/>
                <w:color w:val="auto"/>
                <w:sz w:val="24"/>
                <w:szCs w:val="24"/>
                <w:highlight w:val="none"/>
                <w:lang w:eastAsia="zh-Hans"/>
              </w:rPr>
              <w:t>11.3%</w:t>
            </w:r>
            <w:r>
              <w:rPr>
                <w:rFonts w:hint="eastAsia" w:ascii="Times New Roman" w:hAnsi="Times New Roman"/>
                <w:bCs/>
                <w:color w:val="auto"/>
                <w:sz w:val="24"/>
                <w:szCs w:val="24"/>
                <w:highlight w:val="none"/>
                <w:lang w:eastAsia="zh-Hans"/>
              </w:rPr>
              <w:t>，</w:t>
            </w:r>
            <w:r>
              <w:rPr>
                <w:rFonts w:hint="eastAsia" w:ascii="Times New Roman" w:hAnsi="Times New Roman"/>
                <w:bCs/>
                <w:color w:val="auto"/>
                <w:sz w:val="24"/>
                <w:szCs w:val="24"/>
                <w:highlight w:val="none"/>
                <w:lang w:val="en-US" w:eastAsia="zh-Hans"/>
              </w:rPr>
              <w:t>本项目按最不利情况全挥发计</w:t>
            </w:r>
            <w:r>
              <w:rPr>
                <w:rFonts w:ascii="Times New Roman" w:hAnsi="宋体"/>
                <w:snapToGrid w:val="0"/>
                <w:color w:val="auto"/>
                <w:kern w:val="0"/>
                <w:sz w:val="24"/>
                <w:szCs w:val="24"/>
                <w:highlight w:val="none"/>
              </w:rPr>
              <w:t>，</w:t>
            </w:r>
            <w:r>
              <w:rPr>
                <w:rFonts w:hint="eastAsia" w:ascii="Times New Roman" w:hAnsi="宋体"/>
                <w:snapToGrid w:val="0"/>
                <w:color w:val="auto"/>
                <w:kern w:val="0"/>
                <w:sz w:val="24"/>
                <w:szCs w:val="24"/>
                <w:highlight w:val="none"/>
                <w:lang w:val="en-US" w:eastAsia="zh-Hans"/>
              </w:rPr>
              <w:t>另有</w:t>
            </w:r>
            <w:r>
              <w:rPr>
                <w:rFonts w:hint="eastAsia" w:ascii="Times New Roman" w:hAnsi="宋体"/>
                <w:snapToGrid w:val="0"/>
                <w:color w:val="auto"/>
                <w:kern w:val="0"/>
                <w:sz w:val="24"/>
                <w:szCs w:val="24"/>
                <w:highlight w:val="none"/>
                <w:lang w:eastAsia="zh-Hans"/>
              </w:rPr>
              <w:t>约</w:t>
            </w:r>
            <w:r>
              <w:rPr>
                <w:rFonts w:ascii="Times New Roman" w:hAnsi="宋体"/>
                <w:snapToGrid w:val="0"/>
                <w:color w:val="auto"/>
                <w:kern w:val="0"/>
                <w:sz w:val="24"/>
                <w:szCs w:val="24"/>
                <w:highlight w:val="none"/>
                <w:lang w:eastAsia="zh-Hans"/>
              </w:rPr>
              <w:t>20%</w:t>
            </w:r>
            <w:r>
              <w:rPr>
                <w:rFonts w:hint="eastAsia" w:ascii="Times New Roman" w:hAnsi="宋体"/>
                <w:snapToGrid w:val="0"/>
                <w:color w:val="auto"/>
                <w:kern w:val="0"/>
                <w:sz w:val="24"/>
                <w:szCs w:val="24"/>
                <w:highlight w:val="none"/>
                <w:lang w:eastAsia="zh-Hans"/>
              </w:rPr>
              <w:t>的</w:t>
            </w:r>
            <w:r>
              <w:rPr>
                <w:rFonts w:ascii="Times New Roman" w:hAnsi="宋体"/>
                <w:snapToGrid w:val="0"/>
                <w:color w:val="auto"/>
                <w:kern w:val="0"/>
                <w:sz w:val="24"/>
                <w:szCs w:val="24"/>
                <w:highlight w:val="none"/>
              </w:rPr>
              <w:t>浸渍树脂胶</w:t>
            </w:r>
            <w:r>
              <w:rPr>
                <w:rFonts w:hint="eastAsia" w:ascii="Times New Roman" w:hAnsi="宋体"/>
                <w:snapToGrid w:val="0"/>
                <w:color w:val="auto"/>
                <w:kern w:val="0"/>
                <w:sz w:val="24"/>
                <w:szCs w:val="24"/>
                <w:highlight w:val="none"/>
                <w:lang w:eastAsia="zh-Hans"/>
              </w:rPr>
              <w:t>未滴至工件，成为固废，由于废胶密闭保存，只在开关是有极少部分有机废气挥发，类比类比《美利达自行车（江苏）有限公司新建危废仓库项目环境影响报告表》，危废产生有机废气量按年最大产生量的0.25%计算，</w:t>
            </w:r>
            <w:r>
              <w:rPr>
                <w:rFonts w:ascii="Times New Roman" w:hAnsi="宋体"/>
                <w:snapToGrid w:val="0"/>
                <w:color w:val="auto"/>
                <w:kern w:val="0"/>
                <w:sz w:val="24"/>
                <w:szCs w:val="24"/>
                <w:highlight w:val="none"/>
              </w:rPr>
              <w:t>具体物料平衡表见下表，物料平衡图见下图。</w:t>
            </w:r>
          </w:p>
          <w:p w14:paraId="151A7B79">
            <w:pPr>
              <w:pStyle w:val="10"/>
              <w:spacing w:beforeLines="0"/>
              <w:rPr>
                <w:rFonts w:hAnsi="宋体" w:eastAsia="宋体"/>
                <w:snapToGrid w:val="0"/>
                <w:color w:val="auto"/>
                <w:kern w:val="0"/>
                <w:sz w:val="24"/>
                <w:szCs w:val="24"/>
                <w:highlight w:val="none"/>
                <w:lang w:val="en-US"/>
              </w:rPr>
            </w:pPr>
            <w:bookmarkStart w:id="8" w:name="_Ref55657326"/>
            <w:r>
              <w:rPr>
                <w:rFonts w:hAnsi="宋体" w:eastAsia="宋体"/>
                <w:b/>
                <w:bCs/>
                <w:snapToGrid w:val="0"/>
                <w:color w:val="auto"/>
                <w:kern w:val="0"/>
                <w:sz w:val="24"/>
                <w:szCs w:val="24"/>
                <w:highlight w:val="none"/>
                <w:lang w:val="en-US"/>
              </w:rPr>
              <w:t xml:space="preserve">表 2-6 </w:t>
            </w:r>
            <w:r>
              <w:rPr>
                <w:rFonts w:hint="eastAsia" w:hAnsi="宋体" w:eastAsia="宋体"/>
                <w:b/>
                <w:bCs/>
                <w:snapToGrid w:val="0"/>
                <w:color w:val="auto"/>
                <w:kern w:val="0"/>
                <w:sz w:val="24"/>
                <w:szCs w:val="24"/>
                <w:highlight w:val="none"/>
                <w:lang w:val="en-US"/>
              </w:rPr>
              <w:t>浸渍树脂胶</w:t>
            </w:r>
            <w:r>
              <w:rPr>
                <w:rFonts w:hAnsi="宋体" w:eastAsia="宋体"/>
                <w:b/>
                <w:bCs/>
                <w:snapToGrid w:val="0"/>
                <w:color w:val="auto"/>
                <w:kern w:val="0"/>
                <w:sz w:val="24"/>
                <w:szCs w:val="24"/>
                <w:highlight w:val="none"/>
                <w:lang w:val="en-US"/>
              </w:rPr>
              <w:t>物料平衡表（单位：t/a）</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2886"/>
              <w:gridCol w:w="1882"/>
              <w:gridCol w:w="2583"/>
            </w:tblGrid>
            <w:tr w14:paraId="6F0A3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6" w:type="pct"/>
                  <w:gridSpan w:val="2"/>
                  <w:tcBorders>
                    <w:tl2br w:val="nil"/>
                    <w:tr2bl w:val="nil"/>
                  </w:tcBorders>
                  <w:noWrap/>
                  <w:vAlign w:val="center"/>
                </w:tcPr>
                <w:p w14:paraId="3035D1FC">
                  <w:pPr>
                    <w:pStyle w:val="89"/>
                    <w:rPr>
                      <w:b/>
                      <w:bCs w:val="0"/>
                      <w:color w:val="auto"/>
                      <w:highlight w:val="none"/>
                    </w:rPr>
                  </w:pPr>
                  <w:r>
                    <w:rPr>
                      <w:b/>
                      <w:bCs w:val="0"/>
                      <w:color w:val="auto"/>
                      <w:highlight w:val="none"/>
                    </w:rPr>
                    <w:t>入方</w:t>
                  </w:r>
                </w:p>
              </w:tc>
              <w:tc>
                <w:tcPr>
                  <w:tcW w:w="2403" w:type="pct"/>
                  <w:gridSpan w:val="2"/>
                  <w:tcBorders>
                    <w:tl2br w:val="nil"/>
                    <w:tr2bl w:val="nil"/>
                  </w:tcBorders>
                  <w:noWrap/>
                  <w:vAlign w:val="center"/>
                </w:tcPr>
                <w:p w14:paraId="1ED98B9E">
                  <w:pPr>
                    <w:pStyle w:val="89"/>
                    <w:rPr>
                      <w:b/>
                      <w:bCs w:val="0"/>
                      <w:color w:val="auto"/>
                      <w:highlight w:val="none"/>
                    </w:rPr>
                  </w:pPr>
                  <w:r>
                    <w:rPr>
                      <w:b/>
                      <w:bCs w:val="0"/>
                      <w:color w:val="auto"/>
                      <w:highlight w:val="none"/>
                    </w:rPr>
                    <w:t>出方</w:t>
                  </w:r>
                </w:p>
              </w:tc>
            </w:tr>
            <w:tr w14:paraId="6EB23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1657DE5E">
                  <w:pPr>
                    <w:pStyle w:val="89"/>
                    <w:rPr>
                      <w:b/>
                      <w:bCs w:val="0"/>
                      <w:color w:val="auto"/>
                      <w:highlight w:val="none"/>
                    </w:rPr>
                  </w:pPr>
                  <w:r>
                    <w:rPr>
                      <w:b/>
                      <w:bCs w:val="0"/>
                      <w:color w:val="auto"/>
                      <w:highlight w:val="none"/>
                    </w:rPr>
                    <w:t>物料名称</w:t>
                  </w:r>
                </w:p>
              </w:tc>
              <w:tc>
                <w:tcPr>
                  <w:tcW w:w="1553" w:type="pct"/>
                  <w:tcBorders>
                    <w:tl2br w:val="nil"/>
                    <w:tr2bl w:val="nil"/>
                  </w:tcBorders>
                  <w:noWrap/>
                  <w:vAlign w:val="center"/>
                </w:tcPr>
                <w:p w14:paraId="34AF83DC">
                  <w:pPr>
                    <w:pStyle w:val="89"/>
                    <w:rPr>
                      <w:b/>
                      <w:bCs w:val="0"/>
                      <w:color w:val="auto"/>
                      <w:highlight w:val="none"/>
                    </w:rPr>
                  </w:pPr>
                  <w:r>
                    <w:rPr>
                      <w:b/>
                      <w:bCs w:val="0"/>
                      <w:color w:val="auto"/>
                      <w:highlight w:val="none"/>
                    </w:rPr>
                    <w:t>数量</w:t>
                  </w:r>
                </w:p>
              </w:tc>
              <w:tc>
                <w:tcPr>
                  <w:tcW w:w="1013" w:type="pct"/>
                  <w:tcBorders>
                    <w:tl2br w:val="nil"/>
                    <w:tr2bl w:val="nil"/>
                  </w:tcBorders>
                  <w:noWrap/>
                  <w:vAlign w:val="center"/>
                </w:tcPr>
                <w:p w14:paraId="5BB2C400">
                  <w:pPr>
                    <w:pStyle w:val="89"/>
                    <w:rPr>
                      <w:b/>
                      <w:bCs w:val="0"/>
                      <w:color w:val="auto"/>
                      <w:highlight w:val="none"/>
                    </w:rPr>
                  </w:pPr>
                  <w:r>
                    <w:rPr>
                      <w:b/>
                      <w:bCs w:val="0"/>
                      <w:color w:val="auto"/>
                      <w:highlight w:val="none"/>
                    </w:rPr>
                    <w:t>类别</w:t>
                  </w:r>
                </w:p>
              </w:tc>
              <w:tc>
                <w:tcPr>
                  <w:tcW w:w="1390" w:type="pct"/>
                  <w:tcBorders>
                    <w:tl2br w:val="nil"/>
                    <w:tr2bl w:val="nil"/>
                  </w:tcBorders>
                  <w:noWrap/>
                  <w:vAlign w:val="center"/>
                </w:tcPr>
                <w:p w14:paraId="3A1380BC">
                  <w:pPr>
                    <w:pStyle w:val="89"/>
                    <w:rPr>
                      <w:b/>
                      <w:bCs w:val="0"/>
                      <w:color w:val="auto"/>
                      <w:highlight w:val="none"/>
                    </w:rPr>
                  </w:pPr>
                  <w:r>
                    <w:rPr>
                      <w:b/>
                      <w:bCs w:val="0"/>
                      <w:color w:val="auto"/>
                      <w:highlight w:val="none"/>
                    </w:rPr>
                    <w:t>数量</w:t>
                  </w:r>
                </w:p>
              </w:tc>
            </w:tr>
            <w:tr w14:paraId="3AC61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72209982">
                  <w:pPr>
                    <w:pStyle w:val="89"/>
                    <w:rPr>
                      <w:color w:val="auto"/>
                      <w:highlight w:val="none"/>
                    </w:rPr>
                  </w:pPr>
                  <w:r>
                    <w:rPr>
                      <w:color w:val="auto"/>
                      <w:highlight w:val="none"/>
                    </w:rPr>
                    <w:t>浸渍树脂胶</w:t>
                  </w:r>
                </w:p>
              </w:tc>
              <w:tc>
                <w:tcPr>
                  <w:tcW w:w="1553" w:type="pct"/>
                  <w:tcBorders>
                    <w:tl2br w:val="nil"/>
                    <w:tr2bl w:val="nil"/>
                  </w:tcBorders>
                  <w:noWrap/>
                  <w:vAlign w:val="center"/>
                </w:tcPr>
                <w:p w14:paraId="6AABC396">
                  <w:pPr>
                    <w:pStyle w:val="89"/>
                    <w:rPr>
                      <w:color w:val="auto"/>
                      <w:highlight w:val="none"/>
                    </w:rPr>
                  </w:pPr>
                  <w:r>
                    <w:rPr>
                      <w:color w:val="auto"/>
                      <w:highlight w:val="none"/>
                    </w:rPr>
                    <w:t>3.6</w:t>
                  </w:r>
                </w:p>
              </w:tc>
              <w:tc>
                <w:tcPr>
                  <w:tcW w:w="1013" w:type="pct"/>
                  <w:tcBorders>
                    <w:tl2br w:val="nil"/>
                    <w:tr2bl w:val="nil"/>
                  </w:tcBorders>
                  <w:noWrap/>
                  <w:vAlign w:val="center"/>
                </w:tcPr>
                <w:p w14:paraId="125A32B4">
                  <w:pPr>
                    <w:pStyle w:val="89"/>
                    <w:rPr>
                      <w:color w:val="auto"/>
                      <w:highlight w:val="none"/>
                    </w:rPr>
                  </w:pPr>
                  <w:r>
                    <w:rPr>
                      <w:color w:val="auto"/>
                      <w:highlight w:val="none"/>
                    </w:rPr>
                    <w:t>成品</w:t>
                  </w:r>
                </w:p>
              </w:tc>
              <w:tc>
                <w:tcPr>
                  <w:tcW w:w="1390" w:type="pct"/>
                  <w:tcBorders>
                    <w:tl2br w:val="nil"/>
                    <w:tr2bl w:val="nil"/>
                  </w:tcBorders>
                  <w:noWrap/>
                  <w:vAlign w:val="center"/>
                </w:tcPr>
                <w:p w14:paraId="50CFC13E">
                  <w:pPr>
                    <w:pStyle w:val="89"/>
                    <w:rPr>
                      <w:color w:val="auto"/>
                      <w:highlight w:val="none"/>
                    </w:rPr>
                  </w:pPr>
                  <w:r>
                    <w:rPr>
                      <w:rFonts w:hint="eastAsia"/>
                      <w:color w:val="auto"/>
                      <w:highlight w:val="none"/>
                    </w:rPr>
                    <w:t>2.</w:t>
                  </w:r>
                  <w:r>
                    <w:rPr>
                      <w:rFonts w:hint="default"/>
                      <w:color w:val="auto"/>
                      <w:highlight w:val="none"/>
                    </w:rPr>
                    <w:t>4732</w:t>
                  </w:r>
                </w:p>
              </w:tc>
            </w:tr>
            <w:tr w14:paraId="63364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38814BD5">
                  <w:pPr>
                    <w:pStyle w:val="89"/>
                    <w:rPr>
                      <w:color w:val="auto"/>
                      <w:highlight w:val="none"/>
                    </w:rPr>
                  </w:pPr>
                </w:p>
              </w:tc>
              <w:tc>
                <w:tcPr>
                  <w:tcW w:w="1553" w:type="pct"/>
                  <w:tcBorders>
                    <w:tl2br w:val="nil"/>
                    <w:tr2bl w:val="nil"/>
                  </w:tcBorders>
                  <w:noWrap/>
                  <w:vAlign w:val="center"/>
                </w:tcPr>
                <w:p w14:paraId="4721D7D8">
                  <w:pPr>
                    <w:pStyle w:val="89"/>
                    <w:rPr>
                      <w:color w:val="auto"/>
                      <w:highlight w:val="none"/>
                    </w:rPr>
                  </w:pPr>
                </w:p>
              </w:tc>
              <w:tc>
                <w:tcPr>
                  <w:tcW w:w="1013" w:type="pct"/>
                  <w:tcBorders>
                    <w:tl2br w:val="nil"/>
                    <w:tr2bl w:val="nil"/>
                  </w:tcBorders>
                  <w:noWrap/>
                  <w:vAlign w:val="center"/>
                </w:tcPr>
                <w:p w14:paraId="5C93A328">
                  <w:pPr>
                    <w:pStyle w:val="89"/>
                    <w:rPr>
                      <w:color w:val="auto"/>
                      <w:highlight w:val="none"/>
                    </w:rPr>
                  </w:pPr>
                  <w:r>
                    <w:rPr>
                      <w:color w:val="auto"/>
                      <w:highlight w:val="none"/>
                    </w:rPr>
                    <w:t>废气</w:t>
                  </w:r>
                </w:p>
              </w:tc>
              <w:tc>
                <w:tcPr>
                  <w:tcW w:w="1390" w:type="pct"/>
                  <w:tcBorders>
                    <w:tl2br w:val="nil"/>
                    <w:tr2bl w:val="nil"/>
                  </w:tcBorders>
                  <w:noWrap/>
                  <w:vAlign w:val="center"/>
                </w:tcPr>
                <w:p w14:paraId="68891001">
                  <w:pPr>
                    <w:pStyle w:val="89"/>
                    <w:rPr>
                      <w:color w:val="auto"/>
                      <w:highlight w:val="none"/>
                    </w:rPr>
                  </w:pPr>
                  <w:r>
                    <w:rPr>
                      <w:color w:val="auto"/>
                      <w:highlight w:val="none"/>
                    </w:rPr>
                    <w:t>0.4068</w:t>
                  </w:r>
                </w:p>
              </w:tc>
            </w:tr>
            <w:tr w14:paraId="0988A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2E0D0D55">
                  <w:pPr>
                    <w:pStyle w:val="89"/>
                    <w:rPr>
                      <w:color w:val="auto"/>
                      <w:highlight w:val="none"/>
                    </w:rPr>
                  </w:pPr>
                </w:p>
              </w:tc>
              <w:tc>
                <w:tcPr>
                  <w:tcW w:w="1553" w:type="pct"/>
                  <w:tcBorders>
                    <w:tl2br w:val="nil"/>
                    <w:tr2bl w:val="nil"/>
                  </w:tcBorders>
                  <w:noWrap/>
                  <w:vAlign w:val="center"/>
                </w:tcPr>
                <w:p w14:paraId="0919128E">
                  <w:pPr>
                    <w:pStyle w:val="89"/>
                    <w:rPr>
                      <w:color w:val="auto"/>
                      <w:highlight w:val="none"/>
                    </w:rPr>
                  </w:pPr>
                </w:p>
              </w:tc>
              <w:tc>
                <w:tcPr>
                  <w:tcW w:w="1013" w:type="pct"/>
                  <w:tcBorders>
                    <w:tl2br w:val="nil"/>
                    <w:tr2bl w:val="nil"/>
                  </w:tcBorders>
                  <w:noWrap/>
                  <w:vAlign w:val="center"/>
                </w:tcPr>
                <w:p w14:paraId="6F77A08F">
                  <w:pPr>
                    <w:pStyle w:val="89"/>
                    <w:rPr>
                      <w:color w:val="auto"/>
                      <w:highlight w:val="none"/>
                    </w:rPr>
                  </w:pPr>
                  <w:r>
                    <w:rPr>
                      <w:color w:val="auto"/>
                      <w:highlight w:val="none"/>
                    </w:rPr>
                    <w:t>废水</w:t>
                  </w:r>
                </w:p>
              </w:tc>
              <w:tc>
                <w:tcPr>
                  <w:tcW w:w="1390" w:type="pct"/>
                  <w:tcBorders>
                    <w:tl2br w:val="nil"/>
                    <w:tr2bl w:val="nil"/>
                  </w:tcBorders>
                  <w:noWrap/>
                  <w:vAlign w:val="center"/>
                </w:tcPr>
                <w:p w14:paraId="082EB905">
                  <w:pPr>
                    <w:pStyle w:val="89"/>
                    <w:rPr>
                      <w:color w:val="auto"/>
                      <w:highlight w:val="none"/>
                    </w:rPr>
                  </w:pPr>
                  <w:r>
                    <w:rPr>
                      <w:color w:val="auto"/>
                      <w:highlight w:val="none"/>
                    </w:rPr>
                    <w:t>0</w:t>
                  </w:r>
                </w:p>
              </w:tc>
            </w:tr>
            <w:tr w14:paraId="30C5C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043" w:type="pct"/>
                  <w:tcBorders>
                    <w:tl2br w:val="nil"/>
                    <w:tr2bl w:val="nil"/>
                  </w:tcBorders>
                  <w:noWrap/>
                  <w:vAlign w:val="center"/>
                </w:tcPr>
                <w:p w14:paraId="609D1374">
                  <w:pPr>
                    <w:jc w:val="center"/>
                    <w:rPr>
                      <w:color w:val="auto"/>
                      <w:szCs w:val="21"/>
                      <w:highlight w:val="none"/>
                    </w:rPr>
                  </w:pPr>
                </w:p>
              </w:tc>
              <w:tc>
                <w:tcPr>
                  <w:tcW w:w="1553" w:type="pct"/>
                  <w:tcBorders>
                    <w:tl2br w:val="nil"/>
                    <w:tr2bl w:val="nil"/>
                  </w:tcBorders>
                  <w:noWrap/>
                  <w:vAlign w:val="center"/>
                </w:tcPr>
                <w:p w14:paraId="543817B5">
                  <w:pPr>
                    <w:jc w:val="center"/>
                    <w:rPr>
                      <w:color w:val="auto"/>
                      <w:szCs w:val="21"/>
                      <w:highlight w:val="none"/>
                    </w:rPr>
                  </w:pPr>
                </w:p>
              </w:tc>
              <w:tc>
                <w:tcPr>
                  <w:tcW w:w="1013" w:type="pct"/>
                  <w:tcBorders>
                    <w:tl2br w:val="nil"/>
                    <w:tr2bl w:val="nil"/>
                  </w:tcBorders>
                  <w:noWrap/>
                  <w:vAlign w:val="center"/>
                </w:tcPr>
                <w:p w14:paraId="7870BFCE">
                  <w:pPr>
                    <w:pStyle w:val="89"/>
                    <w:rPr>
                      <w:color w:val="auto"/>
                      <w:highlight w:val="none"/>
                    </w:rPr>
                  </w:pPr>
                  <w:r>
                    <w:rPr>
                      <w:color w:val="auto"/>
                      <w:highlight w:val="none"/>
                    </w:rPr>
                    <w:t>固废</w:t>
                  </w:r>
                </w:p>
              </w:tc>
              <w:tc>
                <w:tcPr>
                  <w:tcW w:w="1390" w:type="pct"/>
                  <w:tcBorders>
                    <w:tl2br w:val="nil"/>
                    <w:tr2bl w:val="nil"/>
                  </w:tcBorders>
                  <w:noWrap/>
                  <w:vAlign w:val="center"/>
                </w:tcPr>
                <w:p w14:paraId="6C938DB2">
                  <w:pPr>
                    <w:pStyle w:val="89"/>
                    <w:rPr>
                      <w:color w:val="auto"/>
                      <w:highlight w:val="none"/>
                    </w:rPr>
                  </w:pPr>
                  <w:r>
                    <w:rPr>
                      <w:color w:val="auto"/>
                      <w:highlight w:val="none"/>
                    </w:rPr>
                    <w:t>0.</w:t>
                  </w:r>
                  <w:r>
                    <w:rPr>
                      <w:rFonts w:hint="eastAsia"/>
                      <w:color w:val="auto"/>
                      <w:highlight w:val="none"/>
                    </w:rPr>
                    <w:t>72</w:t>
                  </w:r>
                </w:p>
              </w:tc>
            </w:tr>
            <w:tr w14:paraId="04A56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196096AA">
                  <w:pPr>
                    <w:pStyle w:val="89"/>
                    <w:rPr>
                      <w:color w:val="auto"/>
                      <w:highlight w:val="none"/>
                    </w:rPr>
                  </w:pPr>
                  <w:r>
                    <w:rPr>
                      <w:color w:val="auto"/>
                      <w:highlight w:val="none"/>
                    </w:rPr>
                    <w:t>合计</w:t>
                  </w:r>
                </w:p>
              </w:tc>
              <w:tc>
                <w:tcPr>
                  <w:tcW w:w="1553" w:type="pct"/>
                  <w:tcBorders>
                    <w:tl2br w:val="nil"/>
                    <w:tr2bl w:val="nil"/>
                  </w:tcBorders>
                  <w:noWrap/>
                  <w:vAlign w:val="center"/>
                </w:tcPr>
                <w:p w14:paraId="6D8E0339">
                  <w:pPr>
                    <w:pStyle w:val="89"/>
                    <w:rPr>
                      <w:color w:val="auto"/>
                      <w:highlight w:val="none"/>
                    </w:rPr>
                  </w:pPr>
                  <w:r>
                    <w:rPr>
                      <w:color w:val="auto"/>
                      <w:highlight w:val="none"/>
                    </w:rPr>
                    <w:t>3.6</w:t>
                  </w:r>
                </w:p>
              </w:tc>
              <w:tc>
                <w:tcPr>
                  <w:tcW w:w="1013" w:type="pct"/>
                  <w:tcBorders>
                    <w:tl2br w:val="nil"/>
                    <w:tr2bl w:val="nil"/>
                  </w:tcBorders>
                  <w:noWrap/>
                  <w:vAlign w:val="center"/>
                </w:tcPr>
                <w:p w14:paraId="2CFA45B7">
                  <w:pPr>
                    <w:pStyle w:val="89"/>
                    <w:rPr>
                      <w:color w:val="auto"/>
                      <w:highlight w:val="none"/>
                    </w:rPr>
                  </w:pPr>
                  <w:r>
                    <w:rPr>
                      <w:color w:val="auto"/>
                      <w:highlight w:val="none"/>
                    </w:rPr>
                    <w:t>合计</w:t>
                  </w:r>
                </w:p>
              </w:tc>
              <w:tc>
                <w:tcPr>
                  <w:tcW w:w="1390" w:type="pct"/>
                  <w:tcBorders>
                    <w:tl2br w:val="nil"/>
                    <w:tr2bl w:val="nil"/>
                  </w:tcBorders>
                  <w:noWrap/>
                  <w:vAlign w:val="center"/>
                </w:tcPr>
                <w:p w14:paraId="5B5242CD">
                  <w:pPr>
                    <w:pStyle w:val="89"/>
                    <w:rPr>
                      <w:color w:val="auto"/>
                      <w:highlight w:val="none"/>
                    </w:rPr>
                  </w:pPr>
                  <w:r>
                    <w:rPr>
                      <w:color w:val="auto"/>
                      <w:highlight w:val="none"/>
                    </w:rPr>
                    <w:t>3.6</w:t>
                  </w:r>
                </w:p>
              </w:tc>
            </w:tr>
          </w:tbl>
          <w:p w14:paraId="16471D11">
            <w:pPr>
              <w:pStyle w:val="10"/>
              <w:spacing w:beforeLines="0"/>
              <w:rPr>
                <w:rFonts w:hAnsi="宋体" w:eastAsia="宋体"/>
                <w:b/>
                <w:bCs/>
                <w:snapToGrid w:val="0"/>
                <w:color w:val="auto"/>
                <w:kern w:val="0"/>
                <w:sz w:val="24"/>
                <w:szCs w:val="24"/>
                <w:highlight w:val="none"/>
                <w:lang w:val="en-US"/>
              </w:rPr>
            </w:pPr>
          </w:p>
          <w:bookmarkEnd w:id="8"/>
          <w:p w14:paraId="68E88827">
            <w:pPr>
              <w:pStyle w:val="10"/>
              <w:spacing w:beforeLines="0"/>
              <w:rPr>
                <w:rFonts w:hAnsi="宋体" w:eastAsia="宋体"/>
                <w:b/>
                <w:bCs/>
                <w:snapToGrid w:val="0"/>
                <w:color w:val="auto"/>
                <w:kern w:val="0"/>
                <w:sz w:val="24"/>
                <w:szCs w:val="24"/>
                <w:highlight w:val="none"/>
                <w:lang w:val="en-US"/>
              </w:rPr>
            </w:pPr>
          </w:p>
          <w:p w14:paraId="124BC9CE">
            <w:pPr>
              <w:pStyle w:val="10"/>
              <w:spacing w:beforeLines="0"/>
              <w:rPr>
                <w:rFonts w:hAnsi="宋体" w:eastAsia="宋体"/>
                <w:b/>
                <w:bCs/>
                <w:snapToGrid w:val="0"/>
                <w:color w:val="auto"/>
                <w:kern w:val="0"/>
                <w:sz w:val="24"/>
                <w:szCs w:val="24"/>
                <w:highlight w:val="none"/>
                <w:lang w:val="en-US"/>
              </w:rPr>
            </w:pPr>
          </w:p>
          <w:p w14:paraId="68528FD7">
            <w:pPr>
              <w:pStyle w:val="10"/>
              <w:spacing w:beforeLines="0"/>
              <w:rPr>
                <w:rFonts w:hAnsi="宋体" w:eastAsia="宋体"/>
                <w:b/>
                <w:bCs/>
                <w:snapToGrid w:val="0"/>
                <w:color w:val="auto"/>
                <w:kern w:val="0"/>
                <w:sz w:val="24"/>
                <w:szCs w:val="24"/>
                <w:highlight w:val="none"/>
                <w:lang w:val="en-US"/>
              </w:rPr>
            </w:pPr>
          </w:p>
          <w:p w14:paraId="506C79C1">
            <w:pPr>
              <w:adjustRightInd w:val="0"/>
              <w:snapToGrid w:val="0"/>
              <w:spacing w:line="360" w:lineRule="auto"/>
              <w:ind w:firstLine="0" w:firstLineChars="0"/>
              <w:jc w:val="center"/>
              <w:rPr>
                <w:rFonts w:hint="eastAsia" w:hAnsi="宋体"/>
                <w:b/>
                <w:bCs/>
                <w:snapToGrid w:val="0"/>
                <w:color w:val="auto"/>
                <w:kern w:val="0"/>
                <w:sz w:val="24"/>
                <w:highlight w:val="none"/>
              </w:rPr>
            </w:pPr>
            <w:r>
              <w:rPr>
                <w:color w:val="auto"/>
              </w:rPr>
              <w:drawing>
                <wp:inline distT="0" distB="0" distL="114300" distR="114300">
                  <wp:extent cx="5939155" cy="2122170"/>
                  <wp:effectExtent l="0" t="0" r="4445" b="1143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5939155" cy="2122170"/>
                          </a:xfrm>
                          <a:prstGeom prst="rect">
                            <a:avLst/>
                          </a:prstGeom>
                          <a:noFill/>
                          <a:ln w="9525">
                            <a:noFill/>
                          </a:ln>
                        </pic:spPr>
                      </pic:pic>
                    </a:graphicData>
                  </a:graphic>
                </wp:inline>
              </w:drawing>
            </w:r>
          </w:p>
          <w:p w14:paraId="6EDB6537">
            <w:pPr>
              <w:adjustRightInd w:val="0"/>
              <w:snapToGrid w:val="0"/>
              <w:spacing w:line="360" w:lineRule="auto"/>
              <w:ind w:firstLine="482" w:firstLineChars="200"/>
              <w:jc w:val="center"/>
              <w:rPr>
                <w:rFonts w:hAnsi="宋体"/>
                <w:b/>
                <w:bCs/>
                <w:snapToGrid w:val="0"/>
                <w:color w:val="auto"/>
                <w:kern w:val="0"/>
                <w:sz w:val="24"/>
                <w:highlight w:val="none"/>
              </w:rPr>
            </w:pPr>
            <w:r>
              <w:rPr>
                <w:rFonts w:hint="eastAsia" w:hAnsi="宋体"/>
                <w:b/>
                <w:bCs/>
                <w:snapToGrid w:val="0"/>
                <w:color w:val="auto"/>
                <w:kern w:val="0"/>
                <w:sz w:val="24"/>
                <w:highlight w:val="none"/>
              </w:rPr>
              <w:t>图2-1  浸渍树脂胶物料平衡图（t/a）</w:t>
            </w:r>
          </w:p>
          <w:p w14:paraId="22D3B618">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（2）聚酯树脂胶物料平衡</w:t>
            </w:r>
          </w:p>
          <w:p w14:paraId="085A3728">
            <w:pPr>
              <w:pStyle w:val="6"/>
              <w:numPr>
                <w:ilvl w:val="0"/>
                <w:numId w:val="0"/>
              </w:numPr>
              <w:spacing w:line="360" w:lineRule="auto"/>
              <w:ind w:firstLine="480" w:firstLineChars="200"/>
              <w:jc w:val="left"/>
              <w:rPr>
                <w:rFonts w:hAnsi="宋体" w:eastAsia="宋体"/>
                <w:b/>
                <w:bCs/>
                <w:snapToGrid w:val="0"/>
                <w:color w:val="auto"/>
                <w:kern w:val="0"/>
                <w:sz w:val="24"/>
                <w:szCs w:val="24"/>
                <w:highlight w:val="none"/>
                <w:lang w:val="en-US"/>
              </w:rPr>
            </w:pPr>
            <w:r>
              <w:rPr>
                <w:rFonts w:ascii="Times New Roman" w:hAnsi="Times New Roman"/>
                <w:bCs/>
                <w:color w:val="auto"/>
                <w:sz w:val="24"/>
                <w:szCs w:val="24"/>
                <w:highlight w:val="none"/>
              </w:rPr>
              <w:t>本项目使用</w:t>
            </w:r>
            <w:r>
              <w:rPr>
                <w:rFonts w:hint="eastAsia" w:ascii="Times New Roman" w:hAnsi="Times New Roman"/>
                <w:bCs/>
                <w:color w:val="auto"/>
                <w:sz w:val="24"/>
                <w:szCs w:val="24"/>
                <w:highlight w:val="none"/>
              </w:rPr>
              <w:t>聚酯树脂胶1.3</w:t>
            </w:r>
            <w:r>
              <w:rPr>
                <w:rFonts w:ascii="Times New Roman" w:hAnsi="Times New Roman"/>
                <w:bCs/>
                <w:color w:val="auto"/>
                <w:sz w:val="24"/>
                <w:szCs w:val="24"/>
                <w:highlight w:val="none"/>
              </w:rPr>
              <w:t>t/a，</w:t>
            </w:r>
            <w:r>
              <w:rPr>
                <w:rFonts w:hint="eastAsia" w:ascii="Times New Roman" w:hAnsi="Times New Roman"/>
                <w:bCs/>
                <w:color w:val="auto"/>
                <w:sz w:val="24"/>
                <w:szCs w:val="24"/>
                <w:highlight w:val="none"/>
              </w:rPr>
              <w:t>聚酯树脂胶主要成分为水44.1%、水容性改性环氧树脂40%、二氧化钛15.6%、二甲苯0.3%，其中挥发成分占0.3%</w:t>
            </w:r>
            <w:r>
              <w:rPr>
                <w:rFonts w:ascii="Times New Roman" w:hAnsi="Times New Roman"/>
                <w:bCs/>
                <w:color w:val="auto"/>
                <w:sz w:val="24"/>
                <w:szCs w:val="24"/>
                <w:highlight w:val="none"/>
              </w:rPr>
              <w:t>，</w:t>
            </w:r>
            <w:r>
              <w:rPr>
                <w:rFonts w:hint="eastAsia" w:ascii="Times New Roman" w:hAnsi="Times New Roman"/>
                <w:color w:val="auto"/>
                <w:sz w:val="24"/>
                <w:szCs w:val="24"/>
                <w:highlight w:val="none"/>
              </w:rPr>
              <w:t>聚酯树脂胶</w:t>
            </w:r>
            <w:r>
              <w:rPr>
                <w:rFonts w:ascii="Times New Roman" w:hAnsi="Times New Roman"/>
                <w:color w:val="auto"/>
                <w:sz w:val="24"/>
                <w:szCs w:val="24"/>
                <w:highlight w:val="none"/>
              </w:rPr>
              <w:t>在</w:t>
            </w:r>
            <w:r>
              <w:rPr>
                <w:rFonts w:hint="eastAsia" w:ascii="Times New Roman" w:hAnsi="Times New Roman"/>
                <w:color w:val="auto"/>
                <w:sz w:val="24"/>
                <w:szCs w:val="24"/>
                <w:highlight w:val="none"/>
              </w:rPr>
              <w:t>涂胶、固化</w:t>
            </w:r>
            <w:r>
              <w:rPr>
                <w:rFonts w:ascii="Times New Roman" w:hAnsi="Times New Roman"/>
                <w:color w:val="auto"/>
                <w:sz w:val="24"/>
                <w:szCs w:val="24"/>
                <w:highlight w:val="none"/>
              </w:rPr>
              <w:t>工段产生有机废气</w:t>
            </w:r>
            <w:r>
              <w:rPr>
                <w:rFonts w:ascii="Times New Roman" w:hAnsi="宋体"/>
                <w:snapToGrid w:val="0"/>
                <w:color w:val="auto"/>
                <w:kern w:val="0"/>
                <w:sz w:val="24"/>
                <w:szCs w:val="24"/>
                <w:highlight w:val="none"/>
              </w:rPr>
              <w:t>，</w:t>
            </w:r>
            <w:r>
              <w:rPr>
                <w:rFonts w:hint="eastAsia" w:ascii="Times New Roman" w:hAnsi="宋体"/>
                <w:snapToGrid w:val="0"/>
                <w:color w:val="auto"/>
                <w:kern w:val="0"/>
                <w:sz w:val="24"/>
                <w:szCs w:val="24"/>
                <w:highlight w:val="none"/>
                <w:lang w:eastAsia="zh-Hans"/>
              </w:rPr>
              <w:t>其中约</w:t>
            </w:r>
            <w:r>
              <w:rPr>
                <w:rFonts w:ascii="Times New Roman" w:hAnsi="宋体"/>
                <w:snapToGrid w:val="0"/>
                <w:color w:val="auto"/>
                <w:kern w:val="0"/>
                <w:sz w:val="24"/>
                <w:szCs w:val="24"/>
                <w:highlight w:val="none"/>
                <w:lang w:eastAsia="zh-Hans"/>
              </w:rPr>
              <w:t>30%</w:t>
            </w:r>
            <w:r>
              <w:rPr>
                <w:rFonts w:hint="eastAsia" w:ascii="Times New Roman" w:hAnsi="宋体"/>
                <w:snapToGrid w:val="0"/>
                <w:color w:val="auto"/>
                <w:kern w:val="0"/>
                <w:sz w:val="24"/>
                <w:szCs w:val="24"/>
                <w:highlight w:val="none"/>
                <w:lang w:eastAsia="zh-Hans"/>
              </w:rPr>
              <w:t>的聚酯树脂胶未滴至工件，成为固废，由于废胶密闭保存，只在开关是有极少部分有机废气挥发，类比类比《美利达自行车（江苏）有限公司新建危废仓库项目环境影响报告表》，危废产生有机废气量按年最大产生量的0.25%计算，</w:t>
            </w:r>
            <w:r>
              <w:rPr>
                <w:rFonts w:hint="eastAsia" w:ascii="Times New Roman" w:hAnsi="宋体"/>
                <w:snapToGrid w:val="0"/>
                <w:color w:val="auto"/>
                <w:kern w:val="0"/>
                <w:sz w:val="24"/>
                <w:szCs w:val="24"/>
                <w:highlight w:val="none"/>
              </w:rPr>
              <w:t>聚酯树脂胶</w:t>
            </w:r>
            <w:r>
              <w:rPr>
                <w:rFonts w:ascii="Times New Roman" w:hAnsi="宋体"/>
                <w:snapToGrid w:val="0"/>
                <w:color w:val="auto"/>
                <w:kern w:val="0"/>
                <w:sz w:val="24"/>
                <w:szCs w:val="24"/>
                <w:highlight w:val="none"/>
              </w:rPr>
              <w:t>具体物料平衡表见下表，物料平衡图见下图。</w:t>
            </w:r>
          </w:p>
          <w:p w14:paraId="481BC3A5">
            <w:pPr>
              <w:pStyle w:val="10"/>
              <w:spacing w:beforeLines="0"/>
              <w:rPr>
                <w:rFonts w:hAnsi="宋体" w:eastAsia="宋体"/>
                <w:snapToGrid w:val="0"/>
                <w:color w:val="auto"/>
                <w:kern w:val="0"/>
                <w:sz w:val="24"/>
                <w:szCs w:val="24"/>
                <w:highlight w:val="none"/>
                <w:lang w:val="en-US"/>
              </w:rPr>
            </w:pPr>
            <w:r>
              <w:rPr>
                <w:rFonts w:hAnsi="宋体" w:eastAsia="宋体"/>
                <w:b/>
                <w:bCs/>
                <w:snapToGrid w:val="0"/>
                <w:color w:val="auto"/>
                <w:kern w:val="0"/>
                <w:sz w:val="24"/>
                <w:szCs w:val="24"/>
                <w:highlight w:val="none"/>
                <w:lang w:val="en-US"/>
              </w:rPr>
              <w:t>表 2-</w:t>
            </w:r>
            <w:r>
              <w:rPr>
                <w:rFonts w:hint="eastAsia" w:hAnsi="宋体" w:eastAsia="宋体"/>
                <w:b/>
                <w:bCs/>
                <w:snapToGrid w:val="0"/>
                <w:color w:val="auto"/>
                <w:kern w:val="0"/>
                <w:sz w:val="24"/>
                <w:szCs w:val="24"/>
                <w:highlight w:val="none"/>
                <w:lang w:val="en-US"/>
              </w:rPr>
              <w:t>7</w:t>
            </w:r>
            <w:r>
              <w:rPr>
                <w:rFonts w:hAnsi="宋体" w:eastAsia="宋体"/>
                <w:b/>
                <w:bCs/>
                <w:snapToGrid w:val="0"/>
                <w:color w:val="auto"/>
                <w:kern w:val="0"/>
                <w:sz w:val="24"/>
                <w:szCs w:val="24"/>
                <w:highlight w:val="none"/>
                <w:lang w:val="en-US"/>
              </w:rPr>
              <w:t xml:space="preserve"> </w:t>
            </w:r>
            <w:r>
              <w:rPr>
                <w:rFonts w:hint="eastAsia" w:hAnsi="宋体" w:eastAsia="宋体"/>
                <w:b/>
                <w:bCs/>
                <w:snapToGrid w:val="0"/>
                <w:color w:val="auto"/>
                <w:kern w:val="0"/>
                <w:sz w:val="24"/>
                <w:szCs w:val="24"/>
                <w:highlight w:val="none"/>
                <w:lang w:val="en-US"/>
              </w:rPr>
              <w:t>聚酯树脂胶</w:t>
            </w:r>
            <w:r>
              <w:rPr>
                <w:rFonts w:hAnsi="宋体" w:eastAsia="宋体"/>
                <w:b/>
                <w:bCs/>
                <w:snapToGrid w:val="0"/>
                <w:color w:val="auto"/>
                <w:kern w:val="0"/>
                <w:sz w:val="24"/>
                <w:szCs w:val="24"/>
                <w:highlight w:val="none"/>
                <w:lang w:val="en-US"/>
              </w:rPr>
              <w:t>物料平衡表（单位：t/a）</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2886"/>
              <w:gridCol w:w="1882"/>
              <w:gridCol w:w="2583"/>
            </w:tblGrid>
            <w:tr w14:paraId="3AEFF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6" w:type="pct"/>
                  <w:gridSpan w:val="2"/>
                  <w:tcBorders>
                    <w:tl2br w:val="nil"/>
                    <w:tr2bl w:val="nil"/>
                  </w:tcBorders>
                  <w:noWrap/>
                  <w:vAlign w:val="center"/>
                </w:tcPr>
                <w:p w14:paraId="71D5384F">
                  <w:pPr>
                    <w:pStyle w:val="89"/>
                    <w:rPr>
                      <w:b/>
                      <w:bCs w:val="0"/>
                      <w:color w:val="auto"/>
                      <w:highlight w:val="none"/>
                    </w:rPr>
                  </w:pPr>
                  <w:r>
                    <w:rPr>
                      <w:b/>
                      <w:bCs w:val="0"/>
                      <w:color w:val="auto"/>
                      <w:highlight w:val="none"/>
                    </w:rPr>
                    <w:t>入方</w:t>
                  </w:r>
                </w:p>
              </w:tc>
              <w:tc>
                <w:tcPr>
                  <w:tcW w:w="2403" w:type="pct"/>
                  <w:gridSpan w:val="2"/>
                  <w:tcBorders>
                    <w:tl2br w:val="nil"/>
                    <w:tr2bl w:val="nil"/>
                  </w:tcBorders>
                  <w:noWrap/>
                  <w:vAlign w:val="center"/>
                </w:tcPr>
                <w:p w14:paraId="5A4CCB1F">
                  <w:pPr>
                    <w:pStyle w:val="89"/>
                    <w:rPr>
                      <w:b/>
                      <w:bCs w:val="0"/>
                      <w:color w:val="auto"/>
                      <w:highlight w:val="none"/>
                    </w:rPr>
                  </w:pPr>
                  <w:r>
                    <w:rPr>
                      <w:b/>
                      <w:bCs w:val="0"/>
                      <w:color w:val="auto"/>
                      <w:highlight w:val="none"/>
                    </w:rPr>
                    <w:t>出方</w:t>
                  </w:r>
                </w:p>
              </w:tc>
            </w:tr>
            <w:tr w14:paraId="16EB4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43DEB54C">
                  <w:pPr>
                    <w:pStyle w:val="89"/>
                    <w:rPr>
                      <w:b/>
                      <w:bCs w:val="0"/>
                      <w:color w:val="auto"/>
                      <w:highlight w:val="none"/>
                    </w:rPr>
                  </w:pPr>
                  <w:r>
                    <w:rPr>
                      <w:b/>
                      <w:bCs w:val="0"/>
                      <w:color w:val="auto"/>
                      <w:highlight w:val="none"/>
                    </w:rPr>
                    <w:t>物料名称</w:t>
                  </w:r>
                </w:p>
              </w:tc>
              <w:tc>
                <w:tcPr>
                  <w:tcW w:w="1553" w:type="pct"/>
                  <w:tcBorders>
                    <w:tl2br w:val="nil"/>
                    <w:tr2bl w:val="nil"/>
                  </w:tcBorders>
                  <w:noWrap/>
                  <w:vAlign w:val="center"/>
                </w:tcPr>
                <w:p w14:paraId="4EA6C5E2">
                  <w:pPr>
                    <w:pStyle w:val="89"/>
                    <w:rPr>
                      <w:b/>
                      <w:bCs w:val="0"/>
                      <w:color w:val="auto"/>
                      <w:highlight w:val="none"/>
                    </w:rPr>
                  </w:pPr>
                  <w:r>
                    <w:rPr>
                      <w:b/>
                      <w:bCs w:val="0"/>
                      <w:color w:val="auto"/>
                      <w:highlight w:val="none"/>
                    </w:rPr>
                    <w:t>数量</w:t>
                  </w:r>
                </w:p>
              </w:tc>
              <w:tc>
                <w:tcPr>
                  <w:tcW w:w="1013" w:type="pct"/>
                  <w:tcBorders>
                    <w:tl2br w:val="nil"/>
                    <w:tr2bl w:val="nil"/>
                  </w:tcBorders>
                  <w:noWrap/>
                  <w:vAlign w:val="center"/>
                </w:tcPr>
                <w:p w14:paraId="58AA5F34">
                  <w:pPr>
                    <w:pStyle w:val="89"/>
                    <w:rPr>
                      <w:b/>
                      <w:bCs w:val="0"/>
                      <w:color w:val="auto"/>
                      <w:highlight w:val="none"/>
                    </w:rPr>
                  </w:pPr>
                  <w:r>
                    <w:rPr>
                      <w:b/>
                      <w:bCs w:val="0"/>
                      <w:color w:val="auto"/>
                      <w:highlight w:val="none"/>
                    </w:rPr>
                    <w:t>类别</w:t>
                  </w:r>
                </w:p>
              </w:tc>
              <w:tc>
                <w:tcPr>
                  <w:tcW w:w="1390" w:type="pct"/>
                  <w:tcBorders>
                    <w:tl2br w:val="nil"/>
                    <w:tr2bl w:val="nil"/>
                  </w:tcBorders>
                  <w:noWrap/>
                  <w:vAlign w:val="center"/>
                </w:tcPr>
                <w:p w14:paraId="5E41055C">
                  <w:pPr>
                    <w:pStyle w:val="89"/>
                    <w:rPr>
                      <w:b/>
                      <w:bCs w:val="0"/>
                      <w:color w:val="auto"/>
                      <w:highlight w:val="none"/>
                    </w:rPr>
                  </w:pPr>
                  <w:r>
                    <w:rPr>
                      <w:b/>
                      <w:bCs w:val="0"/>
                      <w:color w:val="auto"/>
                      <w:highlight w:val="none"/>
                    </w:rPr>
                    <w:t>数量</w:t>
                  </w:r>
                </w:p>
              </w:tc>
            </w:tr>
            <w:tr w14:paraId="7D408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0F6C45A3">
                  <w:pPr>
                    <w:pStyle w:val="89"/>
                    <w:rPr>
                      <w:color w:val="auto"/>
                      <w:highlight w:val="none"/>
                    </w:rPr>
                  </w:pPr>
                  <w:r>
                    <w:rPr>
                      <w:rFonts w:hint="eastAsia"/>
                      <w:color w:val="auto"/>
                      <w:highlight w:val="none"/>
                    </w:rPr>
                    <w:t>聚酯树脂胶</w:t>
                  </w:r>
                </w:p>
              </w:tc>
              <w:tc>
                <w:tcPr>
                  <w:tcW w:w="1553" w:type="pct"/>
                  <w:tcBorders>
                    <w:tl2br w:val="nil"/>
                    <w:tr2bl w:val="nil"/>
                  </w:tcBorders>
                  <w:noWrap/>
                  <w:vAlign w:val="center"/>
                </w:tcPr>
                <w:p w14:paraId="6FE69502">
                  <w:pPr>
                    <w:pStyle w:val="89"/>
                    <w:rPr>
                      <w:color w:val="auto"/>
                      <w:highlight w:val="none"/>
                    </w:rPr>
                  </w:pPr>
                  <w:r>
                    <w:rPr>
                      <w:rFonts w:hint="eastAsia"/>
                      <w:color w:val="auto"/>
                      <w:highlight w:val="none"/>
                    </w:rPr>
                    <w:t>1.3</w:t>
                  </w:r>
                </w:p>
              </w:tc>
              <w:tc>
                <w:tcPr>
                  <w:tcW w:w="1013" w:type="pct"/>
                  <w:tcBorders>
                    <w:tl2br w:val="nil"/>
                    <w:tr2bl w:val="nil"/>
                  </w:tcBorders>
                  <w:noWrap/>
                  <w:vAlign w:val="center"/>
                </w:tcPr>
                <w:p w14:paraId="7CCCCE3D">
                  <w:pPr>
                    <w:pStyle w:val="89"/>
                    <w:rPr>
                      <w:color w:val="auto"/>
                      <w:highlight w:val="none"/>
                    </w:rPr>
                  </w:pPr>
                  <w:r>
                    <w:rPr>
                      <w:color w:val="auto"/>
                      <w:highlight w:val="none"/>
                    </w:rPr>
                    <w:t>成品</w:t>
                  </w:r>
                </w:p>
              </w:tc>
              <w:tc>
                <w:tcPr>
                  <w:tcW w:w="1390" w:type="pct"/>
                  <w:tcBorders>
                    <w:tl2br w:val="nil"/>
                    <w:tr2bl w:val="nil"/>
                  </w:tcBorders>
                  <w:noWrap/>
                  <w:vAlign w:val="center"/>
                </w:tcPr>
                <w:p w14:paraId="6DEFAB5B">
                  <w:pPr>
                    <w:pStyle w:val="89"/>
                    <w:rPr>
                      <w:color w:val="auto"/>
                      <w:highlight w:val="none"/>
                    </w:rPr>
                  </w:pPr>
                  <w:r>
                    <w:rPr>
                      <w:color w:val="auto"/>
                      <w:highlight w:val="none"/>
                    </w:rPr>
                    <w:t>0.9061</w:t>
                  </w:r>
                </w:p>
              </w:tc>
            </w:tr>
            <w:tr w14:paraId="59D1D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3EC6E087">
                  <w:pPr>
                    <w:pStyle w:val="89"/>
                    <w:rPr>
                      <w:color w:val="auto"/>
                      <w:highlight w:val="none"/>
                    </w:rPr>
                  </w:pPr>
                </w:p>
              </w:tc>
              <w:tc>
                <w:tcPr>
                  <w:tcW w:w="1553" w:type="pct"/>
                  <w:tcBorders>
                    <w:tl2br w:val="nil"/>
                    <w:tr2bl w:val="nil"/>
                  </w:tcBorders>
                  <w:noWrap/>
                  <w:vAlign w:val="center"/>
                </w:tcPr>
                <w:p w14:paraId="395D13CC">
                  <w:pPr>
                    <w:pStyle w:val="89"/>
                    <w:rPr>
                      <w:color w:val="auto"/>
                      <w:highlight w:val="none"/>
                    </w:rPr>
                  </w:pPr>
                </w:p>
              </w:tc>
              <w:tc>
                <w:tcPr>
                  <w:tcW w:w="1013" w:type="pct"/>
                  <w:tcBorders>
                    <w:tl2br w:val="nil"/>
                    <w:tr2bl w:val="nil"/>
                  </w:tcBorders>
                  <w:noWrap/>
                  <w:vAlign w:val="center"/>
                </w:tcPr>
                <w:p w14:paraId="3D33C084">
                  <w:pPr>
                    <w:pStyle w:val="89"/>
                    <w:rPr>
                      <w:color w:val="auto"/>
                      <w:highlight w:val="none"/>
                    </w:rPr>
                  </w:pPr>
                  <w:r>
                    <w:rPr>
                      <w:color w:val="auto"/>
                      <w:highlight w:val="none"/>
                    </w:rPr>
                    <w:t>废气</w:t>
                  </w:r>
                </w:p>
              </w:tc>
              <w:tc>
                <w:tcPr>
                  <w:tcW w:w="1390" w:type="pct"/>
                  <w:tcBorders>
                    <w:tl2br w:val="nil"/>
                    <w:tr2bl w:val="nil"/>
                  </w:tcBorders>
                  <w:noWrap/>
                  <w:vAlign w:val="center"/>
                </w:tcPr>
                <w:p w14:paraId="1D89CCE2">
                  <w:pPr>
                    <w:pStyle w:val="89"/>
                    <w:rPr>
                      <w:color w:val="auto"/>
                      <w:highlight w:val="none"/>
                    </w:rPr>
                  </w:pPr>
                  <w:r>
                    <w:rPr>
                      <w:color w:val="auto"/>
                      <w:highlight w:val="none"/>
                    </w:rPr>
                    <w:t>0.</w:t>
                  </w:r>
                  <w:r>
                    <w:rPr>
                      <w:rFonts w:hint="eastAsia"/>
                      <w:color w:val="auto"/>
                      <w:highlight w:val="none"/>
                    </w:rPr>
                    <w:t>0039</w:t>
                  </w:r>
                </w:p>
              </w:tc>
            </w:tr>
            <w:tr w14:paraId="47734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74E44B44">
                  <w:pPr>
                    <w:pStyle w:val="89"/>
                    <w:rPr>
                      <w:color w:val="auto"/>
                      <w:highlight w:val="none"/>
                    </w:rPr>
                  </w:pPr>
                </w:p>
              </w:tc>
              <w:tc>
                <w:tcPr>
                  <w:tcW w:w="1553" w:type="pct"/>
                  <w:tcBorders>
                    <w:tl2br w:val="nil"/>
                    <w:tr2bl w:val="nil"/>
                  </w:tcBorders>
                  <w:noWrap/>
                  <w:vAlign w:val="center"/>
                </w:tcPr>
                <w:p w14:paraId="44656AC2">
                  <w:pPr>
                    <w:pStyle w:val="89"/>
                    <w:rPr>
                      <w:color w:val="auto"/>
                      <w:highlight w:val="none"/>
                    </w:rPr>
                  </w:pPr>
                </w:p>
              </w:tc>
              <w:tc>
                <w:tcPr>
                  <w:tcW w:w="1013" w:type="pct"/>
                  <w:tcBorders>
                    <w:tl2br w:val="nil"/>
                    <w:tr2bl w:val="nil"/>
                  </w:tcBorders>
                  <w:noWrap/>
                  <w:vAlign w:val="center"/>
                </w:tcPr>
                <w:p w14:paraId="5C5F0D34">
                  <w:pPr>
                    <w:pStyle w:val="89"/>
                    <w:rPr>
                      <w:color w:val="auto"/>
                      <w:highlight w:val="none"/>
                    </w:rPr>
                  </w:pPr>
                  <w:r>
                    <w:rPr>
                      <w:color w:val="auto"/>
                      <w:highlight w:val="none"/>
                    </w:rPr>
                    <w:t>废水</w:t>
                  </w:r>
                </w:p>
              </w:tc>
              <w:tc>
                <w:tcPr>
                  <w:tcW w:w="1390" w:type="pct"/>
                  <w:tcBorders>
                    <w:tl2br w:val="nil"/>
                    <w:tr2bl w:val="nil"/>
                  </w:tcBorders>
                  <w:noWrap/>
                  <w:vAlign w:val="center"/>
                </w:tcPr>
                <w:p w14:paraId="31401DDF">
                  <w:pPr>
                    <w:pStyle w:val="89"/>
                    <w:rPr>
                      <w:color w:val="auto"/>
                      <w:highlight w:val="none"/>
                    </w:rPr>
                  </w:pPr>
                  <w:r>
                    <w:rPr>
                      <w:color w:val="auto"/>
                      <w:highlight w:val="none"/>
                    </w:rPr>
                    <w:t>0</w:t>
                  </w:r>
                </w:p>
              </w:tc>
            </w:tr>
            <w:tr w14:paraId="10105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043" w:type="pct"/>
                  <w:tcBorders>
                    <w:tl2br w:val="nil"/>
                    <w:tr2bl w:val="nil"/>
                  </w:tcBorders>
                  <w:noWrap/>
                  <w:vAlign w:val="center"/>
                </w:tcPr>
                <w:p w14:paraId="7562C8E5">
                  <w:pPr>
                    <w:jc w:val="center"/>
                    <w:rPr>
                      <w:color w:val="auto"/>
                      <w:szCs w:val="21"/>
                      <w:highlight w:val="none"/>
                    </w:rPr>
                  </w:pPr>
                </w:p>
              </w:tc>
              <w:tc>
                <w:tcPr>
                  <w:tcW w:w="1553" w:type="pct"/>
                  <w:tcBorders>
                    <w:tl2br w:val="nil"/>
                    <w:tr2bl w:val="nil"/>
                  </w:tcBorders>
                  <w:noWrap/>
                  <w:vAlign w:val="center"/>
                </w:tcPr>
                <w:p w14:paraId="4C0802C7">
                  <w:pPr>
                    <w:jc w:val="center"/>
                    <w:rPr>
                      <w:color w:val="auto"/>
                      <w:szCs w:val="21"/>
                      <w:highlight w:val="none"/>
                    </w:rPr>
                  </w:pPr>
                </w:p>
              </w:tc>
              <w:tc>
                <w:tcPr>
                  <w:tcW w:w="1013" w:type="pct"/>
                  <w:tcBorders>
                    <w:tl2br w:val="nil"/>
                    <w:tr2bl w:val="nil"/>
                  </w:tcBorders>
                  <w:noWrap/>
                  <w:vAlign w:val="center"/>
                </w:tcPr>
                <w:p w14:paraId="0661E631">
                  <w:pPr>
                    <w:pStyle w:val="89"/>
                    <w:rPr>
                      <w:color w:val="auto"/>
                      <w:highlight w:val="none"/>
                    </w:rPr>
                  </w:pPr>
                  <w:r>
                    <w:rPr>
                      <w:color w:val="auto"/>
                      <w:highlight w:val="none"/>
                    </w:rPr>
                    <w:t>固废</w:t>
                  </w:r>
                </w:p>
              </w:tc>
              <w:tc>
                <w:tcPr>
                  <w:tcW w:w="1390" w:type="pct"/>
                  <w:tcBorders>
                    <w:tl2br w:val="nil"/>
                    <w:tr2bl w:val="nil"/>
                  </w:tcBorders>
                  <w:noWrap/>
                  <w:vAlign w:val="center"/>
                </w:tcPr>
                <w:p w14:paraId="72AFE4DA">
                  <w:pPr>
                    <w:pStyle w:val="89"/>
                    <w:rPr>
                      <w:color w:val="auto"/>
                      <w:highlight w:val="none"/>
                    </w:rPr>
                  </w:pPr>
                  <w:r>
                    <w:rPr>
                      <w:rFonts w:hint="eastAsia"/>
                      <w:color w:val="auto"/>
                      <w:highlight w:val="none"/>
                    </w:rPr>
                    <w:t>0.39</w:t>
                  </w:r>
                </w:p>
              </w:tc>
            </w:tr>
            <w:tr w14:paraId="10E7E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tcBorders>
                    <w:tl2br w:val="nil"/>
                    <w:tr2bl w:val="nil"/>
                  </w:tcBorders>
                  <w:noWrap/>
                  <w:vAlign w:val="center"/>
                </w:tcPr>
                <w:p w14:paraId="0F29EEDE">
                  <w:pPr>
                    <w:pStyle w:val="89"/>
                    <w:rPr>
                      <w:color w:val="auto"/>
                      <w:highlight w:val="none"/>
                    </w:rPr>
                  </w:pPr>
                  <w:r>
                    <w:rPr>
                      <w:color w:val="auto"/>
                      <w:highlight w:val="none"/>
                    </w:rPr>
                    <w:t>合计</w:t>
                  </w:r>
                </w:p>
              </w:tc>
              <w:tc>
                <w:tcPr>
                  <w:tcW w:w="1553" w:type="pct"/>
                  <w:tcBorders>
                    <w:tl2br w:val="nil"/>
                    <w:tr2bl w:val="nil"/>
                  </w:tcBorders>
                  <w:noWrap/>
                  <w:vAlign w:val="center"/>
                </w:tcPr>
                <w:p w14:paraId="7EA23FF5">
                  <w:pPr>
                    <w:pStyle w:val="89"/>
                    <w:rPr>
                      <w:color w:val="auto"/>
                      <w:highlight w:val="none"/>
                    </w:rPr>
                  </w:pPr>
                  <w:r>
                    <w:rPr>
                      <w:rFonts w:hint="eastAsia"/>
                      <w:color w:val="auto"/>
                      <w:highlight w:val="none"/>
                    </w:rPr>
                    <w:t>1.3</w:t>
                  </w:r>
                </w:p>
              </w:tc>
              <w:tc>
                <w:tcPr>
                  <w:tcW w:w="1013" w:type="pct"/>
                  <w:tcBorders>
                    <w:tl2br w:val="nil"/>
                    <w:tr2bl w:val="nil"/>
                  </w:tcBorders>
                  <w:noWrap/>
                  <w:vAlign w:val="center"/>
                </w:tcPr>
                <w:p w14:paraId="3D16C477">
                  <w:pPr>
                    <w:pStyle w:val="89"/>
                    <w:rPr>
                      <w:color w:val="auto"/>
                      <w:highlight w:val="none"/>
                    </w:rPr>
                  </w:pPr>
                  <w:r>
                    <w:rPr>
                      <w:color w:val="auto"/>
                      <w:highlight w:val="none"/>
                    </w:rPr>
                    <w:t>合计</w:t>
                  </w:r>
                </w:p>
              </w:tc>
              <w:tc>
                <w:tcPr>
                  <w:tcW w:w="1390" w:type="pct"/>
                  <w:tcBorders>
                    <w:tl2br w:val="nil"/>
                    <w:tr2bl w:val="nil"/>
                  </w:tcBorders>
                  <w:noWrap/>
                  <w:vAlign w:val="center"/>
                </w:tcPr>
                <w:p w14:paraId="5C8A55C6">
                  <w:pPr>
                    <w:pStyle w:val="89"/>
                    <w:rPr>
                      <w:color w:val="auto"/>
                      <w:highlight w:val="none"/>
                    </w:rPr>
                  </w:pPr>
                  <w:r>
                    <w:rPr>
                      <w:rFonts w:hint="eastAsia"/>
                      <w:color w:val="auto"/>
                      <w:highlight w:val="none"/>
                    </w:rPr>
                    <w:t>1.3</w:t>
                  </w:r>
                </w:p>
              </w:tc>
            </w:tr>
          </w:tbl>
          <w:p w14:paraId="7213C9A7">
            <w:pPr>
              <w:adjustRightInd w:val="0"/>
              <w:snapToGrid w:val="0"/>
              <w:spacing w:before="120" w:beforeLines="50" w:line="360" w:lineRule="auto"/>
              <w:jc w:val="center"/>
              <w:rPr>
                <w:color w:val="auto"/>
                <w:highlight w:val="none"/>
              </w:rPr>
            </w:pPr>
            <w:r>
              <w:rPr>
                <w:color w:val="auto"/>
              </w:rPr>
              <w:drawing>
                <wp:inline distT="0" distB="0" distL="114300" distR="114300">
                  <wp:extent cx="5051425" cy="1955800"/>
                  <wp:effectExtent l="0" t="0" r="317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0"/>
                          <a:stretch>
                            <a:fillRect/>
                          </a:stretch>
                        </pic:blipFill>
                        <pic:spPr>
                          <a:xfrm>
                            <a:off x="0" y="0"/>
                            <a:ext cx="5051425" cy="1955800"/>
                          </a:xfrm>
                          <a:prstGeom prst="rect">
                            <a:avLst/>
                          </a:prstGeom>
                          <a:noFill/>
                          <a:ln w="9525">
                            <a:noFill/>
                          </a:ln>
                        </pic:spPr>
                      </pic:pic>
                    </a:graphicData>
                  </a:graphic>
                </wp:inline>
              </w:drawing>
            </w:r>
          </w:p>
          <w:p w14:paraId="63F0A1D7">
            <w:pPr>
              <w:adjustRightInd w:val="0"/>
              <w:snapToGrid w:val="0"/>
              <w:spacing w:line="360" w:lineRule="auto"/>
              <w:jc w:val="center"/>
              <w:rPr>
                <w:rFonts w:hAnsi="宋体"/>
                <w:b/>
                <w:color w:val="auto"/>
                <w:sz w:val="24"/>
                <w:highlight w:val="none"/>
              </w:rPr>
            </w:pPr>
            <w:r>
              <w:rPr>
                <w:rFonts w:hint="eastAsia" w:hAnsi="宋体"/>
                <w:b/>
                <w:bCs/>
                <w:snapToGrid w:val="0"/>
                <w:color w:val="auto"/>
                <w:kern w:val="0"/>
                <w:sz w:val="24"/>
                <w:highlight w:val="none"/>
              </w:rPr>
              <w:t>图2-2  聚酯树脂胶物料平衡图（t/a）</w:t>
            </w:r>
          </w:p>
          <w:p w14:paraId="63E5B0CC">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（3）树脂粉物料平衡</w:t>
            </w:r>
          </w:p>
          <w:p w14:paraId="0BF068F3">
            <w:pPr>
              <w:pStyle w:val="6"/>
              <w:numPr>
                <w:ilvl w:val="0"/>
                <w:numId w:val="0"/>
              </w:numPr>
              <w:spacing w:line="360" w:lineRule="auto"/>
              <w:ind w:firstLine="480" w:firstLineChars="200"/>
              <w:jc w:val="left"/>
              <w:rPr>
                <w:rFonts w:hAnsi="宋体" w:eastAsia="宋体"/>
                <w:b/>
                <w:bCs/>
                <w:snapToGrid w:val="0"/>
                <w:color w:val="auto"/>
                <w:kern w:val="0"/>
                <w:sz w:val="24"/>
                <w:szCs w:val="24"/>
                <w:highlight w:val="none"/>
                <w:lang w:val="en-US"/>
              </w:rPr>
            </w:pPr>
            <w:r>
              <w:rPr>
                <w:rFonts w:ascii="Times New Roman" w:hAnsi="Times New Roman"/>
                <w:bCs/>
                <w:color w:val="auto"/>
                <w:sz w:val="24"/>
                <w:szCs w:val="24"/>
                <w:highlight w:val="none"/>
              </w:rPr>
              <w:t>本项目使用</w:t>
            </w:r>
            <w:r>
              <w:rPr>
                <w:rFonts w:hint="eastAsia" w:ascii="Times New Roman" w:hAnsi="Times New Roman"/>
                <w:bCs/>
                <w:color w:val="auto"/>
                <w:sz w:val="24"/>
                <w:szCs w:val="24"/>
                <w:highlight w:val="none"/>
              </w:rPr>
              <w:t>树脂粉6</w:t>
            </w:r>
            <w:r>
              <w:rPr>
                <w:rFonts w:ascii="Times New Roman" w:hAnsi="Times New Roman"/>
                <w:bCs/>
                <w:color w:val="auto"/>
                <w:sz w:val="24"/>
                <w:szCs w:val="24"/>
                <w:highlight w:val="none"/>
              </w:rPr>
              <w:t>t/a，</w:t>
            </w:r>
            <w:r>
              <w:rPr>
                <w:rFonts w:hint="eastAsia" w:ascii="Times New Roman" w:hAnsi="Times New Roman"/>
                <w:bCs/>
                <w:color w:val="auto"/>
                <w:sz w:val="24"/>
                <w:szCs w:val="24"/>
                <w:highlight w:val="none"/>
              </w:rPr>
              <w:t>树脂粉主要成分为双酚A型固态环氧树脂35-40%、二氧化硅45-55%、二氧化钛1-5%， 树脂粉在浸涂树脂粉工段产生粉尘，固化工段产生有机废气</w:t>
            </w:r>
            <w:r>
              <w:rPr>
                <w:rFonts w:ascii="Times New Roman" w:hAnsi="Times New Roman"/>
                <w:bCs/>
                <w:color w:val="auto"/>
                <w:sz w:val="24"/>
                <w:szCs w:val="24"/>
                <w:highlight w:val="none"/>
              </w:rPr>
              <w:t>，</w:t>
            </w:r>
            <w:r>
              <w:rPr>
                <w:rFonts w:hint="eastAsia" w:ascii="Times New Roman" w:hAnsi="Times New Roman"/>
                <w:bCs/>
                <w:color w:val="auto"/>
                <w:sz w:val="24"/>
                <w:szCs w:val="24"/>
                <w:highlight w:val="none"/>
              </w:rPr>
              <w:t>其中，固化阶段产生的有机废气为一些游离的单体，产生量较小，</w:t>
            </w:r>
            <w:r>
              <w:rPr>
                <w:rFonts w:ascii="Times New Roman" w:hAnsi="Times New Roman"/>
                <w:color w:val="auto"/>
                <w:kern w:val="0"/>
                <w:sz w:val="24"/>
                <w:highlight w:val="none"/>
              </w:rPr>
              <w:t>参考《第二次全国污染源普查产排污核算系数手册（试用版）工业源》机械行业系数手册中喷塑颗粒物产物系数为300kg/t原料，喷塑后烘干产物系数为1.2kg/t原料，</w:t>
            </w:r>
            <w:r>
              <w:rPr>
                <w:rFonts w:hint="eastAsia" w:ascii="Times New Roman" w:hAnsi="Times New Roman"/>
                <w:color w:val="auto"/>
                <w:sz w:val="24"/>
                <w:szCs w:val="24"/>
                <w:highlight w:val="none"/>
              </w:rPr>
              <w:t>树脂粉</w:t>
            </w:r>
            <w:r>
              <w:rPr>
                <w:rFonts w:ascii="Times New Roman" w:hAnsi="宋体"/>
                <w:snapToGrid w:val="0"/>
                <w:color w:val="auto"/>
                <w:kern w:val="0"/>
                <w:sz w:val="24"/>
                <w:szCs w:val="24"/>
                <w:highlight w:val="none"/>
              </w:rPr>
              <w:t>具体物料平衡表见下表，物料平衡图见下图。</w:t>
            </w:r>
          </w:p>
          <w:p w14:paraId="03442A65">
            <w:pPr>
              <w:pStyle w:val="10"/>
              <w:spacing w:beforeLines="0"/>
              <w:rPr>
                <w:rFonts w:hAnsi="宋体" w:eastAsia="宋体"/>
                <w:snapToGrid w:val="0"/>
                <w:color w:val="auto"/>
                <w:kern w:val="0"/>
                <w:sz w:val="24"/>
                <w:szCs w:val="24"/>
                <w:highlight w:val="none"/>
                <w:lang w:val="en-US"/>
              </w:rPr>
            </w:pPr>
            <w:r>
              <w:rPr>
                <w:rFonts w:hAnsi="宋体" w:eastAsia="宋体"/>
                <w:b/>
                <w:bCs/>
                <w:snapToGrid w:val="0"/>
                <w:color w:val="auto"/>
                <w:kern w:val="0"/>
                <w:sz w:val="24"/>
                <w:szCs w:val="24"/>
                <w:highlight w:val="none"/>
                <w:lang w:val="en-US"/>
              </w:rPr>
              <w:t>表 2-</w:t>
            </w:r>
            <w:r>
              <w:rPr>
                <w:rFonts w:hint="eastAsia" w:hAnsi="宋体" w:eastAsia="宋体"/>
                <w:b/>
                <w:bCs/>
                <w:snapToGrid w:val="0"/>
                <w:color w:val="auto"/>
                <w:kern w:val="0"/>
                <w:sz w:val="24"/>
                <w:szCs w:val="24"/>
                <w:highlight w:val="none"/>
                <w:lang w:val="en-US"/>
              </w:rPr>
              <w:t>8</w:t>
            </w:r>
            <w:r>
              <w:rPr>
                <w:rFonts w:hAnsi="宋体" w:eastAsia="宋体"/>
                <w:b/>
                <w:bCs/>
                <w:snapToGrid w:val="0"/>
                <w:color w:val="auto"/>
                <w:kern w:val="0"/>
                <w:sz w:val="24"/>
                <w:szCs w:val="24"/>
                <w:highlight w:val="none"/>
                <w:lang w:val="en-US"/>
              </w:rPr>
              <w:t xml:space="preserve"> </w:t>
            </w:r>
            <w:r>
              <w:rPr>
                <w:rFonts w:hint="eastAsia" w:hAnsi="宋体" w:eastAsia="宋体"/>
                <w:b/>
                <w:bCs/>
                <w:snapToGrid w:val="0"/>
                <w:color w:val="auto"/>
                <w:kern w:val="0"/>
                <w:sz w:val="24"/>
                <w:szCs w:val="24"/>
                <w:highlight w:val="none"/>
                <w:lang w:val="en-US"/>
              </w:rPr>
              <w:t>树脂粉</w:t>
            </w:r>
            <w:r>
              <w:rPr>
                <w:rFonts w:hAnsi="宋体" w:eastAsia="宋体"/>
                <w:b/>
                <w:bCs/>
                <w:snapToGrid w:val="0"/>
                <w:color w:val="auto"/>
                <w:kern w:val="0"/>
                <w:sz w:val="24"/>
                <w:szCs w:val="24"/>
                <w:highlight w:val="none"/>
                <w:lang w:val="en-US"/>
              </w:rPr>
              <w:t>物料平衡表（单位：t/a）</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2887"/>
              <w:gridCol w:w="1549"/>
              <w:gridCol w:w="1902"/>
              <w:gridCol w:w="1012"/>
            </w:tblGrid>
            <w:tr w14:paraId="3CB1B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596" w:type="pct"/>
                  <w:gridSpan w:val="2"/>
                  <w:tcBorders>
                    <w:tl2br w:val="nil"/>
                    <w:tr2bl w:val="nil"/>
                  </w:tcBorders>
                  <w:noWrap/>
                  <w:vAlign w:val="center"/>
                </w:tcPr>
                <w:p w14:paraId="7474AC89">
                  <w:pPr>
                    <w:pStyle w:val="89"/>
                    <w:rPr>
                      <w:b/>
                      <w:bCs w:val="0"/>
                      <w:color w:val="auto"/>
                      <w:highlight w:val="none"/>
                    </w:rPr>
                  </w:pPr>
                  <w:r>
                    <w:rPr>
                      <w:b/>
                      <w:bCs w:val="0"/>
                      <w:color w:val="auto"/>
                      <w:highlight w:val="none"/>
                    </w:rPr>
                    <w:t>入方</w:t>
                  </w:r>
                </w:p>
              </w:tc>
              <w:tc>
                <w:tcPr>
                  <w:tcW w:w="2403" w:type="pct"/>
                  <w:gridSpan w:val="3"/>
                  <w:tcBorders>
                    <w:tl2br w:val="nil"/>
                    <w:tr2bl w:val="nil"/>
                  </w:tcBorders>
                  <w:noWrap/>
                  <w:vAlign w:val="center"/>
                </w:tcPr>
                <w:p w14:paraId="461F4D93">
                  <w:pPr>
                    <w:pStyle w:val="89"/>
                    <w:rPr>
                      <w:b/>
                      <w:bCs w:val="0"/>
                      <w:color w:val="auto"/>
                      <w:highlight w:val="none"/>
                    </w:rPr>
                  </w:pPr>
                  <w:r>
                    <w:rPr>
                      <w:b/>
                      <w:bCs w:val="0"/>
                      <w:color w:val="auto"/>
                      <w:highlight w:val="none"/>
                    </w:rPr>
                    <w:t>出方</w:t>
                  </w:r>
                </w:p>
              </w:tc>
            </w:tr>
            <w:tr w14:paraId="083AA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tcBorders>
                    <w:tl2br w:val="nil"/>
                    <w:tr2bl w:val="nil"/>
                  </w:tcBorders>
                  <w:noWrap/>
                  <w:vAlign w:val="center"/>
                </w:tcPr>
                <w:p w14:paraId="72DA5E4D">
                  <w:pPr>
                    <w:pStyle w:val="89"/>
                    <w:rPr>
                      <w:b/>
                      <w:bCs w:val="0"/>
                      <w:color w:val="auto"/>
                      <w:highlight w:val="none"/>
                    </w:rPr>
                  </w:pPr>
                  <w:r>
                    <w:rPr>
                      <w:b/>
                      <w:bCs w:val="0"/>
                      <w:color w:val="auto"/>
                      <w:highlight w:val="none"/>
                    </w:rPr>
                    <w:t>物料名称</w:t>
                  </w:r>
                </w:p>
              </w:tc>
              <w:tc>
                <w:tcPr>
                  <w:tcW w:w="1554" w:type="pct"/>
                  <w:tcBorders>
                    <w:tl2br w:val="nil"/>
                    <w:tr2bl w:val="nil"/>
                  </w:tcBorders>
                  <w:noWrap/>
                  <w:vAlign w:val="center"/>
                </w:tcPr>
                <w:p w14:paraId="60714FE0">
                  <w:pPr>
                    <w:pStyle w:val="89"/>
                    <w:rPr>
                      <w:b/>
                      <w:bCs w:val="0"/>
                      <w:color w:val="auto"/>
                      <w:highlight w:val="none"/>
                    </w:rPr>
                  </w:pPr>
                  <w:r>
                    <w:rPr>
                      <w:b/>
                      <w:bCs w:val="0"/>
                      <w:color w:val="auto"/>
                      <w:highlight w:val="none"/>
                    </w:rPr>
                    <w:t>数量</w:t>
                  </w:r>
                </w:p>
              </w:tc>
              <w:tc>
                <w:tcPr>
                  <w:tcW w:w="834" w:type="pct"/>
                  <w:tcBorders>
                    <w:tl2br w:val="nil"/>
                    <w:tr2bl w:val="nil"/>
                  </w:tcBorders>
                  <w:noWrap/>
                  <w:vAlign w:val="center"/>
                </w:tcPr>
                <w:p w14:paraId="2B3D735E">
                  <w:pPr>
                    <w:pStyle w:val="89"/>
                    <w:rPr>
                      <w:b/>
                      <w:bCs w:val="0"/>
                      <w:color w:val="auto"/>
                      <w:highlight w:val="none"/>
                    </w:rPr>
                  </w:pPr>
                  <w:r>
                    <w:rPr>
                      <w:b/>
                      <w:bCs w:val="0"/>
                      <w:color w:val="auto"/>
                      <w:highlight w:val="none"/>
                    </w:rPr>
                    <w:t>类别</w:t>
                  </w:r>
                </w:p>
              </w:tc>
              <w:tc>
                <w:tcPr>
                  <w:tcW w:w="1568" w:type="pct"/>
                  <w:gridSpan w:val="2"/>
                  <w:tcBorders>
                    <w:tl2br w:val="nil"/>
                    <w:tr2bl w:val="nil"/>
                  </w:tcBorders>
                  <w:noWrap/>
                  <w:vAlign w:val="center"/>
                </w:tcPr>
                <w:p w14:paraId="2D38F7A4">
                  <w:pPr>
                    <w:pStyle w:val="89"/>
                    <w:rPr>
                      <w:b/>
                      <w:bCs w:val="0"/>
                      <w:color w:val="auto"/>
                      <w:highlight w:val="none"/>
                    </w:rPr>
                  </w:pPr>
                  <w:r>
                    <w:rPr>
                      <w:b/>
                      <w:bCs w:val="0"/>
                      <w:color w:val="auto"/>
                      <w:highlight w:val="none"/>
                    </w:rPr>
                    <w:t>数量</w:t>
                  </w:r>
                </w:p>
              </w:tc>
            </w:tr>
            <w:tr w14:paraId="2D82B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tcBorders>
                    <w:tl2br w:val="nil"/>
                    <w:tr2bl w:val="nil"/>
                  </w:tcBorders>
                  <w:noWrap/>
                  <w:vAlign w:val="center"/>
                </w:tcPr>
                <w:p w14:paraId="12516E59">
                  <w:pPr>
                    <w:pStyle w:val="89"/>
                    <w:rPr>
                      <w:color w:val="auto"/>
                      <w:highlight w:val="none"/>
                    </w:rPr>
                  </w:pPr>
                  <w:r>
                    <w:rPr>
                      <w:rFonts w:hint="eastAsia"/>
                      <w:color w:val="auto"/>
                      <w:highlight w:val="none"/>
                    </w:rPr>
                    <w:t>树脂粉</w:t>
                  </w:r>
                </w:p>
              </w:tc>
              <w:tc>
                <w:tcPr>
                  <w:tcW w:w="1554" w:type="pct"/>
                  <w:tcBorders>
                    <w:tl2br w:val="nil"/>
                    <w:tr2bl w:val="nil"/>
                  </w:tcBorders>
                  <w:noWrap/>
                  <w:vAlign w:val="center"/>
                </w:tcPr>
                <w:p w14:paraId="73CECB69">
                  <w:pPr>
                    <w:pStyle w:val="89"/>
                    <w:rPr>
                      <w:color w:val="auto"/>
                      <w:highlight w:val="none"/>
                    </w:rPr>
                  </w:pPr>
                  <w:r>
                    <w:rPr>
                      <w:rFonts w:hint="eastAsia"/>
                      <w:color w:val="auto"/>
                      <w:highlight w:val="none"/>
                    </w:rPr>
                    <w:t>6</w:t>
                  </w:r>
                </w:p>
              </w:tc>
              <w:tc>
                <w:tcPr>
                  <w:tcW w:w="834" w:type="pct"/>
                  <w:tcBorders>
                    <w:tl2br w:val="nil"/>
                    <w:tr2bl w:val="nil"/>
                  </w:tcBorders>
                  <w:noWrap/>
                  <w:vAlign w:val="center"/>
                </w:tcPr>
                <w:p w14:paraId="38E80919">
                  <w:pPr>
                    <w:pStyle w:val="89"/>
                    <w:rPr>
                      <w:color w:val="auto"/>
                      <w:highlight w:val="none"/>
                    </w:rPr>
                  </w:pPr>
                  <w:r>
                    <w:rPr>
                      <w:color w:val="auto"/>
                      <w:highlight w:val="none"/>
                    </w:rPr>
                    <w:t>成品</w:t>
                  </w:r>
                </w:p>
              </w:tc>
              <w:tc>
                <w:tcPr>
                  <w:tcW w:w="1568" w:type="pct"/>
                  <w:gridSpan w:val="2"/>
                  <w:tcBorders>
                    <w:tl2br w:val="nil"/>
                    <w:tr2bl w:val="nil"/>
                  </w:tcBorders>
                  <w:noWrap/>
                  <w:vAlign w:val="center"/>
                </w:tcPr>
                <w:p w14:paraId="7CCD0622">
                  <w:pPr>
                    <w:pStyle w:val="89"/>
                    <w:rPr>
                      <w:color w:val="auto"/>
                      <w:highlight w:val="none"/>
                    </w:rPr>
                  </w:pPr>
                  <w:r>
                    <w:rPr>
                      <w:rFonts w:hint="default"/>
                      <w:color w:val="auto"/>
                      <w:highlight w:val="none"/>
                    </w:rPr>
                    <w:t>3.5928</w:t>
                  </w:r>
                </w:p>
              </w:tc>
            </w:tr>
            <w:tr w14:paraId="7CE3E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vMerge w:val="restart"/>
                  <w:tcBorders>
                    <w:tl2br w:val="nil"/>
                    <w:tr2bl w:val="nil"/>
                  </w:tcBorders>
                  <w:noWrap/>
                  <w:vAlign w:val="center"/>
                </w:tcPr>
                <w:p w14:paraId="5C7B2356">
                  <w:pPr>
                    <w:pStyle w:val="89"/>
                    <w:rPr>
                      <w:color w:val="auto"/>
                      <w:highlight w:val="none"/>
                    </w:rPr>
                  </w:pPr>
                </w:p>
              </w:tc>
              <w:tc>
                <w:tcPr>
                  <w:tcW w:w="1554" w:type="pct"/>
                  <w:vMerge w:val="restart"/>
                  <w:tcBorders>
                    <w:tl2br w:val="nil"/>
                    <w:tr2bl w:val="nil"/>
                  </w:tcBorders>
                  <w:noWrap/>
                  <w:vAlign w:val="center"/>
                </w:tcPr>
                <w:p w14:paraId="4472F786">
                  <w:pPr>
                    <w:pStyle w:val="89"/>
                    <w:rPr>
                      <w:color w:val="auto"/>
                      <w:highlight w:val="none"/>
                    </w:rPr>
                  </w:pPr>
                </w:p>
              </w:tc>
              <w:tc>
                <w:tcPr>
                  <w:tcW w:w="834" w:type="pct"/>
                  <w:vMerge w:val="restart"/>
                  <w:tcBorders>
                    <w:tl2br w:val="nil"/>
                    <w:tr2bl w:val="nil"/>
                  </w:tcBorders>
                  <w:noWrap/>
                  <w:vAlign w:val="center"/>
                </w:tcPr>
                <w:p w14:paraId="46F0FF17">
                  <w:pPr>
                    <w:pStyle w:val="89"/>
                    <w:rPr>
                      <w:color w:val="auto"/>
                      <w:highlight w:val="none"/>
                    </w:rPr>
                  </w:pPr>
                  <w:r>
                    <w:rPr>
                      <w:color w:val="auto"/>
                      <w:highlight w:val="none"/>
                    </w:rPr>
                    <w:t>废气</w:t>
                  </w:r>
                </w:p>
              </w:tc>
              <w:tc>
                <w:tcPr>
                  <w:tcW w:w="1024" w:type="pct"/>
                  <w:tcBorders>
                    <w:tl2br w:val="nil"/>
                    <w:tr2bl w:val="nil"/>
                  </w:tcBorders>
                  <w:noWrap/>
                  <w:vAlign w:val="center"/>
                </w:tcPr>
                <w:p w14:paraId="527C5574">
                  <w:pPr>
                    <w:pStyle w:val="89"/>
                    <w:rPr>
                      <w:color w:val="auto"/>
                      <w:highlight w:val="none"/>
                    </w:rPr>
                  </w:pPr>
                  <w:r>
                    <w:rPr>
                      <w:rFonts w:hint="eastAsia"/>
                      <w:color w:val="auto"/>
                      <w:highlight w:val="none"/>
                    </w:rPr>
                    <w:t>粉尘 1.8</w:t>
                  </w:r>
                </w:p>
              </w:tc>
              <w:tc>
                <w:tcPr>
                  <w:tcW w:w="544" w:type="pct"/>
                  <w:vMerge w:val="restart"/>
                  <w:tcBorders>
                    <w:tl2br w:val="nil"/>
                    <w:tr2bl w:val="nil"/>
                  </w:tcBorders>
                  <w:noWrap/>
                  <w:vAlign w:val="center"/>
                </w:tcPr>
                <w:p w14:paraId="470FA0FD">
                  <w:pPr>
                    <w:pStyle w:val="89"/>
                    <w:rPr>
                      <w:color w:val="auto"/>
                      <w:highlight w:val="none"/>
                    </w:rPr>
                  </w:pPr>
                  <w:r>
                    <w:rPr>
                      <w:rFonts w:hint="eastAsia"/>
                      <w:color w:val="auto"/>
                      <w:highlight w:val="none"/>
                    </w:rPr>
                    <w:t>1.8072</w:t>
                  </w:r>
                </w:p>
              </w:tc>
            </w:tr>
            <w:tr w14:paraId="07104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vMerge w:val="continue"/>
                  <w:tcBorders>
                    <w:tl2br w:val="nil"/>
                    <w:tr2bl w:val="nil"/>
                  </w:tcBorders>
                  <w:noWrap/>
                  <w:vAlign w:val="center"/>
                </w:tcPr>
                <w:p w14:paraId="232D468C">
                  <w:pPr>
                    <w:pStyle w:val="89"/>
                    <w:rPr>
                      <w:color w:val="auto"/>
                      <w:highlight w:val="none"/>
                    </w:rPr>
                  </w:pPr>
                </w:p>
              </w:tc>
              <w:tc>
                <w:tcPr>
                  <w:tcW w:w="1554" w:type="pct"/>
                  <w:vMerge w:val="continue"/>
                  <w:tcBorders>
                    <w:tl2br w:val="nil"/>
                    <w:tr2bl w:val="nil"/>
                  </w:tcBorders>
                  <w:noWrap/>
                  <w:vAlign w:val="center"/>
                </w:tcPr>
                <w:p w14:paraId="45CC3EC1">
                  <w:pPr>
                    <w:pStyle w:val="89"/>
                    <w:rPr>
                      <w:color w:val="auto"/>
                      <w:highlight w:val="none"/>
                    </w:rPr>
                  </w:pPr>
                </w:p>
              </w:tc>
              <w:tc>
                <w:tcPr>
                  <w:tcW w:w="834" w:type="pct"/>
                  <w:vMerge w:val="continue"/>
                  <w:tcBorders>
                    <w:tl2br w:val="nil"/>
                    <w:tr2bl w:val="nil"/>
                  </w:tcBorders>
                  <w:noWrap/>
                  <w:vAlign w:val="center"/>
                </w:tcPr>
                <w:p w14:paraId="53E48EB4">
                  <w:pPr>
                    <w:pStyle w:val="89"/>
                    <w:rPr>
                      <w:color w:val="auto"/>
                      <w:highlight w:val="none"/>
                    </w:rPr>
                  </w:pPr>
                </w:p>
              </w:tc>
              <w:tc>
                <w:tcPr>
                  <w:tcW w:w="1024" w:type="pct"/>
                  <w:tcBorders>
                    <w:tl2br w:val="nil"/>
                    <w:tr2bl w:val="nil"/>
                  </w:tcBorders>
                  <w:noWrap/>
                  <w:vAlign w:val="center"/>
                </w:tcPr>
                <w:p w14:paraId="0A5EB07C">
                  <w:pPr>
                    <w:pStyle w:val="89"/>
                    <w:rPr>
                      <w:color w:val="auto"/>
                      <w:highlight w:val="none"/>
                    </w:rPr>
                  </w:pPr>
                  <w:r>
                    <w:rPr>
                      <w:rFonts w:hint="eastAsia"/>
                      <w:color w:val="auto"/>
                      <w:highlight w:val="none"/>
                    </w:rPr>
                    <w:t>VOCs 0.0072</w:t>
                  </w:r>
                </w:p>
              </w:tc>
              <w:tc>
                <w:tcPr>
                  <w:tcW w:w="544" w:type="pct"/>
                  <w:vMerge w:val="continue"/>
                  <w:tcBorders>
                    <w:tl2br w:val="nil"/>
                    <w:tr2bl w:val="nil"/>
                  </w:tcBorders>
                  <w:noWrap/>
                  <w:vAlign w:val="center"/>
                </w:tcPr>
                <w:p w14:paraId="23F04308">
                  <w:pPr>
                    <w:pStyle w:val="89"/>
                    <w:rPr>
                      <w:color w:val="auto"/>
                      <w:highlight w:val="none"/>
                    </w:rPr>
                  </w:pPr>
                </w:p>
              </w:tc>
            </w:tr>
            <w:tr w14:paraId="51121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tcBorders>
                    <w:tl2br w:val="nil"/>
                    <w:tr2bl w:val="nil"/>
                  </w:tcBorders>
                  <w:noWrap/>
                  <w:vAlign w:val="center"/>
                </w:tcPr>
                <w:p w14:paraId="5E1D70C0">
                  <w:pPr>
                    <w:pStyle w:val="89"/>
                    <w:rPr>
                      <w:color w:val="auto"/>
                      <w:highlight w:val="none"/>
                    </w:rPr>
                  </w:pPr>
                </w:p>
              </w:tc>
              <w:tc>
                <w:tcPr>
                  <w:tcW w:w="1554" w:type="pct"/>
                  <w:tcBorders>
                    <w:tl2br w:val="nil"/>
                    <w:tr2bl w:val="nil"/>
                  </w:tcBorders>
                  <w:noWrap/>
                  <w:vAlign w:val="center"/>
                </w:tcPr>
                <w:p w14:paraId="42B5D007">
                  <w:pPr>
                    <w:pStyle w:val="89"/>
                    <w:rPr>
                      <w:color w:val="auto"/>
                      <w:highlight w:val="none"/>
                    </w:rPr>
                  </w:pPr>
                </w:p>
              </w:tc>
              <w:tc>
                <w:tcPr>
                  <w:tcW w:w="834" w:type="pct"/>
                  <w:tcBorders>
                    <w:tl2br w:val="nil"/>
                    <w:tr2bl w:val="nil"/>
                  </w:tcBorders>
                  <w:noWrap/>
                  <w:vAlign w:val="center"/>
                </w:tcPr>
                <w:p w14:paraId="28AC3A17">
                  <w:pPr>
                    <w:pStyle w:val="89"/>
                    <w:rPr>
                      <w:color w:val="auto"/>
                      <w:highlight w:val="none"/>
                    </w:rPr>
                  </w:pPr>
                  <w:r>
                    <w:rPr>
                      <w:color w:val="auto"/>
                      <w:highlight w:val="none"/>
                    </w:rPr>
                    <w:t>废水</w:t>
                  </w:r>
                </w:p>
              </w:tc>
              <w:tc>
                <w:tcPr>
                  <w:tcW w:w="1568" w:type="pct"/>
                  <w:gridSpan w:val="2"/>
                  <w:tcBorders>
                    <w:tl2br w:val="nil"/>
                    <w:tr2bl w:val="nil"/>
                  </w:tcBorders>
                  <w:noWrap/>
                  <w:vAlign w:val="center"/>
                </w:tcPr>
                <w:p w14:paraId="45AB22D6">
                  <w:pPr>
                    <w:pStyle w:val="89"/>
                    <w:rPr>
                      <w:color w:val="auto"/>
                      <w:highlight w:val="none"/>
                    </w:rPr>
                  </w:pPr>
                  <w:r>
                    <w:rPr>
                      <w:color w:val="auto"/>
                      <w:highlight w:val="none"/>
                    </w:rPr>
                    <w:t>0</w:t>
                  </w:r>
                </w:p>
              </w:tc>
            </w:tr>
            <w:tr w14:paraId="080B6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tcBorders>
                    <w:tl2br w:val="nil"/>
                    <w:tr2bl w:val="nil"/>
                  </w:tcBorders>
                  <w:noWrap/>
                  <w:vAlign w:val="center"/>
                </w:tcPr>
                <w:p w14:paraId="70A8D463">
                  <w:pPr>
                    <w:jc w:val="center"/>
                    <w:rPr>
                      <w:color w:val="auto"/>
                      <w:szCs w:val="21"/>
                      <w:highlight w:val="none"/>
                    </w:rPr>
                  </w:pPr>
                </w:p>
              </w:tc>
              <w:tc>
                <w:tcPr>
                  <w:tcW w:w="1554" w:type="pct"/>
                  <w:tcBorders>
                    <w:tl2br w:val="nil"/>
                    <w:tr2bl w:val="nil"/>
                  </w:tcBorders>
                  <w:noWrap/>
                  <w:vAlign w:val="center"/>
                </w:tcPr>
                <w:p w14:paraId="27E39B6D">
                  <w:pPr>
                    <w:jc w:val="center"/>
                    <w:rPr>
                      <w:color w:val="auto"/>
                      <w:szCs w:val="21"/>
                      <w:highlight w:val="none"/>
                    </w:rPr>
                  </w:pPr>
                </w:p>
              </w:tc>
              <w:tc>
                <w:tcPr>
                  <w:tcW w:w="834" w:type="pct"/>
                  <w:tcBorders>
                    <w:tl2br w:val="nil"/>
                    <w:tr2bl w:val="nil"/>
                  </w:tcBorders>
                  <w:noWrap/>
                  <w:vAlign w:val="center"/>
                </w:tcPr>
                <w:p w14:paraId="59F44BC0">
                  <w:pPr>
                    <w:pStyle w:val="89"/>
                    <w:rPr>
                      <w:color w:val="auto"/>
                      <w:highlight w:val="none"/>
                    </w:rPr>
                  </w:pPr>
                  <w:r>
                    <w:rPr>
                      <w:color w:val="auto"/>
                      <w:highlight w:val="none"/>
                    </w:rPr>
                    <w:t>固废</w:t>
                  </w:r>
                </w:p>
              </w:tc>
              <w:tc>
                <w:tcPr>
                  <w:tcW w:w="1568" w:type="pct"/>
                  <w:gridSpan w:val="2"/>
                  <w:tcBorders>
                    <w:tl2br w:val="nil"/>
                    <w:tr2bl w:val="nil"/>
                  </w:tcBorders>
                  <w:noWrap/>
                  <w:vAlign w:val="center"/>
                </w:tcPr>
                <w:p w14:paraId="541B3223">
                  <w:pPr>
                    <w:pStyle w:val="89"/>
                    <w:rPr>
                      <w:color w:val="auto"/>
                      <w:highlight w:val="none"/>
                    </w:rPr>
                  </w:pPr>
                  <w:r>
                    <w:rPr>
                      <w:rFonts w:hint="eastAsia"/>
                      <w:color w:val="auto"/>
                      <w:highlight w:val="none"/>
                    </w:rPr>
                    <w:t>0</w:t>
                  </w:r>
                  <w:r>
                    <w:rPr>
                      <w:rFonts w:hint="eastAsia"/>
                      <w:color w:val="auto"/>
                      <w:highlight w:val="none"/>
                      <w:lang w:eastAsia="zh-Hans"/>
                    </w:rPr>
                    <w:t>.</w:t>
                  </w:r>
                  <w:r>
                    <w:rPr>
                      <w:rFonts w:hint="default"/>
                      <w:color w:val="auto"/>
                      <w:highlight w:val="none"/>
                      <w:lang w:eastAsia="zh-Hans"/>
                    </w:rPr>
                    <w:t>6</w:t>
                  </w:r>
                </w:p>
              </w:tc>
            </w:tr>
            <w:tr w14:paraId="09C8D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42" w:type="pct"/>
                  <w:tcBorders>
                    <w:tl2br w:val="nil"/>
                    <w:tr2bl w:val="nil"/>
                  </w:tcBorders>
                  <w:noWrap/>
                  <w:vAlign w:val="center"/>
                </w:tcPr>
                <w:p w14:paraId="740B9047">
                  <w:pPr>
                    <w:pStyle w:val="89"/>
                    <w:rPr>
                      <w:color w:val="auto"/>
                      <w:highlight w:val="none"/>
                    </w:rPr>
                  </w:pPr>
                  <w:r>
                    <w:rPr>
                      <w:color w:val="auto"/>
                      <w:highlight w:val="none"/>
                    </w:rPr>
                    <w:t>合计</w:t>
                  </w:r>
                </w:p>
              </w:tc>
              <w:tc>
                <w:tcPr>
                  <w:tcW w:w="1554" w:type="pct"/>
                  <w:tcBorders>
                    <w:tl2br w:val="nil"/>
                    <w:tr2bl w:val="nil"/>
                  </w:tcBorders>
                  <w:noWrap/>
                  <w:vAlign w:val="center"/>
                </w:tcPr>
                <w:p w14:paraId="01E3AC32">
                  <w:pPr>
                    <w:pStyle w:val="89"/>
                    <w:rPr>
                      <w:color w:val="auto"/>
                      <w:highlight w:val="none"/>
                    </w:rPr>
                  </w:pPr>
                  <w:r>
                    <w:rPr>
                      <w:rFonts w:hint="eastAsia"/>
                      <w:color w:val="auto"/>
                      <w:highlight w:val="none"/>
                    </w:rPr>
                    <w:t>6</w:t>
                  </w:r>
                </w:p>
              </w:tc>
              <w:tc>
                <w:tcPr>
                  <w:tcW w:w="834" w:type="pct"/>
                  <w:tcBorders>
                    <w:tl2br w:val="nil"/>
                    <w:tr2bl w:val="nil"/>
                  </w:tcBorders>
                  <w:noWrap/>
                  <w:vAlign w:val="center"/>
                </w:tcPr>
                <w:p w14:paraId="299695D8">
                  <w:pPr>
                    <w:pStyle w:val="89"/>
                    <w:rPr>
                      <w:color w:val="auto"/>
                      <w:highlight w:val="none"/>
                    </w:rPr>
                  </w:pPr>
                  <w:r>
                    <w:rPr>
                      <w:color w:val="auto"/>
                      <w:highlight w:val="none"/>
                    </w:rPr>
                    <w:t>合计</w:t>
                  </w:r>
                </w:p>
              </w:tc>
              <w:tc>
                <w:tcPr>
                  <w:tcW w:w="1568" w:type="pct"/>
                  <w:gridSpan w:val="2"/>
                  <w:tcBorders>
                    <w:tl2br w:val="nil"/>
                    <w:tr2bl w:val="nil"/>
                  </w:tcBorders>
                  <w:noWrap/>
                  <w:vAlign w:val="center"/>
                </w:tcPr>
                <w:p w14:paraId="4265BCA1">
                  <w:pPr>
                    <w:pStyle w:val="89"/>
                    <w:rPr>
                      <w:color w:val="auto"/>
                      <w:highlight w:val="none"/>
                    </w:rPr>
                  </w:pPr>
                  <w:r>
                    <w:rPr>
                      <w:rFonts w:hint="eastAsia"/>
                      <w:color w:val="auto"/>
                      <w:highlight w:val="none"/>
                    </w:rPr>
                    <w:t>6</w:t>
                  </w:r>
                </w:p>
              </w:tc>
            </w:tr>
          </w:tbl>
          <w:p w14:paraId="159B8DE8">
            <w:pPr>
              <w:adjustRightInd w:val="0"/>
              <w:snapToGrid w:val="0"/>
              <w:spacing w:before="120" w:beforeLines="50" w:line="360" w:lineRule="auto"/>
              <w:jc w:val="both"/>
              <w:rPr>
                <w:color w:val="auto"/>
                <w:highlight w:val="none"/>
              </w:rPr>
            </w:pPr>
            <w:r>
              <w:rPr>
                <w:color w:val="auto"/>
              </w:rPr>
              <w:drawing>
                <wp:inline distT="0" distB="0" distL="114300" distR="114300">
                  <wp:extent cx="5944235" cy="2893695"/>
                  <wp:effectExtent l="0" t="0" r="24765" b="190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1"/>
                          <a:stretch>
                            <a:fillRect/>
                          </a:stretch>
                        </pic:blipFill>
                        <pic:spPr>
                          <a:xfrm>
                            <a:off x="0" y="0"/>
                            <a:ext cx="5944235" cy="2893695"/>
                          </a:xfrm>
                          <a:prstGeom prst="rect">
                            <a:avLst/>
                          </a:prstGeom>
                          <a:noFill/>
                          <a:ln w="9525">
                            <a:noFill/>
                          </a:ln>
                        </pic:spPr>
                      </pic:pic>
                    </a:graphicData>
                  </a:graphic>
                </wp:inline>
              </w:drawing>
            </w:r>
          </w:p>
          <w:p w14:paraId="1EF63DA7">
            <w:pPr>
              <w:adjustRightInd w:val="0"/>
              <w:snapToGrid w:val="0"/>
              <w:spacing w:line="360" w:lineRule="auto"/>
              <w:ind w:firstLine="482" w:firstLineChars="200"/>
              <w:jc w:val="center"/>
              <w:rPr>
                <w:rFonts w:hAnsi="宋体"/>
                <w:b/>
                <w:bCs/>
                <w:snapToGrid w:val="0"/>
                <w:color w:val="auto"/>
                <w:kern w:val="0"/>
                <w:sz w:val="24"/>
                <w:highlight w:val="none"/>
              </w:rPr>
            </w:pPr>
            <w:r>
              <w:rPr>
                <w:rFonts w:hint="eastAsia" w:hAnsi="宋体"/>
                <w:b/>
                <w:bCs/>
                <w:snapToGrid w:val="0"/>
                <w:color w:val="auto"/>
                <w:kern w:val="0"/>
                <w:sz w:val="24"/>
                <w:highlight w:val="none"/>
              </w:rPr>
              <w:t>图2-3  树脂粉物料平衡图（t/a）</w:t>
            </w:r>
          </w:p>
          <w:p w14:paraId="0F0E1A8F">
            <w:pPr>
              <w:numPr>
                <w:ilvl w:val="0"/>
                <w:numId w:val="5"/>
              </w:numPr>
              <w:adjustRightInd w:val="0"/>
              <w:snapToGrid w:val="0"/>
              <w:spacing w:line="360" w:lineRule="auto"/>
              <w:ind w:firstLine="480" w:firstLineChars="200"/>
              <w:rPr>
                <w:rFonts w:hAnsi="宋体"/>
                <w:snapToGrid w:val="0"/>
                <w:color w:val="auto"/>
                <w:kern w:val="0"/>
                <w:sz w:val="24"/>
                <w:highlight w:val="none"/>
                <w:lang w:eastAsia="zh-Hans"/>
              </w:rPr>
            </w:pPr>
            <w:r>
              <w:rPr>
                <w:rFonts w:hint="eastAsia" w:hAnsi="宋体"/>
                <w:snapToGrid w:val="0"/>
                <w:color w:val="auto"/>
                <w:kern w:val="0"/>
                <w:sz w:val="24"/>
                <w:highlight w:val="none"/>
                <w:lang w:eastAsia="zh-Hans"/>
              </w:rPr>
              <w:t>二甲苯平衡</w:t>
            </w:r>
          </w:p>
          <w:p w14:paraId="712DC4E8">
            <w:pPr>
              <w:pStyle w:val="6"/>
              <w:numPr>
                <w:ilvl w:val="0"/>
                <w:numId w:val="0"/>
              </w:numPr>
              <w:spacing w:line="360" w:lineRule="auto"/>
              <w:ind w:firstLine="480" w:firstLineChars="200"/>
              <w:jc w:val="left"/>
              <w:rPr>
                <w:rFonts w:hAnsi="宋体"/>
                <w:b/>
                <w:bCs/>
                <w:snapToGrid w:val="0"/>
                <w:color w:val="auto"/>
                <w:kern w:val="0"/>
                <w:sz w:val="24"/>
                <w:szCs w:val="24"/>
                <w:highlight w:val="none"/>
              </w:rPr>
            </w:pPr>
            <w:r>
              <w:rPr>
                <w:rFonts w:ascii="Times New Roman" w:hAnsi="Times New Roman"/>
                <w:bCs/>
                <w:color w:val="auto"/>
                <w:sz w:val="24"/>
                <w:szCs w:val="24"/>
                <w:highlight w:val="none"/>
              </w:rPr>
              <w:t>本项目使用</w:t>
            </w:r>
            <w:r>
              <w:rPr>
                <w:rFonts w:hint="eastAsia" w:ascii="Times New Roman" w:hAnsi="Times New Roman"/>
                <w:bCs/>
                <w:color w:val="auto"/>
                <w:sz w:val="24"/>
                <w:szCs w:val="24"/>
                <w:highlight w:val="none"/>
                <w:lang w:eastAsia="zh-Hans"/>
              </w:rPr>
              <w:t>的聚酯树脂胶中含二甲苯，项目使用聚酯树脂胶</w:t>
            </w:r>
            <w:r>
              <w:rPr>
                <w:rFonts w:ascii="Times New Roman" w:hAnsi="Times New Roman"/>
                <w:bCs/>
                <w:color w:val="auto"/>
                <w:sz w:val="24"/>
                <w:szCs w:val="24"/>
                <w:highlight w:val="none"/>
                <w:lang w:eastAsia="zh-Hans"/>
              </w:rPr>
              <w:t>1.3</w:t>
            </w:r>
            <w:r>
              <w:rPr>
                <w:rFonts w:hint="eastAsia" w:ascii="Times New Roman" w:hAnsi="Times New Roman"/>
                <w:bCs/>
                <w:color w:val="auto"/>
                <w:sz w:val="24"/>
                <w:szCs w:val="24"/>
                <w:highlight w:val="none"/>
                <w:lang w:eastAsia="zh-Hans"/>
              </w:rPr>
              <w:t>t/a，其中二甲苯含量约为</w:t>
            </w:r>
            <w:r>
              <w:rPr>
                <w:rFonts w:ascii="Times New Roman" w:hAnsi="Times New Roman"/>
                <w:bCs/>
                <w:color w:val="auto"/>
                <w:sz w:val="24"/>
                <w:szCs w:val="24"/>
                <w:highlight w:val="none"/>
                <w:lang w:eastAsia="zh-Hans"/>
              </w:rPr>
              <w:t>0.3%</w:t>
            </w:r>
            <w:r>
              <w:rPr>
                <w:rFonts w:hint="eastAsia" w:ascii="Times New Roman" w:hAnsi="Times New Roman"/>
                <w:bCs/>
                <w:color w:val="auto"/>
                <w:sz w:val="24"/>
                <w:szCs w:val="24"/>
                <w:highlight w:val="none"/>
                <w:lang w:eastAsia="zh-Hans"/>
              </w:rPr>
              <w:t>，全部进入废气，则二甲苯</w:t>
            </w:r>
            <w:r>
              <w:rPr>
                <w:rFonts w:ascii="Times New Roman" w:hAnsi="宋体"/>
                <w:snapToGrid w:val="0"/>
                <w:color w:val="auto"/>
                <w:kern w:val="0"/>
                <w:sz w:val="24"/>
                <w:szCs w:val="24"/>
                <w:highlight w:val="none"/>
              </w:rPr>
              <w:t>物料平衡</w:t>
            </w:r>
            <w:r>
              <w:rPr>
                <w:rFonts w:hint="eastAsia" w:ascii="Times New Roman" w:hAnsi="宋体"/>
                <w:snapToGrid w:val="0"/>
                <w:color w:val="auto"/>
                <w:kern w:val="0"/>
                <w:sz w:val="24"/>
                <w:szCs w:val="24"/>
                <w:highlight w:val="none"/>
                <w:lang w:eastAsia="zh-Hans"/>
              </w:rPr>
              <w:t>表见下表，物料平衡</w:t>
            </w:r>
            <w:r>
              <w:rPr>
                <w:rFonts w:ascii="Times New Roman" w:hAnsi="宋体"/>
                <w:snapToGrid w:val="0"/>
                <w:color w:val="auto"/>
                <w:kern w:val="0"/>
                <w:sz w:val="24"/>
                <w:szCs w:val="24"/>
                <w:highlight w:val="none"/>
              </w:rPr>
              <w:t>图见下图。</w:t>
            </w:r>
          </w:p>
          <w:p w14:paraId="2060FA3C">
            <w:pPr>
              <w:pStyle w:val="10"/>
              <w:spacing w:beforeLines="0"/>
              <w:rPr>
                <w:rFonts w:hAnsi="宋体" w:eastAsia="宋体"/>
                <w:b/>
                <w:bCs/>
                <w:snapToGrid w:val="0"/>
                <w:color w:val="auto"/>
                <w:kern w:val="0"/>
                <w:sz w:val="24"/>
                <w:szCs w:val="24"/>
                <w:highlight w:val="none"/>
                <w:lang w:val="en-US"/>
              </w:rPr>
            </w:pPr>
          </w:p>
          <w:p w14:paraId="7CB48682">
            <w:pPr>
              <w:pStyle w:val="10"/>
              <w:spacing w:beforeLines="0"/>
              <w:rPr>
                <w:rFonts w:hAnsi="宋体" w:eastAsia="宋体"/>
                <w:b/>
                <w:bCs/>
                <w:snapToGrid w:val="0"/>
                <w:color w:val="auto"/>
                <w:kern w:val="0"/>
                <w:sz w:val="24"/>
                <w:szCs w:val="24"/>
                <w:highlight w:val="none"/>
                <w:lang w:val="en-US"/>
              </w:rPr>
            </w:pPr>
          </w:p>
          <w:p w14:paraId="0F6721BB">
            <w:pPr>
              <w:pStyle w:val="10"/>
              <w:spacing w:beforeLines="0"/>
              <w:rPr>
                <w:rFonts w:hAnsi="宋体" w:eastAsia="宋体"/>
                <w:b/>
                <w:bCs/>
                <w:snapToGrid w:val="0"/>
                <w:color w:val="auto"/>
                <w:kern w:val="0"/>
                <w:sz w:val="24"/>
                <w:szCs w:val="24"/>
                <w:highlight w:val="none"/>
                <w:lang w:val="en-US"/>
              </w:rPr>
            </w:pPr>
          </w:p>
          <w:p w14:paraId="24B47FF1">
            <w:pPr>
              <w:pStyle w:val="10"/>
              <w:spacing w:beforeLines="0"/>
              <w:rPr>
                <w:rFonts w:hAnsi="宋体" w:eastAsia="宋体"/>
                <w:b/>
                <w:bCs/>
                <w:snapToGrid w:val="0"/>
                <w:color w:val="auto"/>
                <w:kern w:val="0"/>
                <w:sz w:val="24"/>
                <w:szCs w:val="24"/>
                <w:highlight w:val="none"/>
                <w:lang w:val="en-US"/>
              </w:rPr>
            </w:pPr>
          </w:p>
          <w:p w14:paraId="07576EA1">
            <w:pPr>
              <w:pStyle w:val="10"/>
              <w:spacing w:beforeLines="0"/>
              <w:rPr>
                <w:rFonts w:hAnsi="宋体" w:eastAsia="宋体"/>
                <w:snapToGrid w:val="0"/>
                <w:color w:val="auto"/>
                <w:kern w:val="0"/>
                <w:sz w:val="24"/>
                <w:szCs w:val="24"/>
                <w:highlight w:val="none"/>
                <w:lang w:val="en-US"/>
              </w:rPr>
            </w:pPr>
            <w:r>
              <w:rPr>
                <w:rFonts w:hAnsi="宋体" w:eastAsia="宋体"/>
                <w:b/>
                <w:bCs/>
                <w:snapToGrid w:val="0"/>
                <w:color w:val="auto"/>
                <w:kern w:val="0"/>
                <w:sz w:val="24"/>
                <w:szCs w:val="24"/>
                <w:highlight w:val="none"/>
                <w:lang w:val="en-US"/>
              </w:rPr>
              <w:t>表 2-</w:t>
            </w:r>
            <w:r>
              <w:rPr>
                <w:rFonts w:hAnsi="宋体" w:eastAsia="宋体"/>
                <w:b/>
                <w:bCs/>
                <w:snapToGrid w:val="0"/>
                <w:color w:val="auto"/>
                <w:kern w:val="0"/>
                <w:sz w:val="24"/>
                <w:szCs w:val="24"/>
                <w:highlight w:val="none"/>
              </w:rPr>
              <w:t xml:space="preserve">9  </w:t>
            </w:r>
            <w:r>
              <w:rPr>
                <w:rFonts w:hint="eastAsia" w:hAnsi="宋体" w:eastAsia="宋体"/>
                <w:b/>
                <w:bCs/>
                <w:snapToGrid w:val="0"/>
                <w:color w:val="auto"/>
                <w:kern w:val="0"/>
                <w:sz w:val="24"/>
                <w:szCs w:val="24"/>
                <w:highlight w:val="none"/>
                <w:lang w:val="en-US" w:eastAsia="zh-Hans"/>
              </w:rPr>
              <w:t>二甲苯</w:t>
            </w:r>
            <w:r>
              <w:rPr>
                <w:rFonts w:hAnsi="宋体" w:eastAsia="宋体"/>
                <w:b/>
                <w:bCs/>
                <w:snapToGrid w:val="0"/>
                <w:color w:val="auto"/>
                <w:kern w:val="0"/>
                <w:sz w:val="24"/>
                <w:szCs w:val="24"/>
                <w:highlight w:val="none"/>
                <w:lang w:val="en-US"/>
              </w:rPr>
              <w:t>平衡表（单位：t/a）</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1109"/>
              <w:gridCol w:w="1778"/>
              <w:gridCol w:w="1549"/>
              <w:gridCol w:w="2915"/>
            </w:tblGrid>
            <w:tr w14:paraId="4AF80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96" w:type="pct"/>
                  <w:gridSpan w:val="3"/>
                  <w:tcBorders>
                    <w:tl2br w:val="nil"/>
                    <w:tr2bl w:val="nil"/>
                  </w:tcBorders>
                  <w:noWrap/>
                  <w:vAlign w:val="center"/>
                </w:tcPr>
                <w:p w14:paraId="1B121D53">
                  <w:pPr>
                    <w:pStyle w:val="89"/>
                    <w:rPr>
                      <w:b/>
                      <w:bCs w:val="0"/>
                      <w:color w:val="auto"/>
                      <w:highlight w:val="none"/>
                    </w:rPr>
                  </w:pPr>
                  <w:r>
                    <w:rPr>
                      <w:b/>
                      <w:bCs w:val="0"/>
                      <w:color w:val="auto"/>
                      <w:highlight w:val="none"/>
                    </w:rPr>
                    <w:t>入方</w:t>
                  </w:r>
                </w:p>
              </w:tc>
              <w:tc>
                <w:tcPr>
                  <w:tcW w:w="2403" w:type="pct"/>
                  <w:gridSpan w:val="2"/>
                  <w:tcBorders>
                    <w:tl2br w:val="nil"/>
                    <w:tr2bl w:val="nil"/>
                  </w:tcBorders>
                  <w:noWrap/>
                  <w:vAlign w:val="center"/>
                </w:tcPr>
                <w:p w14:paraId="28D86CAD">
                  <w:pPr>
                    <w:pStyle w:val="89"/>
                    <w:rPr>
                      <w:b/>
                      <w:bCs w:val="0"/>
                      <w:color w:val="auto"/>
                      <w:highlight w:val="none"/>
                    </w:rPr>
                  </w:pPr>
                  <w:r>
                    <w:rPr>
                      <w:b/>
                      <w:bCs w:val="0"/>
                      <w:color w:val="auto"/>
                      <w:highlight w:val="none"/>
                    </w:rPr>
                    <w:t>出方</w:t>
                  </w:r>
                </w:p>
              </w:tc>
            </w:tr>
            <w:tr w14:paraId="60A45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2" w:type="pct"/>
                  <w:tcBorders>
                    <w:tl2br w:val="nil"/>
                    <w:tr2bl w:val="nil"/>
                  </w:tcBorders>
                  <w:noWrap/>
                  <w:vAlign w:val="center"/>
                </w:tcPr>
                <w:p w14:paraId="5AA9EF60">
                  <w:pPr>
                    <w:pStyle w:val="89"/>
                    <w:rPr>
                      <w:b/>
                      <w:bCs w:val="0"/>
                      <w:color w:val="auto"/>
                      <w:highlight w:val="none"/>
                    </w:rPr>
                  </w:pPr>
                  <w:r>
                    <w:rPr>
                      <w:b/>
                      <w:bCs w:val="0"/>
                      <w:color w:val="auto"/>
                      <w:highlight w:val="none"/>
                    </w:rPr>
                    <w:t>物料名称</w:t>
                  </w:r>
                </w:p>
              </w:tc>
              <w:tc>
                <w:tcPr>
                  <w:tcW w:w="597" w:type="pct"/>
                  <w:tcBorders>
                    <w:tl2br w:val="nil"/>
                    <w:tr2bl w:val="nil"/>
                  </w:tcBorders>
                  <w:noWrap/>
                  <w:vAlign w:val="center"/>
                </w:tcPr>
                <w:p w14:paraId="531A285D">
                  <w:pPr>
                    <w:pStyle w:val="89"/>
                    <w:rPr>
                      <w:b/>
                      <w:bCs w:val="0"/>
                      <w:color w:val="auto"/>
                      <w:highlight w:val="none"/>
                      <w:lang w:eastAsia="zh-Hans"/>
                    </w:rPr>
                  </w:pPr>
                  <w:r>
                    <w:rPr>
                      <w:rFonts w:hint="eastAsia"/>
                      <w:b/>
                      <w:bCs w:val="0"/>
                      <w:color w:val="auto"/>
                      <w:highlight w:val="none"/>
                      <w:lang w:eastAsia="zh-Hans"/>
                    </w:rPr>
                    <w:t>组分</w:t>
                  </w:r>
                </w:p>
              </w:tc>
              <w:tc>
                <w:tcPr>
                  <w:tcW w:w="957" w:type="pct"/>
                  <w:tcBorders>
                    <w:tl2br w:val="nil"/>
                    <w:tr2bl w:val="nil"/>
                  </w:tcBorders>
                  <w:noWrap/>
                  <w:vAlign w:val="center"/>
                </w:tcPr>
                <w:p w14:paraId="1872A78C">
                  <w:pPr>
                    <w:pStyle w:val="89"/>
                    <w:rPr>
                      <w:b/>
                      <w:bCs w:val="0"/>
                      <w:color w:val="auto"/>
                      <w:highlight w:val="none"/>
                    </w:rPr>
                  </w:pPr>
                  <w:r>
                    <w:rPr>
                      <w:b/>
                      <w:bCs w:val="0"/>
                      <w:color w:val="auto"/>
                      <w:highlight w:val="none"/>
                    </w:rPr>
                    <w:t>数量</w:t>
                  </w:r>
                </w:p>
              </w:tc>
              <w:tc>
                <w:tcPr>
                  <w:tcW w:w="834" w:type="pct"/>
                  <w:tcBorders>
                    <w:tl2br w:val="nil"/>
                    <w:tr2bl w:val="nil"/>
                  </w:tcBorders>
                  <w:noWrap/>
                  <w:vAlign w:val="center"/>
                </w:tcPr>
                <w:p w14:paraId="7E61EFFC">
                  <w:pPr>
                    <w:pStyle w:val="89"/>
                    <w:rPr>
                      <w:b/>
                      <w:bCs w:val="0"/>
                      <w:color w:val="auto"/>
                      <w:highlight w:val="none"/>
                    </w:rPr>
                  </w:pPr>
                  <w:r>
                    <w:rPr>
                      <w:b/>
                      <w:bCs w:val="0"/>
                      <w:color w:val="auto"/>
                      <w:highlight w:val="none"/>
                    </w:rPr>
                    <w:t>类别</w:t>
                  </w:r>
                </w:p>
              </w:tc>
              <w:tc>
                <w:tcPr>
                  <w:tcW w:w="1569" w:type="pct"/>
                  <w:tcBorders>
                    <w:tl2br w:val="nil"/>
                    <w:tr2bl w:val="nil"/>
                  </w:tcBorders>
                  <w:noWrap/>
                  <w:vAlign w:val="center"/>
                </w:tcPr>
                <w:p w14:paraId="3E18D9E4">
                  <w:pPr>
                    <w:pStyle w:val="89"/>
                    <w:rPr>
                      <w:b/>
                      <w:bCs w:val="0"/>
                      <w:color w:val="auto"/>
                      <w:highlight w:val="none"/>
                    </w:rPr>
                  </w:pPr>
                  <w:r>
                    <w:rPr>
                      <w:b/>
                      <w:bCs w:val="0"/>
                      <w:color w:val="auto"/>
                      <w:highlight w:val="none"/>
                    </w:rPr>
                    <w:t>数量</w:t>
                  </w:r>
                </w:p>
              </w:tc>
            </w:tr>
            <w:tr w14:paraId="70FE0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2" w:type="pct"/>
                  <w:tcBorders>
                    <w:tl2br w:val="nil"/>
                    <w:tr2bl w:val="nil"/>
                  </w:tcBorders>
                  <w:noWrap/>
                  <w:vAlign w:val="center"/>
                </w:tcPr>
                <w:p w14:paraId="7684A908">
                  <w:pPr>
                    <w:pStyle w:val="89"/>
                    <w:rPr>
                      <w:color w:val="auto"/>
                      <w:highlight w:val="none"/>
                      <w:lang w:eastAsia="zh-Hans"/>
                    </w:rPr>
                  </w:pPr>
                  <w:r>
                    <w:rPr>
                      <w:rFonts w:hint="eastAsia"/>
                      <w:color w:val="auto"/>
                      <w:highlight w:val="none"/>
                      <w:lang w:eastAsia="zh-Hans"/>
                    </w:rPr>
                    <w:t>聚酯树脂胶</w:t>
                  </w:r>
                  <w:r>
                    <w:rPr>
                      <w:color w:val="auto"/>
                      <w:highlight w:val="none"/>
                      <w:lang w:eastAsia="zh-Hans"/>
                    </w:rPr>
                    <w:t>1.3</w:t>
                  </w:r>
                </w:p>
              </w:tc>
              <w:tc>
                <w:tcPr>
                  <w:tcW w:w="597" w:type="pct"/>
                  <w:tcBorders>
                    <w:tl2br w:val="nil"/>
                    <w:tr2bl w:val="nil"/>
                  </w:tcBorders>
                  <w:noWrap/>
                  <w:vAlign w:val="center"/>
                </w:tcPr>
                <w:p w14:paraId="618C4DC6">
                  <w:pPr>
                    <w:pStyle w:val="89"/>
                    <w:rPr>
                      <w:color w:val="auto"/>
                      <w:highlight w:val="none"/>
                      <w:lang w:eastAsia="zh-Hans"/>
                    </w:rPr>
                  </w:pPr>
                  <w:r>
                    <w:rPr>
                      <w:rFonts w:hint="eastAsia"/>
                      <w:color w:val="auto"/>
                      <w:highlight w:val="none"/>
                      <w:lang w:eastAsia="zh-Hans"/>
                    </w:rPr>
                    <w:t>二甲苯</w:t>
                  </w:r>
                </w:p>
              </w:tc>
              <w:tc>
                <w:tcPr>
                  <w:tcW w:w="957" w:type="pct"/>
                  <w:tcBorders>
                    <w:tl2br w:val="nil"/>
                    <w:tr2bl w:val="nil"/>
                  </w:tcBorders>
                  <w:noWrap/>
                  <w:vAlign w:val="center"/>
                </w:tcPr>
                <w:p w14:paraId="40D6A97F">
                  <w:pPr>
                    <w:pStyle w:val="89"/>
                    <w:rPr>
                      <w:color w:val="auto"/>
                      <w:highlight w:val="none"/>
                    </w:rPr>
                  </w:pPr>
                  <w:r>
                    <w:rPr>
                      <w:color w:val="auto"/>
                      <w:highlight w:val="none"/>
                    </w:rPr>
                    <w:t>0.0039</w:t>
                  </w:r>
                </w:p>
              </w:tc>
              <w:tc>
                <w:tcPr>
                  <w:tcW w:w="834" w:type="pct"/>
                  <w:tcBorders>
                    <w:tl2br w:val="nil"/>
                    <w:tr2bl w:val="nil"/>
                  </w:tcBorders>
                  <w:noWrap/>
                  <w:vAlign w:val="center"/>
                </w:tcPr>
                <w:p w14:paraId="7DC1215E">
                  <w:pPr>
                    <w:pStyle w:val="89"/>
                    <w:rPr>
                      <w:color w:val="auto"/>
                      <w:highlight w:val="none"/>
                    </w:rPr>
                  </w:pPr>
                  <w:r>
                    <w:rPr>
                      <w:color w:val="auto"/>
                      <w:highlight w:val="none"/>
                    </w:rPr>
                    <w:t>成品</w:t>
                  </w:r>
                </w:p>
              </w:tc>
              <w:tc>
                <w:tcPr>
                  <w:tcW w:w="1569" w:type="pct"/>
                  <w:tcBorders>
                    <w:tl2br w:val="nil"/>
                    <w:tr2bl w:val="nil"/>
                  </w:tcBorders>
                  <w:noWrap/>
                  <w:vAlign w:val="center"/>
                </w:tcPr>
                <w:p w14:paraId="328CF3F4">
                  <w:pPr>
                    <w:pStyle w:val="89"/>
                    <w:rPr>
                      <w:color w:val="auto"/>
                      <w:highlight w:val="none"/>
                    </w:rPr>
                  </w:pPr>
                  <w:r>
                    <w:rPr>
                      <w:color w:val="auto"/>
                      <w:highlight w:val="none"/>
                    </w:rPr>
                    <w:t>0</w:t>
                  </w:r>
                </w:p>
              </w:tc>
            </w:tr>
            <w:tr w14:paraId="613D8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2" w:type="pct"/>
                  <w:tcBorders>
                    <w:tl2br w:val="nil"/>
                    <w:tr2bl w:val="nil"/>
                  </w:tcBorders>
                  <w:noWrap/>
                  <w:vAlign w:val="center"/>
                </w:tcPr>
                <w:p w14:paraId="08A78376">
                  <w:pPr>
                    <w:pStyle w:val="89"/>
                    <w:rPr>
                      <w:color w:val="auto"/>
                      <w:highlight w:val="none"/>
                    </w:rPr>
                  </w:pPr>
                </w:p>
              </w:tc>
              <w:tc>
                <w:tcPr>
                  <w:tcW w:w="597" w:type="pct"/>
                  <w:tcBorders>
                    <w:tl2br w:val="nil"/>
                    <w:tr2bl w:val="nil"/>
                  </w:tcBorders>
                  <w:noWrap/>
                  <w:vAlign w:val="center"/>
                </w:tcPr>
                <w:p w14:paraId="7FFB96EF">
                  <w:pPr>
                    <w:pStyle w:val="89"/>
                    <w:rPr>
                      <w:color w:val="auto"/>
                      <w:highlight w:val="none"/>
                    </w:rPr>
                  </w:pPr>
                </w:p>
              </w:tc>
              <w:tc>
                <w:tcPr>
                  <w:tcW w:w="957" w:type="pct"/>
                  <w:tcBorders>
                    <w:tl2br w:val="nil"/>
                    <w:tr2bl w:val="nil"/>
                  </w:tcBorders>
                  <w:noWrap/>
                  <w:vAlign w:val="center"/>
                </w:tcPr>
                <w:p w14:paraId="3C9BDC12">
                  <w:pPr>
                    <w:pStyle w:val="89"/>
                    <w:rPr>
                      <w:color w:val="auto"/>
                      <w:highlight w:val="none"/>
                    </w:rPr>
                  </w:pPr>
                </w:p>
              </w:tc>
              <w:tc>
                <w:tcPr>
                  <w:tcW w:w="834" w:type="pct"/>
                  <w:tcBorders>
                    <w:tl2br w:val="nil"/>
                    <w:tr2bl w:val="nil"/>
                  </w:tcBorders>
                  <w:noWrap/>
                  <w:vAlign w:val="center"/>
                </w:tcPr>
                <w:p w14:paraId="32D444DC">
                  <w:pPr>
                    <w:pStyle w:val="89"/>
                    <w:rPr>
                      <w:color w:val="auto"/>
                      <w:highlight w:val="none"/>
                    </w:rPr>
                  </w:pPr>
                  <w:r>
                    <w:rPr>
                      <w:color w:val="auto"/>
                      <w:highlight w:val="none"/>
                    </w:rPr>
                    <w:t>废气</w:t>
                  </w:r>
                </w:p>
              </w:tc>
              <w:tc>
                <w:tcPr>
                  <w:tcW w:w="1569" w:type="pct"/>
                  <w:tcBorders>
                    <w:tl2br w:val="nil"/>
                    <w:tr2bl w:val="nil"/>
                  </w:tcBorders>
                  <w:noWrap/>
                  <w:vAlign w:val="center"/>
                </w:tcPr>
                <w:p w14:paraId="17649F59">
                  <w:pPr>
                    <w:pStyle w:val="89"/>
                    <w:rPr>
                      <w:color w:val="auto"/>
                      <w:highlight w:val="none"/>
                    </w:rPr>
                  </w:pPr>
                  <w:r>
                    <w:rPr>
                      <w:color w:val="auto"/>
                      <w:highlight w:val="none"/>
                    </w:rPr>
                    <w:t>0.0039</w:t>
                  </w:r>
                </w:p>
              </w:tc>
            </w:tr>
            <w:tr w14:paraId="779E6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2" w:type="pct"/>
                  <w:tcBorders>
                    <w:tl2br w:val="nil"/>
                    <w:tr2bl w:val="nil"/>
                  </w:tcBorders>
                  <w:noWrap/>
                  <w:vAlign w:val="center"/>
                </w:tcPr>
                <w:p w14:paraId="27483E15">
                  <w:pPr>
                    <w:pStyle w:val="89"/>
                    <w:rPr>
                      <w:color w:val="auto"/>
                      <w:highlight w:val="none"/>
                    </w:rPr>
                  </w:pPr>
                </w:p>
              </w:tc>
              <w:tc>
                <w:tcPr>
                  <w:tcW w:w="597" w:type="pct"/>
                  <w:tcBorders>
                    <w:tl2br w:val="nil"/>
                    <w:tr2bl w:val="nil"/>
                  </w:tcBorders>
                  <w:noWrap/>
                  <w:vAlign w:val="center"/>
                </w:tcPr>
                <w:p w14:paraId="13639F6C">
                  <w:pPr>
                    <w:pStyle w:val="89"/>
                    <w:rPr>
                      <w:color w:val="auto"/>
                      <w:highlight w:val="none"/>
                    </w:rPr>
                  </w:pPr>
                </w:p>
              </w:tc>
              <w:tc>
                <w:tcPr>
                  <w:tcW w:w="957" w:type="pct"/>
                  <w:tcBorders>
                    <w:tl2br w:val="nil"/>
                    <w:tr2bl w:val="nil"/>
                  </w:tcBorders>
                  <w:noWrap/>
                  <w:vAlign w:val="center"/>
                </w:tcPr>
                <w:p w14:paraId="24894C73">
                  <w:pPr>
                    <w:pStyle w:val="89"/>
                    <w:rPr>
                      <w:color w:val="auto"/>
                      <w:highlight w:val="none"/>
                    </w:rPr>
                  </w:pPr>
                </w:p>
              </w:tc>
              <w:tc>
                <w:tcPr>
                  <w:tcW w:w="834" w:type="pct"/>
                  <w:tcBorders>
                    <w:tl2br w:val="nil"/>
                    <w:tr2bl w:val="nil"/>
                  </w:tcBorders>
                  <w:noWrap/>
                  <w:vAlign w:val="center"/>
                </w:tcPr>
                <w:p w14:paraId="2E8CF46C">
                  <w:pPr>
                    <w:pStyle w:val="89"/>
                    <w:rPr>
                      <w:color w:val="auto"/>
                      <w:highlight w:val="none"/>
                    </w:rPr>
                  </w:pPr>
                  <w:r>
                    <w:rPr>
                      <w:color w:val="auto"/>
                      <w:highlight w:val="none"/>
                    </w:rPr>
                    <w:t>废水</w:t>
                  </w:r>
                </w:p>
              </w:tc>
              <w:tc>
                <w:tcPr>
                  <w:tcW w:w="1569" w:type="pct"/>
                  <w:tcBorders>
                    <w:tl2br w:val="nil"/>
                    <w:tr2bl w:val="nil"/>
                  </w:tcBorders>
                  <w:noWrap/>
                  <w:vAlign w:val="center"/>
                </w:tcPr>
                <w:p w14:paraId="477E2FF9">
                  <w:pPr>
                    <w:pStyle w:val="89"/>
                    <w:rPr>
                      <w:color w:val="auto"/>
                      <w:highlight w:val="none"/>
                    </w:rPr>
                  </w:pPr>
                  <w:r>
                    <w:rPr>
                      <w:color w:val="auto"/>
                      <w:highlight w:val="none"/>
                    </w:rPr>
                    <w:t>0</w:t>
                  </w:r>
                </w:p>
              </w:tc>
            </w:tr>
            <w:tr w14:paraId="08BAB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2" w:type="pct"/>
                  <w:tcBorders>
                    <w:tl2br w:val="nil"/>
                    <w:tr2bl w:val="nil"/>
                  </w:tcBorders>
                  <w:noWrap/>
                  <w:vAlign w:val="center"/>
                </w:tcPr>
                <w:p w14:paraId="7FA9EBDF">
                  <w:pPr>
                    <w:jc w:val="center"/>
                    <w:rPr>
                      <w:color w:val="auto"/>
                      <w:szCs w:val="21"/>
                      <w:highlight w:val="none"/>
                    </w:rPr>
                  </w:pPr>
                </w:p>
              </w:tc>
              <w:tc>
                <w:tcPr>
                  <w:tcW w:w="597" w:type="pct"/>
                  <w:tcBorders>
                    <w:tl2br w:val="nil"/>
                    <w:tr2bl w:val="nil"/>
                  </w:tcBorders>
                  <w:noWrap/>
                  <w:vAlign w:val="center"/>
                </w:tcPr>
                <w:p w14:paraId="23AAC3C6">
                  <w:pPr>
                    <w:jc w:val="center"/>
                    <w:rPr>
                      <w:color w:val="auto"/>
                      <w:szCs w:val="21"/>
                      <w:highlight w:val="none"/>
                    </w:rPr>
                  </w:pPr>
                </w:p>
              </w:tc>
              <w:tc>
                <w:tcPr>
                  <w:tcW w:w="957" w:type="pct"/>
                  <w:tcBorders>
                    <w:tl2br w:val="nil"/>
                    <w:tr2bl w:val="nil"/>
                  </w:tcBorders>
                  <w:noWrap/>
                  <w:vAlign w:val="center"/>
                </w:tcPr>
                <w:p w14:paraId="74FC9B01">
                  <w:pPr>
                    <w:pStyle w:val="89"/>
                    <w:rPr>
                      <w:color w:val="auto"/>
                      <w:highlight w:val="none"/>
                    </w:rPr>
                  </w:pPr>
                </w:p>
              </w:tc>
              <w:tc>
                <w:tcPr>
                  <w:tcW w:w="834" w:type="pct"/>
                  <w:tcBorders>
                    <w:tl2br w:val="nil"/>
                    <w:tr2bl w:val="nil"/>
                  </w:tcBorders>
                  <w:noWrap/>
                  <w:vAlign w:val="center"/>
                </w:tcPr>
                <w:p w14:paraId="7D38B6A6">
                  <w:pPr>
                    <w:pStyle w:val="89"/>
                    <w:rPr>
                      <w:color w:val="auto"/>
                      <w:highlight w:val="none"/>
                    </w:rPr>
                  </w:pPr>
                  <w:r>
                    <w:rPr>
                      <w:color w:val="auto"/>
                      <w:highlight w:val="none"/>
                    </w:rPr>
                    <w:t>固废</w:t>
                  </w:r>
                </w:p>
              </w:tc>
              <w:tc>
                <w:tcPr>
                  <w:tcW w:w="1569" w:type="pct"/>
                  <w:tcBorders>
                    <w:tl2br w:val="nil"/>
                    <w:tr2bl w:val="nil"/>
                  </w:tcBorders>
                  <w:noWrap/>
                  <w:vAlign w:val="center"/>
                </w:tcPr>
                <w:p w14:paraId="165840CF">
                  <w:pPr>
                    <w:pStyle w:val="89"/>
                    <w:rPr>
                      <w:color w:val="auto"/>
                      <w:highlight w:val="none"/>
                    </w:rPr>
                  </w:pPr>
                  <w:r>
                    <w:rPr>
                      <w:rFonts w:hint="eastAsia"/>
                      <w:color w:val="auto"/>
                      <w:highlight w:val="none"/>
                    </w:rPr>
                    <w:t>0</w:t>
                  </w:r>
                </w:p>
              </w:tc>
            </w:tr>
            <w:tr w14:paraId="5C4BA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39" w:type="pct"/>
                  <w:gridSpan w:val="2"/>
                  <w:tcBorders>
                    <w:tl2br w:val="nil"/>
                    <w:tr2bl w:val="nil"/>
                  </w:tcBorders>
                  <w:noWrap/>
                  <w:vAlign w:val="center"/>
                </w:tcPr>
                <w:p w14:paraId="2D7AA00F">
                  <w:pPr>
                    <w:pStyle w:val="89"/>
                    <w:rPr>
                      <w:color w:val="auto"/>
                      <w:highlight w:val="none"/>
                    </w:rPr>
                  </w:pPr>
                  <w:r>
                    <w:rPr>
                      <w:color w:val="auto"/>
                      <w:highlight w:val="none"/>
                    </w:rPr>
                    <w:t>合计</w:t>
                  </w:r>
                </w:p>
              </w:tc>
              <w:tc>
                <w:tcPr>
                  <w:tcW w:w="957" w:type="pct"/>
                  <w:tcBorders>
                    <w:tl2br w:val="nil"/>
                    <w:tr2bl w:val="nil"/>
                  </w:tcBorders>
                  <w:noWrap/>
                  <w:vAlign w:val="center"/>
                </w:tcPr>
                <w:p w14:paraId="30393667">
                  <w:pPr>
                    <w:pStyle w:val="89"/>
                    <w:rPr>
                      <w:color w:val="auto"/>
                      <w:highlight w:val="none"/>
                    </w:rPr>
                  </w:pPr>
                  <w:r>
                    <w:rPr>
                      <w:color w:val="auto"/>
                      <w:highlight w:val="none"/>
                    </w:rPr>
                    <w:t>0.0039</w:t>
                  </w:r>
                </w:p>
              </w:tc>
              <w:tc>
                <w:tcPr>
                  <w:tcW w:w="834" w:type="pct"/>
                  <w:tcBorders>
                    <w:tl2br w:val="nil"/>
                    <w:tr2bl w:val="nil"/>
                  </w:tcBorders>
                  <w:noWrap/>
                  <w:vAlign w:val="center"/>
                </w:tcPr>
                <w:p w14:paraId="0BB1CEAF">
                  <w:pPr>
                    <w:pStyle w:val="89"/>
                    <w:rPr>
                      <w:color w:val="auto"/>
                      <w:highlight w:val="none"/>
                    </w:rPr>
                  </w:pPr>
                  <w:r>
                    <w:rPr>
                      <w:color w:val="auto"/>
                      <w:highlight w:val="none"/>
                    </w:rPr>
                    <w:t>合计</w:t>
                  </w:r>
                </w:p>
              </w:tc>
              <w:tc>
                <w:tcPr>
                  <w:tcW w:w="1569" w:type="pct"/>
                  <w:tcBorders>
                    <w:tl2br w:val="nil"/>
                    <w:tr2bl w:val="nil"/>
                  </w:tcBorders>
                  <w:noWrap/>
                  <w:vAlign w:val="center"/>
                </w:tcPr>
                <w:p w14:paraId="07FB7A50">
                  <w:pPr>
                    <w:pStyle w:val="89"/>
                    <w:rPr>
                      <w:color w:val="auto"/>
                      <w:highlight w:val="none"/>
                    </w:rPr>
                  </w:pPr>
                  <w:r>
                    <w:rPr>
                      <w:color w:val="auto"/>
                      <w:highlight w:val="none"/>
                    </w:rPr>
                    <w:t>0.0039</w:t>
                  </w:r>
                </w:p>
              </w:tc>
            </w:tr>
          </w:tbl>
          <w:p w14:paraId="3CA87970">
            <w:pPr>
              <w:adjustRightInd w:val="0"/>
              <w:snapToGrid w:val="0"/>
              <w:spacing w:before="120" w:beforeLines="50" w:line="360" w:lineRule="auto"/>
              <w:jc w:val="center"/>
              <w:rPr>
                <w:color w:val="auto"/>
                <w:highlight w:val="none"/>
              </w:rPr>
            </w:pPr>
            <w:r>
              <w:rPr>
                <w:color w:val="auto"/>
              </w:rPr>
              <w:drawing>
                <wp:inline distT="0" distB="0" distL="114300" distR="114300">
                  <wp:extent cx="5801360" cy="1849120"/>
                  <wp:effectExtent l="0" t="0" r="15240" b="50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5801360" cy="1849120"/>
                          </a:xfrm>
                          <a:prstGeom prst="rect">
                            <a:avLst/>
                          </a:prstGeom>
                          <a:noFill/>
                          <a:ln w="9525">
                            <a:noFill/>
                          </a:ln>
                        </pic:spPr>
                      </pic:pic>
                    </a:graphicData>
                  </a:graphic>
                </wp:inline>
              </w:drawing>
            </w:r>
          </w:p>
          <w:p w14:paraId="29269665">
            <w:pPr>
              <w:pStyle w:val="2"/>
              <w:ind w:left="0" w:leftChars="0" w:firstLine="0" w:firstLineChars="0"/>
              <w:jc w:val="center"/>
              <w:rPr>
                <w:color w:val="auto"/>
                <w:highlight w:val="none"/>
                <w:lang w:eastAsia="zh-Hans"/>
              </w:rPr>
            </w:pPr>
            <w:r>
              <w:rPr>
                <w:rFonts w:hint="eastAsia" w:hAnsi="宋体"/>
                <w:b/>
                <w:bCs/>
                <w:snapToGrid w:val="0"/>
                <w:color w:val="auto"/>
                <w:sz w:val="24"/>
                <w:highlight w:val="none"/>
              </w:rPr>
              <w:t>图2-</w:t>
            </w:r>
            <w:r>
              <w:rPr>
                <w:rFonts w:hAnsi="宋体"/>
                <w:b/>
                <w:bCs/>
                <w:snapToGrid w:val="0"/>
                <w:color w:val="auto"/>
                <w:sz w:val="24"/>
                <w:highlight w:val="none"/>
              </w:rPr>
              <w:t xml:space="preserve">4 </w:t>
            </w:r>
            <w:r>
              <w:rPr>
                <w:rFonts w:hint="eastAsia" w:hAnsi="宋体"/>
                <w:b/>
                <w:bCs/>
                <w:snapToGrid w:val="0"/>
                <w:color w:val="auto"/>
                <w:sz w:val="24"/>
                <w:highlight w:val="none"/>
              </w:rPr>
              <w:t xml:space="preserve"> </w:t>
            </w:r>
            <w:r>
              <w:rPr>
                <w:rFonts w:hint="eastAsia" w:hAnsi="宋体"/>
                <w:b/>
                <w:bCs/>
                <w:snapToGrid w:val="0"/>
                <w:color w:val="auto"/>
                <w:sz w:val="24"/>
                <w:highlight w:val="none"/>
                <w:lang w:val="en-US" w:eastAsia="zh-Hans"/>
              </w:rPr>
              <w:t>二甲苯</w:t>
            </w:r>
            <w:r>
              <w:rPr>
                <w:rFonts w:hint="eastAsia" w:hAnsi="宋体"/>
                <w:b/>
                <w:bCs/>
                <w:snapToGrid w:val="0"/>
                <w:color w:val="auto"/>
                <w:sz w:val="24"/>
                <w:highlight w:val="none"/>
              </w:rPr>
              <w:t>平衡图（t/a）</w:t>
            </w:r>
          </w:p>
          <w:p w14:paraId="10359376">
            <w:pPr>
              <w:adjustRightInd w:val="0"/>
              <w:snapToGrid w:val="0"/>
              <w:spacing w:line="360" w:lineRule="auto"/>
              <w:jc w:val="left"/>
              <w:rPr>
                <w:b/>
                <w:color w:val="auto"/>
                <w:sz w:val="24"/>
                <w:highlight w:val="none"/>
              </w:rPr>
            </w:pPr>
            <w:r>
              <w:rPr>
                <w:rFonts w:hint="eastAsia" w:hAnsi="宋体"/>
                <w:b/>
                <w:color w:val="auto"/>
                <w:sz w:val="24"/>
                <w:highlight w:val="none"/>
              </w:rPr>
              <w:t>6、</w:t>
            </w:r>
            <w:r>
              <w:rPr>
                <w:rFonts w:hAnsi="宋体"/>
                <w:b/>
                <w:color w:val="auto"/>
                <w:sz w:val="24"/>
                <w:highlight w:val="none"/>
              </w:rPr>
              <w:t>项目用排水平衡</w:t>
            </w:r>
          </w:p>
          <w:p w14:paraId="47F82643">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现有项目实际员工人数40人，本次改建项目需新增员工60人，则改建项目建成后，全厂员工人数共计100人，新增生活用水</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rPr>
              <w:t>本项目焊接工段需对电焊设备进行间接冷却，使用外购纯水经冷却机制冷，冷却水经电焊设备降温管道循环使用，对电焊设备进行间接冷却，新增循环冷却水</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本项目使用冷却塔对循环冷却水进行间接冷却，冷却水循环使用，新增冷却塔强排水</w:t>
            </w:r>
            <w:r>
              <w:rPr>
                <w:rFonts w:hint="eastAsia" w:hAnsi="宋体"/>
                <w:snapToGrid w:val="0"/>
                <w:color w:val="auto"/>
                <w:kern w:val="0"/>
                <w:sz w:val="24"/>
                <w:highlight w:val="none"/>
              </w:rPr>
              <w:t>。</w:t>
            </w:r>
          </w:p>
          <w:p w14:paraId="5BA0956A">
            <w:pPr>
              <w:numPr>
                <w:ilvl w:val="0"/>
                <w:numId w:val="6"/>
              </w:numPr>
              <w:adjustRightInd w:val="0"/>
              <w:snapToGrid w:val="0"/>
              <w:spacing w:line="360" w:lineRule="auto"/>
              <w:ind w:firstLine="480" w:firstLineChars="200"/>
              <w:rPr>
                <w:rFonts w:hAnsi="宋体"/>
                <w:bCs/>
                <w:snapToGrid w:val="0"/>
                <w:color w:val="auto"/>
                <w:kern w:val="0"/>
                <w:sz w:val="24"/>
                <w:highlight w:val="none"/>
              </w:rPr>
            </w:pPr>
            <w:r>
              <w:rPr>
                <w:rFonts w:hint="eastAsia" w:hAnsi="宋体"/>
                <w:bCs/>
                <w:snapToGrid w:val="0"/>
                <w:color w:val="auto"/>
                <w:kern w:val="0"/>
                <w:sz w:val="24"/>
                <w:highlight w:val="none"/>
              </w:rPr>
              <w:t>生活用水</w:t>
            </w:r>
          </w:p>
          <w:p w14:paraId="45126400">
            <w:pPr>
              <w:adjustRightInd w:val="0"/>
              <w:snapToGrid w:val="0"/>
              <w:spacing w:line="360" w:lineRule="auto"/>
              <w:ind w:firstLine="480" w:firstLineChars="200"/>
              <w:rPr>
                <w:color w:val="auto"/>
                <w:highlight w:val="none"/>
              </w:rPr>
            </w:pPr>
            <w:r>
              <w:rPr>
                <w:rFonts w:hAnsi="宋体"/>
                <w:snapToGrid w:val="0"/>
                <w:color w:val="auto"/>
                <w:kern w:val="0"/>
                <w:sz w:val="24"/>
                <w:highlight w:val="none"/>
              </w:rPr>
              <w:t>本项目</w:t>
            </w:r>
            <w:r>
              <w:rPr>
                <w:rFonts w:hint="eastAsia" w:hAnsi="宋体"/>
                <w:snapToGrid w:val="0"/>
                <w:color w:val="auto"/>
                <w:kern w:val="0"/>
                <w:sz w:val="24"/>
                <w:highlight w:val="none"/>
              </w:rPr>
              <w:t>新增员工60</w:t>
            </w:r>
            <w:r>
              <w:rPr>
                <w:rFonts w:hAnsi="宋体"/>
                <w:snapToGrid w:val="0"/>
                <w:color w:val="auto"/>
                <w:kern w:val="0"/>
                <w:sz w:val="24"/>
                <w:highlight w:val="none"/>
              </w:rPr>
              <w:t>人</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现有项目实际员工</w:t>
            </w:r>
            <w:r>
              <w:rPr>
                <w:rFonts w:hint="default" w:hAnsi="宋体"/>
                <w:snapToGrid w:val="0"/>
                <w:color w:val="auto"/>
                <w:kern w:val="0"/>
                <w:sz w:val="24"/>
                <w:highlight w:val="none"/>
                <w:lang w:eastAsia="zh-Hans"/>
              </w:rPr>
              <w:t>40</w:t>
            </w:r>
            <w:r>
              <w:rPr>
                <w:rFonts w:hint="eastAsia" w:hAnsi="宋体"/>
                <w:snapToGrid w:val="0"/>
                <w:color w:val="auto"/>
                <w:kern w:val="0"/>
                <w:sz w:val="24"/>
                <w:highlight w:val="none"/>
                <w:lang w:val="en-US" w:eastAsia="zh-Hans"/>
              </w:rPr>
              <w:t>人，因此全厂员工</w:t>
            </w:r>
            <w:r>
              <w:rPr>
                <w:rFonts w:hint="default" w:hAnsi="宋体"/>
                <w:snapToGrid w:val="0"/>
                <w:color w:val="auto"/>
                <w:kern w:val="0"/>
                <w:sz w:val="24"/>
                <w:highlight w:val="none"/>
                <w:lang w:eastAsia="zh-Hans"/>
              </w:rPr>
              <w:t>100</w:t>
            </w:r>
            <w:r>
              <w:rPr>
                <w:rFonts w:hint="eastAsia" w:hAnsi="宋体"/>
                <w:snapToGrid w:val="0"/>
                <w:color w:val="auto"/>
                <w:kern w:val="0"/>
                <w:sz w:val="24"/>
                <w:highlight w:val="none"/>
                <w:lang w:val="en-US" w:eastAsia="zh-Hans"/>
              </w:rPr>
              <w:t>人</w:t>
            </w:r>
            <w:r>
              <w:rPr>
                <w:rFonts w:hAnsi="宋体"/>
                <w:snapToGrid w:val="0"/>
                <w:color w:val="auto"/>
                <w:kern w:val="0"/>
                <w:sz w:val="24"/>
                <w:highlight w:val="none"/>
              </w:rPr>
              <w:t>，年工作</w:t>
            </w:r>
            <w:r>
              <w:rPr>
                <w:rFonts w:hint="eastAsia" w:hAnsi="宋体"/>
                <w:snapToGrid w:val="0"/>
                <w:color w:val="auto"/>
                <w:kern w:val="0"/>
                <w:sz w:val="24"/>
                <w:highlight w:val="none"/>
              </w:rPr>
              <w:t>300</w:t>
            </w:r>
            <w:r>
              <w:rPr>
                <w:rFonts w:hAnsi="宋体"/>
                <w:snapToGrid w:val="0"/>
                <w:color w:val="auto"/>
                <w:kern w:val="0"/>
                <w:sz w:val="24"/>
                <w:highlight w:val="none"/>
              </w:rPr>
              <w:t>天，不设宿舍，根据《建筑给水排水设计规范》（GB50015-2019），员工生活用水定额为每人每日30~50L，本报告采用50L/人·日计，则本项目员工生活用水量为</w:t>
            </w:r>
            <w:r>
              <w:rPr>
                <w:rFonts w:hint="default" w:hAnsi="宋体"/>
                <w:snapToGrid w:val="0"/>
                <w:color w:val="auto"/>
                <w:kern w:val="0"/>
                <w:sz w:val="24"/>
                <w:highlight w:val="none"/>
              </w:rPr>
              <w:t>15</w:t>
            </w:r>
            <w:r>
              <w:rPr>
                <w:rFonts w:hint="eastAsia" w:hAnsi="宋体"/>
                <w:snapToGrid w:val="0"/>
                <w:color w:val="auto"/>
                <w:kern w:val="0"/>
                <w:sz w:val="24"/>
                <w:highlight w:val="none"/>
              </w:rPr>
              <w:t>00</w:t>
            </w:r>
            <w:r>
              <w:rPr>
                <w:rFonts w:hAnsi="宋体"/>
                <w:snapToGrid w:val="0"/>
                <w:color w:val="auto"/>
                <w:kern w:val="0"/>
                <w:sz w:val="24"/>
                <w:highlight w:val="none"/>
              </w:rPr>
              <w:t>t/a，排污系数以0.8计，故本项目生活污水产生量为120</w:t>
            </w:r>
            <w:r>
              <w:rPr>
                <w:rFonts w:hint="eastAsia" w:hAnsi="宋体"/>
                <w:snapToGrid w:val="0"/>
                <w:color w:val="auto"/>
                <w:kern w:val="0"/>
                <w:sz w:val="24"/>
                <w:highlight w:val="none"/>
              </w:rPr>
              <w:t>0</w:t>
            </w:r>
            <w:r>
              <w:rPr>
                <w:rFonts w:hAnsi="宋体"/>
                <w:snapToGrid w:val="0"/>
                <w:color w:val="auto"/>
                <w:kern w:val="0"/>
                <w:sz w:val="24"/>
                <w:highlight w:val="none"/>
              </w:rPr>
              <w:t>t/a。</w:t>
            </w:r>
          </w:p>
          <w:p w14:paraId="202B8D78">
            <w:pPr>
              <w:adjustRightInd w:val="0"/>
              <w:snapToGrid w:val="0"/>
              <w:spacing w:line="360" w:lineRule="auto"/>
              <w:ind w:firstLine="480" w:firstLineChars="200"/>
              <w:rPr>
                <w:rFonts w:hAnsi="宋体"/>
                <w:snapToGrid w:val="0"/>
                <w:color w:val="auto"/>
                <w:kern w:val="0"/>
                <w:sz w:val="24"/>
                <w:highlight w:val="none"/>
              </w:rPr>
            </w:pPr>
            <w:r>
              <w:rPr>
                <w:rFonts w:hint="eastAsia" w:hAnsi="宋体"/>
                <w:bCs/>
                <w:snapToGrid w:val="0"/>
                <w:color w:val="auto"/>
                <w:kern w:val="0"/>
                <w:sz w:val="24"/>
                <w:highlight w:val="none"/>
              </w:rPr>
              <w:t>（2）冷却机制</w:t>
            </w:r>
            <w:r>
              <w:rPr>
                <w:rFonts w:hAnsi="宋体"/>
                <w:snapToGrid w:val="0"/>
                <w:color w:val="auto"/>
                <w:kern w:val="0"/>
                <w:sz w:val="24"/>
                <w:highlight w:val="none"/>
              </w:rPr>
              <w:t>循环冷却水</w:t>
            </w:r>
          </w:p>
          <w:p w14:paraId="53FFC719">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lang w:val="en-US" w:eastAsia="zh-Hans"/>
              </w:rPr>
              <w:t>本</w:t>
            </w:r>
            <w:r>
              <w:rPr>
                <w:rFonts w:hint="eastAsia" w:hAnsi="宋体"/>
                <w:color w:val="auto"/>
                <w:sz w:val="24"/>
                <w:highlight w:val="none"/>
              </w:rPr>
              <w:t>项目需要用冷却水对电焊设备进行间接冷却，外购纯水经冷却机制得冷却水，冷却机水泵流量为</w:t>
            </w:r>
            <w:r>
              <w:rPr>
                <w:rFonts w:hAnsi="宋体"/>
                <w:color w:val="auto"/>
                <w:sz w:val="24"/>
                <w:highlight w:val="none"/>
              </w:rPr>
              <w:t xml:space="preserve"> 5</w:t>
            </w:r>
            <w:r>
              <w:rPr>
                <w:rFonts w:hint="eastAsia" w:hAnsi="宋体"/>
                <w:color w:val="auto"/>
                <w:sz w:val="24"/>
                <w:highlight w:val="none"/>
              </w:rPr>
              <w:t>0</w:t>
            </w:r>
            <w:r>
              <w:rPr>
                <w:rFonts w:hAnsi="宋体"/>
                <w:color w:val="auto"/>
                <w:sz w:val="24"/>
                <w:highlight w:val="none"/>
              </w:rPr>
              <w:t>m</w:t>
            </w:r>
            <w:r>
              <w:rPr>
                <w:rFonts w:hAnsi="宋体"/>
                <w:color w:val="auto"/>
                <w:sz w:val="24"/>
                <w:highlight w:val="none"/>
                <w:vertAlign w:val="superscript"/>
              </w:rPr>
              <w:t>3</w:t>
            </w:r>
            <w:r>
              <w:rPr>
                <w:rFonts w:hAnsi="宋体"/>
                <w:color w:val="auto"/>
                <w:sz w:val="24"/>
                <w:highlight w:val="none"/>
              </w:rPr>
              <w:t>/h</w:t>
            </w:r>
            <w:r>
              <w:rPr>
                <w:rFonts w:hint="eastAsia" w:hAnsi="宋体"/>
                <w:color w:val="auto"/>
                <w:sz w:val="24"/>
                <w:highlight w:val="none"/>
              </w:rPr>
              <w:t>，年工作</w:t>
            </w:r>
            <w:r>
              <w:rPr>
                <w:rFonts w:hAnsi="宋体"/>
                <w:color w:val="auto"/>
                <w:sz w:val="24"/>
                <w:highlight w:val="none"/>
              </w:rPr>
              <w:t xml:space="preserve"> 7200h</w:t>
            </w:r>
            <w:r>
              <w:rPr>
                <w:rFonts w:hint="eastAsia" w:hAnsi="宋体"/>
                <w:color w:val="auto"/>
                <w:sz w:val="24"/>
                <w:highlight w:val="none"/>
              </w:rPr>
              <w:t>，则循环水量360000</w:t>
            </w:r>
            <w:r>
              <w:rPr>
                <w:rFonts w:hAnsi="宋体"/>
                <w:color w:val="auto"/>
                <w:sz w:val="24"/>
                <w:highlight w:val="none"/>
              </w:rPr>
              <w:t>t/a</w:t>
            </w:r>
            <w:r>
              <w:rPr>
                <w:rFonts w:hint="eastAsia" w:hAnsi="宋体"/>
                <w:color w:val="auto"/>
                <w:sz w:val="24"/>
                <w:highlight w:val="none"/>
              </w:rPr>
              <w:t>，损耗量约占循环水量的</w:t>
            </w:r>
            <w:r>
              <w:rPr>
                <w:rFonts w:hAnsi="宋体"/>
                <w:color w:val="auto"/>
                <w:sz w:val="24"/>
                <w:highlight w:val="none"/>
              </w:rPr>
              <w:t xml:space="preserve"> </w:t>
            </w:r>
            <w:r>
              <w:rPr>
                <w:rFonts w:hint="eastAsia" w:hAnsi="宋体"/>
                <w:color w:val="auto"/>
                <w:sz w:val="24"/>
                <w:highlight w:val="none"/>
              </w:rPr>
              <w:t>0.1%，则损耗量为</w:t>
            </w:r>
            <w:r>
              <w:rPr>
                <w:rFonts w:hAnsi="宋体"/>
                <w:color w:val="auto"/>
                <w:sz w:val="24"/>
                <w:highlight w:val="none"/>
              </w:rPr>
              <w:t xml:space="preserve"> </w:t>
            </w:r>
            <w:r>
              <w:rPr>
                <w:rFonts w:hint="eastAsia" w:hAnsi="宋体"/>
                <w:color w:val="auto"/>
                <w:sz w:val="24"/>
                <w:highlight w:val="none"/>
              </w:rPr>
              <w:t>360</w:t>
            </w:r>
            <w:r>
              <w:rPr>
                <w:rFonts w:hAnsi="宋体"/>
                <w:color w:val="auto"/>
                <w:sz w:val="24"/>
                <w:highlight w:val="none"/>
              </w:rPr>
              <w:t>t/a</w:t>
            </w:r>
            <w:r>
              <w:rPr>
                <w:rFonts w:hint="eastAsia" w:hAnsi="宋体"/>
                <w:color w:val="auto"/>
                <w:sz w:val="24"/>
                <w:highlight w:val="none"/>
              </w:rPr>
              <w:t>。纯水直接外购</w:t>
            </w:r>
            <w:r>
              <w:rPr>
                <w:rFonts w:hAnsi="宋体"/>
                <w:color w:val="auto"/>
                <w:sz w:val="24"/>
                <w:highlight w:val="none"/>
              </w:rPr>
              <w:t>。</w:t>
            </w:r>
          </w:p>
          <w:p w14:paraId="0ABCB8B8">
            <w:pPr>
              <w:adjustRightInd w:val="0"/>
              <w:snapToGrid w:val="0"/>
              <w:spacing w:line="360" w:lineRule="auto"/>
              <w:ind w:firstLine="480" w:firstLineChars="200"/>
              <w:rPr>
                <w:rFonts w:hAnsi="宋体"/>
                <w:snapToGrid w:val="0"/>
                <w:color w:val="auto"/>
                <w:kern w:val="0"/>
                <w:sz w:val="24"/>
                <w:highlight w:val="none"/>
              </w:rPr>
            </w:pPr>
            <w:r>
              <w:rPr>
                <w:rFonts w:hint="eastAsia" w:hAnsi="宋体"/>
                <w:color w:val="auto"/>
                <w:sz w:val="24"/>
                <w:highlight w:val="none"/>
              </w:rPr>
              <w:t>现有项目</w:t>
            </w:r>
            <w:r>
              <w:rPr>
                <w:rFonts w:hAnsi="宋体"/>
                <w:color w:val="auto"/>
                <w:sz w:val="24"/>
                <w:highlight w:val="none"/>
              </w:rPr>
              <w:t>需要用纯水对电焊设备进行间接冷却，</w:t>
            </w:r>
            <w:r>
              <w:rPr>
                <w:rFonts w:hint="eastAsia" w:hAnsi="宋体"/>
                <w:color w:val="auto"/>
                <w:sz w:val="24"/>
                <w:highlight w:val="none"/>
              </w:rPr>
              <w:t>根据实际情况，每年约600吨自来水进入纯水制备浓水，根据</w:t>
            </w:r>
            <w:r>
              <w:rPr>
                <w:rFonts w:hAnsi="宋体"/>
                <w:color w:val="auto"/>
                <w:sz w:val="24"/>
                <w:highlight w:val="none"/>
              </w:rPr>
              <w:t>纯水制备率约</w:t>
            </w:r>
            <w:r>
              <w:rPr>
                <w:color w:val="auto"/>
                <w:sz w:val="24"/>
                <w:highlight w:val="none"/>
              </w:rPr>
              <w:t>60%</w:t>
            </w:r>
            <w:r>
              <w:rPr>
                <w:rFonts w:hAnsi="宋体"/>
                <w:color w:val="auto"/>
                <w:sz w:val="24"/>
                <w:highlight w:val="none"/>
              </w:rPr>
              <w:t>，</w:t>
            </w:r>
            <w:r>
              <w:rPr>
                <w:rFonts w:hint="eastAsia" w:hAnsi="宋体"/>
                <w:color w:val="auto"/>
                <w:sz w:val="24"/>
                <w:highlight w:val="none"/>
              </w:rPr>
              <w:t>制备纯水约360吨</w:t>
            </w:r>
            <w:r>
              <w:rPr>
                <w:rFonts w:hAnsi="宋体"/>
                <w:color w:val="auto"/>
                <w:sz w:val="24"/>
                <w:highlight w:val="none"/>
              </w:rPr>
              <w:t>，制备产生的弃水约</w:t>
            </w:r>
            <w:r>
              <w:rPr>
                <w:rFonts w:hint="eastAsia"/>
                <w:color w:val="auto"/>
                <w:sz w:val="24"/>
                <w:highlight w:val="none"/>
              </w:rPr>
              <w:t>240</w:t>
            </w:r>
            <w:r>
              <w:rPr>
                <w:color w:val="auto"/>
                <w:sz w:val="24"/>
                <w:highlight w:val="none"/>
              </w:rPr>
              <w:t>t/a</w:t>
            </w:r>
            <w:r>
              <w:rPr>
                <w:rFonts w:hAnsi="宋体"/>
                <w:color w:val="auto"/>
                <w:sz w:val="24"/>
                <w:highlight w:val="none"/>
              </w:rPr>
              <w:t>，</w:t>
            </w:r>
            <w:r>
              <w:rPr>
                <w:rFonts w:hint="eastAsia" w:hAnsi="宋体"/>
                <w:color w:val="auto"/>
                <w:sz w:val="24"/>
                <w:highlight w:val="none"/>
              </w:rPr>
              <w:t>弃水</w:t>
            </w:r>
            <w:r>
              <w:rPr>
                <w:rFonts w:hAnsi="宋体"/>
                <w:bCs/>
                <w:color w:val="auto"/>
                <w:sz w:val="24"/>
                <w:highlight w:val="none"/>
              </w:rPr>
              <w:t>接管东洲水处理有限公司集中处理</w:t>
            </w:r>
            <w:r>
              <w:rPr>
                <w:rFonts w:hAnsi="宋体"/>
                <w:color w:val="auto"/>
                <w:sz w:val="24"/>
                <w:szCs w:val="24"/>
                <w:highlight w:val="none"/>
                <w:lang w:val="en-US"/>
              </w:rPr>
              <w:t>。</w:t>
            </w:r>
          </w:p>
          <w:p w14:paraId="5D98C93E">
            <w:pPr>
              <w:adjustRightInd w:val="0"/>
              <w:snapToGrid w:val="0"/>
              <w:spacing w:line="360" w:lineRule="auto"/>
              <w:ind w:firstLine="480" w:firstLineChars="200"/>
              <w:rPr>
                <w:rStyle w:val="29"/>
                <w:color w:val="auto"/>
                <w:kern w:val="0"/>
                <w:szCs w:val="20"/>
                <w:highlight w:val="none"/>
                <w:lang w:val="zh-CN"/>
              </w:rPr>
            </w:pPr>
            <w:r>
              <w:rPr>
                <w:rFonts w:hint="eastAsia" w:hAnsi="宋体"/>
                <w:bCs/>
                <w:snapToGrid w:val="0"/>
                <w:color w:val="auto"/>
                <w:kern w:val="0"/>
                <w:sz w:val="24"/>
                <w:highlight w:val="none"/>
                <w:lang w:val="zh-CN" w:eastAsia="zh-Hans"/>
              </w:rPr>
              <w:t>（</w:t>
            </w:r>
            <w:r>
              <w:rPr>
                <w:rFonts w:hint="default" w:hAnsi="宋体"/>
                <w:bCs/>
                <w:snapToGrid w:val="0"/>
                <w:color w:val="auto"/>
                <w:kern w:val="0"/>
                <w:sz w:val="24"/>
                <w:highlight w:val="none"/>
                <w:lang w:eastAsia="zh-Hans"/>
              </w:rPr>
              <w:t>3</w:t>
            </w:r>
            <w:r>
              <w:rPr>
                <w:rFonts w:hint="eastAsia" w:hAnsi="宋体"/>
                <w:bCs/>
                <w:snapToGrid w:val="0"/>
                <w:color w:val="auto"/>
                <w:kern w:val="0"/>
                <w:sz w:val="24"/>
                <w:highlight w:val="none"/>
                <w:lang w:val="zh-CN" w:eastAsia="zh-Hans"/>
              </w:rPr>
              <w:t>）</w:t>
            </w:r>
            <w:r>
              <w:rPr>
                <w:rFonts w:hint="eastAsia" w:hAnsi="宋体"/>
                <w:bCs/>
                <w:snapToGrid w:val="0"/>
                <w:color w:val="auto"/>
                <w:kern w:val="0"/>
                <w:sz w:val="24"/>
                <w:highlight w:val="none"/>
                <w:lang w:val="en-US" w:eastAsia="zh-Hans"/>
              </w:rPr>
              <w:t>冷却塔排水</w:t>
            </w:r>
          </w:p>
          <w:p w14:paraId="374A1C0D">
            <w:pPr>
              <w:adjustRightInd w:val="0"/>
              <w:snapToGrid w:val="0"/>
              <w:spacing w:line="360" w:lineRule="auto"/>
              <w:ind w:firstLine="480" w:firstLineChars="200"/>
              <w:rPr>
                <w:rStyle w:val="29"/>
                <w:color w:val="auto"/>
                <w:kern w:val="0"/>
                <w:szCs w:val="20"/>
                <w:highlight w:val="none"/>
                <w:lang w:val="zh-CN"/>
              </w:rPr>
            </w:pPr>
            <w:r>
              <w:rPr>
                <w:rFonts w:hint="eastAsia" w:hAnsi="宋体"/>
                <w:color w:val="auto"/>
                <w:sz w:val="24"/>
                <w:highlight w:val="none"/>
                <w:lang w:val="en-US" w:eastAsia="zh-Hans"/>
              </w:rPr>
              <w:t>本项目</w:t>
            </w:r>
            <w:r>
              <w:rPr>
                <w:rFonts w:hint="eastAsia" w:hAnsi="宋体"/>
                <w:color w:val="auto"/>
                <w:sz w:val="24"/>
                <w:highlight w:val="none"/>
                <w:lang w:val="zh-CN"/>
              </w:rPr>
              <w:t>产生冷却塔强排水，定期排放水量损失需根据水质或水中固体浓度等因素决定，本项目冷却水中不投加药剂，</w:t>
            </w:r>
            <w:r>
              <w:rPr>
                <w:rFonts w:hint="eastAsia" w:hAnsi="宋体"/>
                <w:color w:val="auto"/>
                <w:sz w:val="24"/>
                <w:highlight w:val="none"/>
                <w:lang w:val="en-US" w:eastAsia="zh-Hans"/>
              </w:rPr>
              <w:t>本项目用水量约</w:t>
            </w:r>
            <w:r>
              <w:rPr>
                <w:rFonts w:hint="default" w:hAnsi="宋体"/>
                <w:color w:val="auto"/>
                <w:sz w:val="24"/>
                <w:highlight w:val="none"/>
                <w:lang w:eastAsia="zh-Hans"/>
              </w:rPr>
              <w:t>960</w:t>
            </w:r>
            <w:r>
              <w:rPr>
                <w:rFonts w:hint="eastAsia" w:hAnsi="宋体"/>
                <w:color w:val="auto"/>
                <w:sz w:val="24"/>
                <w:highlight w:val="none"/>
                <w:lang w:val="en-US" w:eastAsia="zh-Hans"/>
              </w:rPr>
              <w:t>t/a，现有项目用水量</w:t>
            </w:r>
            <w:r>
              <w:rPr>
                <w:rFonts w:hint="default" w:hAnsi="宋体"/>
                <w:color w:val="auto"/>
                <w:sz w:val="24"/>
                <w:highlight w:val="none"/>
                <w:lang w:eastAsia="zh-Hans"/>
              </w:rPr>
              <w:t>360</w:t>
            </w:r>
            <w:r>
              <w:rPr>
                <w:rFonts w:hint="eastAsia" w:hAnsi="宋体"/>
                <w:color w:val="auto"/>
                <w:sz w:val="24"/>
                <w:highlight w:val="none"/>
                <w:lang w:val="en-US" w:eastAsia="zh-Hans"/>
              </w:rPr>
              <w:t>t/a，依托本项目冷却塔，</w:t>
            </w:r>
            <w:r>
              <w:rPr>
                <w:rFonts w:hint="eastAsia" w:hAnsi="宋体"/>
                <w:color w:val="auto"/>
                <w:sz w:val="24"/>
                <w:highlight w:val="none"/>
                <w:lang w:val="zh-CN"/>
              </w:rPr>
              <w:t>根据企业经验，平均每月</w:t>
            </w:r>
            <w:r>
              <w:rPr>
                <w:rFonts w:hint="eastAsia" w:hAnsi="宋体"/>
                <w:color w:val="auto"/>
                <w:sz w:val="24"/>
                <w:highlight w:val="none"/>
                <w:lang w:val="en-US" w:eastAsia="zh-Hans"/>
              </w:rPr>
              <w:t>产生强排水</w:t>
            </w:r>
            <w:r>
              <w:rPr>
                <w:rFonts w:hint="eastAsia" w:hAnsi="宋体"/>
                <w:color w:val="auto"/>
                <w:sz w:val="24"/>
                <w:highlight w:val="none"/>
                <w:lang w:val="zh-CN"/>
              </w:rPr>
              <w:t>约</w:t>
            </w:r>
            <w:r>
              <w:rPr>
                <w:rFonts w:hint="default" w:hAnsi="宋体"/>
                <w:color w:val="auto"/>
                <w:sz w:val="24"/>
                <w:highlight w:val="none"/>
              </w:rPr>
              <w:t>5</w:t>
            </w:r>
            <w:r>
              <w:rPr>
                <w:rFonts w:hint="eastAsia" w:hAnsi="宋体"/>
                <w:color w:val="auto"/>
                <w:sz w:val="24"/>
                <w:highlight w:val="none"/>
                <w:lang w:val="zh-CN"/>
              </w:rPr>
              <w:t>0t，则冷却塔强排水量为600t/a。主要污染因子为COD、SS，浓度分别为COD：40mg/L、SS：40mg/L，冷却塔排水接管至海门市东洲水处理有限公司集中处理。</w:t>
            </w:r>
          </w:p>
          <w:p w14:paraId="57C78EDD">
            <w:pPr>
              <w:numPr>
                <w:ilvl w:val="0"/>
                <w:numId w:val="7"/>
              </w:numPr>
              <w:adjustRightInd w:val="0"/>
              <w:snapToGrid w:val="0"/>
              <w:spacing w:line="360" w:lineRule="auto"/>
              <w:ind w:firstLine="480" w:firstLineChars="200"/>
              <w:rPr>
                <w:rFonts w:hint="eastAsia" w:hAnsi="宋体"/>
                <w:snapToGrid w:val="0"/>
                <w:color w:val="auto"/>
                <w:kern w:val="0"/>
                <w:sz w:val="24"/>
                <w:highlight w:val="none"/>
                <w:lang w:val="en-US" w:eastAsia="zh-CN"/>
              </w:rPr>
            </w:pPr>
            <w:r>
              <w:rPr>
                <w:rFonts w:hint="eastAsia" w:hAnsi="宋体"/>
                <w:snapToGrid w:val="0"/>
                <w:color w:val="auto"/>
                <w:kern w:val="0"/>
                <w:sz w:val="24"/>
                <w:highlight w:val="none"/>
                <w:lang w:val="en-US" w:eastAsia="zh-CN"/>
              </w:rPr>
              <w:t>初期雨水</w:t>
            </w:r>
          </w:p>
          <w:p w14:paraId="61C923FE">
            <w:pPr>
              <w:pStyle w:val="5"/>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color w:val="auto"/>
                <w:sz w:val="24"/>
                <w:szCs w:val="24"/>
                <w:highlight w:val="none"/>
                <w:lang w:val="en-US"/>
              </w:rPr>
            </w:pPr>
            <w:r>
              <w:rPr>
                <w:rFonts w:hint="eastAsia"/>
                <w:color w:val="auto"/>
                <w:sz w:val="24"/>
                <w:szCs w:val="24"/>
                <w:highlight w:val="none"/>
                <w:lang w:val="en-US"/>
              </w:rPr>
              <w:t>初期雨水指下雨水时前15min产生的废水，由于下雨后产生的初期雨水中含有SS成分较多，初期雨水经排水沟收集后排入初期雨水池，经初期雨水池处理后排入附近水体。初期雨水根据当地暴雨强度、厂区的面积进行估算。根据南通暴雨强度公式：</w:t>
            </w:r>
          </w:p>
          <w:p w14:paraId="547D1107">
            <w:pPr>
              <w:pStyle w:val="5"/>
              <w:spacing w:line="240" w:lineRule="auto"/>
              <w:ind w:firstLine="480" w:firstLineChars="200"/>
              <w:jc w:val="center"/>
              <w:rPr>
                <w:color w:val="auto"/>
                <w:szCs w:val="24"/>
                <w:highlight w:val="none"/>
                <w:lang w:val="en-US"/>
              </w:rPr>
            </w:pPr>
            <w:r>
              <w:rPr>
                <w:rFonts w:hint="eastAsia"/>
                <w:color w:val="auto"/>
                <w:sz w:val="24"/>
                <w:szCs w:val="24"/>
                <w:highlight w:val="none"/>
                <w:lang w:val="en-US"/>
              </w:rPr>
              <w:t>q=2007.34(1+0.7521gP)/(t+17.9)</w:t>
            </w:r>
            <w:r>
              <w:rPr>
                <w:rFonts w:hint="eastAsia"/>
                <w:color w:val="auto"/>
                <w:sz w:val="24"/>
                <w:szCs w:val="24"/>
                <w:highlight w:val="none"/>
                <w:vertAlign w:val="superscript"/>
                <w:lang w:val="en-US"/>
              </w:rPr>
              <w:t>^0.71</w:t>
            </w:r>
          </w:p>
          <w:p w14:paraId="1855B3AD">
            <w:pPr>
              <w:pStyle w:val="5"/>
              <w:spacing w:line="240" w:lineRule="auto"/>
              <w:ind w:firstLine="480" w:firstLineChars="200"/>
              <w:rPr>
                <w:color w:val="auto"/>
                <w:szCs w:val="24"/>
                <w:highlight w:val="none"/>
                <w:lang w:val="en-US"/>
              </w:rPr>
            </w:pPr>
            <w:r>
              <w:rPr>
                <w:rFonts w:hint="eastAsia"/>
                <w:color w:val="auto"/>
                <w:sz w:val="24"/>
                <w:szCs w:val="24"/>
                <w:highlight w:val="none"/>
                <w:lang w:val="en-US"/>
              </w:rPr>
              <w:t>式中：q——暴雨量，L/s*ha；</w:t>
            </w:r>
          </w:p>
          <w:p w14:paraId="22E536B7">
            <w:pPr>
              <w:pStyle w:val="5"/>
              <w:spacing w:line="240" w:lineRule="auto"/>
              <w:ind w:firstLine="1200" w:firstLineChars="500"/>
              <w:rPr>
                <w:color w:val="auto"/>
                <w:szCs w:val="24"/>
                <w:highlight w:val="none"/>
                <w:lang w:val="en-US"/>
              </w:rPr>
            </w:pPr>
            <w:r>
              <w:rPr>
                <w:rFonts w:hint="eastAsia"/>
                <w:color w:val="auto"/>
                <w:sz w:val="24"/>
                <w:szCs w:val="24"/>
                <w:highlight w:val="none"/>
                <w:lang w:val="en-US"/>
              </w:rPr>
              <w:t>P——设计重现期，取1年；</w:t>
            </w:r>
          </w:p>
          <w:p w14:paraId="08923AE9">
            <w:pPr>
              <w:pStyle w:val="5"/>
              <w:spacing w:line="240" w:lineRule="auto"/>
              <w:ind w:firstLine="480" w:firstLineChars="200"/>
              <w:rPr>
                <w:color w:val="auto"/>
                <w:szCs w:val="24"/>
                <w:highlight w:val="none"/>
                <w:lang w:val="en-US"/>
              </w:rPr>
            </w:pPr>
            <w:r>
              <w:rPr>
                <w:rFonts w:hint="eastAsia"/>
                <w:color w:val="auto"/>
                <w:sz w:val="24"/>
                <w:szCs w:val="24"/>
                <w:highlight w:val="none"/>
                <w:lang w:val="en-US"/>
              </w:rPr>
              <w:t xml:space="preserve">t=t1+mt2 </w:t>
            </w:r>
          </w:p>
          <w:p w14:paraId="425F2ECF">
            <w:pPr>
              <w:pStyle w:val="5"/>
              <w:spacing w:line="240" w:lineRule="auto"/>
              <w:ind w:firstLine="1200" w:firstLineChars="500"/>
              <w:rPr>
                <w:color w:val="auto"/>
                <w:szCs w:val="24"/>
                <w:highlight w:val="none"/>
                <w:lang w:val="en-US"/>
              </w:rPr>
            </w:pPr>
            <w:r>
              <w:rPr>
                <w:rFonts w:hint="eastAsia"/>
                <w:color w:val="auto"/>
                <w:sz w:val="24"/>
                <w:szCs w:val="24"/>
                <w:highlight w:val="none"/>
                <w:lang w:val="en-US"/>
              </w:rPr>
              <w:t>t1——地面集水时间，取10min；</w:t>
            </w:r>
          </w:p>
          <w:p w14:paraId="5AC5E17F">
            <w:pPr>
              <w:pStyle w:val="5"/>
              <w:spacing w:line="240" w:lineRule="auto"/>
              <w:ind w:firstLine="1200" w:firstLineChars="500"/>
              <w:rPr>
                <w:color w:val="auto"/>
                <w:szCs w:val="24"/>
                <w:highlight w:val="none"/>
                <w:lang w:val="en-US"/>
              </w:rPr>
            </w:pPr>
            <w:r>
              <w:rPr>
                <w:rFonts w:hint="eastAsia"/>
                <w:color w:val="auto"/>
                <w:sz w:val="24"/>
                <w:szCs w:val="24"/>
                <w:highlight w:val="none"/>
                <w:lang w:val="en-US"/>
              </w:rPr>
              <w:t>t2——管道内雨水流行时间，取5min；</w:t>
            </w:r>
          </w:p>
          <w:p w14:paraId="55D0C74C">
            <w:pPr>
              <w:pStyle w:val="5"/>
              <w:spacing w:line="240" w:lineRule="auto"/>
              <w:ind w:firstLine="480" w:firstLineChars="200"/>
              <w:rPr>
                <w:color w:val="auto"/>
                <w:szCs w:val="24"/>
                <w:highlight w:val="none"/>
                <w:lang w:val="en-US"/>
              </w:rPr>
            </w:pPr>
            <w:r>
              <w:rPr>
                <w:rFonts w:hint="eastAsia"/>
                <w:color w:val="auto"/>
                <w:sz w:val="24"/>
                <w:szCs w:val="24"/>
                <w:highlight w:val="none"/>
                <w:lang w:val="en-US"/>
              </w:rPr>
              <w:t>初期雨水量:Q=q*ψF</w:t>
            </w:r>
          </w:p>
          <w:p w14:paraId="0AF3CFB1">
            <w:pPr>
              <w:pStyle w:val="5"/>
              <w:spacing w:line="240" w:lineRule="auto"/>
              <w:ind w:firstLine="1200" w:firstLineChars="500"/>
              <w:rPr>
                <w:color w:val="auto"/>
                <w:szCs w:val="24"/>
                <w:highlight w:val="none"/>
                <w:lang w:val="en-US"/>
              </w:rPr>
            </w:pPr>
            <w:r>
              <w:rPr>
                <w:rFonts w:hint="eastAsia"/>
                <w:color w:val="auto"/>
                <w:sz w:val="24"/>
                <w:szCs w:val="24"/>
                <w:highlight w:val="none"/>
                <w:lang w:val="en-US"/>
              </w:rPr>
              <w:t>Q——雨水设计流量，L/s；</w:t>
            </w:r>
          </w:p>
          <w:p w14:paraId="6C5EB56A">
            <w:pPr>
              <w:pStyle w:val="5"/>
              <w:spacing w:line="240" w:lineRule="auto"/>
              <w:ind w:firstLine="1200" w:firstLineChars="500"/>
              <w:rPr>
                <w:color w:val="auto"/>
                <w:szCs w:val="24"/>
                <w:highlight w:val="none"/>
                <w:lang w:val="en-US"/>
              </w:rPr>
            </w:pPr>
            <w:r>
              <w:rPr>
                <w:rFonts w:hint="eastAsia"/>
                <w:color w:val="auto"/>
                <w:sz w:val="24"/>
                <w:szCs w:val="24"/>
                <w:highlight w:val="none"/>
                <w:lang w:val="en-US"/>
              </w:rPr>
              <w:t>ψ——径流系数，取ψ=0.4；</w:t>
            </w:r>
          </w:p>
          <w:p w14:paraId="52815E00">
            <w:pPr>
              <w:pStyle w:val="5"/>
              <w:spacing w:line="240" w:lineRule="auto"/>
              <w:ind w:firstLine="1200" w:firstLineChars="500"/>
              <w:rPr>
                <w:color w:val="auto"/>
                <w:szCs w:val="24"/>
                <w:highlight w:val="none"/>
                <w:lang w:val="en-US"/>
              </w:rPr>
            </w:pPr>
            <w:r>
              <w:rPr>
                <w:rFonts w:hint="eastAsia"/>
                <w:color w:val="auto"/>
                <w:sz w:val="24"/>
                <w:szCs w:val="24"/>
                <w:highlight w:val="none"/>
                <w:lang w:val="en-US"/>
              </w:rPr>
              <w:t>F——汇水面积，本项目占地面积8200m</w:t>
            </w:r>
            <w:r>
              <w:rPr>
                <w:rFonts w:hint="eastAsia"/>
                <w:color w:val="auto"/>
                <w:sz w:val="24"/>
                <w:szCs w:val="24"/>
                <w:highlight w:val="none"/>
                <w:vertAlign w:val="superscript"/>
                <w:lang w:val="en-US"/>
              </w:rPr>
              <w:t>2</w:t>
            </w:r>
            <w:r>
              <w:rPr>
                <w:rFonts w:hint="eastAsia"/>
                <w:color w:val="auto"/>
                <w:sz w:val="24"/>
                <w:szCs w:val="24"/>
                <w:highlight w:val="none"/>
                <w:lang w:val="en-US"/>
              </w:rPr>
              <w:t>。</w:t>
            </w:r>
          </w:p>
          <w:p w14:paraId="56DBEC9F">
            <w:pPr>
              <w:adjustRightInd w:val="0"/>
              <w:snapToGrid w:val="0"/>
              <w:spacing w:line="360" w:lineRule="auto"/>
              <w:ind w:firstLine="480" w:firstLineChars="200"/>
              <w:rPr>
                <w:color w:val="auto"/>
                <w:highlight w:val="none"/>
              </w:rPr>
            </w:pPr>
            <w:r>
              <w:rPr>
                <w:rFonts w:hint="eastAsia"/>
                <w:color w:val="auto"/>
                <w:sz w:val="24"/>
                <w:szCs w:val="24"/>
                <w:highlight w:val="none"/>
                <w:lang w:val="en-US"/>
              </w:rPr>
              <w:t>计算得初期雨水量约为50t/次，海门市年平均降水日124.0天，计算时每次降雨时间按照4天连续降雨计算，则降雨次数为31次，则年初期雨水量1550t/a，经沉淀后约20%蒸发损耗，损耗量约310t/a，收集处理后的雨水1240t/a，接入市政管网，</w:t>
            </w:r>
            <w:r>
              <w:rPr>
                <w:color w:val="auto"/>
                <w:sz w:val="24"/>
                <w:szCs w:val="24"/>
                <w:highlight w:val="none"/>
                <w:lang w:val="en-US"/>
              </w:rPr>
              <w:t>沉淀池泥渣作为固废处理</w:t>
            </w:r>
            <w:r>
              <w:rPr>
                <w:rFonts w:hint="eastAsia"/>
                <w:color w:val="auto"/>
                <w:sz w:val="24"/>
                <w:szCs w:val="24"/>
                <w:highlight w:val="none"/>
                <w:lang w:val="en-US"/>
              </w:rPr>
              <w:t>，共产生泥渣约5t/a，</w:t>
            </w:r>
            <w:r>
              <w:rPr>
                <w:rFonts w:hint="eastAsia"/>
                <w:color w:val="auto"/>
                <w:sz w:val="24"/>
                <w:szCs w:val="24"/>
                <w:highlight w:val="none"/>
                <w:lang w:val="en-US" w:eastAsia="zh-CN"/>
              </w:rPr>
              <w:t>根据企业提供资料，</w:t>
            </w:r>
            <w:r>
              <w:rPr>
                <w:rFonts w:hint="eastAsia"/>
                <w:color w:val="auto"/>
                <w:sz w:val="24"/>
                <w:szCs w:val="24"/>
                <w:highlight w:val="none"/>
                <w:lang w:val="en-US"/>
              </w:rPr>
              <w:t>含水率约为</w:t>
            </w:r>
            <w:r>
              <w:rPr>
                <w:rFonts w:hint="eastAsia"/>
                <w:color w:val="auto"/>
                <w:sz w:val="24"/>
                <w:szCs w:val="24"/>
                <w:highlight w:val="none"/>
                <w:lang w:val="en-US" w:eastAsia="zh-CN"/>
              </w:rPr>
              <w:t>80</w:t>
            </w:r>
            <w:r>
              <w:rPr>
                <w:rFonts w:hint="eastAsia"/>
                <w:color w:val="auto"/>
                <w:sz w:val="24"/>
                <w:szCs w:val="24"/>
                <w:highlight w:val="none"/>
                <w:lang w:val="en-US"/>
              </w:rPr>
              <w:t>%。</w:t>
            </w:r>
          </w:p>
          <w:p w14:paraId="799CFDCA">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建设项目用排水平衡见图</w:t>
            </w:r>
            <w:r>
              <w:rPr>
                <w:snapToGrid w:val="0"/>
                <w:color w:val="auto"/>
                <w:kern w:val="0"/>
                <w:sz w:val="24"/>
                <w:highlight w:val="none"/>
              </w:rPr>
              <w:t>2-1</w:t>
            </w:r>
            <w:r>
              <w:rPr>
                <w:rFonts w:hAnsi="宋体"/>
                <w:snapToGrid w:val="0"/>
                <w:color w:val="auto"/>
                <w:kern w:val="0"/>
                <w:sz w:val="24"/>
                <w:highlight w:val="none"/>
              </w:rPr>
              <w:t>。</w:t>
            </w:r>
          </w:p>
          <w:p w14:paraId="1E1CF9F6">
            <w:pPr>
              <w:adjustRightInd w:val="0"/>
              <w:snapToGrid w:val="0"/>
              <w:spacing w:line="360" w:lineRule="auto"/>
              <w:ind w:firstLine="480" w:firstLineChars="200"/>
              <w:rPr>
                <w:snapToGrid w:val="0"/>
                <w:color w:val="auto"/>
                <w:kern w:val="0"/>
                <w:sz w:val="24"/>
                <w:highlight w:val="none"/>
              </w:rPr>
            </w:pPr>
          </w:p>
          <w:p w14:paraId="15C52FD6">
            <w:pPr>
              <w:adjustRightInd w:val="0"/>
              <w:snapToGrid w:val="0"/>
              <w:spacing w:line="360" w:lineRule="auto"/>
              <w:ind w:firstLine="480" w:firstLineChars="200"/>
              <w:rPr>
                <w:snapToGrid w:val="0"/>
                <w:color w:val="auto"/>
                <w:kern w:val="0"/>
                <w:sz w:val="24"/>
                <w:highlight w:val="none"/>
              </w:rPr>
            </w:pPr>
          </w:p>
          <w:p w14:paraId="7CE4571F">
            <w:pPr>
              <w:adjustRightInd w:val="0"/>
              <w:snapToGrid w:val="0"/>
              <w:spacing w:line="360" w:lineRule="auto"/>
              <w:ind w:firstLine="480" w:firstLineChars="200"/>
              <w:rPr>
                <w:snapToGrid w:val="0"/>
                <w:color w:val="auto"/>
                <w:kern w:val="0"/>
                <w:sz w:val="24"/>
                <w:highlight w:val="none"/>
              </w:rPr>
            </w:pPr>
          </w:p>
          <w:p w14:paraId="51D52E6A">
            <w:pPr>
              <w:adjustRightInd w:val="0"/>
              <w:snapToGrid w:val="0"/>
              <w:spacing w:line="360" w:lineRule="auto"/>
              <w:rPr>
                <w:snapToGrid w:val="0"/>
                <w:color w:val="auto"/>
                <w:kern w:val="0"/>
                <w:sz w:val="24"/>
                <w:highlight w:val="none"/>
              </w:rPr>
            </w:pPr>
          </w:p>
          <w:p w14:paraId="6FF27C12">
            <w:pPr>
              <w:adjustRightInd w:val="0"/>
              <w:snapToGrid w:val="0"/>
              <w:spacing w:line="360" w:lineRule="auto"/>
              <w:jc w:val="center"/>
              <w:rPr>
                <w:snapToGrid w:val="0"/>
                <w:color w:val="auto"/>
                <w:kern w:val="0"/>
                <w:highlight w:val="none"/>
              </w:rPr>
            </w:pPr>
            <w:r>
              <w:rPr>
                <w:rFonts w:hint="eastAsia"/>
                <w:color w:val="auto"/>
                <w:highlight w:val="none"/>
              </w:rPr>
              <w:drawing>
                <wp:inline distT="0" distB="0" distL="114300" distR="114300">
                  <wp:extent cx="5581015" cy="3050540"/>
                  <wp:effectExtent l="0" t="0" r="6985" b="22860"/>
                  <wp:docPr id="17" name="图片 17" descr="162486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4860137"/>
                          <pic:cNvPicPr>
                            <a:picLocks noChangeAspect="1"/>
                          </pic:cNvPicPr>
                        </pic:nvPicPr>
                        <pic:blipFill>
                          <a:blip r:embed="rId13"/>
                          <a:stretch>
                            <a:fillRect/>
                          </a:stretch>
                        </pic:blipFill>
                        <pic:spPr>
                          <a:xfrm>
                            <a:off x="0" y="0"/>
                            <a:ext cx="5581015" cy="3050540"/>
                          </a:xfrm>
                          <a:prstGeom prst="rect">
                            <a:avLst/>
                          </a:prstGeom>
                        </pic:spPr>
                      </pic:pic>
                    </a:graphicData>
                  </a:graphic>
                </wp:inline>
              </w:drawing>
            </w:r>
          </w:p>
          <w:p w14:paraId="3BD1F122">
            <w:pPr>
              <w:adjustRightInd w:val="0"/>
              <w:snapToGrid w:val="0"/>
              <w:spacing w:line="360" w:lineRule="auto"/>
              <w:jc w:val="center"/>
              <w:rPr>
                <w:b/>
                <w:bCs/>
                <w:snapToGrid w:val="0"/>
                <w:color w:val="auto"/>
                <w:kern w:val="0"/>
                <w:sz w:val="24"/>
                <w:highlight w:val="none"/>
              </w:rPr>
            </w:pPr>
            <w:r>
              <w:rPr>
                <w:rFonts w:hAnsi="宋体"/>
                <w:b/>
                <w:bCs/>
                <w:snapToGrid w:val="0"/>
                <w:color w:val="auto"/>
                <w:kern w:val="0"/>
                <w:sz w:val="24"/>
                <w:highlight w:val="none"/>
              </w:rPr>
              <w:t>图</w:t>
            </w:r>
            <w:r>
              <w:rPr>
                <w:b/>
                <w:bCs/>
                <w:snapToGrid w:val="0"/>
                <w:color w:val="auto"/>
                <w:kern w:val="0"/>
                <w:sz w:val="24"/>
                <w:highlight w:val="none"/>
              </w:rPr>
              <w:t>2-</w:t>
            </w:r>
            <w:r>
              <w:rPr>
                <w:rFonts w:hint="eastAsia"/>
                <w:b/>
                <w:bCs/>
                <w:snapToGrid w:val="0"/>
                <w:color w:val="auto"/>
                <w:kern w:val="0"/>
                <w:sz w:val="24"/>
                <w:highlight w:val="none"/>
              </w:rPr>
              <w:t>4</w:t>
            </w:r>
            <w:r>
              <w:rPr>
                <w:b/>
                <w:bCs/>
                <w:snapToGrid w:val="0"/>
                <w:color w:val="auto"/>
                <w:kern w:val="0"/>
                <w:sz w:val="24"/>
                <w:highlight w:val="none"/>
              </w:rPr>
              <w:t xml:space="preserve">  </w:t>
            </w:r>
            <w:r>
              <w:rPr>
                <w:rFonts w:hAnsi="宋体"/>
                <w:b/>
                <w:bCs/>
                <w:snapToGrid w:val="0"/>
                <w:color w:val="auto"/>
                <w:kern w:val="0"/>
                <w:sz w:val="24"/>
                <w:highlight w:val="none"/>
              </w:rPr>
              <w:t>建设项目用排水平衡图</w:t>
            </w:r>
            <w:r>
              <w:rPr>
                <w:b/>
                <w:bCs/>
                <w:snapToGrid w:val="0"/>
                <w:color w:val="auto"/>
                <w:kern w:val="0"/>
                <w:sz w:val="24"/>
                <w:highlight w:val="none"/>
              </w:rPr>
              <w:t xml:space="preserve">  </w:t>
            </w:r>
            <w:r>
              <w:rPr>
                <w:rFonts w:hAnsi="宋体"/>
                <w:b/>
                <w:bCs/>
                <w:snapToGrid w:val="0"/>
                <w:color w:val="auto"/>
                <w:kern w:val="0"/>
                <w:sz w:val="24"/>
                <w:highlight w:val="none"/>
              </w:rPr>
              <w:t>单位：</w:t>
            </w:r>
            <w:r>
              <w:rPr>
                <w:b/>
                <w:bCs/>
                <w:snapToGrid w:val="0"/>
                <w:color w:val="auto"/>
                <w:kern w:val="0"/>
                <w:sz w:val="24"/>
                <w:highlight w:val="none"/>
              </w:rPr>
              <w:t>t/a</w:t>
            </w:r>
          </w:p>
          <w:p w14:paraId="070364A2">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本次改建项目建设完成后，全厂水平衡图见2-5。</w:t>
            </w:r>
          </w:p>
          <w:p w14:paraId="01D27131">
            <w:pPr>
              <w:adjustRightInd w:val="0"/>
              <w:snapToGrid w:val="0"/>
              <w:spacing w:line="360" w:lineRule="auto"/>
              <w:ind w:firstLine="420" w:firstLineChars="200"/>
              <w:rPr>
                <w:color w:val="auto"/>
                <w:highlight w:val="none"/>
              </w:rPr>
            </w:pPr>
            <w:r>
              <w:rPr>
                <w:rFonts w:hint="eastAsia"/>
                <w:color w:val="auto"/>
                <w:highlight w:val="none"/>
              </w:rPr>
              <w:drawing>
                <wp:inline distT="0" distB="0" distL="114300" distR="114300">
                  <wp:extent cx="5581015" cy="3050540"/>
                  <wp:effectExtent l="0" t="0" r="12065" b="12700"/>
                  <wp:docPr id="29" name="图片 29" descr="162486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4860137"/>
                          <pic:cNvPicPr>
                            <a:picLocks noChangeAspect="1"/>
                          </pic:cNvPicPr>
                        </pic:nvPicPr>
                        <pic:blipFill>
                          <a:blip r:embed="rId13"/>
                          <a:stretch>
                            <a:fillRect/>
                          </a:stretch>
                        </pic:blipFill>
                        <pic:spPr>
                          <a:xfrm>
                            <a:off x="0" y="0"/>
                            <a:ext cx="5581015" cy="3050540"/>
                          </a:xfrm>
                          <a:prstGeom prst="rect">
                            <a:avLst/>
                          </a:prstGeom>
                        </pic:spPr>
                      </pic:pic>
                    </a:graphicData>
                  </a:graphic>
                </wp:inline>
              </w:drawing>
            </w:r>
          </w:p>
          <w:p w14:paraId="6F7A58FA">
            <w:pPr>
              <w:adjustRightInd w:val="0"/>
              <w:snapToGrid w:val="0"/>
              <w:spacing w:line="360" w:lineRule="auto"/>
              <w:jc w:val="center"/>
              <w:rPr>
                <w:b/>
                <w:bCs/>
                <w:snapToGrid w:val="0"/>
                <w:color w:val="auto"/>
                <w:kern w:val="0"/>
                <w:sz w:val="24"/>
                <w:highlight w:val="none"/>
              </w:rPr>
            </w:pPr>
            <w:r>
              <w:rPr>
                <w:rFonts w:hAnsi="宋体"/>
                <w:b/>
                <w:bCs/>
                <w:snapToGrid w:val="0"/>
                <w:color w:val="auto"/>
                <w:kern w:val="0"/>
                <w:sz w:val="24"/>
                <w:highlight w:val="none"/>
              </w:rPr>
              <w:t>图</w:t>
            </w:r>
            <w:r>
              <w:rPr>
                <w:b/>
                <w:bCs/>
                <w:snapToGrid w:val="0"/>
                <w:color w:val="auto"/>
                <w:kern w:val="0"/>
                <w:sz w:val="24"/>
                <w:highlight w:val="none"/>
              </w:rPr>
              <w:t>2-</w:t>
            </w:r>
            <w:r>
              <w:rPr>
                <w:rFonts w:hint="eastAsia"/>
                <w:b/>
                <w:bCs/>
                <w:snapToGrid w:val="0"/>
                <w:color w:val="auto"/>
                <w:kern w:val="0"/>
                <w:sz w:val="24"/>
                <w:highlight w:val="none"/>
              </w:rPr>
              <w:t>5</w:t>
            </w:r>
            <w:r>
              <w:rPr>
                <w:b/>
                <w:bCs/>
                <w:snapToGrid w:val="0"/>
                <w:color w:val="auto"/>
                <w:kern w:val="0"/>
                <w:sz w:val="24"/>
                <w:highlight w:val="none"/>
              </w:rPr>
              <w:t xml:space="preserve">  </w:t>
            </w:r>
            <w:r>
              <w:rPr>
                <w:rFonts w:hint="eastAsia" w:hAnsi="宋体"/>
                <w:b/>
                <w:bCs/>
                <w:snapToGrid w:val="0"/>
                <w:color w:val="auto"/>
                <w:kern w:val="0"/>
                <w:sz w:val="24"/>
                <w:highlight w:val="none"/>
              </w:rPr>
              <w:t>全厂</w:t>
            </w:r>
            <w:r>
              <w:rPr>
                <w:rFonts w:hAnsi="宋体"/>
                <w:b/>
                <w:bCs/>
                <w:snapToGrid w:val="0"/>
                <w:color w:val="auto"/>
                <w:kern w:val="0"/>
                <w:sz w:val="24"/>
                <w:highlight w:val="none"/>
              </w:rPr>
              <w:t>水平衡图</w:t>
            </w:r>
            <w:r>
              <w:rPr>
                <w:b/>
                <w:bCs/>
                <w:snapToGrid w:val="0"/>
                <w:color w:val="auto"/>
                <w:kern w:val="0"/>
                <w:sz w:val="24"/>
                <w:highlight w:val="none"/>
              </w:rPr>
              <w:t xml:space="preserve">  </w:t>
            </w:r>
            <w:r>
              <w:rPr>
                <w:rFonts w:hAnsi="宋体"/>
                <w:b/>
                <w:bCs/>
                <w:snapToGrid w:val="0"/>
                <w:color w:val="auto"/>
                <w:kern w:val="0"/>
                <w:sz w:val="24"/>
                <w:highlight w:val="none"/>
              </w:rPr>
              <w:t>单位：</w:t>
            </w:r>
            <w:r>
              <w:rPr>
                <w:b/>
                <w:bCs/>
                <w:snapToGrid w:val="0"/>
                <w:color w:val="auto"/>
                <w:kern w:val="0"/>
                <w:sz w:val="24"/>
                <w:highlight w:val="none"/>
              </w:rPr>
              <w:t>t/a</w:t>
            </w:r>
          </w:p>
          <w:p w14:paraId="6C40E6D4">
            <w:pPr>
              <w:adjustRightInd w:val="0"/>
              <w:snapToGrid w:val="0"/>
              <w:spacing w:line="360" w:lineRule="auto"/>
              <w:jc w:val="left"/>
              <w:rPr>
                <w:b/>
                <w:color w:val="auto"/>
                <w:sz w:val="24"/>
                <w:highlight w:val="none"/>
              </w:rPr>
            </w:pPr>
            <w:r>
              <w:rPr>
                <w:b/>
                <w:color w:val="auto"/>
                <w:sz w:val="24"/>
                <w:highlight w:val="none"/>
              </w:rPr>
              <w:t>6、劳动定员及工作制度</w:t>
            </w:r>
          </w:p>
          <w:p w14:paraId="0B308D93">
            <w:pPr>
              <w:pStyle w:val="67"/>
              <w:snapToGrid w:val="0"/>
              <w:spacing w:line="360" w:lineRule="auto"/>
              <w:ind w:firstLine="480" w:firstLineChars="200"/>
              <w:rPr>
                <w:rFonts w:ascii="Times New Roman"/>
                <w:snapToGrid w:val="0"/>
                <w:color w:val="auto"/>
                <w:kern w:val="2"/>
                <w:highlight w:val="none"/>
              </w:rPr>
            </w:pPr>
            <w:r>
              <w:rPr>
                <w:rFonts w:ascii="Times New Roman"/>
                <w:snapToGrid w:val="0"/>
                <w:color w:val="auto"/>
                <w:kern w:val="2"/>
                <w:highlight w:val="none"/>
              </w:rPr>
              <w:t>劳动定员：</w:t>
            </w:r>
            <w:r>
              <w:rPr>
                <w:rFonts w:ascii="Times New Roman"/>
                <w:snapToGrid w:val="0"/>
                <w:color w:val="auto"/>
                <w:highlight w:val="none"/>
              </w:rPr>
              <w:t>现有项目</w:t>
            </w:r>
            <w:r>
              <w:rPr>
                <w:rFonts w:hint="eastAsia" w:ascii="Times New Roman"/>
                <w:snapToGrid w:val="0"/>
                <w:color w:val="auto"/>
                <w:highlight w:val="none"/>
              </w:rPr>
              <w:t>实际员工</w:t>
            </w:r>
            <w:r>
              <w:rPr>
                <w:rFonts w:ascii="Times New Roman"/>
                <w:snapToGrid w:val="0"/>
                <w:color w:val="auto"/>
                <w:highlight w:val="none"/>
              </w:rPr>
              <w:t>人数</w:t>
            </w:r>
            <w:r>
              <w:rPr>
                <w:rFonts w:hint="eastAsia" w:ascii="Times New Roman"/>
                <w:snapToGrid w:val="0"/>
                <w:color w:val="auto"/>
                <w:highlight w:val="none"/>
              </w:rPr>
              <w:t>4</w:t>
            </w:r>
            <w:r>
              <w:rPr>
                <w:rFonts w:ascii="Times New Roman"/>
                <w:snapToGrid w:val="0"/>
                <w:color w:val="auto"/>
                <w:highlight w:val="none"/>
              </w:rPr>
              <w:t>0人，本次改建项目</w:t>
            </w:r>
            <w:r>
              <w:rPr>
                <w:rFonts w:hint="eastAsia" w:ascii="Times New Roman"/>
                <w:snapToGrid w:val="0"/>
                <w:color w:val="auto"/>
                <w:highlight w:val="none"/>
              </w:rPr>
              <w:t>新增</w:t>
            </w:r>
            <w:r>
              <w:rPr>
                <w:rFonts w:ascii="Times New Roman"/>
                <w:snapToGrid w:val="0"/>
                <w:color w:val="auto"/>
                <w:highlight w:val="none"/>
              </w:rPr>
              <w:t>员工60人</w:t>
            </w:r>
            <w:r>
              <w:rPr>
                <w:rFonts w:hint="eastAsia" w:ascii="Times New Roman"/>
                <w:snapToGrid w:val="0"/>
                <w:color w:val="auto"/>
                <w:highlight w:val="none"/>
              </w:rPr>
              <w:t>，则全厂共计员工100人</w:t>
            </w:r>
            <w:r>
              <w:rPr>
                <w:rFonts w:ascii="Times New Roman"/>
                <w:snapToGrid w:val="0"/>
                <w:color w:val="auto"/>
                <w:kern w:val="2"/>
                <w:highlight w:val="none"/>
              </w:rPr>
              <w:t>。</w:t>
            </w:r>
          </w:p>
          <w:p w14:paraId="17FBCD53">
            <w:pPr>
              <w:pStyle w:val="67"/>
              <w:snapToGrid w:val="0"/>
              <w:spacing w:line="360" w:lineRule="auto"/>
              <w:ind w:firstLine="480" w:firstLineChars="200"/>
              <w:rPr>
                <w:rFonts w:ascii="Times New Roman"/>
                <w:snapToGrid w:val="0"/>
                <w:color w:val="auto"/>
                <w:kern w:val="2"/>
                <w:highlight w:val="none"/>
              </w:rPr>
            </w:pPr>
            <w:r>
              <w:rPr>
                <w:rFonts w:ascii="Times New Roman"/>
                <w:snapToGrid w:val="0"/>
                <w:color w:val="auto"/>
                <w:kern w:val="2"/>
                <w:highlight w:val="none"/>
              </w:rPr>
              <w:t>生产制度：实行24小时两班制生产，年生产300天，厂内不设食堂、宿舍</w:t>
            </w:r>
          </w:p>
          <w:p w14:paraId="2A84C8A2">
            <w:pPr>
              <w:adjustRightInd w:val="0"/>
              <w:snapToGrid w:val="0"/>
              <w:spacing w:line="360" w:lineRule="auto"/>
              <w:jc w:val="left"/>
              <w:rPr>
                <w:b/>
                <w:color w:val="auto"/>
                <w:sz w:val="24"/>
                <w:highlight w:val="none"/>
              </w:rPr>
            </w:pPr>
            <w:r>
              <w:rPr>
                <w:b/>
                <w:color w:val="auto"/>
                <w:sz w:val="24"/>
                <w:highlight w:val="none"/>
              </w:rPr>
              <w:t>7、厂区平面布置情况</w:t>
            </w:r>
          </w:p>
          <w:p w14:paraId="6589D49D">
            <w:pPr>
              <w:adjustRightInd w:val="0"/>
              <w:snapToGrid w:val="0"/>
              <w:spacing w:line="360" w:lineRule="auto"/>
              <w:ind w:firstLine="480" w:firstLineChars="200"/>
              <w:rPr>
                <w:color w:val="auto"/>
                <w:sz w:val="24"/>
                <w:highlight w:val="none"/>
              </w:rPr>
            </w:pPr>
            <w:r>
              <w:rPr>
                <w:snapToGrid w:val="0"/>
                <w:color w:val="auto"/>
                <w:kern w:val="0"/>
                <w:sz w:val="24"/>
                <w:highlight w:val="none"/>
              </w:rPr>
              <w:t>本项目位于</w:t>
            </w:r>
            <w:r>
              <w:rPr>
                <w:bCs/>
                <w:snapToGrid w:val="0"/>
                <w:color w:val="auto"/>
                <w:kern w:val="0"/>
                <w:sz w:val="24"/>
                <w:highlight w:val="none"/>
              </w:rPr>
              <w:t>南通市海门市滨江街道滨港大道滨港大道2699号内52号楼</w:t>
            </w:r>
            <w:r>
              <w:rPr>
                <w:snapToGrid w:val="0"/>
                <w:color w:val="auto"/>
                <w:kern w:val="0"/>
                <w:sz w:val="24"/>
                <w:highlight w:val="none"/>
              </w:rPr>
              <w:t>，</w:t>
            </w:r>
            <w:r>
              <w:rPr>
                <w:bCs/>
                <w:snapToGrid w:val="0"/>
                <w:color w:val="auto"/>
                <w:kern w:val="0"/>
                <w:sz w:val="24"/>
                <w:highlight w:val="none"/>
              </w:rPr>
              <w:t>租赁南通赫联科技产业发展有限公司厂房</w:t>
            </w:r>
            <w:r>
              <w:rPr>
                <w:color w:val="auto"/>
                <w:sz w:val="24"/>
                <w:highlight w:val="none"/>
              </w:rPr>
              <w:t>，占地面积8200平方米。</w:t>
            </w:r>
          </w:p>
          <w:p w14:paraId="649A2AC2">
            <w:pPr>
              <w:adjustRightInd w:val="0"/>
              <w:snapToGrid w:val="0"/>
              <w:spacing w:line="360" w:lineRule="auto"/>
              <w:ind w:firstLine="480" w:firstLineChars="200"/>
              <w:rPr>
                <w:color w:val="auto"/>
                <w:sz w:val="24"/>
                <w:highlight w:val="none"/>
              </w:rPr>
            </w:pPr>
            <w:r>
              <w:rPr>
                <w:color w:val="auto"/>
                <w:sz w:val="24"/>
                <w:highlight w:val="none"/>
              </w:rPr>
              <w:t>原有项目生产车间平面布置无变化，现有项目建设完成后厂区剩余面积3000平方米。</w:t>
            </w:r>
          </w:p>
          <w:p w14:paraId="0205E437">
            <w:pPr>
              <w:adjustRightInd w:val="0"/>
              <w:snapToGrid w:val="0"/>
              <w:spacing w:line="360" w:lineRule="auto"/>
              <w:ind w:firstLine="480" w:firstLineChars="200"/>
              <w:rPr>
                <w:color w:val="auto"/>
                <w:sz w:val="24"/>
                <w:highlight w:val="none"/>
              </w:rPr>
            </w:pPr>
            <w:r>
              <w:rPr>
                <w:color w:val="auto"/>
                <w:sz w:val="24"/>
                <w:highlight w:val="none"/>
              </w:rPr>
              <w:t>本次改建项目所需面积约1100平方米，</w:t>
            </w:r>
            <w:r>
              <w:rPr>
                <w:rFonts w:hint="eastAsia"/>
                <w:color w:val="auto"/>
                <w:sz w:val="24"/>
                <w:highlight w:val="none"/>
                <w:lang w:eastAsia="zh-Hans"/>
              </w:rPr>
              <w:t>改建项目将</w:t>
            </w:r>
            <w:r>
              <w:rPr>
                <w:color w:val="auto"/>
                <w:sz w:val="24"/>
                <w:highlight w:val="none"/>
              </w:rPr>
              <w:t>一般固废堆场、危废堆场搬迁至厂区东侧预留区域，原一般固废堆场改建为排烟机房、危废堆场改建为试制车间。改建项目完成后厂区平面布置为：生产车间东北角为成品仓库、原料仓库，仓库西边依次为FG270电机产线区域、电机生产车间</w:t>
            </w:r>
            <w:r>
              <w:rPr>
                <w:rFonts w:hint="eastAsia"/>
                <w:color w:val="auto"/>
                <w:sz w:val="24"/>
                <w:highlight w:val="none"/>
              </w:rPr>
              <w:t>、</w:t>
            </w:r>
            <w:r>
              <w:rPr>
                <w:color w:val="auto"/>
                <w:sz w:val="24"/>
                <w:highlight w:val="none"/>
              </w:rPr>
              <w:t>能源中心，一般固废堆场、危废仓库位于厂区东侧，化学品库位于危废存放区南侧。项目地理位置见附图，厂区平面布置图见附图</w:t>
            </w:r>
            <w:r>
              <w:rPr>
                <w:rFonts w:hint="eastAsia"/>
                <w:color w:val="auto"/>
                <w:sz w:val="24"/>
                <w:highlight w:val="none"/>
              </w:rPr>
              <w:t>。</w:t>
            </w:r>
          </w:p>
          <w:p w14:paraId="5DA316D0">
            <w:pPr>
              <w:tabs>
                <w:tab w:val="left" w:pos="960"/>
              </w:tabs>
              <w:adjustRightInd w:val="0"/>
              <w:snapToGrid w:val="0"/>
              <w:spacing w:line="360" w:lineRule="auto"/>
              <w:rPr>
                <w:b/>
                <w:bCs/>
                <w:color w:val="auto"/>
                <w:spacing w:val="-4"/>
                <w:sz w:val="24"/>
                <w:highlight w:val="none"/>
              </w:rPr>
            </w:pPr>
            <w:r>
              <w:rPr>
                <w:rFonts w:hint="eastAsia"/>
                <w:b/>
                <w:bCs/>
                <w:color w:val="auto"/>
                <w:spacing w:val="-4"/>
                <w:sz w:val="24"/>
                <w:highlight w:val="none"/>
              </w:rPr>
              <w:t>8、租用厂房概况及依托情况</w:t>
            </w:r>
          </w:p>
          <w:p w14:paraId="0639C979">
            <w:pPr>
              <w:adjustRightInd w:val="0"/>
              <w:snapToGrid w:val="0"/>
              <w:spacing w:line="360" w:lineRule="auto"/>
              <w:ind w:firstLine="480" w:firstLineChars="200"/>
              <w:rPr>
                <w:bCs/>
                <w:color w:val="auto"/>
                <w:sz w:val="24"/>
                <w:highlight w:val="none"/>
              </w:rPr>
            </w:pPr>
            <w:r>
              <w:rPr>
                <w:rFonts w:hint="eastAsia"/>
                <w:color w:val="auto"/>
                <w:sz w:val="24"/>
                <w:highlight w:val="none"/>
                <w:lang w:val="en-GB"/>
              </w:rPr>
              <w:t>本</w:t>
            </w:r>
            <w:r>
              <w:rPr>
                <w:color w:val="auto"/>
                <w:sz w:val="24"/>
                <w:highlight w:val="none"/>
                <w:lang w:val="en-GB"/>
              </w:rPr>
              <w:t>项目租用</w:t>
            </w:r>
            <w:r>
              <w:rPr>
                <w:rFonts w:hint="eastAsia" w:hAnsi="宋体"/>
                <w:color w:val="auto"/>
                <w:sz w:val="24"/>
                <w:highlight w:val="none"/>
              </w:rPr>
              <w:t>南通赫联科技产业发展有限公司</w:t>
            </w:r>
            <w:r>
              <w:rPr>
                <w:rFonts w:hint="eastAsia"/>
                <w:bCs/>
                <w:color w:val="auto"/>
                <w:sz w:val="24"/>
                <w:highlight w:val="none"/>
              </w:rPr>
              <w:t>现有</w:t>
            </w:r>
            <w:r>
              <w:rPr>
                <w:rFonts w:hAnsi="宋体"/>
                <w:color w:val="auto"/>
                <w:sz w:val="24"/>
                <w:highlight w:val="none"/>
              </w:rPr>
              <w:t>闲置厂房</w:t>
            </w:r>
            <w:r>
              <w:rPr>
                <w:rFonts w:hint="eastAsia"/>
                <w:color w:val="auto"/>
                <w:sz w:val="24"/>
                <w:highlight w:val="none"/>
              </w:rPr>
              <w:t>8200</w:t>
            </w:r>
            <w:r>
              <w:rPr>
                <w:rFonts w:hAnsi="宋体"/>
                <w:color w:val="auto"/>
                <w:sz w:val="24"/>
                <w:highlight w:val="none"/>
              </w:rPr>
              <w:t>平方米</w:t>
            </w:r>
            <w:r>
              <w:rPr>
                <w:color w:val="auto"/>
                <w:sz w:val="24"/>
                <w:highlight w:val="none"/>
                <w:lang w:val="en-GB"/>
              </w:rPr>
              <w:t>，</w:t>
            </w:r>
            <w:r>
              <w:rPr>
                <w:rFonts w:hint="eastAsia"/>
                <w:color w:val="auto"/>
                <w:sz w:val="24"/>
                <w:highlight w:val="none"/>
                <w:lang w:val="en-GB"/>
              </w:rPr>
              <w:t>南通赫联科技产业发展有限公司，2017 年 04 月 12 日成立，经营范围包括科技产 业孵化器；软件开发；自有房屋租赁；物业管理；电气机械及器材、通用设备、智能 家居设备制造、销售；建材（危险化学品除外）、日用百货、工艺品、电子产品、珠 宝首饰批发、零售；普通货物仓储；普通货物道路运输；计算机专业技术领域内的技 术咨询、技术服务；会议及展览服务；商务信息咨询（金融咨询除外）；财务咨询； 家用纺织制成品、服装、服饰、鞋帽生产、加工、销售</w:t>
            </w:r>
            <w:r>
              <w:rPr>
                <w:rFonts w:hint="eastAsia"/>
                <w:bCs/>
                <w:color w:val="auto"/>
                <w:sz w:val="24"/>
                <w:highlight w:val="none"/>
              </w:rPr>
              <w:t>。</w:t>
            </w:r>
          </w:p>
          <w:p w14:paraId="178EB1FB">
            <w:pPr>
              <w:adjustRightInd w:val="0"/>
              <w:snapToGrid w:val="0"/>
              <w:spacing w:line="360" w:lineRule="auto"/>
              <w:ind w:firstLine="480"/>
              <w:rPr>
                <w:bCs/>
                <w:color w:val="auto"/>
                <w:sz w:val="24"/>
                <w:highlight w:val="none"/>
              </w:rPr>
            </w:pPr>
            <w:r>
              <w:rPr>
                <w:rFonts w:hint="eastAsia" w:hAnsi="宋体"/>
                <w:color w:val="auto"/>
                <w:sz w:val="24"/>
                <w:highlight w:val="none"/>
              </w:rPr>
              <w:t>舜驱动力科技（南通）有限公司现有项目</w:t>
            </w:r>
            <w:r>
              <w:rPr>
                <w:rFonts w:hint="eastAsia"/>
                <w:bCs/>
                <w:color w:val="auto"/>
                <w:sz w:val="24"/>
                <w:highlight w:val="none"/>
              </w:rPr>
              <w:t>租赁前该厂房为闲置状态，本次改建项目未租赁新厂房，因此不存在遗留环境问题，不会对本项目生产工艺和产品质量产生影响。根据现有项目环境影响报告表，租赁厂房已按照环评要求做到雨污分流，已按照相关要求设置规范化排污口，已建成完善的环保基础设施，故不会对本项目形成制约。</w:t>
            </w:r>
          </w:p>
          <w:p w14:paraId="542274B1">
            <w:pPr>
              <w:adjustRightInd w:val="0"/>
              <w:snapToGrid w:val="0"/>
              <w:spacing w:line="360" w:lineRule="auto"/>
              <w:ind w:firstLine="480" w:firstLineChars="200"/>
              <w:rPr>
                <w:color w:val="auto"/>
                <w:sz w:val="24"/>
                <w:highlight w:val="none"/>
              </w:rPr>
            </w:pPr>
            <w:r>
              <w:rPr>
                <w:rFonts w:hint="eastAsia"/>
                <w:color w:val="auto"/>
                <w:sz w:val="24"/>
                <w:highlight w:val="none"/>
              </w:rPr>
              <w:t>本项目实行雨污分流；本项目依托现有50m</w:t>
            </w:r>
            <w:r>
              <w:rPr>
                <w:rFonts w:hint="eastAsia"/>
                <w:color w:val="auto"/>
                <w:sz w:val="24"/>
                <w:highlight w:val="none"/>
                <w:vertAlign w:val="superscript"/>
              </w:rPr>
              <w:t>3</w:t>
            </w:r>
            <w:r>
              <w:rPr>
                <w:rFonts w:hint="eastAsia"/>
                <w:color w:val="auto"/>
                <w:sz w:val="24"/>
                <w:highlight w:val="none"/>
              </w:rPr>
              <w:t>的初期雨水收集池，初期雨水经收集沉淀后接管雨水管网，生活污水经化粪池预</w:t>
            </w:r>
            <w:r>
              <w:rPr>
                <w:color w:val="auto"/>
                <w:sz w:val="24"/>
                <w:highlight w:val="none"/>
              </w:rPr>
              <w:t>处理后</w:t>
            </w:r>
            <w:r>
              <w:rPr>
                <w:rFonts w:hint="eastAsia"/>
                <w:color w:val="auto"/>
                <w:sz w:val="24"/>
                <w:highlight w:val="none"/>
              </w:rPr>
              <w:t>排入市政污水管网；各类废气经有效收集后经自建废气处理设施处理后达标排放。因此本项目与南通赫联科技产业发展有限公司不存在环境污染纠纷问题，环境管理责任主体方为建设单位。建设单位需按要求设立环境管理机构，</w:t>
            </w:r>
            <w:r>
              <w:rPr>
                <w:snapToGrid w:val="0"/>
                <w:color w:val="auto"/>
                <w:kern w:val="0"/>
                <w:sz w:val="24"/>
                <w:highlight w:val="none"/>
              </w:rPr>
              <w:t>结合区域环境概况和项目特征制定环境监测方案，</w:t>
            </w:r>
            <w:r>
              <w:rPr>
                <w:rFonts w:hint="eastAsia"/>
                <w:color w:val="auto"/>
                <w:sz w:val="24"/>
                <w:highlight w:val="none"/>
              </w:rPr>
              <w:t>定期对项目排污情况进行监测，废气监测内容主要包括各排气筒以及厂</w:t>
            </w:r>
            <w:r>
              <w:rPr>
                <w:color w:val="auto"/>
                <w:sz w:val="24"/>
                <w:highlight w:val="none"/>
              </w:rPr>
              <w:t>界外无组织监控点</w:t>
            </w:r>
            <w:r>
              <w:rPr>
                <w:rFonts w:hint="eastAsia"/>
                <w:color w:val="auto"/>
                <w:sz w:val="24"/>
                <w:highlight w:val="none"/>
              </w:rPr>
              <w:t>，废水监测内容主要包括污水管网出水口，噪声监测内容主要是厂界四周。</w:t>
            </w:r>
          </w:p>
          <w:p w14:paraId="39F12A3F">
            <w:pPr>
              <w:adjustRightInd w:val="0"/>
              <w:snapToGrid w:val="0"/>
              <w:spacing w:line="360" w:lineRule="auto"/>
              <w:ind w:firstLine="480" w:firstLineChars="200"/>
              <w:rPr>
                <w:rFonts w:hAnsi="宋体"/>
                <w:b/>
                <w:snapToGrid w:val="0"/>
                <w:color w:val="auto"/>
                <w:kern w:val="0"/>
                <w:szCs w:val="21"/>
                <w:highlight w:val="none"/>
              </w:rPr>
            </w:pPr>
            <w:r>
              <w:rPr>
                <w:rFonts w:hint="eastAsia"/>
                <w:color w:val="auto"/>
                <w:sz w:val="24"/>
                <w:highlight w:val="none"/>
                <w:lang w:val="en-GB"/>
              </w:rPr>
              <w:t>本</w:t>
            </w:r>
            <w:r>
              <w:rPr>
                <w:color w:val="auto"/>
                <w:sz w:val="24"/>
                <w:highlight w:val="none"/>
                <w:lang w:val="en-GB"/>
              </w:rPr>
              <w:t>项目建设过程</w:t>
            </w:r>
            <w:r>
              <w:rPr>
                <w:rFonts w:hint="eastAsia"/>
                <w:color w:val="auto"/>
                <w:sz w:val="24"/>
                <w:highlight w:val="none"/>
              </w:rPr>
              <w:t>无需对租赁方现有厂房进行拆除，仅对</w:t>
            </w:r>
            <w:r>
              <w:rPr>
                <w:color w:val="auto"/>
                <w:sz w:val="24"/>
                <w:highlight w:val="none"/>
                <w:lang w:val="en-GB"/>
              </w:rPr>
              <w:t>该厂房进行分区改造，</w:t>
            </w:r>
            <w:r>
              <w:rPr>
                <w:rFonts w:hint="eastAsia"/>
                <w:color w:val="auto"/>
                <w:sz w:val="24"/>
                <w:highlight w:val="none"/>
              </w:rPr>
              <w:t>设置电机生产车间、试制车间、涂粉车间等</w:t>
            </w:r>
            <w:r>
              <w:rPr>
                <w:color w:val="auto"/>
                <w:sz w:val="24"/>
                <w:highlight w:val="none"/>
                <w:lang w:val="en-GB"/>
              </w:rPr>
              <w:t>，并对</w:t>
            </w:r>
            <w:r>
              <w:rPr>
                <w:rFonts w:hint="eastAsia"/>
                <w:color w:val="auto"/>
                <w:sz w:val="24"/>
                <w:highlight w:val="none"/>
                <w:lang w:val="en-GB"/>
              </w:rPr>
              <w:t>厂房</w:t>
            </w:r>
            <w:r>
              <w:rPr>
                <w:color w:val="auto"/>
                <w:sz w:val="24"/>
                <w:highlight w:val="none"/>
                <w:lang w:val="en-GB"/>
              </w:rPr>
              <w:t>地面进行了相应防腐防渗处理</w:t>
            </w:r>
            <w:r>
              <w:rPr>
                <w:rFonts w:hint="eastAsia"/>
                <w:color w:val="auto"/>
                <w:sz w:val="24"/>
                <w:highlight w:val="none"/>
                <w:lang w:val="en-GB"/>
              </w:rPr>
              <w:t>。</w:t>
            </w:r>
          </w:p>
        </w:tc>
      </w:tr>
      <w:tr w14:paraId="5782C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8" w:hRule="atLeast"/>
          <w:jc w:val="center"/>
        </w:trPr>
        <w:tc>
          <w:tcPr>
            <w:tcW w:w="123" w:type="pct"/>
            <w:vAlign w:val="center"/>
          </w:tcPr>
          <w:p w14:paraId="6BE537D0">
            <w:pPr>
              <w:pStyle w:val="22"/>
              <w:adjustRightInd w:val="0"/>
              <w:snapToGrid w:val="0"/>
              <w:spacing w:before="0" w:beforeAutospacing="0" w:after="0" w:afterAutospacing="0"/>
              <w:jc w:val="center"/>
              <w:rPr>
                <w:rFonts w:ascii="Times New Roman" w:hAnsi="Times New Roman"/>
                <w:color w:val="auto"/>
                <w:sz w:val="21"/>
                <w:szCs w:val="21"/>
                <w:highlight w:val="none"/>
                <w:lang w:val="en-US"/>
              </w:rPr>
            </w:pPr>
            <w:r>
              <w:rPr>
                <w:rFonts w:ascii="Times New Roman"/>
                <w:color w:val="auto"/>
                <w:szCs w:val="24"/>
                <w:highlight w:val="none"/>
                <w:lang w:val="en-US"/>
              </w:rPr>
              <w:t>工艺流程和产排污环节</w:t>
            </w:r>
          </w:p>
        </w:tc>
        <w:tc>
          <w:tcPr>
            <w:tcW w:w="4876" w:type="pct"/>
          </w:tcPr>
          <w:p w14:paraId="56E3F3C6">
            <w:pPr>
              <w:adjustRightInd w:val="0"/>
              <w:snapToGrid w:val="0"/>
              <w:spacing w:before="120" w:beforeLines="50" w:line="360" w:lineRule="auto"/>
              <w:ind w:firstLine="482" w:firstLineChars="200"/>
              <w:rPr>
                <w:b/>
                <w:bCs/>
                <w:snapToGrid w:val="0"/>
                <w:color w:val="auto"/>
                <w:kern w:val="0"/>
                <w:sz w:val="24"/>
                <w:highlight w:val="none"/>
              </w:rPr>
            </w:pPr>
            <w:r>
              <w:rPr>
                <w:b/>
                <w:bCs/>
                <w:snapToGrid w:val="0"/>
                <w:color w:val="auto"/>
                <w:kern w:val="0"/>
                <w:sz w:val="24"/>
                <w:highlight w:val="none"/>
              </w:rPr>
              <w:t>1</w:t>
            </w:r>
            <w:r>
              <w:rPr>
                <w:rFonts w:hAnsi="宋体"/>
                <w:b/>
                <w:bCs/>
                <w:snapToGrid w:val="0"/>
                <w:color w:val="auto"/>
                <w:kern w:val="0"/>
                <w:sz w:val="24"/>
                <w:highlight w:val="none"/>
              </w:rPr>
              <w:t>、工艺流程</w:t>
            </w:r>
          </w:p>
          <w:p w14:paraId="147828DD">
            <w:pPr>
              <w:adjustRightInd w:val="0"/>
              <w:snapToGrid w:val="0"/>
              <w:spacing w:line="360" w:lineRule="auto"/>
              <w:ind w:firstLine="480" w:firstLineChars="200"/>
              <w:rPr>
                <w:snapToGrid w:val="0"/>
                <w:color w:val="auto"/>
                <w:kern w:val="0"/>
                <w:sz w:val="24"/>
                <w:highlight w:val="none"/>
              </w:rPr>
            </w:pPr>
            <w:r>
              <w:rPr>
                <w:rFonts w:hint="eastAsia" w:hAnsi="宋体"/>
                <w:snapToGrid w:val="0"/>
                <w:color w:val="auto"/>
                <w:kern w:val="0"/>
                <w:sz w:val="24"/>
                <w:highlight w:val="none"/>
              </w:rPr>
              <w:t>本次改建项目利用现有已建厂房，生产电机6万件/年，</w:t>
            </w:r>
            <w:r>
              <w:rPr>
                <w:rFonts w:hAnsi="宋体"/>
                <w:snapToGrid w:val="0"/>
                <w:color w:val="auto"/>
                <w:kern w:val="0"/>
                <w:sz w:val="24"/>
                <w:highlight w:val="none"/>
              </w:rPr>
              <w:t>电机主要由定子和转子组成，本项目无需进行总装，外售的为分体式电机（转子和定子），具体工艺流程及产污节点见下图。</w:t>
            </w:r>
          </w:p>
          <w:p w14:paraId="414FD528">
            <w:pPr>
              <w:adjustRightInd w:val="0"/>
              <w:snapToGrid w:val="0"/>
              <w:spacing w:line="360" w:lineRule="auto"/>
              <w:ind w:left="360"/>
              <w:rPr>
                <w:snapToGrid w:val="0"/>
                <w:color w:val="auto"/>
                <w:kern w:val="0"/>
                <w:sz w:val="24"/>
                <w:highlight w:val="none"/>
              </w:rPr>
            </w:pPr>
            <w:r>
              <w:rPr>
                <w:rFonts w:hint="eastAsia"/>
                <w:snapToGrid w:val="0"/>
                <w:color w:val="auto"/>
                <w:kern w:val="0"/>
                <w:sz w:val="24"/>
                <w:highlight w:val="none"/>
              </w:rPr>
              <w:t>①</w:t>
            </w:r>
            <w:r>
              <w:rPr>
                <w:snapToGrid w:val="0"/>
                <w:color w:val="auto"/>
                <w:kern w:val="0"/>
                <w:sz w:val="24"/>
                <w:highlight w:val="none"/>
              </w:rPr>
              <w:t>转</w:t>
            </w:r>
            <w:r>
              <w:rPr>
                <w:rFonts w:hint="eastAsia"/>
                <w:snapToGrid w:val="0"/>
                <w:color w:val="auto"/>
                <w:kern w:val="0"/>
                <w:sz w:val="24"/>
                <w:highlight w:val="none"/>
              </w:rPr>
              <w:t>子</w:t>
            </w:r>
            <w:r>
              <w:rPr>
                <w:snapToGrid w:val="0"/>
                <w:color w:val="auto"/>
                <w:kern w:val="0"/>
                <w:sz w:val="24"/>
                <w:highlight w:val="none"/>
              </w:rPr>
              <w:t>生产工艺流程图</w:t>
            </w:r>
          </w:p>
          <w:p w14:paraId="7943E857">
            <w:pPr>
              <w:pStyle w:val="104"/>
              <w:rPr>
                <w:snapToGrid w:val="0"/>
                <w:color w:val="auto"/>
                <w:kern w:val="0"/>
                <w:highlight w:val="none"/>
              </w:rPr>
            </w:pPr>
            <w:r>
              <w:rPr>
                <w:color w:val="auto"/>
                <w:highlight w:val="none"/>
              </w:rPr>
              <w:drawing>
                <wp:inline distT="0" distB="0" distL="114300" distR="114300">
                  <wp:extent cx="5143500" cy="4030980"/>
                  <wp:effectExtent l="0" t="0" r="762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cstate="print"/>
                          <a:stretch>
                            <a:fillRect/>
                          </a:stretch>
                        </pic:blipFill>
                        <pic:spPr>
                          <a:xfrm>
                            <a:off x="0" y="0"/>
                            <a:ext cx="5143500" cy="4030980"/>
                          </a:xfrm>
                          <a:prstGeom prst="rect">
                            <a:avLst/>
                          </a:prstGeom>
                          <a:noFill/>
                          <a:ln>
                            <a:noFill/>
                          </a:ln>
                        </pic:spPr>
                      </pic:pic>
                    </a:graphicData>
                  </a:graphic>
                </wp:inline>
              </w:drawing>
            </w:r>
          </w:p>
          <w:p w14:paraId="494F3904">
            <w:pPr>
              <w:adjustRightInd w:val="0"/>
              <w:snapToGrid w:val="0"/>
              <w:spacing w:line="360" w:lineRule="auto"/>
              <w:jc w:val="center"/>
              <w:rPr>
                <w:b/>
                <w:snapToGrid w:val="0"/>
                <w:color w:val="auto"/>
                <w:kern w:val="0"/>
                <w:sz w:val="24"/>
                <w:highlight w:val="none"/>
              </w:rPr>
            </w:pPr>
            <w:r>
              <w:rPr>
                <w:rFonts w:hAnsi="宋体"/>
                <w:b/>
                <w:snapToGrid w:val="0"/>
                <w:color w:val="auto"/>
                <w:kern w:val="0"/>
                <w:sz w:val="24"/>
                <w:highlight w:val="none"/>
              </w:rPr>
              <w:t>图</w:t>
            </w:r>
            <w:r>
              <w:rPr>
                <w:b/>
                <w:snapToGrid w:val="0"/>
                <w:color w:val="auto"/>
                <w:kern w:val="0"/>
                <w:sz w:val="24"/>
                <w:highlight w:val="none"/>
              </w:rPr>
              <w:t>2</w:t>
            </w:r>
            <w:r>
              <w:rPr>
                <w:rFonts w:hint="eastAsia"/>
                <w:b/>
                <w:snapToGrid w:val="0"/>
                <w:color w:val="auto"/>
                <w:kern w:val="0"/>
                <w:sz w:val="24"/>
                <w:highlight w:val="none"/>
              </w:rPr>
              <w:t>-6</w:t>
            </w:r>
            <w:r>
              <w:rPr>
                <w:b/>
                <w:snapToGrid w:val="0"/>
                <w:color w:val="auto"/>
                <w:kern w:val="0"/>
                <w:sz w:val="24"/>
                <w:highlight w:val="none"/>
              </w:rPr>
              <w:t xml:space="preserve">  </w:t>
            </w:r>
            <w:r>
              <w:rPr>
                <w:rFonts w:hint="eastAsia" w:hAnsi="宋体"/>
                <w:b/>
                <w:snapToGrid w:val="0"/>
                <w:color w:val="auto"/>
                <w:kern w:val="0"/>
                <w:sz w:val="24"/>
                <w:highlight w:val="none"/>
              </w:rPr>
              <w:t>转子</w:t>
            </w:r>
            <w:r>
              <w:rPr>
                <w:rFonts w:hAnsi="宋体"/>
                <w:b/>
                <w:snapToGrid w:val="0"/>
                <w:color w:val="auto"/>
                <w:kern w:val="0"/>
                <w:sz w:val="24"/>
                <w:highlight w:val="none"/>
              </w:rPr>
              <w:t>生产工艺流程及产污节点图</w:t>
            </w:r>
          </w:p>
          <w:p w14:paraId="19692117">
            <w:pPr>
              <w:adjustRightInd w:val="0"/>
              <w:snapToGrid w:val="0"/>
              <w:spacing w:line="360" w:lineRule="auto"/>
              <w:ind w:firstLine="482" w:firstLineChars="200"/>
              <w:rPr>
                <w:b/>
                <w:snapToGrid w:val="0"/>
                <w:color w:val="auto"/>
                <w:kern w:val="0"/>
                <w:sz w:val="24"/>
                <w:highlight w:val="none"/>
              </w:rPr>
            </w:pPr>
            <w:r>
              <w:rPr>
                <w:rFonts w:hint="eastAsia" w:hAnsi="宋体"/>
                <w:b/>
                <w:snapToGrid w:val="0"/>
                <w:color w:val="auto"/>
                <w:kern w:val="0"/>
                <w:sz w:val="24"/>
                <w:highlight w:val="none"/>
              </w:rPr>
              <w:t>转子生产线</w:t>
            </w:r>
            <w:r>
              <w:rPr>
                <w:rFonts w:hAnsi="宋体"/>
                <w:b/>
                <w:snapToGrid w:val="0"/>
                <w:color w:val="auto"/>
                <w:kern w:val="0"/>
                <w:sz w:val="24"/>
                <w:highlight w:val="none"/>
              </w:rPr>
              <w:t>工艺流程简述：</w:t>
            </w:r>
          </w:p>
          <w:p w14:paraId="0F6A2A42">
            <w:pPr>
              <w:adjustRightInd w:val="0"/>
              <w:snapToGrid w:val="0"/>
              <w:spacing w:line="360" w:lineRule="auto"/>
              <w:ind w:firstLine="480" w:firstLineChars="200"/>
              <w:rPr>
                <w:rFonts w:hAnsi="宋体"/>
                <w:snapToGrid w:val="0"/>
                <w:color w:val="auto"/>
                <w:kern w:val="0"/>
                <w:sz w:val="24"/>
                <w:highlight w:val="none"/>
              </w:rPr>
            </w:pPr>
            <w:bookmarkStart w:id="9" w:name="_Hlk45025102"/>
            <w:r>
              <w:rPr>
                <w:rFonts w:hint="eastAsia" w:hAnsi="宋体"/>
                <w:snapToGrid w:val="0"/>
                <w:color w:val="auto"/>
                <w:kern w:val="0"/>
                <w:sz w:val="24"/>
                <w:highlight w:val="none"/>
              </w:rPr>
              <w:t>涂聚酯树脂胶、磁钢安装、固化：利用</w:t>
            </w:r>
            <w:r>
              <w:rPr>
                <w:rFonts w:hint="eastAsia" w:hAnsi="宋体"/>
                <w:snapToGrid w:val="0"/>
                <w:color w:val="auto"/>
                <w:kern w:val="0"/>
                <w:sz w:val="24"/>
                <w:highlight w:val="none"/>
                <w:lang w:val="en-US" w:eastAsia="zh-Hans"/>
              </w:rPr>
              <w:t>现有</w:t>
            </w:r>
            <w:r>
              <w:rPr>
                <w:rFonts w:hint="eastAsia" w:hAnsi="宋体"/>
                <w:snapToGrid w:val="0"/>
                <w:color w:val="auto"/>
                <w:kern w:val="0"/>
                <w:sz w:val="24"/>
                <w:highlight w:val="none"/>
              </w:rPr>
              <w:t>点胶机将少量的聚酯树脂胶通过针头快速点滴至转子上，转子涂胶一片转子涂胶16次，一片转子约涂胶15g，共产6万件转子，共需涂胶0.9t/a，约有30%的胶未滴至工件上，则共需用胶1.3t/a，再利用磁钢机将磁钢装在转子上，该工序产生有机废气G1和少量废胶S1，点胶后产品分别进入</w:t>
            </w:r>
            <w:r>
              <w:rPr>
                <w:rFonts w:hint="eastAsia" w:hAnsi="宋体"/>
                <w:snapToGrid w:val="0"/>
                <w:color w:val="auto"/>
                <w:kern w:val="0"/>
                <w:sz w:val="24"/>
                <w:highlight w:val="none"/>
                <w:lang w:val="en-US" w:eastAsia="zh-Hans"/>
              </w:rPr>
              <w:t>现有</w:t>
            </w:r>
            <w:r>
              <w:rPr>
                <w:rFonts w:hint="eastAsia" w:hAnsi="宋体"/>
                <w:snapToGrid w:val="0"/>
                <w:color w:val="auto"/>
                <w:kern w:val="0"/>
                <w:sz w:val="24"/>
                <w:highlight w:val="none"/>
              </w:rPr>
              <w:t>2个烘箱中进行固化，烘箱为间歇式，固化温度约160℃，时间120min，固化工序产生的有机废气G2，有机废气G1和G2经涂胶设备及烘箱上方的集气罩收集后汇总进废气净化装置（</w:t>
            </w:r>
            <w:r>
              <w:rPr>
                <w:rFonts w:hint="default" w:hAnsi="宋体"/>
                <w:snapToGrid w:val="0"/>
                <w:color w:val="auto"/>
                <w:kern w:val="0"/>
                <w:sz w:val="24"/>
                <w:highlight w:val="none"/>
              </w:rPr>
              <w:t>三级活性炭</w:t>
            </w:r>
            <w:r>
              <w:rPr>
                <w:rFonts w:hint="eastAsia" w:hAnsi="宋体"/>
                <w:snapToGrid w:val="0"/>
                <w:color w:val="auto"/>
                <w:kern w:val="0"/>
                <w:sz w:val="24"/>
                <w:highlight w:val="none"/>
              </w:rPr>
              <w:t>吸附）处理排放，</w:t>
            </w:r>
            <w:r>
              <w:rPr>
                <w:rFonts w:hAnsi="宋体"/>
                <w:snapToGrid w:val="0"/>
                <w:color w:val="auto"/>
                <w:kern w:val="0"/>
                <w:sz w:val="24"/>
                <w:highlight w:val="none"/>
              </w:rPr>
              <w:t>尾气通过</w:t>
            </w:r>
            <w:r>
              <w:rPr>
                <w:rFonts w:hint="eastAsia" w:hAnsi="宋体"/>
                <w:snapToGrid w:val="0"/>
                <w:color w:val="auto"/>
                <w:kern w:val="0"/>
                <w:sz w:val="24"/>
                <w:highlight w:val="none"/>
                <w:lang w:val="en-US" w:eastAsia="zh-Hans"/>
              </w:rPr>
              <w:t>现有</w:t>
            </w:r>
            <w:r>
              <w:rPr>
                <w:rFonts w:hAnsi="宋体"/>
                <w:snapToGrid w:val="0"/>
                <w:color w:val="auto"/>
                <w:kern w:val="0"/>
                <w:sz w:val="24"/>
                <w:highlight w:val="none"/>
              </w:rPr>
              <w:t>排气筒FQ-</w:t>
            </w:r>
            <w:r>
              <w:rPr>
                <w:rFonts w:hint="default" w:hAnsi="宋体"/>
                <w:snapToGrid w:val="0"/>
                <w:color w:val="auto"/>
                <w:kern w:val="0"/>
                <w:sz w:val="24"/>
                <w:highlight w:val="none"/>
              </w:rPr>
              <w:t>1</w:t>
            </w:r>
            <w:r>
              <w:rPr>
                <w:rFonts w:hAnsi="宋体"/>
                <w:snapToGrid w:val="0"/>
                <w:color w:val="auto"/>
                <w:kern w:val="0"/>
                <w:sz w:val="24"/>
                <w:highlight w:val="none"/>
              </w:rPr>
              <w:t>排放</w:t>
            </w:r>
            <w:r>
              <w:rPr>
                <w:rFonts w:hint="eastAsia" w:hAnsi="宋体"/>
                <w:snapToGrid w:val="0"/>
                <w:color w:val="auto"/>
                <w:kern w:val="0"/>
                <w:sz w:val="24"/>
                <w:highlight w:val="none"/>
              </w:rPr>
              <w:t>。</w:t>
            </w:r>
          </w:p>
          <w:p w14:paraId="55CB2C4A">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转子铁芯加热压装：利用高频加热机将转子加热至80℃，然后将叠片压装在转子毂组件，无加热废气产生。</w:t>
            </w:r>
          </w:p>
          <w:p w14:paraId="126930BD">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旋变转子铆接：利用旋变设备将旋变转子、铆钉接在转子毂组件上。</w:t>
            </w:r>
          </w:p>
          <w:p w14:paraId="7A3B29D1">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动平衡、充磁、打标、包装：利用平衡机对转子总成进行动平衡测试，完成后对转子总成进行充磁，再经激光打标后进入包装终检工序，检验合格的转子打包待售，检验不合格的返回</w:t>
            </w:r>
            <w:r>
              <w:rPr>
                <w:rFonts w:hint="eastAsia" w:hAnsi="宋体"/>
                <w:snapToGrid w:val="0"/>
                <w:color w:val="auto"/>
                <w:kern w:val="0"/>
                <w:sz w:val="24"/>
                <w:highlight w:val="none"/>
                <w:lang w:eastAsia="zh-Hans"/>
              </w:rPr>
              <w:t>充磁工序重工，</w:t>
            </w:r>
            <w:r>
              <w:rPr>
                <w:rFonts w:hint="eastAsia" w:hAnsi="宋体"/>
                <w:snapToGrid w:val="0"/>
                <w:color w:val="auto"/>
                <w:kern w:val="0"/>
                <w:sz w:val="24"/>
                <w:highlight w:val="none"/>
                <w:lang w:val="en-US" w:eastAsia="zh-Hans"/>
              </w:rPr>
              <w:t>激光打标工序无烟尘产生，返工过程无固废产生</w:t>
            </w:r>
            <w:r>
              <w:rPr>
                <w:rFonts w:hint="eastAsia" w:hAnsi="宋体"/>
                <w:snapToGrid w:val="0"/>
                <w:color w:val="auto"/>
                <w:kern w:val="0"/>
                <w:sz w:val="24"/>
                <w:highlight w:val="none"/>
              </w:rPr>
              <w:t>。</w:t>
            </w:r>
          </w:p>
          <w:p w14:paraId="71A15617">
            <w:pPr>
              <w:adjustRightInd w:val="0"/>
              <w:snapToGrid w:val="0"/>
              <w:spacing w:line="360" w:lineRule="auto"/>
              <w:ind w:left="360"/>
              <w:rPr>
                <w:snapToGrid w:val="0"/>
                <w:color w:val="auto"/>
                <w:kern w:val="0"/>
                <w:sz w:val="24"/>
                <w:highlight w:val="none"/>
              </w:rPr>
            </w:pPr>
            <w:r>
              <w:rPr>
                <w:rFonts w:hint="eastAsia"/>
                <w:snapToGrid w:val="0"/>
                <w:color w:val="auto"/>
                <w:kern w:val="0"/>
                <w:sz w:val="24"/>
                <w:highlight w:val="none"/>
              </w:rPr>
              <w:t>②定子</w:t>
            </w:r>
            <w:r>
              <w:rPr>
                <w:snapToGrid w:val="0"/>
                <w:color w:val="auto"/>
                <w:kern w:val="0"/>
                <w:sz w:val="24"/>
                <w:highlight w:val="none"/>
              </w:rPr>
              <w:t>生产工艺流程图</w:t>
            </w:r>
          </w:p>
          <w:p w14:paraId="5F345295">
            <w:pPr>
              <w:adjustRightInd w:val="0"/>
              <w:snapToGrid w:val="0"/>
              <w:spacing w:line="360" w:lineRule="auto"/>
              <w:jc w:val="center"/>
              <w:rPr>
                <w:snapToGrid w:val="0"/>
                <w:color w:val="auto"/>
                <w:kern w:val="0"/>
                <w:highlight w:val="none"/>
              </w:rPr>
            </w:pPr>
            <w:r>
              <w:rPr>
                <w:color w:val="auto"/>
                <w:highlight w:val="none"/>
              </w:rPr>
              <w:drawing>
                <wp:inline distT="0" distB="0" distL="114300" distR="114300">
                  <wp:extent cx="5143500" cy="5494020"/>
                  <wp:effectExtent l="0" t="0" r="762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cstate="print"/>
                          <a:stretch>
                            <a:fillRect/>
                          </a:stretch>
                        </pic:blipFill>
                        <pic:spPr>
                          <a:xfrm>
                            <a:off x="0" y="0"/>
                            <a:ext cx="5143500" cy="5494020"/>
                          </a:xfrm>
                          <a:prstGeom prst="rect">
                            <a:avLst/>
                          </a:prstGeom>
                          <a:noFill/>
                          <a:ln>
                            <a:noFill/>
                          </a:ln>
                        </pic:spPr>
                      </pic:pic>
                    </a:graphicData>
                  </a:graphic>
                </wp:inline>
              </w:drawing>
            </w:r>
          </w:p>
          <w:p w14:paraId="5BA7ECF7">
            <w:pPr>
              <w:adjustRightInd w:val="0"/>
              <w:snapToGrid w:val="0"/>
              <w:spacing w:line="360" w:lineRule="auto"/>
              <w:jc w:val="center"/>
              <w:rPr>
                <w:b/>
                <w:snapToGrid w:val="0"/>
                <w:color w:val="auto"/>
                <w:kern w:val="0"/>
                <w:sz w:val="24"/>
                <w:highlight w:val="none"/>
              </w:rPr>
            </w:pPr>
            <w:r>
              <w:rPr>
                <w:rFonts w:hAnsi="宋体"/>
                <w:b/>
                <w:snapToGrid w:val="0"/>
                <w:color w:val="auto"/>
                <w:kern w:val="0"/>
                <w:sz w:val="24"/>
                <w:highlight w:val="none"/>
              </w:rPr>
              <w:t>图</w:t>
            </w:r>
            <w:r>
              <w:rPr>
                <w:b/>
                <w:snapToGrid w:val="0"/>
                <w:color w:val="auto"/>
                <w:kern w:val="0"/>
                <w:sz w:val="24"/>
                <w:highlight w:val="none"/>
              </w:rPr>
              <w:t>2-</w:t>
            </w:r>
            <w:r>
              <w:rPr>
                <w:rFonts w:hint="eastAsia"/>
                <w:b/>
                <w:snapToGrid w:val="0"/>
                <w:color w:val="auto"/>
                <w:kern w:val="0"/>
                <w:sz w:val="24"/>
                <w:highlight w:val="none"/>
              </w:rPr>
              <w:t>7</w:t>
            </w:r>
            <w:r>
              <w:rPr>
                <w:b/>
                <w:snapToGrid w:val="0"/>
                <w:color w:val="auto"/>
                <w:kern w:val="0"/>
                <w:sz w:val="24"/>
                <w:highlight w:val="none"/>
              </w:rPr>
              <w:t xml:space="preserve">  </w:t>
            </w:r>
            <w:r>
              <w:rPr>
                <w:rFonts w:hint="eastAsia" w:hAnsi="宋体"/>
                <w:b/>
                <w:snapToGrid w:val="0"/>
                <w:color w:val="auto"/>
                <w:kern w:val="0"/>
                <w:sz w:val="24"/>
                <w:highlight w:val="none"/>
              </w:rPr>
              <w:t>定子</w:t>
            </w:r>
            <w:r>
              <w:rPr>
                <w:rFonts w:hAnsi="宋体"/>
                <w:b/>
                <w:snapToGrid w:val="0"/>
                <w:color w:val="auto"/>
                <w:kern w:val="0"/>
                <w:sz w:val="24"/>
                <w:highlight w:val="none"/>
              </w:rPr>
              <w:t>生产工艺流程及产污节点图</w:t>
            </w:r>
          </w:p>
          <w:p w14:paraId="18196179">
            <w:pPr>
              <w:adjustRightInd w:val="0"/>
              <w:snapToGrid w:val="0"/>
              <w:spacing w:line="360" w:lineRule="auto"/>
              <w:ind w:firstLine="482" w:firstLineChars="200"/>
              <w:rPr>
                <w:b/>
                <w:snapToGrid w:val="0"/>
                <w:color w:val="auto"/>
                <w:kern w:val="0"/>
                <w:sz w:val="24"/>
                <w:highlight w:val="none"/>
              </w:rPr>
            </w:pPr>
            <w:r>
              <w:rPr>
                <w:rFonts w:hint="eastAsia" w:hAnsi="宋体"/>
                <w:b/>
                <w:snapToGrid w:val="0"/>
                <w:color w:val="auto"/>
                <w:kern w:val="0"/>
                <w:sz w:val="24"/>
                <w:highlight w:val="none"/>
              </w:rPr>
              <w:t>定子生产线</w:t>
            </w:r>
            <w:r>
              <w:rPr>
                <w:rFonts w:hAnsi="宋体"/>
                <w:b/>
                <w:snapToGrid w:val="0"/>
                <w:color w:val="auto"/>
                <w:kern w:val="0"/>
                <w:sz w:val="24"/>
                <w:highlight w:val="none"/>
              </w:rPr>
              <w:t>工艺流程简述：</w:t>
            </w:r>
          </w:p>
          <w:p w14:paraId="40B84017">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绕线：利用绕线机设备将漆包线有序缠绕在线圈支架上，该工序产生废铜线S2。</w:t>
            </w:r>
          </w:p>
          <w:p w14:paraId="0DCFF646">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绝缘纸安装：手工工装将绝缘纸安装在定子铁芯上</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该工序无固废产生</w:t>
            </w:r>
            <w:r>
              <w:rPr>
                <w:rFonts w:hint="eastAsia" w:hAnsi="宋体"/>
                <w:snapToGrid w:val="0"/>
                <w:color w:val="auto"/>
                <w:kern w:val="0"/>
                <w:sz w:val="24"/>
                <w:highlight w:val="none"/>
              </w:rPr>
              <w:t>。</w:t>
            </w:r>
          </w:p>
          <w:p w14:paraId="379DA7A1">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线圈支架安装：利用工装设备将线圈安装在定子铁芯上。</w:t>
            </w:r>
          </w:p>
          <w:p w14:paraId="7A2A4B45">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分配环钎料焊接：利用电阻焊机将钎料焊接在分配环小pin上，电极对焊接金属施压并通电，电流通过金属件紧贴的接触部位时，电阻较大，发热并熔融焊点，伴随少量焊接烟尘G3产生，焊接烟尘经移动式焊接烟尘净化器处理后无污染排放。</w:t>
            </w:r>
          </w:p>
          <w:p w14:paraId="1218170A">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大小pin焊接：利用电阻焊机将裸露铜线焊接在大小pin上，电极对焊接金属施压并通电，电流通过金属件紧贴的接触部位时，电阻较大，发热并熔融焊点，伴随少量焊接烟尘G4产生，焊接烟尘经移动式焊接烟尘净化器处理后无污染排放。</w:t>
            </w:r>
          </w:p>
          <w:p w14:paraId="5F615469">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NTC</w:t>
            </w:r>
            <w:r>
              <w:rPr>
                <w:rFonts w:hint="eastAsia" w:hAnsi="宋体"/>
                <w:snapToGrid w:val="0"/>
                <w:color w:val="auto"/>
                <w:kern w:val="0"/>
                <w:sz w:val="24"/>
                <w:highlight w:val="none"/>
              </w:rPr>
              <w:t>绑扎：手工将N</w:t>
            </w:r>
            <w:r>
              <w:rPr>
                <w:rFonts w:hAnsi="宋体"/>
                <w:snapToGrid w:val="0"/>
                <w:color w:val="auto"/>
                <w:kern w:val="0"/>
                <w:sz w:val="24"/>
                <w:highlight w:val="none"/>
              </w:rPr>
              <w:t>TC</w:t>
            </w:r>
            <w:r>
              <w:rPr>
                <w:rFonts w:hint="eastAsia" w:hAnsi="宋体"/>
                <w:snapToGrid w:val="0"/>
                <w:color w:val="auto"/>
                <w:kern w:val="0"/>
                <w:sz w:val="24"/>
                <w:highlight w:val="none"/>
              </w:rPr>
              <w:t>绑扎在定子上</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该工序无固废产生</w:t>
            </w:r>
            <w:r>
              <w:rPr>
                <w:rFonts w:hint="eastAsia" w:hAnsi="宋体"/>
                <w:snapToGrid w:val="0"/>
                <w:color w:val="auto"/>
                <w:kern w:val="0"/>
                <w:sz w:val="24"/>
                <w:highlight w:val="none"/>
              </w:rPr>
              <w:t>。</w:t>
            </w:r>
          </w:p>
          <w:p w14:paraId="1B8E5D25">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电测：用电气测试设备对定子进行电阻、电流、电压等测试</w:t>
            </w:r>
            <w:r>
              <w:rPr>
                <w:rFonts w:hint="eastAsia" w:hAnsi="宋体"/>
                <w:snapToGrid w:val="0"/>
                <w:color w:val="auto"/>
                <w:kern w:val="0"/>
                <w:sz w:val="24"/>
                <w:highlight w:val="none"/>
                <w:lang w:eastAsia="zh-Hans"/>
              </w:rPr>
              <w:t>，测试后合格品进行下一道工序，不合格品返回焊接工序重工。</w:t>
            </w:r>
          </w:p>
          <w:p w14:paraId="73BA1EBE">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滴浸渍树脂胶：利用滴胶设备对定子进行旋转滴浸处理，一片定子需滴浸渍树脂胶约48g，生产6万件定子，共需浸渍树脂胶2.88t，约有20%的胶未滴至工件上，则共需用胶3.6t/a，会产生少量废胶S3，滴胶后在滴胶设备内部自带隧道炉内进行加热固化，电加热至160℃，固化时间60min，会产生少量有机废气G5。</w:t>
            </w:r>
          </w:p>
          <w:p w14:paraId="6D443024">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浸涂树脂粉、固化：定子涂粉、固化在一套涂粉设备中进行，先将定子在预热烘箱电加热预热至180℃，时间60~80min，随后进行涂粉，使用树脂粉对定子端部进行树脂粉末浸涂，涂粉时间2.2~2.5s，随后静置6~40s，循环翻转重复涂粉静置，确保每一面都涂上粉，</w:t>
            </w:r>
            <w:r>
              <w:rPr>
                <w:rFonts w:hint="eastAsia" w:hAnsi="宋体"/>
                <w:snapToGrid w:val="0"/>
                <w:color w:val="auto"/>
                <w:kern w:val="0"/>
                <w:sz w:val="24"/>
                <w:highlight w:val="none"/>
                <w:lang w:val="en-US" w:eastAsia="zh-Hans"/>
              </w:rPr>
              <w:t>一片定子平均涂粉量约</w:t>
            </w:r>
            <w:r>
              <w:rPr>
                <w:rFonts w:hint="default" w:hAnsi="宋体"/>
                <w:snapToGrid w:val="0"/>
                <w:color w:val="auto"/>
                <w:kern w:val="0"/>
                <w:sz w:val="24"/>
                <w:highlight w:val="none"/>
                <w:lang w:eastAsia="zh-Hans"/>
              </w:rPr>
              <w:t>90</w:t>
            </w:r>
            <w:r>
              <w:rPr>
                <w:rFonts w:hint="eastAsia" w:hAnsi="宋体"/>
                <w:snapToGrid w:val="0"/>
                <w:color w:val="auto"/>
                <w:kern w:val="0"/>
                <w:sz w:val="24"/>
                <w:highlight w:val="none"/>
                <w:lang w:val="en-US" w:eastAsia="zh-Hans"/>
              </w:rPr>
              <w:t>g，生产</w:t>
            </w:r>
            <w:r>
              <w:rPr>
                <w:rFonts w:hint="default" w:hAnsi="宋体"/>
                <w:snapToGrid w:val="0"/>
                <w:color w:val="auto"/>
                <w:kern w:val="0"/>
                <w:sz w:val="24"/>
                <w:highlight w:val="none"/>
                <w:lang w:eastAsia="zh-Hans"/>
              </w:rPr>
              <w:t>6</w:t>
            </w:r>
            <w:r>
              <w:rPr>
                <w:rFonts w:hint="eastAsia" w:hAnsi="宋体"/>
                <w:snapToGrid w:val="0"/>
                <w:color w:val="auto"/>
                <w:kern w:val="0"/>
                <w:sz w:val="24"/>
                <w:highlight w:val="none"/>
                <w:lang w:val="en-US" w:eastAsia="zh-Hans"/>
              </w:rPr>
              <w:t>万件定子，共需树脂粉约</w:t>
            </w:r>
            <w:r>
              <w:rPr>
                <w:rFonts w:hint="default" w:hAnsi="宋体"/>
                <w:snapToGrid w:val="0"/>
                <w:color w:val="auto"/>
                <w:kern w:val="0"/>
                <w:sz w:val="24"/>
                <w:highlight w:val="none"/>
                <w:lang w:eastAsia="zh-Hans"/>
              </w:rPr>
              <w:t>5.4</w:t>
            </w:r>
            <w:r>
              <w:rPr>
                <w:rFonts w:hint="eastAsia" w:hAnsi="宋体"/>
                <w:snapToGrid w:val="0"/>
                <w:color w:val="auto"/>
                <w:kern w:val="0"/>
                <w:sz w:val="24"/>
                <w:highlight w:val="none"/>
                <w:lang w:val="en-US" w:eastAsia="zh-Hans"/>
              </w:rPr>
              <w:t>t/a，</w:t>
            </w:r>
            <w:r>
              <w:rPr>
                <w:rFonts w:hint="eastAsia" w:hAnsi="宋体"/>
                <w:snapToGrid w:val="0"/>
                <w:color w:val="auto"/>
                <w:kern w:val="0"/>
                <w:sz w:val="24"/>
                <w:highlight w:val="none"/>
              </w:rPr>
              <w:t>产品上粉率约90%，有10%</w:t>
            </w:r>
            <w:r>
              <w:rPr>
                <w:rFonts w:hint="eastAsia" w:hAnsi="宋体"/>
                <w:snapToGrid w:val="0"/>
                <w:color w:val="auto"/>
                <w:kern w:val="0"/>
                <w:sz w:val="24"/>
                <w:highlight w:val="none"/>
                <w:lang w:val="en-US" w:eastAsia="zh-Hans"/>
              </w:rPr>
              <w:t>粉末S</w:t>
            </w:r>
            <w:r>
              <w:rPr>
                <w:rFonts w:hint="default" w:hAnsi="宋体"/>
                <w:snapToGrid w:val="0"/>
                <w:color w:val="auto"/>
                <w:kern w:val="0"/>
                <w:sz w:val="24"/>
                <w:highlight w:val="none"/>
                <w:lang w:eastAsia="zh-Hans"/>
              </w:rPr>
              <w:t>4</w:t>
            </w:r>
            <w:r>
              <w:rPr>
                <w:rFonts w:hint="eastAsia" w:hAnsi="宋体"/>
                <w:snapToGrid w:val="0"/>
                <w:color w:val="auto"/>
                <w:kern w:val="0"/>
                <w:sz w:val="24"/>
                <w:highlight w:val="none"/>
                <w:lang w:val="en-US" w:eastAsia="zh-Hans"/>
              </w:rPr>
              <w:t>进入固废</w:t>
            </w:r>
            <w:r>
              <w:rPr>
                <w:rFonts w:hint="eastAsia" w:hAnsi="宋体"/>
                <w:snapToGrid w:val="0"/>
                <w:color w:val="auto"/>
                <w:kern w:val="0"/>
                <w:sz w:val="24"/>
                <w:highlight w:val="none"/>
              </w:rPr>
              <w:t>，则共需用</w:t>
            </w:r>
            <w:r>
              <w:rPr>
                <w:rFonts w:hint="eastAsia" w:hAnsi="宋体"/>
                <w:snapToGrid w:val="0"/>
                <w:color w:val="auto"/>
                <w:kern w:val="0"/>
                <w:sz w:val="24"/>
                <w:highlight w:val="none"/>
                <w:lang w:val="en-US" w:eastAsia="zh-Hans"/>
              </w:rPr>
              <w:t>树脂粉</w:t>
            </w:r>
            <w:r>
              <w:rPr>
                <w:rFonts w:hint="default" w:hAnsi="宋体"/>
                <w:snapToGrid w:val="0"/>
                <w:color w:val="auto"/>
                <w:kern w:val="0"/>
                <w:sz w:val="24"/>
                <w:highlight w:val="none"/>
                <w:lang w:eastAsia="zh-Hans"/>
              </w:rPr>
              <w:t>6</w:t>
            </w:r>
            <w:r>
              <w:rPr>
                <w:rFonts w:hint="eastAsia" w:hAnsi="宋体"/>
                <w:snapToGrid w:val="0"/>
                <w:color w:val="auto"/>
                <w:kern w:val="0"/>
                <w:sz w:val="24"/>
                <w:highlight w:val="none"/>
              </w:rPr>
              <w:t>t/a</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涂粉工序产生粉尘G</w:t>
            </w:r>
            <w:r>
              <w:rPr>
                <w:rFonts w:hint="default" w:hAnsi="宋体"/>
                <w:snapToGrid w:val="0"/>
                <w:color w:val="auto"/>
                <w:kern w:val="0"/>
                <w:sz w:val="24"/>
                <w:highlight w:val="none"/>
                <w:lang w:eastAsia="zh-Hans"/>
              </w:rPr>
              <w:t>6</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rPr>
              <w:t>本项目涂粉设备密闭，经设备自带过滤装置处理后接入排气筒</w:t>
            </w:r>
            <w:r>
              <w:rPr>
                <w:rFonts w:hAnsi="宋体"/>
                <w:snapToGrid w:val="0"/>
                <w:color w:val="auto"/>
                <w:kern w:val="0"/>
                <w:sz w:val="24"/>
                <w:highlight w:val="none"/>
              </w:rPr>
              <w:t>FQ-</w:t>
            </w:r>
            <w:r>
              <w:rPr>
                <w:rFonts w:hint="default" w:hAnsi="宋体"/>
                <w:snapToGrid w:val="0"/>
                <w:color w:val="auto"/>
                <w:kern w:val="0"/>
                <w:sz w:val="24"/>
                <w:highlight w:val="none"/>
              </w:rPr>
              <w:t>1</w:t>
            </w:r>
            <w:r>
              <w:rPr>
                <w:rFonts w:hAnsi="宋体"/>
                <w:snapToGrid w:val="0"/>
                <w:color w:val="auto"/>
                <w:kern w:val="0"/>
                <w:sz w:val="24"/>
                <w:highlight w:val="none"/>
              </w:rPr>
              <w:t>排放</w:t>
            </w:r>
            <w:r>
              <w:rPr>
                <w:rFonts w:hint="eastAsia" w:hAnsi="宋体"/>
                <w:snapToGrid w:val="0"/>
                <w:color w:val="auto"/>
                <w:kern w:val="0"/>
                <w:sz w:val="24"/>
                <w:highlight w:val="none"/>
              </w:rPr>
              <w:t>，过滤装置收集粉尘外卖，产生废粉S4，全部涂完粉后进入设备内部自带隧道炉内进行加热固化，固化温度180℃，时间30min，固化产生少量有机废气G7。</w:t>
            </w:r>
          </w:p>
          <w:p w14:paraId="3D8AB790">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有机废气G5和G7经连接设备的排烟管道收集汇总进废气净化装置（</w:t>
            </w:r>
            <w:r>
              <w:rPr>
                <w:rFonts w:hint="default" w:hAnsi="宋体"/>
                <w:snapToGrid w:val="0"/>
                <w:color w:val="auto"/>
                <w:kern w:val="0"/>
                <w:sz w:val="24"/>
                <w:highlight w:val="none"/>
              </w:rPr>
              <w:t>三级活性炭</w:t>
            </w:r>
            <w:r>
              <w:rPr>
                <w:rFonts w:hint="eastAsia" w:hAnsi="宋体"/>
                <w:snapToGrid w:val="0"/>
                <w:color w:val="auto"/>
                <w:kern w:val="0"/>
                <w:sz w:val="24"/>
                <w:highlight w:val="none"/>
              </w:rPr>
              <w:t>吸附）处理排放，</w:t>
            </w:r>
            <w:r>
              <w:rPr>
                <w:rFonts w:hAnsi="宋体"/>
                <w:snapToGrid w:val="0"/>
                <w:color w:val="auto"/>
                <w:kern w:val="0"/>
                <w:sz w:val="24"/>
                <w:highlight w:val="none"/>
              </w:rPr>
              <w:t>尾气通过</w:t>
            </w:r>
            <w:r>
              <w:rPr>
                <w:rFonts w:hint="eastAsia" w:hAnsi="宋体"/>
                <w:snapToGrid w:val="0"/>
                <w:color w:val="auto"/>
                <w:kern w:val="0"/>
                <w:sz w:val="24"/>
                <w:highlight w:val="none"/>
                <w:lang w:val="en-US" w:eastAsia="zh-Hans"/>
              </w:rPr>
              <w:t>现有</w:t>
            </w:r>
            <w:r>
              <w:rPr>
                <w:rFonts w:hAnsi="宋体"/>
                <w:snapToGrid w:val="0"/>
                <w:color w:val="auto"/>
                <w:kern w:val="0"/>
                <w:sz w:val="24"/>
                <w:highlight w:val="none"/>
              </w:rPr>
              <w:t>排气筒FQ-</w:t>
            </w:r>
            <w:r>
              <w:rPr>
                <w:rFonts w:hint="default" w:hAnsi="宋体"/>
                <w:snapToGrid w:val="0"/>
                <w:color w:val="auto"/>
                <w:kern w:val="0"/>
                <w:sz w:val="24"/>
                <w:highlight w:val="none"/>
              </w:rPr>
              <w:t>1</w:t>
            </w:r>
            <w:r>
              <w:rPr>
                <w:rFonts w:hAnsi="宋体"/>
                <w:snapToGrid w:val="0"/>
                <w:color w:val="auto"/>
                <w:kern w:val="0"/>
                <w:sz w:val="24"/>
                <w:highlight w:val="none"/>
              </w:rPr>
              <w:t>排放</w:t>
            </w:r>
            <w:r>
              <w:rPr>
                <w:rFonts w:hint="eastAsia" w:hAnsi="宋体"/>
                <w:snapToGrid w:val="0"/>
                <w:color w:val="auto"/>
                <w:kern w:val="0"/>
                <w:sz w:val="24"/>
                <w:highlight w:val="none"/>
              </w:rPr>
              <w:t>。</w:t>
            </w:r>
          </w:p>
          <w:p w14:paraId="79AF46A9">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打标、打包：经激光打标后进行包装中间工序，检验合格的产品打包待售，检验不合格的返回</w:t>
            </w:r>
            <w:r>
              <w:rPr>
                <w:rFonts w:hint="eastAsia" w:hAnsi="宋体"/>
                <w:snapToGrid w:val="0"/>
                <w:color w:val="auto"/>
                <w:kern w:val="0"/>
                <w:sz w:val="24"/>
                <w:highlight w:val="none"/>
                <w:lang w:eastAsia="zh-Hans"/>
              </w:rPr>
              <w:t>焊接工序</w:t>
            </w:r>
            <w:r>
              <w:rPr>
                <w:rFonts w:hint="eastAsia" w:hAnsi="宋体"/>
                <w:snapToGrid w:val="0"/>
                <w:color w:val="auto"/>
                <w:kern w:val="0"/>
                <w:sz w:val="24"/>
                <w:highlight w:val="none"/>
              </w:rPr>
              <w:t>重工</w:t>
            </w:r>
            <w:bookmarkEnd w:id="9"/>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激光打标工序无烟尘产生，打包工序无固废产生</w:t>
            </w:r>
            <w:r>
              <w:rPr>
                <w:rFonts w:hint="eastAsia" w:hAnsi="宋体"/>
                <w:snapToGrid w:val="0"/>
                <w:color w:val="auto"/>
                <w:kern w:val="0"/>
                <w:sz w:val="24"/>
                <w:highlight w:val="none"/>
              </w:rPr>
              <w:t>。</w:t>
            </w:r>
          </w:p>
          <w:p w14:paraId="02D4C9A0">
            <w:pPr>
              <w:adjustRightInd w:val="0"/>
              <w:snapToGrid w:val="0"/>
              <w:spacing w:line="360" w:lineRule="auto"/>
              <w:ind w:left="420" w:leftChars="200" w:firstLine="482" w:firstLineChars="200"/>
              <w:rPr>
                <w:b/>
                <w:snapToGrid w:val="0"/>
                <w:color w:val="auto"/>
                <w:kern w:val="0"/>
                <w:sz w:val="24"/>
                <w:highlight w:val="none"/>
              </w:rPr>
            </w:pPr>
            <w:r>
              <w:rPr>
                <w:b/>
                <w:snapToGrid w:val="0"/>
                <w:color w:val="auto"/>
                <w:kern w:val="0"/>
                <w:sz w:val="24"/>
                <w:highlight w:val="none"/>
              </w:rPr>
              <w:t>公用工程：</w:t>
            </w:r>
          </w:p>
          <w:p w14:paraId="4C825F92">
            <w:pPr>
              <w:pStyle w:val="5"/>
              <w:adjustRightInd w:val="0"/>
              <w:spacing w:after="0" w:line="360" w:lineRule="auto"/>
              <w:ind w:firstLine="480" w:firstLineChars="200"/>
              <w:rPr>
                <w:color w:val="auto"/>
                <w:sz w:val="24"/>
                <w:szCs w:val="24"/>
                <w:highlight w:val="none"/>
                <w:lang w:val="en-US"/>
              </w:rPr>
            </w:pPr>
            <w:r>
              <w:rPr>
                <w:rFonts w:ascii="宋体" w:hAnsi="宋体"/>
                <w:color w:val="auto"/>
                <w:sz w:val="24"/>
                <w:szCs w:val="24"/>
                <w:highlight w:val="none"/>
                <w:lang w:val="en-US"/>
              </w:rPr>
              <w:t>①员工日常生活会产生生</w:t>
            </w:r>
            <w:r>
              <w:rPr>
                <w:color w:val="auto"/>
                <w:sz w:val="24"/>
                <w:szCs w:val="24"/>
                <w:highlight w:val="none"/>
                <w:lang w:val="en-US"/>
              </w:rPr>
              <w:t>活垃圾S5；</w:t>
            </w:r>
          </w:p>
          <w:p w14:paraId="62957646">
            <w:pPr>
              <w:pStyle w:val="6"/>
              <w:numPr>
                <w:ilvl w:val="0"/>
                <w:numId w:val="0"/>
              </w:num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②原料使用后产生废包装桶</w:t>
            </w:r>
            <w:r>
              <w:rPr>
                <w:rFonts w:hint="eastAsia" w:ascii="Times New Roman" w:hAnsi="Times New Roman"/>
                <w:color w:val="auto"/>
                <w:sz w:val="24"/>
                <w:szCs w:val="24"/>
                <w:highlight w:val="none"/>
              </w:rPr>
              <w:t>、废包装袋</w:t>
            </w:r>
            <w:r>
              <w:rPr>
                <w:rFonts w:ascii="Times New Roman" w:hAnsi="Times New Roman"/>
                <w:color w:val="auto"/>
                <w:sz w:val="24"/>
                <w:szCs w:val="24"/>
                <w:highlight w:val="none"/>
              </w:rPr>
              <w:t>S6；</w:t>
            </w:r>
          </w:p>
          <w:p w14:paraId="385F085C">
            <w:pPr>
              <w:adjustRightInd w:val="0"/>
              <w:snapToGrid w:val="0"/>
              <w:spacing w:line="360" w:lineRule="auto"/>
              <w:ind w:firstLine="480" w:firstLineChars="200"/>
              <w:rPr>
                <w:rFonts w:hAnsi="宋体"/>
                <w:color w:val="auto"/>
                <w:sz w:val="24"/>
                <w:highlight w:val="none"/>
              </w:rPr>
            </w:pPr>
            <w:r>
              <w:rPr>
                <w:rFonts w:hint="eastAsia"/>
                <w:color w:val="auto"/>
                <w:sz w:val="24"/>
                <w:highlight w:val="none"/>
              </w:rPr>
              <w:t>③</w:t>
            </w:r>
            <w:r>
              <w:rPr>
                <w:rFonts w:hint="eastAsia" w:hAnsi="宋体"/>
                <w:color w:val="auto"/>
                <w:sz w:val="24"/>
                <w:highlight w:val="none"/>
              </w:rPr>
              <w:t>生产过程产生废手套S</w:t>
            </w:r>
            <w:r>
              <w:rPr>
                <w:rFonts w:hAnsi="宋体"/>
                <w:color w:val="auto"/>
                <w:sz w:val="24"/>
                <w:highlight w:val="none"/>
              </w:rPr>
              <w:t>7</w:t>
            </w:r>
            <w:r>
              <w:rPr>
                <w:rFonts w:hint="eastAsia" w:hAnsi="宋体"/>
                <w:color w:val="auto"/>
                <w:sz w:val="24"/>
                <w:highlight w:val="none"/>
              </w:rPr>
              <w:t>。</w:t>
            </w:r>
          </w:p>
          <w:p w14:paraId="05F8E4AD">
            <w:pPr>
              <w:adjustRightInd w:val="0"/>
              <w:snapToGrid w:val="0"/>
              <w:spacing w:line="360" w:lineRule="auto"/>
              <w:ind w:firstLine="480" w:firstLineChars="200"/>
              <w:rPr>
                <w:rFonts w:hint="eastAsia"/>
                <w:color w:val="auto"/>
                <w:sz w:val="24"/>
                <w:highlight w:val="none"/>
                <w:lang w:val="en-US" w:eastAsia="zh-Hans"/>
              </w:rPr>
            </w:pPr>
            <w:r>
              <w:rPr>
                <w:rFonts w:hint="eastAsia"/>
                <w:color w:val="auto"/>
                <w:sz w:val="24"/>
                <w:highlight w:val="none"/>
                <w:lang w:val="en-US" w:eastAsia="zh-Hans"/>
              </w:rPr>
              <w:t>④设备维护过程产生废润滑油S</w:t>
            </w:r>
            <w:r>
              <w:rPr>
                <w:rFonts w:hint="default"/>
                <w:color w:val="auto"/>
                <w:sz w:val="24"/>
                <w:highlight w:val="none"/>
                <w:lang w:eastAsia="zh-Hans"/>
              </w:rPr>
              <w:t>8</w:t>
            </w:r>
            <w:r>
              <w:rPr>
                <w:rFonts w:hint="eastAsia"/>
                <w:color w:val="auto"/>
                <w:sz w:val="24"/>
                <w:highlight w:val="none"/>
                <w:lang w:eastAsia="zh-Hans"/>
              </w:rPr>
              <w:t>。</w:t>
            </w:r>
          </w:p>
          <w:p w14:paraId="0886189B">
            <w:pPr>
              <w:pStyle w:val="6"/>
              <w:numPr>
                <w:ilvl w:val="0"/>
                <w:numId w:val="0"/>
              </w:numPr>
              <w:adjustRightInd w:val="0"/>
              <w:snapToGrid w:val="0"/>
              <w:spacing w:line="360" w:lineRule="auto"/>
              <w:ind w:firstLine="482" w:firstLineChars="200"/>
              <w:rPr>
                <w:b/>
                <w:bCs/>
                <w:color w:val="auto"/>
                <w:sz w:val="24"/>
                <w:szCs w:val="24"/>
                <w:highlight w:val="none"/>
              </w:rPr>
            </w:pPr>
            <w:r>
              <w:rPr>
                <w:b/>
                <w:bCs/>
                <w:color w:val="auto"/>
                <w:sz w:val="24"/>
                <w:szCs w:val="24"/>
                <w:highlight w:val="none"/>
              </w:rPr>
              <w:t>环保工程：</w:t>
            </w:r>
          </w:p>
          <w:p w14:paraId="5F7D240D">
            <w:pPr>
              <w:adjustRightInd w:val="0"/>
              <w:snapToGrid w:val="0"/>
              <w:spacing w:line="360" w:lineRule="auto"/>
              <w:ind w:firstLine="480" w:firstLineChars="200"/>
              <w:rPr>
                <w:color w:val="auto"/>
                <w:sz w:val="24"/>
                <w:highlight w:val="none"/>
              </w:rPr>
            </w:pPr>
            <w:r>
              <w:rPr>
                <w:color w:val="auto"/>
                <w:sz w:val="24"/>
                <w:highlight w:val="none"/>
              </w:rPr>
              <w:t>废气处理中会产生废活性炭</w:t>
            </w:r>
            <w:r>
              <w:rPr>
                <w:rFonts w:hint="eastAsia"/>
                <w:color w:val="auto"/>
                <w:sz w:val="24"/>
                <w:highlight w:val="none"/>
              </w:rPr>
              <w:t>S</w:t>
            </w:r>
            <w:r>
              <w:rPr>
                <w:color w:val="auto"/>
                <w:sz w:val="24"/>
                <w:highlight w:val="none"/>
              </w:rPr>
              <w:t>9</w:t>
            </w:r>
            <w:r>
              <w:rPr>
                <w:rFonts w:hint="eastAsia"/>
                <w:color w:val="auto"/>
                <w:sz w:val="24"/>
                <w:highlight w:val="none"/>
              </w:rPr>
              <w:t>、焊接烟尘净化器粉尘S</w:t>
            </w:r>
            <w:r>
              <w:rPr>
                <w:color w:val="auto"/>
                <w:sz w:val="24"/>
                <w:highlight w:val="none"/>
              </w:rPr>
              <w:t>10。</w:t>
            </w:r>
          </w:p>
          <w:p w14:paraId="096F68F3">
            <w:pPr>
              <w:adjustRightInd w:val="0"/>
              <w:snapToGrid w:val="0"/>
              <w:spacing w:line="360" w:lineRule="auto"/>
              <w:ind w:firstLine="482" w:firstLineChars="200"/>
              <w:rPr>
                <w:rFonts w:hAnsi="宋体"/>
                <w:b/>
                <w:snapToGrid w:val="0"/>
                <w:color w:val="auto"/>
                <w:kern w:val="0"/>
                <w:sz w:val="24"/>
                <w:highlight w:val="none"/>
              </w:rPr>
            </w:pPr>
            <w:r>
              <w:rPr>
                <w:rFonts w:hAnsi="宋体"/>
                <w:b/>
                <w:snapToGrid w:val="0"/>
                <w:color w:val="auto"/>
                <w:kern w:val="0"/>
                <w:sz w:val="24"/>
                <w:highlight w:val="none"/>
              </w:rPr>
              <w:t>2、主要产污环节和排污特征</w:t>
            </w:r>
          </w:p>
          <w:p w14:paraId="53306E80">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本项目主要的产污环节和排污特征见表2-</w:t>
            </w:r>
            <w:r>
              <w:rPr>
                <w:rFonts w:hint="eastAsia" w:hAnsi="宋体"/>
                <w:snapToGrid w:val="0"/>
                <w:color w:val="auto"/>
                <w:kern w:val="0"/>
                <w:sz w:val="24"/>
                <w:highlight w:val="none"/>
              </w:rPr>
              <w:t>9</w:t>
            </w:r>
            <w:r>
              <w:rPr>
                <w:rFonts w:hAnsi="宋体"/>
                <w:snapToGrid w:val="0"/>
                <w:color w:val="auto"/>
                <w:kern w:val="0"/>
                <w:sz w:val="24"/>
                <w:highlight w:val="none"/>
              </w:rPr>
              <w:t>。</w:t>
            </w:r>
          </w:p>
          <w:p w14:paraId="4C6CC4EF">
            <w:pPr>
              <w:adjustRightInd w:val="0"/>
              <w:snapToGrid w:val="0"/>
              <w:jc w:val="center"/>
              <w:rPr>
                <w:rFonts w:hAnsi="宋体"/>
                <w:b/>
                <w:snapToGrid w:val="0"/>
                <w:color w:val="auto"/>
                <w:kern w:val="0"/>
                <w:sz w:val="24"/>
                <w:highlight w:val="none"/>
              </w:rPr>
            </w:pPr>
            <w:r>
              <w:rPr>
                <w:rFonts w:hAnsi="宋体"/>
                <w:b/>
                <w:snapToGrid w:val="0"/>
                <w:color w:val="auto"/>
                <w:kern w:val="0"/>
                <w:sz w:val="24"/>
                <w:highlight w:val="none"/>
              </w:rPr>
              <w:t>表2-</w:t>
            </w:r>
            <w:r>
              <w:rPr>
                <w:rFonts w:hint="eastAsia" w:hAnsi="宋体"/>
                <w:b/>
                <w:snapToGrid w:val="0"/>
                <w:color w:val="auto"/>
                <w:kern w:val="0"/>
                <w:sz w:val="24"/>
                <w:highlight w:val="none"/>
              </w:rPr>
              <w:t xml:space="preserve">9 </w:t>
            </w:r>
            <w:r>
              <w:rPr>
                <w:rFonts w:hAnsi="宋体"/>
                <w:b/>
                <w:snapToGrid w:val="0"/>
                <w:color w:val="auto"/>
                <w:kern w:val="0"/>
                <w:sz w:val="24"/>
                <w:highlight w:val="none"/>
              </w:rPr>
              <w:t>主要产污环节和排污特征</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5"/>
              <w:gridCol w:w="1166"/>
              <w:gridCol w:w="1774"/>
              <w:gridCol w:w="2235"/>
              <w:gridCol w:w="694"/>
              <w:gridCol w:w="2529"/>
            </w:tblGrid>
            <w:tr w14:paraId="60DF0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481" w:type="pct"/>
                  <w:vAlign w:val="center"/>
                </w:tcPr>
                <w:p w14:paraId="23B3B68B">
                  <w:pPr>
                    <w:adjustRightInd w:val="0"/>
                    <w:snapToGrid w:val="0"/>
                    <w:jc w:val="center"/>
                    <w:rPr>
                      <w:b/>
                      <w:color w:val="auto"/>
                      <w:kern w:val="24"/>
                      <w:szCs w:val="21"/>
                      <w:highlight w:val="none"/>
                    </w:rPr>
                  </w:pPr>
                  <w:r>
                    <w:rPr>
                      <w:b/>
                      <w:color w:val="auto"/>
                      <w:kern w:val="24"/>
                      <w:szCs w:val="21"/>
                      <w:highlight w:val="none"/>
                    </w:rPr>
                    <w:t>类别</w:t>
                  </w:r>
                </w:p>
              </w:tc>
              <w:tc>
                <w:tcPr>
                  <w:tcW w:w="627" w:type="pct"/>
                  <w:vAlign w:val="center"/>
                </w:tcPr>
                <w:p w14:paraId="16EE7B2F">
                  <w:pPr>
                    <w:adjustRightInd w:val="0"/>
                    <w:snapToGrid w:val="0"/>
                    <w:jc w:val="center"/>
                    <w:rPr>
                      <w:b/>
                      <w:color w:val="auto"/>
                      <w:kern w:val="24"/>
                      <w:szCs w:val="21"/>
                      <w:highlight w:val="none"/>
                    </w:rPr>
                  </w:pPr>
                  <w:r>
                    <w:rPr>
                      <w:b/>
                      <w:color w:val="auto"/>
                      <w:kern w:val="24"/>
                      <w:szCs w:val="21"/>
                      <w:highlight w:val="none"/>
                    </w:rPr>
                    <w:t>代码</w:t>
                  </w:r>
                </w:p>
              </w:tc>
              <w:tc>
                <w:tcPr>
                  <w:tcW w:w="954" w:type="pct"/>
                  <w:vAlign w:val="center"/>
                </w:tcPr>
                <w:p w14:paraId="3AC46389">
                  <w:pPr>
                    <w:adjustRightInd w:val="0"/>
                    <w:snapToGrid w:val="0"/>
                    <w:jc w:val="center"/>
                    <w:rPr>
                      <w:b/>
                      <w:color w:val="auto"/>
                      <w:kern w:val="24"/>
                      <w:szCs w:val="21"/>
                      <w:highlight w:val="none"/>
                    </w:rPr>
                  </w:pPr>
                  <w:r>
                    <w:rPr>
                      <w:b/>
                      <w:color w:val="auto"/>
                      <w:kern w:val="24"/>
                      <w:szCs w:val="21"/>
                      <w:highlight w:val="none"/>
                    </w:rPr>
                    <w:t>产生点</w:t>
                  </w:r>
                </w:p>
              </w:tc>
              <w:tc>
                <w:tcPr>
                  <w:tcW w:w="1202" w:type="pct"/>
                  <w:vAlign w:val="center"/>
                </w:tcPr>
                <w:p w14:paraId="6CD7C053">
                  <w:pPr>
                    <w:adjustRightInd w:val="0"/>
                    <w:snapToGrid w:val="0"/>
                    <w:jc w:val="center"/>
                    <w:rPr>
                      <w:b/>
                      <w:color w:val="auto"/>
                      <w:kern w:val="24"/>
                      <w:szCs w:val="21"/>
                      <w:highlight w:val="none"/>
                    </w:rPr>
                  </w:pPr>
                  <w:r>
                    <w:rPr>
                      <w:b/>
                      <w:color w:val="auto"/>
                      <w:kern w:val="24"/>
                      <w:szCs w:val="21"/>
                      <w:highlight w:val="none"/>
                    </w:rPr>
                    <w:t>污染物</w:t>
                  </w:r>
                </w:p>
              </w:tc>
              <w:tc>
                <w:tcPr>
                  <w:tcW w:w="373" w:type="pct"/>
                  <w:vAlign w:val="center"/>
                </w:tcPr>
                <w:p w14:paraId="55C7ACA0">
                  <w:pPr>
                    <w:adjustRightInd w:val="0"/>
                    <w:snapToGrid w:val="0"/>
                    <w:jc w:val="center"/>
                    <w:rPr>
                      <w:b/>
                      <w:color w:val="auto"/>
                      <w:kern w:val="24"/>
                      <w:szCs w:val="21"/>
                      <w:highlight w:val="none"/>
                    </w:rPr>
                  </w:pPr>
                  <w:r>
                    <w:rPr>
                      <w:b/>
                      <w:color w:val="auto"/>
                      <w:kern w:val="24"/>
                      <w:szCs w:val="21"/>
                      <w:highlight w:val="none"/>
                    </w:rPr>
                    <w:t>特征</w:t>
                  </w:r>
                </w:p>
              </w:tc>
              <w:tc>
                <w:tcPr>
                  <w:tcW w:w="1360" w:type="pct"/>
                  <w:vAlign w:val="center"/>
                </w:tcPr>
                <w:p w14:paraId="5D180FA2">
                  <w:pPr>
                    <w:adjustRightInd w:val="0"/>
                    <w:snapToGrid w:val="0"/>
                    <w:jc w:val="center"/>
                    <w:rPr>
                      <w:b/>
                      <w:color w:val="auto"/>
                      <w:kern w:val="24"/>
                      <w:szCs w:val="21"/>
                      <w:highlight w:val="none"/>
                    </w:rPr>
                  </w:pPr>
                  <w:r>
                    <w:rPr>
                      <w:b/>
                      <w:color w:val="auto"/>
                      <w:kern w:val="24"/>
                      <w:szCs w:val="21"/>
                      <w:highlight w:val="none"/>
                    </w:rPr>
                    <w:t>去向</w:t>
                  </w:r>
                </w:p>
              </w:tc>
            </w:tr>
            <w:tr w14:paraId="0CFED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restart"/>
                  <w:vAlign w:val="center"/>
                </w:tcPr>
                <w:p w14:paraId="4430DC8B">
                  <w:pPr>
                    <w:adjustRightInd w:val="0"/>
                    <w:snapToGrid w:val="0"/>
                    <w:jc w:val="center"/>
                    <w:rPr>
                      <w:color w:val="auto"/>
                      <w:kern w:val="24"/>
                      <w:szCs w:val="21"/>
                      <w:highlight w:val="none"/>
                    </w:rPr>
                  </w:pPr>
                  <w:r>
                    <w:rPr>
                      <w:color w:val="auto"/>
                      <w:kern w:val="24"/>
                      <w:szCs w:val="21"/>
                      <w:highlight w:val="none"/>
                    </w:rPr>
                    <w:t>废气</w:t>
                  </w:r>
                </w:p>
              </w:tc>
              <w:tc>
                <w:tcPr>
                  <w:tcW w:w="627" w:type="pct"/>
                  <w:vAlign w:val="center"/>
                </w:tcPr>
                <w:p w14:paraId="0403B3A6">
                  <w:pPr>
                    <w:adjustRightInd w:val="0"/>
                    <w:snapToGrid w:val="0"/>
                    <w:jc w:val="center"/>
                    <w:rPr>
                      <w:color w:val="auto"/>
                      <w:kern w:val="24"/>
                      <w:szCs w:val="21"/>
                      <w:highlight w:val="none"/>
                    </w:rPr>
                  </w:pPr>
                  <w:r>
                    <w:rPr>
                      <w:color w:val="auto"/>
                      <w:kern w:val="24"/>
                      <w:szCs w:val="21"/>
                      <w:highlight w:val="none"/>
                    </w:rPr>
                    <w:t>G1</w:t>
                  </w:r>
                </w:p>
              </w:tc>
              <w:tc>
                <w:tcPr>
                  <w:tcW w:w="954" w:type="pct"/>
                  <w:vAlign w:val="center"/>
                </w:tcPr>
                <w:p w14:paraId="37A22D0C">
                  <w:pPr>
                    <w:adjustRightInd w:val="0"/>
                    <w:snapToGrid w:val="0"/>
                    <w:jc w:val="center"/>
                    <w:rPr>
                      <w:color w:val="auto"/>
                      <w:kern w:val="24"/>
                      <w:szCs w:val="21"/>
                      <w:highlight w:val="none"/>
                    </w:rPr>
                  </w:pPr>
                  <w:r>
                    <w:rPr>
                      <w:rFonts w:hint="eastAsia"/>
                      <w:color w:val="auto"/>
                      <w:kern w:val="24"/>
                      <w:szCs w:val="21"/>
                      <w:highlight w:val="none"/>
                    </w:rPr>
                    <w:t>涂聚酯树脂胶</w:t>
                  </w:r>
                </w:p>
              </w:tc>
              <w:tc>
                <w:tcPr>
                  <w:tcW w:w="1202" w:type="pct"/>
                  <w:vAlign w:val="center"/>
                </w:tcPr>
                <w:p w14:paraId="02BE9ED1">
                  <w:pPr>
                    <w:adjustRightInd w:val="0"/>
                    <w:snapToGrid w:val="0"/>
                    <w:jc w:val="center"/>
                    <w:rPr>
                      <w:color w:val="auto"/>
                      <w:kern w:val="24"/>
                      <w:szCs w:val="21"/>
                      <w:highlight w:val="none"/>
                    </w:rPr>
                  </w:pPr>
                  <w:r>
                    <w:rPr>
                      <w:rFonts w:hint="eastAsia"/>
                      <w:color w:val="auto"/>
                      <w:kern w:val="24"/>
                      <w:szCs w:val="21"/>
                      <w:highlight w:val="none"/>
                    </w:rPr>
                    <w:t>V</w:t>
                  </w:r>
                  <w:r>
                    <w:rPr>
                      <w:color w:val="auto"/>
                      <w:kern w:val="24"/>
                      <w:szCs w:val="21"/>
                      <w:highlight w:val="none"/>
                    </w:rPr>
                    <w:t>OCs</w:t>
                  </w:r>
                  <w:r>
                    <w:rPr>
                      <w:rStyle w:val="29"/>
                      <w:rFonts w:hint="eastAsia"/>
                      <w:color w:val="auto"/>
                      <w:kern w:val="0"/>
                      <w:szCs w:val="20"/>
                      <w:highlight w:val="none"/>
                      <w:lang w:val="zh-CN" w:eastAsia="zh-Hans"/>
                    </w:rPr>
                    <w:t>、</w:t>
                  </w:r>
                  <w:r>
                    <w:rPr>
                      <w:rStyle w:val="29"/>
                      <w:rFonts w:hint="eastAsia"/>
                      <w:color w:val="auto"/>
                      <w:kern w:val="0"/>
                      <w:szCs w:val="20"/>
                      <w:highlight w:val="none"/>
                      <w:lang w:eastAsia="zh-Hans"/>
                    </w:rPr>
                    <w:t>二甲苯</w:t>
                  </w:r>
                </w:p>
              </w:tc>
              <w:tc>
                <w:tcPr>
                  <w:tcW w:w="373" w:type="pct"/>
                  <w:vAlign w:val="center"/>
                </w:tcPr>
                <w:p w14:paraId="63C5D269">
                  <w:pPr>
                    <w:adjustRightInd w:val="0"/>
                    <w:snapToGrid w:val="0"/>
                    <w:jc w:val="center"/>
                    <w:rPr>
                      <w:color w:val="auto"/>
                      <w:kern w:val="24"/>
                      <w:szCs w:val="21"/>
                      <w:highlight w:val="none"/>
                    </w:rPr>
                  </w:pPr>
                  <w:r>
                    <w:rPr>
                      <w:color w:val="auto"/>
                      <w:kern w:val="24"/>
                      <w:szCs w:val="21"/>
                      <w:highlight w:val="none"/>
                    </w:rPr>
                    <w:t>连续</w:t>
                  </w:r>
                </w:p>
              </w:tc>
              <w:tc>
                <w:tcPr>
                  <w:tcW w:w="1360" w:type="pct"/>
                  <w:vMerge w:val="restart"/>
                  <w:vAlign w:val="center"/>
                </w:tcPr>
                <w:p w14:paraId="725365FA">
                  <w:pPr>
                    <w:adjustRightInd w:val="0"/>
                    <w:snapToGrid w:val="0"/>
                    <w:jc w:val="center"/>
                    <w:rPr>
                      <w:color w:val="auto"/>
                      <w:kern w:val="24"/>
                      <w:szCs w:val="21"/>
                      <w:highlight w:val="none"/>
                    </w:rPr>
                  </w:pPr>
                  <w:r>
                    <w:rPr>
                      <w:rFonts w:hint="default"/>
                      <w:color w:val="auto"/>
                      <w:kern w:val="24"/>
                      <w:szCs w:val="21"/>
                      <w:highlight w:val="none"/>
                    </w:rPr>
                    <w:t>三级活性炭</w:t>
                  </w:r>
                  <w:r>
                    <w:rPr>
                      <w:color w:val="auto"/>
                      <w:kern w:val="24"/>
                      <w:szCs w:val="21"/>
                      <w:highlight w:val="none"/>
                    </w:rPr>
                    <w:t>吸附+15米高</w:t>
                  </w:r>
                  <w:r>
                    <w:rPr>
                      <w:rFonts w:hint="eastAsia"/>
                      <w:color w:val="auto"/>
                      <w:kern w:val="24"/>
                      <w:szCs w:val="21"/>
                      <w:highlight w:val="none"/>
                      <w:lang w:val="en-US" w:eastAsia="zh-Hans"/>
                    </w:rPr>
                    <w:t>现有</w:t>
                  </w:r>
                  <w:r>
                    <w:rPr>
                      <w:color w:val="auto"/>
                      <w:kern w:val="24"/>
                      <w:szCs w:val="21"/>
                      <w:highlight w:val="none"/>
                    </w:rPr>
                    <w:t>排气筒FQ-</w:t>
                  </w:r>
                  <w:r>
                    <w:rPr>
                      <w:rFonts w:hint="default"/>
                      <w:color w:val="auto"/>
                      <w:kern w:val="24"/>
                      <w:szCs w:val="21"/>
                      <w:highlight w:val="none"/>
                    </w:rPr>
                    <w:t>1</w:t>
                  </w:r>
                  <w:r>
                    <w:rPr>
                      <w:color w:val="auto"/>
                      <w:kern w:val="24"/>
                      <w:szCs w:val="21"/>
                      <w:highlight w:val="none"/>
                    </w:rPr>
                    <w:t>高空排放</w:t>
                  </w:r>
                </w:p>
              </w:tc>
            </w:tr>
            <w:tr w14:paraId="7BF1A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5D1A7D22">
                  <w:pPr>
                    <w:adjustRightInd w:val="0"/>
                    <w:snapToGrid w:val="0"/>
                    <w:jc w:val="center"/>
                    <w:rPr>
                      <w:color w:val="auto"/>
                      <w:kern w:val="24"/>
                      <w:szCs w:val="21"/>
                      <w:highlight w:val="none"/>
                    </w:rPr>
                  </w:pPr>
                </w:p>
              </w:tc>
              <w:tc>
                <w:tcPr>
                  <w:tcW w:w="627" w:type="pct"/>
                  <w:vAlign w:val="center"/>
                </w:tcPr>
                <w:p w14:paraId="3D2ACBDF">
                  <w:pPr>
                    <w:adjustRightInd w:val="0"/>
                    <w:snapToGrid w:val="0"/>
                    <w:jc w:val="center"/>
                    <w:rPr>
                      <w:color w:val="auto"/>
                      <w:kern w:val="24"/>
                      <w:szCs w:val="21"/>
                      <w:highlight w:val="none"/>
                    </w:rPr>
                  </w:pPr>
                  <w:r>
                    <w:rPr>
                      <w:rFonts w:hint="eastAsia"/>
                      <w:color w:val="auto"/>
                      <w:kern w:val="24"/>
                      <w:szCs w:val="21"/>
                      <w:highlight w:val="none"/>
                    </w:rPr>
                    <w:t>G</w:t>
                  </w:r>
                  <w:r>
                    <w:rPr>
                      <w:color w:val="auto"/>
                      <w:kern w:val="24"/>
                      <w:szCs w:val="21"/>
                      <w:highlight w:val="none"/>
                    </w:rPr>
                    <w:t>2</w:t>
                  </w:r>
                </w:p>
              </w:tc>
              <w:tc>
                <w:tcPr>
                  <w:tcW w:w="954" w:type="pct"/>
                  <w:vAlign w:val="center"/>
                </w:tcPr>
                <w:p w14:paraId="0B006E5D">
                  <w:pPr>
                    <w:adjustRightInd w:val="0"/>
                    <w:snapToGrid w:val="0"/>
                    <w:jc w:val="center"/>
                    <w:rPr>
                      <w:color w:val="auto"/>
                      <w:kern w:val="24"/>
                      <w:szCs w:val="21"/>
                      <w:highlight w:val="none"/>
                    </w:rPr>
                  </w:pPr>
                  <w:r>
                    <w:rPr>
                      <w:rFonts w:hint="eastAsia"/>
                      <w:color w:val="auto"/>
                      <w:kern w:val="24"/>
                      <w:szCs w:val="21"/>
                      <w:highlight w:val="none"/>
                    </w:rPr>
                    <w:t>固化</w:t>
                  </w:r>
                </w:p>
              </w:tc>
              <w:tc>
                <w:tcPr>
                  <w:tcW w:w="1202" w:type="pct"/>
                </w:tcPr>
                <w:p w14:paraId="4D1427F5">
                  <w:pPr>
                    <w:adjustRightInd w:val="0"/>
                    <w:snapToGrid w:val="0"/>
                    <w:jc w:val="center"/>
                    <w:rPr>
                      <w:color w:val="auto"/>
                      <w:kern w:val="24"/>
                      <w:szCs w:val="21"/>
                      <w:highlight w:val="none"/>
                    </w:rPr>
                  </w:pPr>
                  <w:r>
                    <w:rPr>
                      <w:rFonts w:hint="eastAsia"/>
                      <w:color w:val="auto"/>
                      <w:kern w:val="24"/>
                      <w:szCs w:val="21"/>
                      <w:highlight w:val="none"/>
                    </w:rPr>
                    <w:t>V</w:t>
                  </w:r>
                  <w:r>
                    <w:rPr>
                      <w:color w:val="auto"/>
                      <w:kern w:val="24"/>
                      <w:szCs w:val="21"/>
                      <w:highlight w:val="none"/>
                    </w:rPr>
                    <w:t>OCs</w:t>
                  </w:r>
                </w:p>
              </w:tc>
              <w:tc>
                <w:tcPr>
                  <w:tcW w:w="373" w:type="pct"/>
                </w:tcPr>
                <w:p w14:paraId="1A37CF15">
                  <w:pPr>
                    <w:adjustRightInd w:val="0"/>
                    <w:snapToGrid w:val="0"/>
                    <w:jc w:val="center"/>
                    <w:rPr>
                      <w:color w:val="auto"/>
                      <w:kern w:val="24"/>
                      <w:szCs w:val="21"/>
                      <w:highlight w:val="none"/>
                    </w:rPr>
                  </w:pPr>
                  <w:r>
                    <w:rPr>
                      <w:color w:val="auto"/>
                      <w:kern w:val="24"/>
                      <w:szCs w:val="21"/>
                      <w:highlight w:val="none"/>
                    </w:rPr>
                    <w:t>连续</w:t>
                  </w:r>
                </w:p>
              </w:tc>
              <w:tc>
                <w:tcPr>
                  <w:tcW w:w="1360" w:type="pct"/>
                  <w:vMerge w:val="continue"/>
                  <w:vAlign w:val="center"/>
                </w:tcPr>
                <w:p w14:paraId="148C4E37">
                  <w:pPr>
                    <w:adjustRightInd w:val="0"/>
                    <w:snapToGrid w:val="0"/>
                    <w:jc w:val="center"/>
                    <w:rPr>
                      <w:color w:val="auto"/>
                      <w:kern w:val="24"/>
                      <w:szCs w:val="21"/>
                      <w:highlight w:val="none"/>
                    </w:rPr>
                  </w:pPr>
                </w:p>
              </w:tc>
            </w:tr>
            <w:tr w14:paraId="50C55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481" w:type="pct"/>
                  <w:vMerge w:val="continue"/>
                  <w:vAlign w:val="center"/>
                </w:tcPr>
                <w:p w14:paraId="0348E0C5">
                  <w:pPr>
                    <w:adjustRightInd w:val="0"/>
                    <w:snapToGrid w:val="0"/>
                    <w:jc w:val="center"/>
                    <w:rPr>
                      <w:color w:val="auto"/>
                      <w:kern w:val="24"/>
                      <w:szCs w:val="21"/>
                      <w:highlight w:val="none"/>
                    </w:rPr>
                  </w:pPr>
                </w:p>
              </w:tc>
              <w:tc>
                <w:tcPr>
                  <w:tcW w:w="627" w:type="pct"/>
                  <w:vAlign w:val="center"/>
                </w:tcPr>
                <w:p w14:paraId="76368E2A">
                  <w:pPr>
                    <w:adjustRightInd w:val="0"/>
                    <w:snapToGrid w:val="0"/>
                    <w:jc w:val="center"/>
                    <w:rPr>
                      <w:color w:val="auto"/>
                      <w:kern w:val="24"/>
                      <w:szCs w:val="21"/>
                      <w:highlight w:val="none"/>
                    </w:rPr>
                  </w:pPr>
                  <w:r>
                    <w:rPr>
                      <w:rFonts w:hint="eastAsia"/>
                      <w:color w:val="auto"/>
                      <w:kern w:val="24"/>
                      <w:szCs w:val="21"/>
                      <w:highlight w:val="none"/>
                    </w:rPr>
                    <w:t>G</w:t>
                  </w:r>
                  <w:r>
                    <w:rPr>
                      <w:color w:val="auto"/>
                      <w:kern w:val="24"/>
                      <w:szCs w:val="21"/>
                      <w:highlight w:val="none"/>
                    </w:rPr>
                    <w:t>5</w:t>
                  </w:r>
                </w:p>
              </w:tc>
              <w:tc>
                <w:tcPr>
                  <w:tcW w:w="954" w:type="pct"/>
                  <w:vAlign w:val="center"/>
                </w:tcPr>
                <w:p w14:paraId="5B4ACBC8">
                  <w:pPr>
                    <w:adjustRightInd w:val="0"/>
                    <w:snapToGrid w:val="0"/>
                    <w:jc w:val="center"/>
                    <w:rPr>
                      <w:color w:val="auto"/>
                      <w:kern w:val="24"/>
                      <w:szCs w:val="21"/>
                      <w:highlight w:val="none"/>
                    </w:rPr>
                  </w:pPr>
                  <w:r>
                    <w:rPr>
                      <w:rFonts w:hint="eastAsia"/>
                      <w:color w:val="auto"/>
                      <w:kern w:val="24"/>
                      <w:szCs w:val="21"/>
                      <w:highlight w:val="none"/>
                    </w:rPr>
                    <w:t>滴浸渍树脂胶</w:t>
                  </w:r>
                </w:p>
              </w:tc>
              <w:tc>
                <w:tcPr>
                  <w:tcW w:w="1202" w:type="pct"/>
                </w:tcPr>
                <w:p w14:paraId="5F554A39">
                  <w:pPr>
                    <w:adjustRightInd w:val="0"/>
                    <w:snapToGrid w:val="0"/>
                    <w:jc w:val="center"/>
                    <w:rPr>
                      <w:color w:val="auto"/>
                      <w:kern w:val="24"/>
                      <w:szCs w:val="21"/>
                      <w:highlight w:val="none"/>
                    </w:rPr>
                  </w:pPr>
                  <w:r>
                    <w:rPr>
                      <w:rFonts w:hint="eastAsia"/>
                      <w:color w:val="auto"/>
                      <w:kern w:val="24"/>
                      <w:szCs w:val="21"/>
                      <w:highlight w:val="none"/>
                    </w:rPr>
                    <w:t>V</w:t>
                  </w:r>
                  <w:r>
                    <w:rPr>
                      <w:color w:val="auto"/>
                      <w:kern w:val="24"/>
                      <w:szCs w:val="21"/>
                      <w:highlight w:val="none"/>
                    </w:rPr>
                    <w:t>OCs</w:t>
                  </w:r>
                </w:p>
              </w:tc>
              <w:tc>
                <w:tcPr>
                  <w:tcW w:w="373" w:type="pct"/>
                </w:tcPr>
                <w:p w14:paraId="05835883">
                  <w:pPr>
                    <w:adjustRightInd w:val="0"/>
                    <w:snapToGrid w:val="0"/>
                    <w:jc w:val="center"/>
                    <w:rPr>
                      <w:color w:val="auto"/>
                      <w:kern w:val="24"/>
                      <w:szCs w:val="21"/>
                      <w:highlight w:val="none"/>
                    </w:rPr>
                  </w:pPr>
                  <w:r>
                    <w:rPr>
                      <w:color w:val="auto"/>
                      <w:kern w:val="24"/>
                      <w:szCs w:val="21"/>
                      <w:highlight w:val="none"/>
                    </w:rPr>
                    <w:t>连续</w:t>
                  </w:r>
                </w:p>
              </w:tc>
              <w:tc>
                <w:tcPr>
                  <w:tcW w:w="1360" w:type="pct"/>
                  <w:vMerge w:val="continue"/>
                  <w:vAlign w:val="center"/>
                </w:tcPr>
                <w:p w14:paraId="5C1094AE">
                  <w:pPr>
                    <w:adjustRightInd w:val="0"/>
                    <w:snapToGrid w:val="0"/>
                    <w:jc w:val="center"/>
                    <w:rPr>
                      <w:color w:val="auto"/>
                      <w:kern w:val="24"/>
                      <w:szCs w:val="21"/>
                      <w:highlight w:val="none"/>
                    </w:rPr>
                  </w:pPr>
                </w:p>
              </w:tc>
            </w:tr>
            <w:tr w14:paraId="29F04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10C2A53C">
                  <w:pPr>
                    <w:adjustRightInd w:val="0"/>
                    <w:snapToGrid w:val="0"/>
                    <w:jc w:val="center"/>
                    <w:rPr>
                      <w:color w:val="auto"/>
                      <w:kern w:val="24"/>
                      <w:szCs w:val="21"/>
                      <w:highlight w:val="none"/>
                    </w:rPr>
                  </w:pPr>
                </w:p>
              </w:tc>
              <w:tc>
                <w:tcPr>
                  <w:tcW w:w="627" w:type="pct"/>
                  <w:vAlign w:val="center"/>
                </w:tcPr>
                <w:p w14:paraId="4A34D518">
                  <w:pPr>
                    <w:adjustRightInd w:val="0"/>
                    <w:snapToGrid w:val="0"/>
                    <w:jc w:val="center"/>
                    <w:rPr>
                      <w:color w:val="auto"/>
                      <w:kern w:val="24"/>
                      <w:szCs w:val="21"/>
                      <w:highlight w:val="none"/>
                    </w:rPr>
                  </w:pPr>
                  <w:r>
                    <w:rPr>
                      <w:rFonts w:hint="eastAsia"/>
                      <w:color w:val="auto"/>
                      <w:kern w:val="24"/>
                      <w:szCs w:val="21"/>
                      <w:highlight w:val="none"/>
                    </w:rPr>
                    <w:t>G7</w:t>
                  </w:r>
                </w:p>
              </w:tc>
              <w:tc>
                <w:tcPr>
                  <w:tcW w:w="954" w:type="pct"/>
                  <w:vMerge w:val="restart"/>
                  <w:vAlign w:val="center"/>
                </w:tcPr>
                <w:p w14:paraId="0F524637">
                  <w:pPr>
                    <w:adjustRightInd w:val="0"/>
                    <w:snapToGrid w:val="0"/>
                    <w:jc w:val="center"/>
                    <w:rPr>
                      <w:color w:val="auto"/>
                      <w:kern w:val="24"/>
                      <w:szCs w:val="21"/>
                      <w:highlight w:val="none"/>
                    </w:rPr>
                  </w:pPr>
                  <w:r>
                    <w:rPr>
                      <w:rFonts w:hint="eastAsia"/>
                      <w:color w:val="auto"/>
                      <w:kern w:val="24"/>
                      <w:szCs w:val="21"/>
                      <w:highlight w:val="none"/>
                    </w:rPr>
                    <w:t>浸涂树脂粉、固化</w:t>
                  </w:r>
                </w:p>
              </w:tc>
              <w:tc>
                <w:tcPr>
                  <w:tcW w:w="1202" w:type="pct"/>
                </w:tcPr>
                <w:p w14:paraId="0B4B5373">
                  <w:pPr>
                    <w:adjustRightInd w:val="0"/>
                    <w:snapToGrid w:val="0"/>
                    <w:jc w:val="center"/>
                    <w:rPr>
                      <w:color w:val="auto"/>
                      <w:kern w:val="24"/>
                      <w:szCs w:val="21"/>
                      <w:highlight w:val="none"/>
                    </w:rPr>
                  </w:pPr>
                  <w:r>
                    <w:rPr>
                      <w:rFonts w:hint="eastAsia"/>
                      <w:color w:val="auto"/>
                      <w:kern w:val="24"/>
                      <w:szCs w:val="21"/>
                      <w:highlight w:val="none"/>
                    </w:rPr>
                    <w:t>V</w:t>
                  </w:r>
                  <w:r>
                    <w:rPr>
                      <w:color w:val="auto"/>
                      <w:kern w:val="24"/>
                      <w:szCs w:val="21"/>
                      <w:highlight w:val="none"/>
                    </w:rPr>
                    <w:t>OCs</w:t>
                  </w:r>
                </w:p>
              </w:tc>
              <w:tc>
                <w:tcPr>
                  <w:tcW w:w="373" w:type="pct"/>
                </w:tcPr>
                <w:p w14:paraId="07A1127F">
                  <w:pPr>
                    <w:adjustRightInd w:val="0"/>
                    <w:snapToGrid w:val="0"/>
                    <w:jc w:val="center"/>
                    <w:rPr>
                      <w:color w:val="auto"/>
                      <w:kern w:val="24"/>
                      <w:szCs w:val="21"/>
                      <w:highlight w:val="none"/>
                    </w:rPr>
                  </w:pPr>
                  <w:r>
                    <w:rPr>
                      <w:color w:val="auto"/>
                      <w:kern w:val="24"/>
                      <w:szCs w:val="21"/>
                      <w:highlight w:val="none"/>
                    </w:rPr>
                    <w:t>连续</w:t>
                  </w:r>
                </w:p>
              </w:tc>
              <w:tc>
                <w:tcPr>
                  <w:tcW w:w="1360" w:type="pct"/>
                  <w:vMerge w:val="continue"/>
                  <w:vAlign w:val="center"/>
                </w:tcPr>
                <w:p w14:paraId="5C6AE925">
                  <w:pPr>
                    <w:adjustRightInd w:val="0"/>
                    <w:snapToGrid w:val="0"/>
                    <w:jc w:val="center"/>
                    <w:rPr>
                      <w:color w:val="auto"/>
                      <w:kern w:val="24"/>
                      <w:szCs w:val="21"/>
                      <w:highlight w:val="none"/>
                    </w:rPr>
                  </w:pPr>
                </w:p>
              </w:tc>
            </w:tr>
            <w:tr w14:paraId="14795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452027C0">
                  <w:pPr>
                    <w:adjustRightInd w:val="0"/>
                    <w:snapToGrid w:val="0"/>
                    <w:jc w:val="center"/>
                    <w:rPr>
                      <w:color w:val="auto"/>
                      <w:kern w:val="24"/>
                      <w:szCs w:val="21"/>
                      <w:highlight w:val="none"/>
                    </w:rPr>
                  </w:pPr>
                </w:p>
              </w:tc>
              <w:tc>
                <w:tcPr>
                  <w:tcW w:w="627" w:type="pct"/>
                  <w:vAlign w:val="center"/>
                </w:tcPr>
                <w:p w14:paraId="684A2118">
                  <w:pPr>
                    <w:adjustRightInd w:val="0"/>
                    <w:snapToGrid w:val="0"/>
                    <w:jc w:val="center"/>
                    <w:rPr>
                      <w:color w:val="auto"/>
                      <w:kern w:val="24"/>
                      <w:szCs w:val="21"/>
                      <w:highlight w:val="none"/>
                    </w:rPr>
                  </w:pPr>
                  <w:r>
                    <w:rPr>
                      <w:rFonts w:hint="eastAsia"/>
                      <w:color w:val="auto"/>
                      <w:kern w:val="24"/>
                      <w:szCs w:val="21"/>
                      <w:highlight w:val="none"/>
                    </w:rPr>
                    <w:t>G6</w:t>
                  </w:r>
                </w:p>
              </w:tc>
              <w:tc>
                <w:tcPr>
                  <w:tcW w:w="954" w:type="pct"/>
                  <w:vMerge w:val="continue"/>
                  <w:vAlign w:val="center"/>
                </w:tcPr>
                <w:p w14:paraId="5AC259BF">
                  <w:pPr>
                    <w:adjustRightInd w:val="0"/>
                    <w:snapToGrid w:val="0"/>
                    <w:jc w:val="center"/>
                    <w:rPr>
                      <w:color w:val="auto"/>
                      <w:kern w:val="24"/>
                      <w:szCs w:val="21"/>
                      <w:highlight w:val="none"/>
                    </w:rPr>
                  </w:pPr>
                </w:p>
              </w:tc>
              <w:tc>
                <w:tcPr>
                  <w:tcW w:w="1202" w:type="pct"/>
                  <w:vAlign w:val="center"/>
                </w:tcPr>
                <w:p w14:paraId="402634F0">
                  <w:pPr>
                    <w:adjustRightInd w:val="0"/>
                    <w:snapToGrid w:val="0"/>
                    <w:jc w:val="center"/>
                    <w:rPr>
                      <w:color w:val="auto"/>
                      <w:kern w:val="24"/>
                      <w:szCs w:val="21"/>
                      <w:highlight w:val="none"/>
                    </w:rPr>
                  </w:pPr>
                  <w:r>
                    <w:rPr>
                      <w:rFonts w:hint="eastAsia"/>
                      <w:color w:val="auto"/>
                      <w:kern w:val="24"/>
                      <w:szCs w:val="21"/>
                      <w:highlight w:val="none"/>
                    </w:rPr>
                    <w:t>颗粒物</w:t>
                  </w:r>
                </w:p>
              </w:tc>
              <w:tc>
                <w:tcPr>
                  <w:tcW w:w="373" w:type="pct"/>
                  <w:vAlign w:val="center"/>
                </w:tcPr>
                <w:p w14:paraId="01B96C29">
                  <w:pPr>
                    <w:adjustRightInd w:val="0"/>
                    <w:snapToGrid w:val="0"/>
                    <w:jc w:val="center"/>
                    <w:rPr>
                      <w:color w:val="auto"/>
                      <w:kern w:val="24"/>
                      <w:szCs w:val="21"/>
                      <w:highlight w:val="none"/>
                    </w:rPr>
                  </w:pPr>
                  <w:r>
                    <w:rPr>
                      <w:rFonts w:hint="eastAsia"/>
                      <w:color w:val="auto"/>
                      <w:kern w:val="24"/>
                      <w:szCs w:val="21"/>
                      <w:highlight w:val="none"/>
                    </w:rPr>
                    <w:t>连续</w:t>
                  </w:r>
                </w:p>
              </w:tc>
              <w:tc>
                <w:tcPr>
                  <w:tcW w:w="1360" w:type="pct"/>
                  <w:vAlign w:val="center"/>
                </w:tcPr>
                <w:p w14:paraId="79C8D8AD">
                  <w:pPr>
                    <w:adjustRightInd w:val="0"/>
                    <w:snapToGrid w:val="0"/>
                    <w:jc w:val="center"/>
                    <w:rPr>
                      <w:color w:val="auto"/>
                      <w:kern w:val="24"/>
                      <w:szCs w:val="21"/>
                      <w:highlight w:val="none"/>
                    </w:rPr>
                  </w:pPr>
                  <w:r>
                    <w:rPr>
                      <w:rFonts w:hint="eastAsia"/>
                      <w:color w:val="auto"/>
                      <w:kern w:val="24"/>
                      <w:szCs w:val="21"/>
                      <w:highlight w:val="none"/>
                    </w:rPr>
                    <w:t>设备自带过滤装置+</w:t>
                  </w:r>
                  <w:r>
                    <w:rPr>
                      <w:color w:val="auto"/>
                      <w:kern w:val="24"/>
                      <w:szCs w:val="21"/>
                      <w:highlight w:val="none"/>
                    </w:rPr>
                    <w:t>15米高</w:t>
                  </w:r>
                  <w:r>
                    <w:rPr>
                      <w:rFonts w:hint="eastAsia"/>
                      <w:color w:val="auto"/>
                      <w:kern w:val="24"/>
                      <w:szCs w:val="21"/>
                      <w:highlight w:val="none"/>
                      <w:lang w:val="en-US" w:eastAsia="zh-Hans"/>
                    </w:rPr>
                    <w:t>现有</w:t>
                  </w:r>
                  <w:r>
                    <w:rPr>
                      <w:color w:val="auto"/>
                      <w:kern w:val="24"/>
                      <w:szCs w:val="21"/>
                      <w:highlight w:val="none"/>
                    </w:rPr>
                    <w:t>排气筒FQ-</w:t>
                  </w:r>
                  <w:r>
                    <w:rPr>
                      <w:rFonts w:hint="default"/>
                      <w:color w:val="auto"/>
                      <w:kern w:val="24"/>
                      <w:szCs w:val="21"/>
                      <w:highlight w:val="none"/>
                    </w:rPr>
                    <w:t>1</w:t>
                  </w:r>
                  <w:r>
                    <w:rPr>
                      <w:color w:val="auto"/>
                      <w:kern w:val="24"/>
                      <w:szCs w:val="21"/>
                      <w:highlight w:val="none"/>
                    </w:rPr>
                    <w:t>高空排放</w:t>
                  </w:r>
                </w:p>
              </w:tc>
            </w:tr>
            <w:tr w14:paraId="1DF0A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5816061E">
                  <w:pPr>
                    <w:adjustRightInd w:val="0"/>
                    <w:snapToGrid w:val="0"/>
                    <w:jc w:val="center"/>
                    <w:rPr>
                      <w:color w:val="auto"/>
                      <w:kern w:val="24"/>
                      <w:szCs w:val="21"/>
                      <w:highlight w:val="none"/>
                    </w:rPr>
                  </w:pPr>
                </w:p>
              </w:tc>
              <w:tc>
                <w:tcPr>
                  <w:tcW w:w="627" w:type="pct"/>
                  <w:vAlign w:val="center"/>
                </w:tcPr>
                <w:p w14:paraId="48740607">
                  <w:pPr>
                    <w:adjustRightInd w:val="0"/>
                    <w:snapToGrid w:val="0"/>
                    <w:jc w:val="center"/>
                    <w:rPr>
                      <w:color w:val="auto"/>
                      <w:kern w:val="24"/>
                      <w:szCs w:val="21"/>
                      <w:highlight w:val="none"/>
                    </w:rPr>
                  </w:pPr>
                  <w:r>
                    <w:rPr>
                      <w:rFonts w:hint="eastAsia"/>
                      <w:color w:val="auto"/>
                      <w:kern w:val="24"/>
                      <w:szCs w:val="21"/>
                      <w:highlight w:val="none"/>
                    </w:rPr>
                    <w:t>G</w:t>
                  </w:r>
                  <w:r>
                    <w:rPr>
                      <w:color w:val="auto"/>
                      <w:kern w:val="24"/>
                      <w:szCs w:val="21"/>
                      <w:highlight w:val="none"/>
                    </w:rPr>
                    <w:t>3</w:t>
                  </w:r>
                </w:p>
              </w:tc>
              <w:tc>
                <w:tcPr>
                  <w:tcW w:w="954" w:type="pct"/>
                  <w:vAlign w:val="center"/>
                </w:tcPr>
                <w:p w14:paraId="1A62E2F6">
                  <w:pPr>
                    <w:adjustRightInd w:val="0"/>
                    <w:snapToGrid w:val="0"/>
                    <w:jc w:val="center"/>
                    <w:rPr>
                      <w:color w:val="auto"/>
                      <w:kern w:val="24"/>
                      <w:szCs w:val="21"/>
                      <w:highlight w:val="none"/>
                    </w:rPr>
                  </w:pPr>
                  <w:r>
                    <w:rPr>
                      <w:rFonts w:hint="eastAsia"/>
                      <w:color w:val="auto"/>
                      <w:kern w:val="24"/>
                      <w:szCs w:val="21"/>
                      <w:highlight w:val="none"/>
                    </w:rPr>
                    <w:t>分配环钎料焊接</w:t>
                  </w:r>
                </w:p>
              </w:tc>
              <w:tc>
                <w:tcPr>
                  <w:tcW w:w="1202" w:type="pct"/>
                  <w:vAlign w:val="center"/>
                </w:tcPr>
                <w:p w14:paraId="26CD612A">
                  <w:pPr>
                    <w:adjustRightInd w:val="0"/>
                    <w:snapToGrid w:val="0"/>
                    <w:jc w:val="center"/>
                    <w:rPr>
                      <w:color w:val="auto"/>
                      <w:kern w:val="24"/>
                      <w:szCs w:val="21"/>
                      <w:highlight w:val="none"/>
                    </w:rPr>
                  </w:pPr>
                  <w:r>
                    <w:rPr>
                      <w:rFonts w:hint="eastAsia"/>
                      <w:color w:val="auto"/>
                      <w:kern w:val="24"/>
                      <w:szCs w:val="21"/>
                      <w:highlight w:val="none"/>
                    </w:rPr>
                    <w:t>颗粒物</w:t>
                  </w:r>
                </w:p>
              </w:tc>
              <w:tc>
                <w:tcPr>
                  <w:tcW w:w="373" w:type="pct"/>
                </w:tcPr>
                <w:p w14:paraId="1187C8C2">
                  <w:pPr>
                    <w:adjustRightInd w:val="0"/>
                    <w:snapToGrid w:val="0"/>
                    <w:jc w:val="center"/>
                    <w:rPr>
                      <w:color w:val="auto"/>
                      <w:kern w:val="24"/>
                      <w:szCs w:val="21"/>
                      <w:highlight w:val="none"/>
                    </w:rPr>
                  </w:pPr>
                  <w:r>
                    <w:rPr>
                      <w:color w:val="auto"/>
                      <w:kern w:val="24"/>
                      <w:szCs w:val="21"/>
                      <w:highlight w:val="none"/>
                    </w:rPr>
                    <w:t>连续</w:t>
                  </w:r>
                </w:p>
              </w:tc>
              <w:tc>
                <w:tcPr>
                  <w:tcW w:w="1360" w:type="pct"/>
                  <w:vMerge w:val="restart"/>
                  <w:vAlign w:val="center"/>
                </w:tcPr>
                <w:p w14:paraId="650BFDEF">
                  <w:pPr>
                    <w:adjustRightInd w:val="0"/>
                    <w:snapToGrid w:val="0"/>
                    <w:jc w:val="center"/>
                    <w:rPr>
                      <w:color w:val="auto"/>
                      <w:kern w:val="24"/>
                      <w:szCs w:val="21"/>
                      <w:highlight w:val="none"/>
                    </w:rPr>
                  </w:pPr>
                  <w:r>
                    <w:rPr>
                      <w:color w:val="auto"/>
                      <w:kern w:val="24"/>
                      <w:szCs w:val="21"/>
                      <w:highlight w:val="none"/>
                    </w:rPr>
                    <w:t>移动式焊接烟尘净化器处理后车间无组织排放</w:t>
                  </w:r>
                </w:p>
              </w:tc>
            </w:tr>
            <w:tr w14:paraId="30F7A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481" w:type="pct"/>
                  <w:vMerge w:val="continue"/>
                  <w:vAlign w:val="center"/>
                </w:tcPr>
                <w:p w14:paraId="2D395C55">
                  <w:pPr>
                    <w:adjustRightInd w:val="0"/>
                    <w:snapToGrid w:val="0"/>
                    <w:jc w:val="center"/>
                    <w:rPr>
                      <w:color w:val="auto"/>
                      <w:kern w:val="24"/>
                      <w:szCs w:val="21"/>
                      <w:highlight w:val="none"/>
                    </w:rPr>
                  </w:pPr>
                </w:p>
              </w:tc>
              <w:tc>
                <w:tcPr>
                  <w:tcW w:w="627" w:type="pct"/>
                  <w:vAlign w:val="center"/>
                </w:tcPr>
                <w:p w14:paraId="5E619D8D">
                  <w:pPr>
                    <w:adjustRightInd w:val="0"/>
                    <w:snapToGrid w:val="0"/>
                    <w:jc w:val="center"/>
                    <w:rPr>
                      <w:color w:val="auto"/>
                      <w:kern w:val="24"/>
                      <w:szCs w:val="21"/>
                      <w:highlight w:val="none"/>
                    </w:rPr>
                  </w:pPr>
                  <w:r>
                    <w:rPr>
                      <w:color w:val="auto"/>
                      <w:kern w:val="24"/>
                      <w:szCs w:val="21"/>
                      <w:highlight w:val="none"/>
                    </w:rPr>
                    <w:t>G4</w:t>
                  </w:r>
                </w:p>
              </w:tc>
              <w:tc>
                <w:tcPr>
                  <w:tcW w:w="954" w:type="pct"/>
                  <w:vAlign w:val="center"/>
                </w:tcPr>
                <w:p w14:paraId="74726B1D">
                  <w:pPr>
                    <w:adjustRightInd w:val="0"/>
                    <w:snapToGrid w:val="0"/>
                    <w:jc w:val="center"/>
                    <w:rPr>
                      <w:color w:val="auto"/>
                      <w:kern w:val="24"/>
                      <w:szCs w:val="21"/>
                      <w:highlight w:val="none"/>
                    </w:rPr>
                  </w:pPr>
                  <w:r>
                    <w:rPr>
                      <w:rFonts w:hint="eastAsia"/>
                      <w:color w:val="auto"/>
                      <w:kern w:val="24"/>
                      <w:szCs w:val="21"/>
                      <w:highlight w:val="none"/>
                    </w:rPr>
                    <w:t>大小PIN焊接</w:t>
                  </w:r>
                </w:p>
              </w:tc>
              <w:tc>
                <w:tcPr>
                  <w:tcW w:w="1202" w:type="pct"/>
                  <w:vAlign w:val="center"/>
                </w:tcPr>
                <w:p w14:paraId="155F40D5">
                  <w:pPr>
                    <w:adjustRightInd w:val="0"/>
                    <w:snapToGrid w:val="0"/>
                    <w:jc w:val="center"/>
                    <w:rPr>
                      <w:color w:val="auto"/>
                      <w:kern w:val="24"/>
                      <w:szCs w:val="21"/>
                      <w:highlight w:val="none"/>
                    </w:rPr>
                  </w:pPr>
                  <w:r>
                    <w:rPr>
                      <w:rFonts w:hint="eastAsia"/>
                      <w:color w:val="auto"/>
                      <w:kern w:val="24"/>
                      <w:szCs w:val="21"/>
                      <w:highlight w:val="none"/>
                    </w:rPr>
                    <w:t>颗粒物</w:t>
                  </w:r>
                </w:p>
              </w:tc>
              <w:tc>
                <w:tcPr>
                  <w:tcW w:w="373" w:type="pct"/>
                </w:tcPr>
                <w:p w14:paraId="5F0BD75C">
                  <w:pPr>
                    <w:adjustRightInd w:val="0"/>
                    <w:snapToGrid w:val="0"/>
                    <w:jc w:val="center"/>
                    <w:rPr>
                      <w:color w:val="auto"/>
                      <w:kern w:val="24"/>
                      <w:szCs w:val="21"/>
                      <w:highlight w:val="none"/>
                    </w:rPr>
                  </w:pPr>
                  <w:r>
                    <w:rPr>
                      <w:color w:val="auto"/>
                      <w:kern w:val="24"/>
                      <w:szCs w:val="21"/>
                      <w:highlight w:val="none"/>
                    </w:rPr>
                    <w:t>连续</w:t>
                  </w:r>
                </w:p>
              </w:tc>
              <w:tc>
                <w:tcPr>
                  <w:tcW w:w="1360" w:type="pct"/>
                  <w:vMerge w:val="continue"/>
                  <w:vAlign w:val="center"/>
                </w:tcPr>
                <w:p w14:paraId="367E1005">
                  <w:pPr>
                    <w:adjustRightInd w:val="0"/>
                    <w:snapToGrid w:val="0"/>
                    <w:jc w:val="center"/>
                    <w:rPr>
                      <w:color w:val="auto"/>
                      <w:kern w:val="24"/>
                      <w:szCs w:val="21"/>
                      <w:highlight w:val="none"/>
                    </w:rPr>
                  </w:pPr>
                </w:p>
              </w:tc>
            </w:tr>
            <w:tr w14:paraId="707EA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Align w:val="center"/>
                </w:tcPr>
                <w:p w14:paraId="6D644816">
                  <w:pPr>
                    <w:adjustRightInd w:val="0"/>
                    <w:snapToGrid w:val="0"/>
                    <w:jc w:val="center"/>
                    <w:rPr>
                      <w:color w:val="auto"/>
                      <w:kern w:val="24"/>
                      <w:szCs w:val="21"/>
                      <w:highlight w:val="none"/>
                    </w:rPr>
                  </w:pPr>
                  <w:r>
                    <w:rPr>
                      <w:color w:val="auto"/>
                      <w:kern w:val="24"/>
                      <w:szCs w:val="21"/>
                      <w:highlight w:val="none"/>
                    </w:rPr>
                    <w:t>废水</w:t>
                  </w:r>
                </w:p>
              </w:tc>
              <w:tc>
                <w:tcPr>
                  <w:tcW w:w="627" w:type="pct"/>
                  <w:vAlign w:val="center"/>
                </w:tcPr>
                <w:p w14:paraId="48AC3AA6">
                  <w:pPr>
                    <w:adjustRightInd w:val="0"/>
                    <w:snapToGrid w:val="0"/>
                    <w:jc w:val="center"/>
                    <w:rPr>
                      <w:color w:val="auto"/>
                      <w:kern w:val="24"/>
                      <w:szCs w:val="21"/>
                      <w:highlight w:val="none"/>
                    </w:rPr>
                  </w:pPr>
                  <w:r>
                    <w:rPr>
                      <w:color w:val="auto"/>
                      <w:kern w:val="24"/>
                      <w:szCs w:val="21"/>
                      <w:highlight w:val="none"/>
                    </w:rPr>
                    <w:t>/</w:t>
                  </w:r>
                </w:p>
              </w:tc>
              <w:tc>
                <w:tcPr>
                  <w:tcW w:w="954" w:type="pct"/>
                  <w:vAlign w:val="center"/>
                </w:tcPr>
                <w:p w14:paraId="2095AF2E">
                  <w:pPr>
                    <w:adjustRightInd w:val="0"/>
                    <w:snapToGrid w:val="0"/>
                    <w:jc w:val="center"/>
                    <w:rPr>
                      <w:color w:val="auto"/>
                      <w:kern w:val="24"/>
                      <w:szCs w:val="21"/>
                      <w:highlight w:val="none"/>
                      <w:lang w:eastAsia="zh-Hans"/>
                    </w:rPr>
                  </w:pPr>
                  <w:r>
                    <w:rPr>
                      <w:rFonts w:hint="eastAsia"/>
                      <w:color w:val="auto"/>
                      <w:kern w:val="24"/>
                      <w:szCs w:val="21"/>
                      <w:highlight w:val="none"/>
                      <w:lang w:eastAsia="zh-Hans"/>
                    </w:rPr>
                    <w:t>生活污水</w:t>
                  </w:r>
                </w:p>
              </w:tc>
              <w:tc>
                <w:tcPr>
                  <w:tcW w:w="1202" w:type="pct"/>
                  <w:vAlign w:val="center"/>
                </w:tcPr>
                <w:p w14:paraId="5C4EDBD0">
                  <w:pPr>
                    <w:adjustRightInd w:val="0"/>
                    <w:snapToGrid w:val="0"/>
                    <w:jc w:val="center"/>
                    <w:rPr>
                      <w:color w:val="auto"/>
                      <w:kern w:val="24"/>
                      <w:szCs w:val="21"/>
                      <w:highlight w:val="none"/>
                      <w:lang w:eastAsia="zh-Hans"/>
                    </w:rPr>
                  </w:pPr>
                  <w:r>
                    <w:rPr>
                      <w:rFonts w:hint="eastAsia"/>
                      <w:color w:val="auto"/>
                      <w:kern w:val="24"/>
                      <w:szCs w:val="21"/>
                      <w:highlight w:val="none"/>
                      <w:lang w:eastAsia="zh-Hans"/>
                    </w:rPr>
                    <w:t>COD、SS、氨氮、TP、TN</w:t>
                  </w:r>
                </w:p>
              </w:tc>
              <w:tc>
                <w:tcPr>
                  <w:tcW w:w="373" w:type="pct"/>
                  <w:vAlign w:val="center"/>
                </w:tcPr>
                <w:p w14:paraId="7BBF193C">
                  <w:pPr>
                    <w:adjustRightInd w:val="0"/>
                    <w:snapToGrid w:val="0"/>
                    <w:jc w:val="center"/>
                    <w:rPr>
                      <w:color w:val="auto"/>
                      <w:kern w:val="24"/>
                      <w:szCs w:val="21"/>
                      <w:highlight w:val="none"/>
                      <w:lang w:eastAsia="zh-Hans"/>
                    </w:rPr>
                  </w:pPr>
                  <w:r>
                    <w:rPr>
                      <w:rFonts w:hint="eastAsia"/>
                      <w:color w:val="auto"/>
                      <w:kern w:val="24"/>
                      <w:szCs w:val="21"/>
                      <w:highlight w:val="none"/>
                      <w:lang w:eastAsia="zh-Hans"/>
                    </w:rPr>
                    <w:t>连续</w:t>
                  </w:r>
                </w:p>
              </w:tc>
              <w:tc>
                <w:tcPr>
                  <w:tcW w:w="1360" w:type="pct"/>
                  <w:vAlign w:val="center"/>
                </w:tcPr>
                <w:p w14:paraId="7864DCED">
                  <w:pPr>
                    <w:adjustRightInd w:val="0"/>
                    <w:snapToGrid w:val="0"/>
                    <w:jc w:val="center"/>
                    <w:rPr>
                      <w:color w:val="auto"/>
                      <w:kern w:val="24"/>
                      <w:szCs w:val="21"/>
                      <w:highlight w:val="none"/>
                      <w:lang w:eastAsia="zh-Hans"/>
                    </w:rPr>
                  </w:pPr>
                  <w:r>
                    <w:rPr>
                      <w:rFonts w:hint="eastAsia"/>
                      <w:color w:val="auto"/>
                      <w:kern w:val="24"/>
                      <w:szCs w:val="21"/>
                      <w:highlight w:val="none"/>
                      <w:lang w:eastAsia="zh-Hans"/>
                    </w:rPr>
                    <w:t>经化粪池与处理后接管</w:t>
                  </w:r>
                  <w:r>
                    <w:rPr>
                      <w:rFonts w:hAnsi="宋体"/>
                      <w:snapToGrid w:val="0"/>
                      <w:color w:val="auto"/>
                      <w:kern w:val="0"/>
                      <w:szCs w:val="21"/>
                      <w:highlight w:val="none"/>
                    </w:rPr>
                    <w:t>海门市东洲水处理有限公司</w:t>
                  </w:r>
                </w:p>
              </w:tc>
            </w:tr>
            <w:tr w14:paraId="2C4BF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481" w:type="pct"/>
                  <w:vMerge w:val="restart"/>
                  <w:vAlign w:val="center"/>
                </w:tcPr>
                <w:p w14:paraId="0A11FA38">
                  <w:pPr>
                    <w:adjustRightInd w:val="0"/>
                    <w:snapToGrid w:val="0"/>
                    <w:jc w:val="center"/>
                    <w:rPr>
                      <w:color w:val="auto"/>
                      <w:kern w:val="24"/>
                      <w:szCs w:val="21"/>
                      <w:highlight w:val="none"/>
                    </w:rPr>
                  </w:pPr>
                  <w:r>
                    <w:rPr>
                      <w:color w:val="auto"/>
                      <w:kern w:val="24"/>
                      <w:szCs w:val="21"/>
                      <w:highlight w:val="none"/>
                    </w:rPr>
                    <w:t>噪声</w:t>
                  </w:r>
                </w:p>
              </w:tc>
              <w:tc>
                <w:tcPr>
                  <w:tcW w:w="627" w:type="pct"/>
                  <w:vAlign w:val="center"/>
                </w:tcPr>
                <w:p w14:paraId="33DC744E">
                  <w:pPr>
                    <w:adjustRightInd w:val="0"/>
                    <w:snapToGrid w:val="0"/>
                    <w:jc w:val="center"/>
                    <w:rPr>
                      <w:color w:val="auto"/>
                      <w:kern w:val="24"/>
                      <w:szCs w:val="21"/>
                      <w:highlight w:val="none"/>
                    </w:rPr>
                  </w:pPr>
                  <w:r>
                    <w:rPr>
                      <w:color w:val="auto"/>
                      <w:kern w:val="24"/>
                      <w:szCs w:val="21"/>
                      <w:highlight w:val="none"/>
                    </w:rPr>
                    <w:t>/</w:t>
                  </w:r>
                </w:p>
              </w:tc>
              <w:tc>
                <w:tcPr>
                  <w:tcW w:w="954" w:type="pct"/>
                  <w:vAlign w:val="center"/>
                </w:tcPr>
                <w:p w14:paraId="242F3439">
                  <w:pPr>
                    <w:adjustRightInd w:val="0"/>
                    <w:snapToGrid w:val="0"/>
                    <w:jc w:val="center"/>
                    <w:rPr>
                      <w:color w:val="auto"/>
                      <w:kern w:val="24"/>
                      <w:szCs w:val="21"/>
                      <w:highlight w:val="none"/>
                    </w:rPr>
                  </w:pPr>
                  <w:r>
                    <w:rPr>
                      <w:rFonts w:hint="eastAsia"/>
                      <w:color w:val="auto"/>
                      <w:kern w:val="24"/>
                      <w:szCs w:val="21"/>
                      <w:highlight w:val="none"/>
                    </w:rPr>
                    <w:t>生产设备</w:t>
                  </w:r>
                </w:p>
              </w:tc>
              <w:tc>
                <w:tcPr>
                  <w:tcW w:w="1202" w:type="pct"/>
                  <w:vAlign w:val="center"/>
                </w:tcPr>
                <w:p w14:paraId="2F6E6D09">
                  <w:pPr>
                    <w:adjustRightInd w:val="0"/>
                    <w:snapToGrid w:val="0"/>
                    <w:jc w:val="center"/>
                    <w:rPr>
                      <w:color w:val="auto"/>
                      <w:kern w:val="24"/>
                      <w:szCs w:val="21"/>
                      <w:highlight w:val="none"/>
                    </w:rPr>
                  </w:pPr>
                  <w:r>
                    <w:rPr>
                      <w:color w:val="auto"/>
                      <w:kern w:val="24"/>
                      <w:szCs w:val="21"/>
                      <w:highlight w:val="none"/>
                    </w:rPr>
                    <w:t>噪声</w:t>
                  </w:r>
                </w:p>
              </w:tc>
              <w:tc>
                <w:tcPr>
                  <w:tcW w:w="373" w:type="pct"/>
                  <w:vAlign w:val="center"/>
                </w:tcPr>
                <w:p w14:paraId="6A8BB20E">
                  <w:pPr>
                    <w:adjustRightInd w:val="0"/>
                    <w:snapToGrid w:val="0"/>
                    <w:jc w:val="center"/>
                    <w:rPr>
                      <w:color w:val="auto"/>
                      <w:kern w:val="24"/>
                      <w:szCs w:val="21"/>
                      <w:highlight w:val="none"/>
                    </w:rPr>
                  </w:pPr>
                  <w:r>
                    <w:rPr>
                      <w:color w:val="auto"/>
                      <w:kern w:val="24"/>
                      <w:szCs w:val="21"/>
                      <w:highlight w:val="none"/>
                    </w:rPr>
                    <w:t>连续</w:t>
                  </w:r>
                </w:p>
              </w:tc>
              <w:tc>
                <w:tcPr>
                  <w:tcW w:w="1360" w:type="pct"/>
                  <w:vAlign w:val="center"/>
                </w:tcPr>
                <w:p w14:paraId="6D033D6D">
                  <w:pPr>
                    <w:adjustRightInd w:val="0"/>
                    <w:snapToGrid w:val="0"/>
                    <w:jc w:val="center"/>
                    <w:rPr>
                      <w:color w:val="auto"/>
                      <w:kern w:val="24"/>
                      <w:szCs w:val="21"/>
                      <w:highlight w:val="none"/>
                    </w:rPr>
                  </w:pPr>
                  <w:r>
                    <w:rPr>
                      <w:color w:val="auto"/>
                      <w:kern w:val="24"/>
                      <w:szCs w:val="21"/>
                      <w:highlight w:val="none"/>
                    </w:rPr>
                    <w:t>隔声、减振，车间内</w:t>
                  </w:r>
                </w:p>
              </w:tc>
            </w:tr>
            <w:tr w14:paraId="4CB75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481" w:type="pct"/>
                  <w:vMerge w:val="continue"/>
                  <w:vAlign w:val="center"/>
                </w:tcPr>
                <w:p w14:paraId="689D334B">
                  <w:pPr>
                    <w:adjustRightInd w:val="0"/>
                    <w:snapToGrid w:val="0"/>
                    <w:jc w:val="center"/>
                    <w:rPr>
                      <w:color w:val="auto"/>
                      <w:kern w:val="24"/>
                      <w:szCs w:val="21"/>
                      <w:highlight w:val="none"/>
                    </w:rPr>
                  </w:pPr>
                </w:p>
              </w:tc>
              <w:tc>
                <w:tcPr>
                  <w:tcW w:w="627" w:type="pct"/>
                  <w:vAlign w:val="center"/>
                </w:tcPr>
                <w:p w14:paraId="5C2F002F">
                  <w:pPr>
                    <w:adjustRightInd w:val="0"/>
                    <w:snapToGrid w:val="0"/>
                    <w:jc w:val="center"/>
                    <w:rPr>
                      <w:color w:val="auto"/>
                      <w:kern w:val="24"/>
                      <w:szCs w:val="21"/>
                      <w:highlight w:val="none"/>
                    </w:rPr>
                  </w:pPr>
                  <w:r>
                    <w:rPr>
                      <w:color w:val="auto"/>
                      <w:kern w:val="24"/>
                      <w:szCs w:val="21"/>
                      <w:highlight w:val="none"/>
                    </w:rPr>
                    <w:t>/</w:t>
                  </w:r>
                </w:p>
              </w:tc>
              <w:tc>
                <w:tcPr>
                  <w:tcW w:w="954" w:type="pct"/>
                  <w:vAlign w:val="center"/>
                </w:tcPr>
                <w:p w14:paraId="6333B14A">
                  <w:pPr>
                    <w:adjustRightInd w:val="0"/>
                    <w:snapToGrid w:val="0"/>
                    <w:jc w:val="center"/>
                    <w:rPr>
                      <w:color w:val="auto"/>
                      <w:kern w:val="24"/>
                      <w:szCs w:val="21"/>
                      <w:highlight w:val="none"/>
                    </w:rPr>
                  </w:pPr>
                  <w:r>
                    <w:rPr>
                      <w:rFonts w:hint="eastAsia"/>
                      <w:color w:val="auto"/>
                      <w:kern w:val="24"/>
                      <w:szCs w:val="21"/>
                      <w:highlight w:val="none"/>
                    </w:rPr>
                    <w:t>风机</w:t>
                  </w:r>
                </w:p>
              </w:tc>
              <w:tc>
                <w:tcPr>
                  <w:tcW w:w="1202" w:type="pct"/>
                  <w:vAlign w:val="center"/>
                </w:tcPr>
                <w:p w14:paraId="1BDABD69">
                  <w:pPr>
                    <w:adjustRightInd w:val="0"/>
                    <w:snapToGrid w:val="0"/>
                    <w:jc w:val="center"/>
                    <w:rPr>
                      <w:color w:val="auto"/>
                      <w:kern w:val="24"/>
                      <w:szCs w:val="21"/>
                      <w:highlight w:val="none"/>
                    </w:rPr>
                  </w:pPr>
                  <w:r>
                    <w:rPr>
                      <w:rFonts w:hint="eastAsia"/>
                      <w:color w:val="auto"/>
                      <w:kern w:val="24"/>
                      <w:szCs w:val="21"/>
                      <w:highlight w:val="none"/>
                    </w:rPr>
                    <w:t>噪声</w:t>
                  </w:r>
                </w:p>
              </w:tc>
              <w:tc>
                <w:tcPr>
                  <w:tcW w:w="373" w:type="pct"/>
                  <w:vAlign w:val="center"/>
                </w:tcPr>
                <w:p w14:paraId="04D3EE18">
                  <w:pPr>
                    <w:adjustRightInd w:val="0"/>
                    <w:snapToGrid w:val="0"/>
                    <w:jc w:val="center"/>
                    <w:rPr>
                      <w:color w:val="auto"/>
                      <w:kern w:val="24"/>
                      <w:szCs w:val="21"/>
                      <w:highlight w:val="none"/>
                    </w:rPr>
                  </w:pPr>
                  <w:r>
                    <w:rPr>
                      <w:rFonts w:hint="eastAsia"/>
                      <w:color w:val="auto"/>
                      <w:kern w:val="24"/>
                      <w:szCs w:val="21"/>
                      <w:highlight w:val="none"/>
                    </w:rPr>
                    <w:t>连续</w:t>
                  </w:r>
                </w:p>
              </w:tc>
              <w:tc>
                <w:tcPr>
                  <w:tcW w:w="1360" w:type="pct"/>
                  <w:vAlign w:val="center"/>
                </w:tcPr>
                <w:p w14:paraId="73682F70">
                  <w:pPr>
                    <w:adjustRightInd w:val="0"/>
                    <w:snapToGrid w:val="0"/>
                    <w:jc w:val="center"/>
                    <w:rPr>
                      <w:color w:val="auto"/>
                      <w:kern w:val="24"/>
                      <w:szCs w:val="21"/>
                      <w:highlight w:val="none"/>
                    </w:rPr>
                  </w:pPr>
                  <w:r>
                    <w:rPr>
                      <w:rFonts w:hint="eastAsia"/>
                      <w:color w:val="auto"/>
                      <w:kern w:val="24"/>
                      <w:szCs w:val="21"/>
                      <w:highlight w:val="none"/>
                    </w:rPr>
                    <w:t>安装消音装置</w:t>
                  </w:r>
                </w:p>
              </w:tc>
            </w:tr>
            <w:tr w14:paraId="15339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restart"/>
                  <w:vAlign w:val="center"/>
                </w:tcPr>
                <w:p w14:paraId="7835C0C3">
                  <w:pPr>
                    <w:adjustRightInd w:val="0"/>
                    <w:snapToGrid w:val="0"/>
                    <w:jc w:val="center"/>
                    <w:rPr>
                      <w:color w:val="auto"/>
                      <w:kern w:val="24"/>
                      <w:szCs w:val="21"/>
                      <w:highlight w:val="none"/>
                    </w:rPr>
                  </w:pPr>
                  <w:r>
                    <w:rPr>
                      <w:color w:val="auto"/>
                      <w:kern w:val="24"/>
                      <w:szCs w:val="21"/>
                      <w:highlight w:val="none"/>
                    </w:rPr>
                    <w:t>固废</w:t>
                  </w:r>
                </w:p>
              </w:tc>
              <w:tc>
                <w:tcPr>
                  <w:tcW w:w="627" w:type="pct"/>
                  <w:vAlign w:val="center"/>
                </w:tcPr>
                <w:p w14:paraId="535911D9">
                  <w:pPr>
                    <w:adjustRightInd w:val="0"/>
                    <w:snapToGrid w:val="0"/>
                    <w:jc w:val="center"/>
                    <w:rPr>
                      <w:color w:val="auto"/>
                      <w:kern w:val="24"/>
                      <w:szCs w:val="21"/>
                      <w:highlight w:val="none"/>
                    </w:rPr>
                  </w:pPr>
                  <w:r>
                    <w:rPr>
                      <w:color w:val="auto"/>
                      <w:kern w:val="24"/>
                      <w:szCs w:val="21"/>
                      <w:highlight w:val="none"/>
                    </w:rPr>
                    <w:t>S1</w:t>
                  </w:r>
                </w:p>
              </w:tc>
              <w:tc>
                <w:tcPr>
                  <w:tcW w:w="954" w:type="pct"/>
                  <w:vAlign w:val="center"/>
                </w:tcPr>
                <w:p w14:paraId="1D6344F3">
                  <w:pPr>
                    <w:adjustRightInd w:val="0"/>
                    <w:snapToGrid w:val="0"/>
                    <w:jc w:val="center"/>
                    <w:rPr>
                      <w:color w:val="auto"/>
                      <w:kern w:val="24"/>
                      <w:szCs w:val="21"/>
                      <w:highlight w:val="none"/>
                    </w:rPr>
                  </w:pPr>
                  <w:r>
                    <w:rPr>
                      <w:rFonts w:hint="eastAsia"/>
                      <w:color w:val="auto"/>
                      <w:kern w:val="24"/>
                      <w:szCs w:val="21"/>
                      <w:highlight w:val="none"/>
                    </w:rPr>
                    <w:t>涂聚酯树脂胶</w:t>
                  </w:r>
                </w:p>
              </w:tc>
              <w:tc>
                <w:tcPr>
                  <w:tcW w:w="1202" w:type="pct"/>
                  <w:vAlign w:val="center"/>
                </w:tcPr>
                <w:p w14:paraId="703DF56C">
                  <w:pPr>
                    <w:adjustRightInd w:val="0"/>
                    <w:snapToGrid w:val="0"/>
                    <w:jc w:val="center"/>
                    <w:rPr>
                      <w:color w:val="auto"/>
                      <w:kern w:val="24"/>
                      <w:szCs w:val="21"/>
                      <w:highlight w:val="none"/>
                    </w:rPr>
                  </w:pPr>
                  <w:r>
                    <w:rPr>
                      <w:rFonts w:hint="eastAsia"/>
                      <w:color w:val="auto"/>
                      <w:kern w:val="24"/>
                      <w:szCs w:val="21"/>
                      <w:highlight w:val="none"/>
                    </w:rPr>
                    <w:t>废胶</w:t>
                  </w:r>
                </w:p>
              </w:tc>
              <w:tc>
                <w:tcPr>
                  <w:tcW w:w="373" w:type="pct"/>
                  <w:vAlign w:val="center"/>
                </w:tcPr>
                <w:p w14:paraId="4396BD43">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6C4BB11A">
                  <w:pPr>
                    <w:adjustRightInd w:val="0"/>
                    <w:snapToGrid w:val="0"/>
                    <w:jc w:val="center"/>
                    <w:rPr>
                      <w:color w:val="auto"/>
                      <w:kern w:val="24"/>
                      <w:szCs w:val="21"/>
                      <w:highlight w:val="none"/>
                    </w:rPr>
                  </w:pPr>
                  <w:r>
                    <w:rPr>
                      <w:color w:val="auto"/>
                      <w:kern w:val="24"/>
                      <w:szCs w:val="21"/>
                      <w:highlight w:val="none"/>
                    </w:rPr>
                    <w:t>委托有资质单位处理</w:t>
                  </w:r>
                </w:p>
              </w:tc>
            </w:tr>
            <w:tr w14:paraId="11B82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16CE2349">
                  <w:pPr>
                    <w:adjustRightInd w:val="0"/>
                    <w:snapToGrid w:val="0"/>
                    <w:jc w:val="center"/>
                    <w:rPr>
                      <w:color w:val="auto"/>
                      <w:kern w:val="24"/>
                      <w:szCs w:val="21"/>
                      <w:highlight w:val="none"/>
                    </w:rPr>
                  </w:pPr>
                </w:p>
              </w:tc>
              <w:tc>
                <w:tcPr>
                  <w:tcW w:w="627" w:type="pct"/>
                  <w:vAlign w:val="center"/>
                </w:tcPr>
                <w:p w14:paraId="5069F9BD">
                  <w:pPr>
                    <w:adjustRightInd w:val="0"/>
                    <w:snapToGrid w:val="0"/>
                    <w:jc w:val="center"/>
                    <w:rPr>
                      <w:color w:val="auto"/>
                      <w:kern w:val="24"/>
                      <w:szCs w:val="21"/>
                      <w:highlight w:val="none"/>
                    </w:rPr>
                  </w:pPr>
                  <w:r>
                    <w:rPr>
                      <w:color w:val="auto"/>
                      <w:kern w:val="24"/>
                      <w:szCs w:val="21"/>
                      <w:highlight w:val="none"/>
                    </w:rPr>
                    <w:t>S2</w:t>
                  </w:r>
                </w:p>
              </w:tc>
              <w:tc>
                <w:tcPr>
                  <w:tcW w:w="954" w:type="pct"/>
                  <w:vAlign w:val="center"/>
                </w:tcPr>
                <w:p w14:paraId="2E1CB69D">
                  <w:pPr>
                    <w:adjustRightInd w:val="0"/>
                    <w:snapToGrid w:val="0"/>
                    <w:jc w:val="center"/>
                    <w:rPr>
                      <w:color w:val="auto"/>
                      <w:kern w:val="24"/>
                      <w:szCs w:val="21"/>
                      <w:highlight w:val="none"/>
                    </w:rPr>
                  </w:pPr>
                  <w:r>
                    <w:rPr>
                      <w:rFonts w:hint="eastAsia"/>
                      <w:color w:val="auto"/>
                      <w:kern w:val="24"/>
                      <w:szCs w:val="21"/>
                      <w:highlight w:val="none"/>
                    </w:rPr>
                    <w:t>绕线</w:t>
                  </w:r>
                </w:p>
              </w:tc>
              <w:tc>
                <w:tcPr>
                  <w:tcW w:w="1202" w:type="pct"/>
                  <w:vAlign w:val="center"/>
                </w:tcPr>
                <w:p w14:paraId="121A43B5">
                  <w:pPr>
                    <w:adjustRightInd w:val="0"/>
                    <w:snapToGrid w:val="0"/>
                    <w:jc w:val="center"/>
                    <w:rPr>
                      <w:color w:val="auto"/>
                      <w:kern w:val="24"/>
                      <w:szCs w:val="21"/>
                      <w:highlight w:val="none"/>
                    </w:rPr>
                  </w:pPr>
                  <w:r>
                    <w:rPr>
                      <w:rFonts w:hint="eastAsia"/>
                      <w:color w:val="auto"/>
                      <w:kern w:val="24"/>
                      <w:szCs w:val="21"/>
                      <w:highlight w:val="none"/>
                    </w:rPr>
                    <w:t>废铜线</w:t>
                  </w:r>
                </w:p>
              </w:tc>
              <w:tc>
                <w:tcPr>
                  <w:tcW w:w="373" w:type="pct"/>
                  <w:vAlign w:val="center"/>
                </w:tcPr>
                <w:p w14:paraId="13C1C06F">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5D7EFA99">
                  <w:pPr>
                    <w:adjustRightInd w:val="0"/>
                    <w:snapToGrid w:val="0"/>
                    <w:jc w:val="center"/>
                    <w:rPr>
                      <w:color w:val="auto"/>
                      <w:kern w:val="24"/>
                      <w:szCs w:val="21"/>
                      <w:highlight w:val="none"/>
                    </w:rPr>
                  </w:pPr>
                  <w:r>
                    <w:rPr>
                      <w:color w:val="auto"/>
                      <w:kern w:val="24"/>
                      <w:szCs w:val="21"/>
                      <w:highlight w:val="none"/>
                    </w:rPr>
                    <w:t>外售综合利用</w:t>
                  </w:r>
                </w:p>
              </w:tc>
            </w:tr>
            <w:tr w14:paraId="60A03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2A62EB18">
                  <w:pPr>
                    <w:adjustRightInd w:val="0"/>
                    <w:snapToGrid w:val="0"/>
                    <w:jc w:val="center"/>
                    <w:rPr>
                      <w:color w:val="auto"/>
                      <w:kern w:val="24"/>
                      <w:szCs w:val="21"/>
                      <w:highlight w:val="none"/>
                    </w:rPr>
                  </w:pPr>
                </w:p>
              </w:tc>
              <w:tc>
                <w:tcPr>
                  <w:tcW w:w="627" w:type="pct"/>
                  <w:vAlign w:val="center"/>
                </w:tcPr>
                <w:p w14:paraId="21CAF163">
                  <w:pPr>
                    <w:adjustRightInd w:val="0"/>
                    <w:snapToGrid w:val="0"/>
                    <w:jc w:val="center"/>
                    <w:rPr>
                      <w:color w:val="auto"/>
                      <w:szCs w:val="21"/>
                      <w:highlight w:val="none"/>
                    </w:rPr>
                  </w:pPr>
                  <w:r>
                    <w:rPr>
                      <w:color w:val="auto"/>
                      <w:kern w:val="24"/>
                      <w:szCs w:val="21"/>
                      <w:highlight w:val="none"/>
                    </w:rPr>
                    <w:t>S3</w:t>
                  </w:r>
                </w:p>
              </w:tc>
              <w:tc>
                <w:tcPr>
                  <w:tcW w:w="954" w:type="pct"/>
                  <w:vAlign w:val="center"/>
                </w:tcPr>
                <w:p w14:paraId="2380E144">
                  <w:pPr>
                    <w:adjustRightInd w:val="0"/>
                    <w:snapToGrid w:val="0"/>
                    <w:jc w:val="center"/>
                    <w:rPr>
                      <w:color w:val="auto"/>
                      <w:kern w:val="24"/>
                      <w:szCs w:val="21"/>
                      <w:highlight w:val="none"/>
                    </w:rPr>
                  </w:pPr>
                  <w:r>
                    <w:rPr>
                      <w:rFonts w:hint="eastAsia"/>
                      <w:color w:val="auto"/>
                      <w:kern w:val="24"/>
                      <w:szCs w:val="21"/>
                      <w:highlight w:val="none"/>
                    </w:rPr>
                    <w:t>滴浸渍树脂胶</w:t>
                  </w:r>
                </w:p>
              </w:tc>
              <w:tc>
                <w:tcPr>
                  <w:tcW w:w="1202" w:type="pct"/>
                  <w:vAlign w:val="center"/>
                </w:tcPr>
                <w:p w14:paraId="16BF931C">
                  <w:pPr>
                    <w:adjustRightInd w:val="0"/>
                    <w:snapToGrid w:val="0"/>
                    <w:jc w:val="center"/>
                    <w:rPr>
                      <w:color w:val="auto"/>
                      <w:szCs w:val="21"/>
                      <w:highlight w:val="none"/>
                    </w:rPr>
                  </w:pPr>
                  <w:r>
                    <w:rPr>
                      <w:rFonts w:hint="eastAsia"/>
                      <w:color w:val="auto"/>
                      <w:kern w:val="24"/>
                      <w:szCs w:val="21"/>
                      <w:highlight w:val="none"/>
                    </w:rPr>
                    <w:t>废胶</w:t>
                  </w:r>
                </w:p>
              </w:tc>
              <w:tc>
                <w:tcPr>
                  <w:tcW w:w="373" w:type="pct"/>
                  <w:vAlign w:val="center"/>
                </w:tcPr>
                <w:p w14:paraId="27079AC3">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5C74FC21">
                  <w:pPr>
                    <w:adjustRightInd w:val="0"/>
                    <w:snapToGrid w:val="0"/>
                    <w:jc w:val="center"/>
                    <w:rPr>
                      <w:color w:val="auto"/>
                      <w:kern w:val="24"/>
                      <w:szCs w:val="21"/>
                      <w:highlight w:val="none"/>
                    </w:rPr>
                  </w:pPr>
                  <w:r>
                    <w:rPr>
                      <w:color w:val="auto"/>
                      <w:kern w:val="24"/>
                      <w:szCs w:val="21"/>
                      <w:highlight w:val="none"/>
                    </w:rPr>
                    <w:t>委托有资质单位处理</w:t>
                  </w:r>
                </w:p>
              </w:tc>
            </w:tr>
            <w:tr w14:paraId="5B991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245E4E5A">
                  <w:pPr>
                    <w:adjustRightInd w:val="0"/>
                    <w:snapToGrid w:val="0"/>
                    <w:jc w:val="center"/>
                    <w:rPr>
                      <w:color w:val="auto"/>
                      <w:kern w:val="24"/>
                      <w:szCs w:val="21"/>
                      <w:highlight w:val="none"/>
                    </w:rPr>
                  </w:pPr>
                </w:p>
              </w:tc>
              <w:tc>
                <w:tcPr>
                  <w:tcW w:w="627" w:type="pct"/>
                  <w:vAlign w:val="center"/>
                </w:tcPr>
                <w:p w14:paraId="51C2C39C">
                  <w:pPr>
                    <w:adjustRightInd w:val="0"/>
                    <w:snapToGrid w:val="0"/>
                    <w:jc w:val="center"/>
                    <w:rPr>
                      <w:color w:val="auto"/>
                      <w:szCs w:val="21"/>
                      <w:highlight w:val="none"/>
                    </w:rPr>
                  </w:pPr>
                  <w:r>
                    <w:rPr>
                      <w:rFonts w:hint="eastAsia"/>
                      <w:color w:val="auto"/>
                      <w:szCs w:val="21"/>
                      <w:highlight w:val="none"/>
                    </w:rPr>
                    <w:t>S4</w:t>
                  </w:r>
                </w:p>
              </w:tc>
              <w:tc>
                <w:tcPr>
                  <w:tcW w:w="954" w:type="pct"/>
                  <w:vAlign w:val="center"/>
                </w:tcPr>
                <w:p w14:paraId="344BBACB">
                  <w:pPr>
                    <w:adjustRightInd w:val="0"/>
                    <w:snapToGrid w:val="0"/>
                    <w:jc w:val="center"/>
                    <w:rPr>
                      <w:color w:val="auto"/>
                      <w:kern w:val="24"/>
                      <w:szCs w:val="21"/>
                      <w:highlight w:val="none"/>
                    </w:rPr>
                  </w:pPr>
                  <w:r>
                    <w:rPr>
                      <w:rFonts w:hint="eastAsia"/>
                      <w:color w:val="auto"/>
                      <w:kern w:val="24"/>
                      <w:szCs w:val="21"/>
                      <w:highlight w:val="none"/>
                    </w:rPr>
                    <w:t>浸涂树脂粉</w:t>
                  </w:r>
                </w:p>
              </w:tc>
              <w:tc>
                <w:tcPr>
                  <w:tcW w:w="1202" w:type="pct"/>
                  <w:vAlign w:val="center"/>
                </w:tcPr>
                <w:p w14:paraId="176E0055">
                  <w:pPr>
                    <w:adjustRightInd w:val="0"/>
                    <w:snapToGrid w:val="0"/>
                    <w:jc w:val="center"/>
                    <w:rPr>
                      <w:color w:val="auto"/>
                      <w:szCs w:val="21"/>
                      <w:highlight w:val="none"/>
                    </w:rPr>
                  </w:pPr>
                  <w:r>
                    <w:rPr>
                      <w:rFonts w:hint="eastAsia"/>
                      <w:color w:val="auto"/>
                      <w:szCs w:val="21"/>
                      <w:highlight w:val="none"/>
                    </w:rPr>
                    <w:t>废粉</w:t>
                  </w:r>
                </w:p>
              </w:tc>
              <w:tc>
                <w:tcPr>
                  <w:tcW w:w="373" w:type="pct"/>
                  <w:vAlign w:val="center"/>
                </w:tcPr>
                <w:p w14:paraId="42E3F5F2">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68406F02">
                  <w:pPr>
                    <w:adjustRightInd w:val="0"/>
                    <w:snapToGrid w:val="0"/>
                    <w:jc w:val="center"/>
                    <w:rPr>
                      <w:color w:val="auto"/>
                      <w:kern w:val="24"/>
                      <w:szCs w:val="21"/>
                      <w:highlight w:val="none"/>
                    </w:rPr>
                  </w:pPr>
                  <w:r>
                    <w:rPr>
                      <w:color w:val="auto"/>
                      <w:kern w:val="24"/>
                      <w:szCs w:val="21"/>
                      <w:highlight w:val="none"/>
                    </w:rPr>
                    <w:t>外售综合利用</w:t>
                  </w:r>
                </w:p>
              </w:tc>
            </w:tr>
            <w:tr w14:paraId="4F429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481" w:type="pct"/>
                  <w:vMerge w:val="continue"/>
                  <w:vAlign w:val="center"/>
                </w:tcPr>
                <w:p w14:paraId="3D06A79B">
                  <w:pPr>
                    <w:adjustRightInd w:val="0"/>
                    <w:snapToGrid w:val="0"/>
                    <w:jc w:val="center"/>
                    <w:rPr>
                      <w:color w:val="auto"/>
                      <w:kern w:val="24"/>
                      <w:szCs w:val="21"/>
                      <w:highlight w:val="none"/>
                    </w:rPr>
                  </w:pPr>
                </w:p>
              </w:tc>
              <w:tc>
                <w:tcPr>
                  <w:tcW w:w="627" w:type="pct"/>
                  <w:vMerge w:val="restart"/>
                  <w:vAlign w:val="center"/>
                </w:tcPr>
                <w:p w14:paraId="075AFA92">
                  <w:pPr>
                    <w:adjustRightInd w:val="0"/>
                    <w:snapToGrid w:val="0"/>
                    <w:jc w:val="center"/>
                    <w:rPr>
                      <w:color w:val="auto"/>
                      <w:kern w:val="24"/>
                      <w:szCs w:val="21"/>
                      <w:highlight w:val="none"/>
                    </w:rPr>
                  </w:pPr>
                  <w:r>
                    <w:rPr>
                      <w:rFonts w:hint="eastAsia"/>
                      <w:color w:val="auto"/>
                      <w:kern w:val="24"/>
                      <w:szCs w:val="21"/>
                      <w:highlight w:val="none"/>
                    </w:rPr>
                    <w:t>S6</w:t>
                  </w:r>
                </w:p>
              </w:tc>
              <w:tc>
                <w:tcPr>
                  <w:tcW w:w="954" w:type="pct"/>
                  <w:vMerge w:val="restart"/>
                  <w:vAlign w:val="center"/>
                </w:tcPr>
                <w:p w14:paraId="1BE0C716">
                  <w:pPr>
                    <w:adjustRightInd w:val="0"/>
                    <w:snapToGrid w:val="0"/>
                    <w:jc w:val="center"/>
                    <w:rPr>
                      <w:color w:val="auto"/>
                      <w:kern w:val="24"/>
                      <w:szCs w:val="21"/>
                      <w:highlight w:val="none"/>
                    </w:rPr>
                  </w:pPr>
                  <w:r>
                    <w:rPr>
                      <w:color w:val="auto"/>
                      <w:kern w:val="24"/>
                      <w:szCs w:val="21"/>
                      <w:highlight w:val="none"/>
                    </w:rPr>
                    <w:t>原</w:t>
                  </w:r>
                  <w:r>
                    <w:rPr>
                      <w:rFonts w:hint="eastAsia"/>
                      <w:color w:val="auto"/>
                      <w:kern w:val="24"/>
                      <w:szCs w:val="21"/>
                      <w:highlight w:val="none"/>
                    </w:rPr>
                    <w:t>料</w:t>
                  </w:r>
                  <w:r>
                    <w:rPr>
                      <w:color w:val="auto"/>
                      <w:kern w:val="24"/>
                      <w:szCs w:val="21"/>
                      <w:highlight w:val="none"/>
                    </w:rPr>
                    <w:t>包装</w:t>
                  </w:r>
                </w:p>
              </w:tc>
              <w:tc>
                <w:tcPr>
                  <w:tcW w:w="1202" w:type="pct"/>
                  <w:vAlign w:val="center"/>
                </w:tcPr>
                <w:p w14:paraId="3732BDE1">
                  <w:pPr>
                    <w:adjustRightInd w:val="0"/>
                    <w:snapToGrid w:val="0"/>
                    <w:jc w:val="center"/>
                    <w:rPr>
                      <w:color w:val="auto"/>
                      <w:kern w:val="24"/>
                      <w:szCs w:val="21"/>
                      <w:highlight w:val="none"/>
                    </w:rPr>
                  </w:pPr>
                  <w:r>
                    <w:rPr>
                      <w:color w:val="auto"/>
                      <w:kern w:val="24"/>
                      <w:szCs w:val="21"/>
                      <w:highlight w:val="none"/>
                    </w:rPr>
                    <w:t>废包装</w:t>
                  </w:r>
                  <w:r>
                    <w:rPr>
                      <w:rFonts w:hint="eastAsia"/>
                      <w:color w:val="auto"/>
                      <w:kern w:val="24"/>
                      <w:szCs w:val="21"/>
                      <w:highlight w:val="none"/>
                    </w:rPr>
                    <w:t>桶</w:t>
                  </w:r>
                </w:p>
              </w:tc>
              <w:tc>
                <w:tcPr>
                  <w:tcW w:w="373" w:type="pct"/>
                  <w:vAlign w:val="center"/>
                </w:tcPr>
                <w:p w14:paraId="621A8BBA">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04C56663">
                  <w:pPr>
                    <w:adjustRightInd w:val="0"/>
                    <w:snapToGrid w:val="0"/>
                    <w:jc w:val="center"/>
                    <w:rPr>
                      <w:color w:val="auto"/>
                      <w:kern w:val="24"/>
                      <w:szCs w:val="21"/>
                      <w:highlight w:val="none"/>
                    </w:rPr>
                  </w:pPr>
                  <w:r>
                    <w:rPr>
                      <w:color w:val="auto"/>
                      <w:kern w:val="24"/>
                      <w:szCs w:val="21"/>
                      <w:highlight w:val="none"/>
                    </w:rPr>
                    <w:t>委托有资质单位处理</w:t>
                  </w:r>
                </w:p>
              </w:tc>
            </w:tr>
            <w:tr w14:paraId="219E9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481" w:type="pct"/>
                  <w:vMerge w:val="continue"/>
                  <w:vAlign w:val="center"/>
                </w:tcPr>
                <w:p w14:paraId="375ECAE8">
                  <w:pPr>
                    <w:adjustRightInd w:val="0"/>
                    <w:snapToGrid w:val="0"/>
                    <w:jc w:val="center"/>
                    <w:rPr>
                      <w:color w:val="auto"/>
                      <w:kern w:val="24"/>
                      <w:szCs w:val="21"/>
                      <w:highlight w:val="none"/>
                    </w:rPr>
                  </w:pPr>
                </w:p>
              </w:tc>
              <w:tc>
                <w:tcPr>
                  <w:tcW w:w="627" w:type="pct"/>
                  <w:vMerge w:val="continue"/>
                  <w:vAlign w:val="center"/>
                </w:tcPr>
                <w:p w14:paraId="417FB4C2">
                  <w:pPr>
                    <w:adjustRightInd w:val="0"/>
                    <w:snapToGrid w:val="0"/>
                    <w:jc w:val="center"/>
                    <w:rPr>
                      <w:color w:val="auto"/>
                      <w:kern w:val="24"/>
                      <w:szCs w:val="21"/>
                      <w:highlight w:val="none"/>
                    </w:rPr>
                  </w:pPr>
                </w:p>
              </w:tc>
              <w:tc>
                <w:tcPr>
                  <w:tcW w:w="954" w:type="pct"/>
                  <w:vMerge w:val="continue"/>
                  <w:vAlign w:val="center"/>
                </w:tcPr>
                <w:p w14:paraId="758B0060">
                  <w:pPr>
                    <w:adjustRightInd w:val="0"/>
                    <w:snapToGrid w:val="0"/>
                    <w:jc w:val="center"/>
                    <w:rPr>
                      <w:color w:val="auto"/>
                      <w:kern w:val="24"/>
                      <w:szCs w:val="21"/>
                      <w:highlight w:val="none"/>
                    </w:rPr>
                  </w:pPr>
                </w:p>
              </w:tc>
              <w:tc>
                <w:tcPr>
                  <w:tcW w:w="1202" w:type="pct"/>
                  <w:vAlign w:val="center"/>
                </w:tcPr>
                <w:p w14:paraId="1D5CA1C6">
                  <w:pPr>
                    <w:adjustRightInd w:val="0"/>
                    <w:snapToGrid w:val="0"/>
                    <w:jc w:val="center"/>
                    <w:rPr>
                      <w:color w:val="auto"/>
                      <w:kern w:val="24"/>
                      <w:szCs w:val="21"/>
                      <w:highlight w:val="none"/>
                    </w:rPr>
                  </w:pPr>
                  <w:r>
                    <w:rPr>
                      <w:rFonts w:hint="eastAsia"/>
                      <w:color w:val="auto"/>
                      <w:kern w:val="24"/>
                      <w:szCs w:val="21"/>
                      <w:highlight w:val="none"/>
                    </w:rPr>
                    <w:t>废包装袋</w:t>
                  </w:r>
                </w:p>
              </w:tc>
              <w:tc>
                <w:tcPr>
                  <w:tcW w:w="373" w:type="pct"/>
                  <w:vAlign w:val="center"/>
                </w:tcPr>
                <w:p w14:paraId="17DC7C0A">
                  <w:pPr>
                    <w:adjustRightInd w:val="0"/>
                    <w:snapToGrid w:val="0"/>
                    <w:jc w:val="center"/>
                    <w:rPr>
                      <w:color w:val="auto"/>
                      <w:kern w:val="24"/>
                      <w:szCs w:val="21"/>
                      <w:highlight w:val="none"/>
                    </w:rPr>
                  </w:pPr>
                  <w:r>
                    <w:rPr>
                      <w:rFonts w:hint="eastAsia"/>
                      <w:color w:val="auto"/>
                      <w:kern w:val="24"/>
                      <w:szCs w:val="21"/>
                      <w:highlight w:val="none"/>
                    </w:rPr>
                    <w:t>间断</w:t>
                  </w:r>
                </w:p>
              </w:tc>
              <w:tc>
                <w:tcPr>
                  <w:tcW w:w="1360" w:type="pct"/>
                  <w:vAlign w:val="center"/>
                </w:tcPr>
                <w:p w14:paraId="3FAD75CA">
                  <w:pPr>
                    <w:adjustRightInd w:val="0"/>
                    <w:snapToGrid w:val="0"/>
                    <w:jc w:val="center"/>
                    <w:rPr>
                      <w:color w:val="auto"/>
                      <w:kern w:val="24"/>
                      <w:szCs w:val="21"/>
                      <w:highlight w:val="none"/>
                    </w:rPr>
                  </w:pPr>
                  <w:r>
                    <w:rPr>
                      <w:color w:val="auto"/>
                      <w:kern w:val="24"/>
                      <w:szCs w:val="21"/>
                      <w:highlight w:val="none"/>
                    </w:rPr>
                    <w:t>外售综合利用</w:t>
                  </w:r>
                </w:p>
              </w:tc>
            </w:tr>
            <w:tr w14:paraId="79163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3DB61618">
                  <w:pPr>
                    <w:adjustRightInd w:val="0"/>
                    <w:snapToGrid w:val="0"/>
                    <w:jc w:val="center"/>
                    <w:rPr>
                      <w:color w:val="auto"/>
                      <w:kern w:val="24"/>
                      <w:szCs w:val="21"/>
                      <w:highlight w:val="none"/>
                    </w:rPr>
                  </w:pPr>
                </w:p>
              </w:tc>
              <w:tc>
                <w:tcPr>
                  <w:tcW w:w="627" w:type="pct"/>
                  <w:vAlign w:val="center"/>
                </w:tcPr>
                <w:p w14:paraId="62E9D98B">
                  <w:pPr>
                    <w:adjustRightInd w:val="0"/>
                    <w:snapToGrid w:val="0"/>
                    <w:jc w:val="center"/>
                    <w:rPr>
                      <w:color w:val="auto"/>
                      <w:kern w:val="24"/>
                      <w:szCs w:val="21"/>
                      <w:highlight w:val="none"/>
                    </w:rPr>
                  </w:pPr>
                  <w:r>
                    <w:rPr>
                      <w:rFonts w:hint="eastAsia"/>
                      <w:color w:val="auto"/>
                      <w:kern w:val="24"/>
                      <w:szCs w:val="21"/>
                      <w:highlight w:val="none"/>
                    </w:rPr>
                    <w:t>S</w:t>
                  </w:r>
                  <w:r>
                    <w:rPr>
                      <w:color w:val="auto"/>
                      <w:kern w:val="24"/>
                      <w:szCs w:val="21"/>
                      <w:highlight w:val="none"/>
                    </w:rPr>
                    <w:t>9</w:t>
                  </w:r>
                </w:p>
              </w:tc>
              <w:tc>
                <w:tcPr>
                  <w:tcW w:w="954" w:type="pct"/>
                  <w:vMerge w:val="restart"/>
                  <w:vAlign w:val="center"/>
                </w:tcPr>
                <w:p w14:paraId="2C0D57CF">
                  <w:pPr>
                    <w:adjustRightInd w:val="0"/>
                    <w:snapToGrid w:val="0"/>
                    <w:jc w:val="center"/>
                    <w:rPr>
                      <w:color w:val="auto"/>
                      <w:kern w:val="24"/>
                      <w:szCs w:val="21"/>
                      <w:highlight w:val="none"/>
                    </w:rPr>
                  </w:pPr>
                  <w:r>
                    <w:rPr>
                      <w:rFonts w:hint="eastAsia"/>
                      <w:color w:val="auto"/>
                      <w:kern w:val="24"/>
                      <w:szCs w:val="21"/>
                      <w:highlight w:val="none"/>
                    </w:rPr>
                    <w:t>废气处理</w:t>
                  </w:r>
                </w:p>
              </w:tc>
              <w:tc>
                <w:tcPr>
                  <w:tcW w:w="1202" w:type="pct"/>
                  <w:vAlign w:val="center"/>
                </w:tcPr>
                <w:p w14:paraId="6EE573F6">
                  <w:pPr>
                    <w:adjustRightInd w:val="0"/>
                    <w:snapToGrid w:val="0"/>
                    <w:jc w:val="center"/>
                    <w:rPr>
                      <w:color w:val="auto"/>
                      <w:kern w:val="24"/>
                      <w:szCs w:val="21"/>
                      <w:highlight w:val="none"/>
                    </w:rPr>
                  </w:pPr>
                  <w:r>
                    <w:rPr>
                      <w:rFonts w:hint="eastAsia"/>
                      <w:color w:val="auto"/>
                      <w:kern w:val="24"/>
                      <w:szCs w:val="21"/>
                      <w:highlight w:val="none"/>
                    </w:rPr>
                    <w:t>废活性炭</w:t>
                  </w:r>
                </w:p>
              </w:tc>
              <w:tc>
                <w:tcPr>
                  <w:tcW w:w="373" w:type="pct"/>
                  <w:vAlign w:val="center"/>
                </w:tcPr>
                <w:p w14:paraId="08CB39BB">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1DB69321">
                  <w:pPr>
                    <w:adjustRightInd w:val="0"/>
                    <w:snapToGrid w:val="0"/>
                    <w:jc w:val="center"/>
                    <w:rPr>
                      <w:color w:val="auto"/>
                      <w:kern w:val="24"/>
                      <w:szCs w:val="21"/>
                      <w:highlight w:val="none"/>
                    </w:rPr>
                  </w:pPr>
                  <w:r>
                    <w:rPr>
                      <w:color w:val="auto"/>
                      <w:kern w:val="24"/>
                      <w:szCs w:val="21"/>
                      <w:highlight w:val="none"/>
                    </w:rPr>
                    <w:t>委托有资质单位处理</w:t>
                  </w:r>
                </w:p>
              </w:tc>
            </w:tr>
            <w:tr w14:paraId="479AF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6D6E88B2">
                  <w:pPr>
                    <w:adjustRightInd w:val="0"/>
                    <w:snapToGrid w:val="0"/>
                    <w:jc w:val="center"/>
                    <w:rPr>
                      <w:color w:val="auto"/>
                      <w:kern w:val="24"/>
                      <w:szCs w:val="21"/>
                      <w:highlight w:val="none"/>
                    </w:rPr>
                  </w:pPr>
                </w:p>
              </w:tc>
              <w:tc>
                <w:tcPr>
                  <w:tcW w:w="627" w:type="pct"/>
                  <w:vAlign w:val="center"/>
                </w:tcPr>
                <w:p w14:paraId="29794B9E">
                  <w:pPr>
                    <w:adjustRightInd w:val="0"/>
                    <w:snapToGrid w:val="0"/>
                    <w:jc w:val="center"/>
                    <w:rPr>
                      <w:color w:val="auto"/>
                      <w:kern w:val="24"/>
                      <w:szCs w:val="21"/>
                      <w:highlight w:val="none"/>
                    </w:rPr>
                  </w:pPr>
                  <w:r>
                    <w:rPr>
                      <w:rFonts w:hint="eastAsia"/>
                      <w:color w:val="auto"/>
                      <w:kern w:val="24"/>
                      <w:szCs w:val="21"/>
                      <w:highlight w:val="none"/>
                    </w:rPr>
                    <w:t>S</w:t>
                  </w:r>
                  <w:r>
                    <w:rPr>
                      <w:color w:val="auto"/>
                      <w:kern w:val="24"/>
                      <w:szCs w:val="21"/>
                      <w:highlight w:val="none"/>
                    </w:rPr>
                    <w:t>10</w:t>
                  </w:r>
                </w:p>
              </w:tc>
              <w:tc>
                <w:tcPr>
                  <w:tcW w:w="954" w:type="pct"/>
                  <w:vMerge w:val="continue"/>
                  <w:vAlign w:val="center"/>
                </w:tcPr>
                <w:p w14:paraId="12195F81">
                  <w:pPr>
                    <w:adjustRightInd w:val="0"/>
                    <w:snapToGrid w:val="0"/>
                    <w:jc w:val="center"/>
                    <w:rPr>
                      <w:color w:val="auto"/>
                      <w:kern w:val="24"/>
                      <w:szCs w:val="21"/>
                      <w:highlight w:val="none"/>
                    </w:rPr>
                  </w:pPr>
                </w:p>
              </w:tc>
              <w:tc>
                <w:tcPr>
                  <w:tcW w:w="1202" w:type="pct"/>
                  <w:vAlign w:val="center"/>
                </w:tcPr>
                <w:p w14:paraId="3FA7050B">
                  <w:pPr>
                    <w:adjustRightInd w:val="0"/>
                    <w:snapToGrid w:val="0"/>
                    <w:jc w:val="center"/>
                    <w:rPr>
                      <w:color w:val="auto"/>
                      <w:kern w:val="24"/>
                      <w:szCs w:val="21"/>
                      <w:highlight w:val="none"/>
                    </w:rPr>
                  </w:pPr>
                  <w:r>
                    <w:rPr>
                      <w:rFonts w:hint="eastAsia"/>
                      <w:color w:val="auto"/>
                      <w:kern w:val="24"/>
                      <w:szCs w:val="21"/>
                      <w:highlight w:val="none"/>
                    </w:rPr>
                    <w:t>焊接烟尘净化器粉尘</w:t>
                  </w:r>
                </w:p>
              </w:tc>
              <w:tc>
                <w:tcPr>
                  <w:tcW w:w="373" w:type="pct"/>
                  <w:vAlign w:val="center"/>
                </w:tcPr>
                <w:p w14:paraId="05582108">
                  <w:pPr>
                    <w:adjustRightInd w:val="0"/>
                    <w:snapToGrid w:val="0"/>
                    <w:jc w:val="center"/>
                    <w:rPr>
                      <w:color w:val="auto"/>
                      <w:kern w:val="24"/>
                      <w:szCs w:val="21"/>
                      <w:highlight w:val="none"/>
                    </w:rPr>
                  </w:pPr>
                  <w:r>
                    <w:rPr>
                      <w:rFonts w:hint="eastAsia"/>
                      <w:color w:val="auto"/>
                      <w:kern w:val="24"/>
                      <w:szCs w:val="21"/>
                      <w:highlight w:val="none"/>
                    </w:rPr>
                    <w:t>间断</w:t>
                  </w:r>
                </w:p>
              </w:tc>
              <w:tc>
                <w:tcPr>
                  <w:tcW w:w="1360" w:type="pct"/>
                  <w:vAlign w:val="center"/>
                </w:tcPr>
                <w:p w14:paraId="688BFE95">
                  <w:pPr>
                    <w:adjustRightInd w:val="0"/>
                    <w:snapToGrid w:val="0"/>
                    <w:jc w:val="center"/>
                    <w:rPr>
                      <w:color w:val="auto"/>
                      <w:kern w:val="24"/>
                      <w:szCs w:val="21"/>
                      <w:highlight w:val="none"/>
                    </w:rPr>
                  </w:pPr>
                  <w:r>
                    <w:rPr>
                      <w:color w:val="auto"/>
                      <w:kern w:val="24"/>
                      <w:szCs w:val="21"/>
                      <w:highlight w:val="none"/>
                    </w:rPr>
                    <w:t>外售综合利用</w:t>
                  </w:r>
                </w:p>
              </w:tc>
            </w:tr>
            <w:tr w14:paraId="3FD91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481" w:type="pct"/>
                  <w:vMerge w:val="continue"/>
                  <w:vAlign w:val="center"/>
                </w:tcPr>
                <w:p w14:paraId="63FDDB8E">
                  <w:pPr>
                    <w:adjustRightInd w:val="0"/>
                    <w:snapToGrid w:val="0"/>
                    <w:jc w:val="center"/>
                    <w:rPr>
                      <w:color w:val="auto"/>
                      <w:kern w:val="24"/>
                      <w:szCs w:val="21"/>
                      <w:highlight w:val="none"/>
                    </w:rPr>
                  </w:pPr>
                </w:p>
              </w:tc>
              <w:tc>
                <w:tcPr>
                  <w:tcW w:w="627" w:type="pct"/>
                  <w:vAlign w:val="center"/>
                </w:tcPr>
                <w:p w14:paraId="0970D8B4">
                  <w:pPr>
                    <w:adjustRightInd w:val="0"/>
                    <w:snapToGrid w:val="0"/>
                    <w:jc w:val="center"/>
                    <w:rPr>
                      <w:color w:val="auto"/>
                      <w:kern w:val="24"/>
                      <w:szCs w:val="21"/>
                      <w:highlight w:val="none"/>
                    </w:rPr>
                  </w:pPr>
                  <w:r>
                    <w:rPr>
                      <w:rFonts w:hint="eastAsia"/>
                      <w:color w:val="auto"/>
                      <w:kern w:val="24"/>
                      <w:szCs w:val="21"/>
                      <w:highlight w:val="none"/>
                    </w:rPr>
                    <w:t>S</w:t>
                  </w:r>
                  <w:r>
                    <w:rPr>
                      <w:color w:val="auto"/>
                      <w:kern w:val="24"/>
                      <w:szCs w:val="21"/>
                      <w:highlight w:val="none"/>
                    </w:rPr>
                    <w:t>7</w:t>
                  </w:r>
                </w:p>
              </w:tc>
              <w:tc>
                <w:tcPr>
                  <w:tcW w:w="954" w:type="pct"/>
                  <w:vAlign w:val="center"/>
                </w:tcPr>
                <w:p w14:paraId="176BCF00">
                  <w:pPr>
                    <w:adjustRightInd w:val="0"/>
                    <w:snapToGrid w:val="0"/>
                    <w:jc w:val="center"/>
                    <w:rPr>
                      <w:color w:val="auto"/>
                      <w:kern w:val="24"/>
                      <w:szCs w:val="21"/>
                      <w:highlight w:val="none"/>
                    </w:rPr>
                  </w:pPr>
                  <w:r>
                    <w:rPr>
                      <w:rFonts w:hint="eastAsia"/>
                      <w:color w:val="auto"/>
                      <w:kern w:val="24"/>
                      <w:szCs w:val="21"/>
                      <w:highlight w:val="none"/>
                    </w:rPr>
                    <w:t>生产</w:t>
                  </w:r>
                  <w:r>
                    <w:rPr>
                      <w:rFonts w:hint="eastAsia"/>
                      <w:color w:val="auto"/>
                      <w:kern w:val="24"/>
                      <w:szCs w:val="21"/>
                      <w:highlight w:val="none"/>
                      <w:lang w:eastAsia="zh-Hans"/>
                    </w:rPr>
                    <w:t>过程</w:t>
                  </w:r>
                </w:p>
              </w:tc>
              <w:tc>
                <w:tcPr>
                  <w:tcW w:w="1202" w:type="pct"/>
                  <w:vAlign w:val="center"/>
                </w:tcPr>
                <w:p w14:paraId="3DA776FB">
                  <w:pPr>
                    <w:adjustRightInd w:val="0"/>
                    <w:snapToGrid w:val="0"/>
                    <w:jc w:val="center"/>
                    <w:rPr>
                      <w:color w:val="auto"/>
                      <w:kern w:val="24"/>
                      <w:szCs w:val="21"/>
                      <w:highlight w:val="none"/>
                    </w:rPr>
                  </w:pPr>
                  <w:r>
                    <w:rPr>
                      <w:rFonts w:hint="eastAsia"/>
                      <w:color w:val="auto"/>
                      <w:kern w:val="24"/>
                      <w:szCs w:val="21"/>
                      <w:highlight w:val="none"/>
                    </w:rPr>
                    <w:t>废手套</w:t>
                  </w:r>
                </w:p>
              </w:tc>
              <w:tc>
                <w:tcPr>
                  <w:tcW w:w="373" w:type="pct"/>
                  <w:vAlign w:val="center"/>
                </w:tcPr>
                <w:p w14:paraId="0D38E333">
                  <w:pPr>
                    <w:adjustRightInd w:val="0"/>
                    <w:snapToGrid w:val="0"/>
                    <w:jc w:val="center"/>
                    <w:rPr>
                      <w:color w:val="auto"/>
                      <w:kern w:val="24"/>
                      <w:szCs w:val="21"/>
                      <w:highlight w:val="none"/>
                    </w:rPr>
                  </w:pPr>
                  <w:r>
                    <w:rPr>
                      <w:rFonts w:hint="eastAsia"/>
                      <w:color w:val="auto"/>
                      <w:kern w:val="24"/>
                      <w:szCs w:val="21"/>
                      <w:highlight w:val="none"/>
                    </w:rPr>
                    <w:t>间断</w:t>
                  </w:r>
                </w:p>
              </w:tc>
              <w:tc>
                <w:tcPr>
                  <w:tcW w:w="1360" w:type="pct"/>
                  <w:vAlign w:val="center"/>
                </w:tcPr>
                <w:p w14:paraId="591B1311">
                  <w:pPr>
                    <w:adjustRightInd w:val="0"/>
                    <w:snapToGrid w:val="0"/>
                    <w:jc w:val="center"/>
                    <w:rPr>
                      <w:color w:val="auto"/>
                      <w:kern w:val="24"/>
                      <w:szCs w:val="21"/>
                      <w:highlight w:val="none"/>
                    </w:rPr>
                  </w:pPr>
                  <w:r>
                    <w:rPr>
                      <w:color w:val="auto"/>
                      <w:kern w:val="24"/>
                      <w:szCs w:val="21"/>
                      <w:highlight w:val="none"/>
                    </w:rPr>
                    <w:t>委托有资质单位处理</w:t>
                  </w:r>
                </w:p>
              </w:tc>
            </w:tr>
            <w:tr w14:paraId="26A80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31CA95C3">
                  <w:pPr>
                    <w:adjustRightInd w:val="0"/>
                    <w:snapToGrid w:val="0"/>
                    <w:jc w:val="center"/>
                    <w:rPr>
                      <w:color w:val="auto"/>
                      <w:kern w:val="24"/>
                      <w:szCs w:val="21"/>
                      <w:highlight w:val="none"/>
                    </w:rPr>
                  </w:pPr>
                </w:p>
              </w:tc>
              <w:tc>
                <w:tcPr>
                  <w:tcW w:w="627" w:type="pct"/>
                  <w:vAlign w:val="center"/>
                </w:tcPr>
                <w:p w14:paraId="31F28173">
                  <w:pPr>
                    <w:adjustRightInd w:val="0"/>
                    <w:snapToGrid w:val="0"/>
                    <w:jc w:val="center"/>
                    <w:rPr>
                      <w:color w:val="auto"/>
                      <w:kern w:val="24"/>
                      <w:szCs w:val="21"/>
                      <w:highlight w:val="none"/>
                    </w:rPr>
                  </w:pPr>
                  <w:r>
                    <w:rPr>
                      <w:rFonts w:hint="eastAsia"/>
                      <w:color w:val="auto"/>
                      <w:kern w:val="24"/>
                      <w:szCs w:val="21"/>
                      <w:highlight w:val="none"/>
                    </w:rPr>
                    <w:t>S5</w:t>
                  </w:r>
                </w:p>
              </w:tc>
              <w:tc>
                <w:tcPr>
                  <w:tcW w:w="954" w:type="pct"/>
                  <w:vAlign w:val="center"/>
                </w:tcPr>
                <w:p w14:paraId="1F9F4129">
                  <w:pPr>
                    <w:adjustRightInd w:val="0"/>
                    <w:snapToGrid w:val="0"/>
                    <w:jc w:val="center"/>
                    <w:rPr>
                      <w:color w:val="auto"/>
                      <w:kern w:val="24"/>
                      <w:szCs w:val="21"/>
                      <w:highlight w:val="none"/>
                    </w:rPr>
                  </w:pPr>
                  <w:r>
                    <w:rPr>
                      <w:color w:val="auto"/>
                      <w:kern w:val="24"/>
                      <w:szCs w:val="21"/>
                      <w:highlight w:val="none"/>
                    </w:rPr>
                    <w:t>职工生活</w:t>
                  </w:r>
                </w:p>
              </w:tc>
              <w:tc>
                <w:tcPr>
                  <w:tcW w:w="1202" w:type="pct"/>
                  <w:vAlign w:val="center"/>
                </w:tcPr>
                <w:p w14:paraId="3AFCA6BD">
                  <w:pPr>
                    <w:adjustRightInd w:val="0"/>
                    <w:snapToGrid w:val="0"/>
                    <w:jc w:val="center"/>
                    <w:rPr>
                      <w:color w:val="auto"/>
                      <w:szCs w:val="21"/>
                      <w:highlight w:val="none"/>
                    </w:rPr>
                  </w:pPr>
                  <w:r>
                    <w:rPr>
                      <w:color w:val="auto"/>
                      <w:szCs w:val="21"/>
                      <w:highlight w:val="none"/>
                    </w:rPr>
                    <w:t>生活垃圾</w:t>
                  </w:r>
                </w:p>
              </w:tc>
              <w:tc>
                <w:tcPr>
                  <w:tcW w:w="373" w:type="pct"/>
                  <w:vAlign w:val="center"/>
                </w:tcPr>
                <w:p w14:paraId="5FD56042">
                  <w:pPr>
                    <w:adjustRightInd w:val="0"/>
                    <w:snapToGrid w:val="0"/>
                    <w:jc w:val="center"/>
                    <w:rPr>
                      <w:color w:val="auto"/>
                      <w:kern w:val="24"/>
                      <w:szCs w:val="21"/>
                      <w:highlight w:val="none"/>
                    </w:rPr>
                  </w:pPr>
                  <w:r>
                    <w:rPr>
                      <w:color w:val="auto"/>
                      <w:kern w:val="24"/>
                      <w:szCs w:val="21"/>
                      <w:highlight w:val="none"/>
                    </w:rPr>
                    <w:t>间断</w:t>
                  </w:r>
                </w:p>
              </w:tc>
              <w:tc>
                <w:tcPr>
                  <w:tcW w:w="1360" w:type="pct"/>
                  <w:vAlign w:val="center"/>
                </w:tcPr>
                <w:p w14:paraId="2015C576">
                  <w:pPr>
                    <w:adjustRightInd w:val="0"/>
                    <w:snapToGrid w:val="0"/>
                    <w:jc w:val="center"/>
                    <w:rPr>
                      <w:color w:val="auto"/>
                      <w:kern w:val="24"/>
                      <w:szCs w:val="21"/>
                      <w:highlight w:val="none"/>
                    </w:rPr>
                  </w:pPr>
                  <w:r>
                    <w:rPr>
                      <w:color w:val="auto"/>
                      <w:kern w:val="24"/>
                      <w:szCs w:val="21"/>
                      <w:highlight w:val="none"/>
                    </w:rPr>
                    <w:t>环卫部门清运</w:t>
                  </w:r>
                </w:p>
              </w:tc>
            </w:tr>
            <w:tr w14:paraId="706EB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1" w:type="pct"/>
                  <w:vMerge w:val="continue"/>
                  <w:vAlign w:val="center"/>
                </w:tcPr>
                <w:p w14:paraId="75906F66">
                  <w:pPr>
                    <w:adjustRightInd w:val="0"/>
                    <w:snapToGrid w:val="0"/>
                    <w:jc w:val="center"/>
                    <w:rPr>
                      <w:color w:val="auto"/>
                      <w:kern w:val="24"/>
                      <w:szCs w:val="21"/>
                      <w:highlight w:val="none"/>
                    </w:rPr>
                  </w:pPr>
                </w:p>
              </w:tc>
              <w:tc>
                <w:tcPr>
                  <w:tcW w:w="627" w:type="pct"/>
                  <w:vAlign w:val="center"/>
                </w:tcPr>
                <w:p w14:paraId="5DE67BA3">
                  <w:pPr>
                    <w:adjustRightInd w:val="0"/>
                    <w:snapToGrid w:val="0"/>
                    <w:jc w:val="center"/>
                    <w:rPr>
                      <w:rFonts w:hint="eastAsia" w:eastAsia="宋体"/>
                      <w:color w:val="auto"/>
                      <w:kern w:val="24"/>
                      <w:szCs w:val="21"/>
                      <w:highlight w:val="none"/>
                      <w:lang w:val="en-US" w:eastAsia="zh-Hans"/>
                    </w:rPr>
                  </w:pPr>
                  <w:r>
                    <w:rPr>
                      <w:rFonts w:hint="eastAsia"/>
                      <w:color w:val="auto"/>
                      <w:kern w:val="24"/>
                      <w:szCs w:val="21"/>
                      <w:highlight w:val="none"/>
                      <w:lang w:val="en-US" w:eastAsia="zh-Hans"/>
                    </w:rPr>
                    <w:t>S</w:t>
                  </w:r>
                  <w:r>
                    <w:rPr>
                      <w:rFonts w:hint="default"/>
                      <w:color w:val="auto"/>
                      <w:kern w:val="24"/>
                      <w:szCs w:val="21"/>
                      <w:highlight w:val="none"/>
                      <w:lang w:eastAsia="zh-Hans"/>
                    </w:rPr>
                    <w:t>8</w:t>
                  </w:r>
                </w:p>
              </w:tc>
              <w:tc>
                <w:tcPr>
                  <w:tcW w:w="954" w:type="pct"/>
                  <w:vAlign w:val="center"/>
                </w:tcPr>
                <w:p w14:paraId="5F3AB1EA">
                  <w:pPr>
                    <w:adjustRightInd w:val="0"/>
                    <w:snapToGrid w:val="0"/>
                    <w:jc w:val="center"/>
                    <w:rPr>
                      <w:rFonts w:hint="eastAsia" w:eastAsia="宋体"/>
                      <w:color w:val="auto"/>
                      <w:kern w:val="24"/>
                      <w:szCs w:val="21"/>
                      <w:highlight w:val="none"/>
                      <w:lang w:val="en-US" w:eastAsia="zh-Hans"/>
                    </w:rPr>
                  </w:pPr>
                  <w:r>
                    <w:rPr>
                      <w:rFonts w:hint="eastAsia"/>
                      <w:color w:val="auto"/>
                      <w:kern w:val="24"/>
                      <w:szCs w:val="21"/>
                      <w:highlight w:val="none"/>
                      <w:lang w:val="en-US" w:eastAsia="zh-Hans"/>
                    </w:rPr>
                    <w:t>设备维护</w:t>
                  </w:r>
                </w:p>
              </w:tc>
              <w:tc>
                <w:tcPr>
                  <w:tcW w:w="1202" w:type="pct"/>
                  <w:vAlign w:val="center"/>
                </w:tcPr>
                <w:p w14:paraId="60CF6225">
                  <w:pPr>
                    <w:adjustRightInd w:val="0"/>
                    <w:snapToGrid w:val="0"/>
                    <w:jc w:val="center"/>
                    <w:rPr>
                      <w:rFonts w:hint="eastAsia" w:eastAsia="宋体"/>
                      <w:color w:val="auto"/>
                      <w:szCs w:val="21"/>
                      <w:highlight w:val="none"/>
                      <w:lang w:val="en-US" w:eastAsia="zh-Hans"/>
                    </w:rPr>
                  </w:pPr>
                  <w:r>
                    <w:rPr>
                      <w:rFonts w:hint="eastAsia"/>
                      <w:color w:val="auto"/>
                      <w:szCs w:val="21"/>
                      <w:highlight w:val="none"/>
                      <w:lang w:val="en-US" w:eastAsia="zh-Hans"/>
                    </w:rPr>
                    <w:t>废润滑油</w:t>
                  </w:r>
                </w:p>
              </w:tc>
              <w:tc>
                <w:tcPr>
                  <w:tcW w:w="373" w:type="pct"/>
                  <w:vAlign w:val="center"/>
                </w:tcPr>
                <w:p w14:paraId="0BD49700">
                  <w:pPr>
                    <w:adjustRightInd w:val="0"/>
                    <w:snapToGrid w:val="0"/>
                    <w:jc w:val="center"/>
                    <w:rPr>
                      <w:rFonts w:hint="eastAsia" w:eastAsia="宋体"/>
                      <w:color w:val="auto"/>
                      <w:kern w:val="24"/>
                      <w:szCs w:val="21"/>
                      <w:highlight w:val="none"/>
                      <w:lang w:val="en-US" w:eastAsia="zh-Hans"/>
                    </w:rPr>
                  </w:pPr>
                  <w:r>
                    <w:rPr>
                      <w:rFonts w:hint="eastAsia"/>
                      <w:color w:val="auto"/>
                      <w:kern w:val="24"/>
                      <w:szCs w:val="21"/>
                      <w:highlight w:val="none"/>
                      <w:lang w:val="en-US" w:eastAsia="zh-Hans"/>
                    </w:rPr>
                    <w:t>间断</w:t>
                  </w:r>
                </w:p>
              </w:tc>
              <w:tc>
                <w:tcPr>
                  <w:tcW w:w="1360" w:type="pct"/>
                  <w:vAlign w:val="center"/>
                </w:tcPr>
                <w:p w14:paraId="18E34126">
                  <w:pPr>
                    <w:adjustRightInd w:val="0"/>
                    <w:snapToGrid w:val="0"/>
                    <w:jc w:val="center"/>
                    <w:rPr>
                      <w:color w:val="auto"/>
                      <w:kern w:val="24"/>
                      <w:szCs w:val="21"/>
                      <w:highlight w:val="none"/>
                    </w:rPr>
                  </w:pPr>
                  <w:r>
                    <w:rPr>
                      <w:color w:val="auto"/>
                      <w:kern w:val="24"/>
                      <w:szCs w:val="21"/>
                      <w:highlight w:val="none"/>
                    </w:rPr>
                    <w:t>委托有资质单位处理</w:t>
                  </w:r>
                </w:p>
              </w:tc>
            </w:tr>
          </w:tbl>
          <w:p w14:paraId="3FFDA2E3">
            <w:pPr>
              <w:adjustRightInd w:val="0"/>
              <w:snapToGrid w:val="0"/>
              <w:jc w:val="center"/>
              <w:rPr>
                <w:rFonts w:hAnsi="宋体"/>
                <w:b/>
                <w:snapToGrid w:val="0"/>
                <w:color w:val="auto"/>
                <w:kern w:val="0"/>
                <w:szCs w:val="21"/>
                <w:highlight w:val="none"/>
              </w:rPr>
            </w:pPr>
          </w:p>
          <w:p w14:paraId="2F0B9D5E">
            <w:pPr>
              <w:adjustRightInd w:val="0"/>
              <w:snapToGrid w:val="0"/>
              <w:jc w:val="center"/>
              <w:rPr>
                <w:rFonts w:hAnsi="宋体"/>
                <w:b/>
                <w:snapToGrid w:val="0"/>
                <w:color w:val="auto"/>
                <w:kern w:val="0"/>
                <w:szCs w:val="21"/>
                <w:highlight w:val="none"/>
              </w:rPr>
            </w:pPr>
          </w:p>
          <w:p w14:paraId="15F12DA7">
            <w:pPr>
              <w:adjustRightInd w:val="0"/>
              <w:snapToGrid w:val="0"/>
              <w:rPr>
                <w:bCs/>
                <w:color w:val="auto"/>
                <w:szCs w:val="21"/>
                <w:highlight w:val="none"/>
              </w:rPr>
            </w:pPr>
          </w:p>
        </w:tc>
      </w:tr>
      <w:tr w14:paraId="655DA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1" w:hRule="atLeast"/>
          <w:jc w:val="center"/>
        </w:trPr>
        <w:tc>
          <w:tcPr>
            <w:tcW w:w="123" w:type="pct"/>
            <w:vAlign w:val="center"/>
          </w:tcPr>
          <w:p w14:paraId="16879C60">
            <w:pPr>
              <w:pStyle w:val="22"/>
              <w:adjustRightInd w:val="0"/>
              <w:snapToGrid w:val="0"/>
              <w:spacing w:before="0" w:beforeAutospacing="0" w:after="0" w:afterAutospacing="0"/>
              <w:jc w:val="center"/>
              <w:rPr>
                <w:rFonts w:ascii="Times New Roman" w:hAnsi="Times New Roman"/>
                <w:color w:val="auto"/>
                <w:sz w:val="21"/>
                <w:szCs w:val="21"/>
                <w:highlight w:val="none"/>
                <w:lang w:val="en-US"/>
              </w:rPr>
            </w:pPr>
            <w:r>
              <w:rPr>
                <w:rFonts w:ascii="Times New Roman"/>
                <w:bCs/>
                <w:color w:val="auto"/>
                <w:kern w:val="2"/>
                <w:sz w:val="21"/>
                <w:szCs w:val="21"/>
                <w:highlight w:val="none"/>
                <w:lang w:val="en-US"/>
              </w:rPr>
              <w:t>与项目有关的原有环境污染问题</w:t>
            </w:r>
          </w:p>
        </w:tc>
        <w:tc>
          <w:tcPr>
            <w:tcW w:w="4876" w:type="pct"/>
          </w:tcPr>
          <w:p w14:paraId="3454CFAA">
            <w:pPr>
              <w:adjustRightInd w:val="0"/>
              <w:snapToGrid w:val="0"/>
              <w:spacing w:line="360" w:lineRule="auto"/>
              <w:rPr>
                <w:b/>
                <w:bCs/>
                <w:color w:val="auto"/>
                <w:sz w:val="24"/>
                <w:highlight w:val="none"/>
              </w:rPr>
            </w:pPr>
            <w:r>
              <w:rPr>
                <w:rFonts w:hint="eastAsia"/>
                <w:b/>
                <w:bCs/>
                <w:color w:val="auto"/>
                <w:sz w:val="24"/>
                <w:highlight w:val="none"/>
              </w:rPr>
              <w:t>1、</w:t>
            </w:r>
            <w:r>
              <w:rPr>
                <w:b/>
                <w:bCs/>
                <w:color w:val="auto"/>
                <w:sz w:val="24"/>
                <w:highlight w:val="none"/>
              </w:rPr>
              <w:t>现有项目概况</w:t>
            </w:r>
          </w:p>
          <w:p w14:paraId="42238726">
            <w:pPr>
              <w:adjustRightInd w:val="0"/>
              <w:snapToGrid w:val="0"/>
              <w:spacing w:line="360" w:lineRule="auto"/>
              <w:ind w:firstLine="480" w:firstLineChars="200"/>
              <w:rPr>
                <w:color w:val="auto"/>
                <w:sz w:val="24"/>
                <w:highlight w:val="none"/>
              </w:rPr>
            </w:pPr>
            <w:r>
              <w:rPr>
                <w:color w:val="auto"/>
                <w:sz w:val="24"/>
                <w:highlight w:val="none"/>
              </w:rPr>
              <w:t>舜驱动力科技（南通）有限公司现位于</w:t>
            </w:r>
            <w:r>
              <w:rPr>
                <w:bCs/>
                <w:color w:val="auto"/>
                <w:sz w:val="24"/>
                <w:highlight w:val="none"/>
              </w:rPr>
              <w:t>南通市海门市滨江街道滨港大道滨港大道2699号内52号楼</w:t>
            </w:r>
            <w:r>
              <w:rPr>
                <w:color w:val="auto"/>
                <w:sz w:val="24"/>
                <w:highlight w:val="none"/>
              </w:rPr>
              <w:t>，占地面积约</w:t>
            </w:r>
            <w:r>
              <w:rPr>
                <w:rFonts w:hint="eastAsia"/>
                <w:color w:val="auto"/>
                <w:sz w:val="24"/>
                <w:highlight w:val="none"/>
              </w:rPr>
              <w:t>82</w:t>
            </w:r>
            <w:r>
              <w:rPr>
                <w:color w:val="auto"/>
                <w:sz w:val="24"/>
                <w:highlight w:val="none"/>
              </w:rPr>
              <w:t>00m</w:t>
            </w:r>
            <w:r>
              <w:rPr>
                <w:color w:val="auto"/>
                <w:sz w:val="24"/>
                <w:highlight w:val="none"/>
                <w:vertAlign w:val="superscript"/>
              </w:rPr>
              <w:t>2</w:t>
            </w:r>
            <w:r>
              <w:rPr>
                <w:color w:val="auto"/>
                <w:sz w:val="24"/>
                <w:highlight w:val="none"/>
              </w:rPr>
              <w:t>，公司年产电动汽车驱动电机</w:t>
            </w:r>
            <w:r>
              <w:rPr>
                <w:rFonts w:hint="eastAsia"/>
                <w:color w:val="auto"/>
                <w:sz w:val="24"/>
                <w:highlight w:val="none"/>
              </w:rPr>
              <w:t>4</w:t>
            </w:r>
            <w:r>
              <w:rPr>
                <w:color w:val="auto"/>
                <w:sz w:val="24"/>
                <w:highlight w:val="none"/>
              </w:rPr>
              <w:t>万</w:t>
            </w:r>
            <w:r>
              <w:rPr>
                <w:rFonts w:hint="eastAsia"/>
                <w:color w:val="auto"/>
                <w:sz w:val="24"/>
                <w:highlight w:val="none"/>
              </w:rPr>
              <w:t>件</w:t>
            </w:r>
            <w:r>
              <w:rPr>
                <w:color w:val="auto"/>
                <w:sz w:val="24"/>
                <w:highlight w:val="none"/>
              </w:rPr>
              <w:t>。《舜驱动力科技（南通）有限公司年产4万台FG270电机项目环境影响报告表》，并于20</w:t>
            </w:r>
            <w:r>
              <w:rPr>
                <w:rFonts w:hint="eastAsia"/>
                <w:color w:val="auto"/>
                <w:sz w:val="24"/>
                <w:highlight w:val="none"/>
              </w:rPr>
              <w:t>20</w:t>
            </w:r>
            <w:r>
              <w:rPr>
                <w:color w:val="auto"/>
                <w:sz w:val="24"/>
                <w:highlight w:val="none"/>
              </w:rPr>
              <w:t>年</w:t>
            </w:r>
            <w:r>
              <w:rPr>
                <w:rFonts w:hint="eastAsia"/>
                <w:color w:val="auto"/>
                <w:sz w:val="24"/>
                <w:highlight w:val="none"/>
              </w:rPr>
              <w:t>7</w:t>
            </w:r>
            <w:r>
              <w:rPr>
                <w:color w:val="auto"/>
                <w:sz w:val="24"/>
                <w:highlight w:val="none"/>
              </w:rPr>
              <w:t>月7日通过</w:t>
            </w:r>
            <w:r>
              <w:rPr>
                <w:rFonts w:hint="eastAsia"/>
                <w:color w:val="auto"/>
                <w:sz w:val="24"/>
                <w:highlight w:val="none"/>
              </w:rPr>
              <w:t>海门市行政审批局审批</w:t>
            </w:r>
            <w:r>
              <w:rPr>
                <w:color w:val="auto"/>
                <w:sz w:val="24"/>
                <w:highlight w:val="none"/>
              </w:rPr>
              <w:t>，后于20</w:t>
            </w:r>
            <w:r>
              <w:rPr>
                <w:rFonts w:hint="eastAsia"/>
                <w:color w:val="auto"/>
                <w:sz w:val="24"/>
                <w:highlight w:val="none"/>
              </w:rPr>
              <w:t>20</w:t>
            </w:r>
            <w:r>
              <w:rPr>
                <w:color w:val="auto"/>
                <w:sz w:val="24"/>
                <w:highlight w:val="none"/>
              </w:rPr>
              <w:t>年</w:t>
            </w:r>
            <w:r>
              <w:rPr>
                <w:rFonts w:hint="eastAsia"/>
                <w:color w:val="auto"/>
                <w:sz w:val="24"/>
                <w:highlight w:val="none"/>
              </w:rPr>
              <w:t>9</w:t>
            </w:r>
            <w:r>
              <w:rPr>
                <w:color w:val="auto"/>
                <w:sz w:val="24"/>
                <w:highlight w:val="none"/>
              </w:rPr>
              <w:t>月</w:t>
            </w:r>
            <w:r>
              <w:rPr>
                <w:rFonts w:hint="eastAsia"/>
                <w:color w:val="auto"/>
                <w:sz w:val="24"/>
                <w:highlight w:val="none"/>
              </w:rPr>
              <w:t>1</w:t>
            </w:r>
            <w:r>
              <w:rPr>
                <w:color w:val="auto"/>
                <w:sz w:val="24"/>
                <w:highlight w:val="none"/>
              </w:rPr>
              <w:t>日通过</w:t>
            </w:r>
            <w:r>
              <w:rPr>
                <w:rFonts w:hint="eastAsia"/>
                <w:color w:val="auto"/>
                <w:sz w:val="24"/>
                <w:highlight w:val="none"/>
              </w:rPr>
              <w:t>竣工环境保护验收评审会出具专家意见</w:t>
            </w:r>
            <w:r>
              <w:rPr>
                <w:color w:val="auto"/>
                <w:sz w:val="24"/>
                <w:highlight w:val="none"/>
              </w:rPr>
              <w:t>。现有项目批复以及环保“三同时”竣工验收情况见表</w:t>
            </w:r>
            <w:r>
              <w:rPr>
                <w:rFonts w:hint="eastAsia"/>
                <w:color w:val="auto"/>
                <w:sz w:val="24"/>
                <w:highlight w:val="none"/>
              </w:rPr>
              <w:t>2-10</w:t>
            </w:r>
            <w:r>
              <w:rPr>
                <w:color w:val="auto"/>
                <w:sz w:val="24"/>
                <w:highlight w:val="none"/>
              </w:rPr>
              <w:t>。</w:t>
            </w:r>
          </w:p>
          <w:p w14:paraId="07693B56">
            <w:pPr>
              <w:pStyle w:val="93"/>
              <w:adjustRightInd w:val="0"/>
              <w:snapToGrid w:val="0"/>
              <w:ind w:firstLine="0" w:firstLineChars="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表</w:t>
            </w:r>
            <w:r>
              <w:rPr>
                <w:rFonts w:hint="eastAsia" w:ascii="Times New Roman" w:hAnsi="Times New Roman"/>
                <w:b/>
                <w:bCs/>
                <w:color w:val="auto"/>
                <w:sz w:val="24"/>
                <w:szCs w:val="24"/>
                <w:highlight w:val="none"/>
              </w:rPr>
              <w:t>2-10</w:t>
            </w:r>
            <w:r>
              <w:rPr>
                <w:rFonts w:ascii="Times New Roman" w:hAnsi="Times New Roman"/>
                <w:b/>
                <w:bCs/>
                <w:color w:val="auto"/>
                <w:sz w:val="24"/>
                <w:szCs w:val="24"/>
                <w:highlight w:val="none"/>
              </w:rPr>
              <w:t xml:space="preserve"> 现有项目批复及环保“三同时”竣工验收情况</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56"/>
              <w:gridCol w:w="1803"/>
              <w:gridCol w:w="1531"/>
              <w:gridCol w:w="1777"/>
              <w:gridCol w:w="2451"/>
              <w:gridCol w:w="975"/>
            </w:tblGrid>
            <w:tr w14:paraId="5B6F41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7" w:type="pct"/>
                  <w:vAlign w:val="center"/>
                </w:tcPr>
                <w:p w14:paraId="21EA8F31">
                  <w:pPr>
                    <w:widowControl/>
                    <w:adjustRightInd w:val="0"/>
                    <w:snapToGrid w:val="0"/>
                    <w:jc w:val="center"/>
                    <w:rPr>
                      <w:b/>
                      <w:color w:val="auto"/>
                      <w:kern w:val="0"/>
                      <w:szCs w:val="21"/>
                      <w:highlight w:val="none"/>
                    </w:rPr>
                  </w:pPr>
                  <w:r>
                    <w:rPr>
                      <w:b/>
                      <w:color w:val="auto"/>
                      <w:kern w:val="0"/>
                      <w:szCs w:val="21"/>
                      <w:highlight w:val="none"/>
                    </w:rPr>
                    <w:t>序号</w:t>
                  </w:r>
                </w:p>
              </w:tc>
              <w:tc>
                <w:tcPr>
                  <w:tcW w:w="970" w:type="pct"/>
                  <w:vAlign w:val="center"/>
                </w:tcPr>
                <w:p w14:paraId="35AB5DB9">
                  <w:pPr>
                    <w:widowControl/>
                    <w:adjustRightInd w:val="0"/>
                    <w:snapToGrid w:val="0"/>
                    <w:jc w:val="center"/>
                    <w:rPr>
                      <w:b/>
                      <w:color w:val="auto"/>
                      <w:kern w:val="0"/>
                      <w:szCs w:val="21"/>
                      <w:highlight w:val="none"/>
                    </w:rPr>
                  </w:pPr>
                  <w:r>
                    <w:rPr>
                      <w:b/>
                      <w:color w:val="auto"/>
                      <w:kern w:val="0"/>
                      <w:szCs w:val="21"/>
                      <w:highlight w:val="none"/>
                    </w:rPr>
                    <w:t>项目名称</w:t>
                  </w:r>
                </w:p>
              </w:tc>
              <w:tc>
                <w:tcPr>
                  <w:tcW w:w="824" w:type="pct"/>
                  <w:vAlign w:val="center"/>
                </w:tcPr>
                <w:p w14:paraId="7D0E8288">
                  <w:pPr>
                    <w:widowControl/>
                    <w:adjustRightInd w:val="0"/>
                    <w:snapToGrid w:val="0"/>
                    <w:jc w:val="center"/>
                    <w:rPr>
                      <w:b/>
                      <w:color w:val="auto"/>
                      <w:kern w:val="0"/>
                      <w:szCs w:val="21"/>
                      <w:highlight w:val="none"/>
                    </w:rPr>
                  </w:pPr>
                  <w:r>
                    <w:rPr>
                      <w:b/>
                      <w:color w:val="auto"/>
                      <w:kern w:val="0"/>
                      <w:szCs w:val="21"/>
                      <w:highlight w:val="none"/>
                    </w:rPr>
                    <w:t>审批文号</w:t>
                  </w:r>
                </w:p>
              </w:tc>
              <w:tc>
                <w:tcPr>
                  <w:tcW w:w="956" w:type="pct"/>
                  <w:vAlign w:val="center"/>
                </w:tcPr>
                <w:p w14:paraId="1244B867">
                  <w:pPr>
                    <w:widowControl/>
                    <w:adjustRightInd w:val="0"/>
                    <w:snapToGrid w:val="0"/>
                    <w:jc w:val="center"/>
                    <w:rPr>
                      <w:b/>
                      <w:color w:val="auto"/>
                      <w:kern w:val="0"/>
                      <w:szCs w:val="21"/>
                      <w:highlight w:val="none"/>
                    </w:rPr>
                  </w:pPr>
                  <w:r>
                    <w:rPr>
                      <w:b/>
                      <w:color w:val="auto"/>
                      <w:kern w:val="0"/>
                      <w:szCs w:val="21"/>
                      <w:highlight w:val="none"/>
                    </w:rPr>
                    <w:t>审批时间</w:t>
                  </w:r>
                </w:p>
              </w:tc>
              <w:tc>
                <w:tcPr>
                  <w:tcW w:w="1319" w:type="pct"/>
                  <w:vAlign w:val="center"/>
                </w:tcPr>
                <w:p w14:paraId="725CDA23">
                  <w:pPr>
                    <w:widowControl/>
                    <w:adjustRightInd w:val="0"/>
                    <w:snapToGrid w:val="0"/>
                    <w:jc w:val="center"/>
                    <w:rPr>
                      <w:b/>
                      <w:color w:val="auto"/>
                      <w:kern w:val="0"/>
                      <w:szCs w:val="21"/>
                      <w:highlight w:val="none"/>
                    </w:rPr>
                  </w:pPr>
                  <w:r>
                    <w:rPr>
                      <w:b/>
                      <w:color w:val="auto"/>
                      <w:kern w:val="0"/>
                      <w:szCs w:val="21"/>
                      <w:highlight w:val="none"/>
                    </w:rPr>
                    <w:t>环保三同时竣工验收</w:t>
                  </w:r>
                </w:p>
              </w:tc>
              <w:tc>
                <w:tcPr>
                  <w:tcW w:w="525" w:type="pct"/>
                  <w:vAlign w:val="center"/>
                </w:tcPr>
                <w:p w14:paraId="04E13A96">
                  <w:pPr>
                    <w:widowControl/>
                    <w:adjustRightInd w:val="0"/>
                    <w:snapToGrid w:val="0"/>
                    <w:jc w:val="center"/>
                    <w:rPr>
                      <w:b/>
                      <w:color w:val="auto"/>
                      <w:kern w:val="0"/>
                      <w:szCs w:val="21"/>
                      <w:highlight w:val="none"/>
                    </w:rPr>
                  </w:pPr>
                  <w:r>
                    <w:rPr>
                      <w:b/>
                      <w:color w:val="auto"/>
                      <w:kern w:val="0"/>
                      <w:szCs w:val="21"/>
                      <w:highlight w:val="none"/>
                    </w:rPr>
                    <w:t>建设进度</w:t>
                  </w:r>
                </w:p>
              </w:tc>
            </w:tr>
            <w:tr w14:paraId="3C8953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7" w:type="pct"/>
                  <w:vAlign w:val="center"/>
                </w:tcPr>
                <w:p w14:paraId="46C6D1A6">
                  <w:pPr>
                    <w:adjustRightInd w:val="0"/>
                    <w:snapToGrid w:val="0"/>
                    <w:jc w:val="center"/>
                    <w:rPr>
                      <w:bCs/>
                      <w:color w:val="auto"/>
                      <w:szCs w:val="21"/>
                      <w:highlight w:val="none"/>
                    </w:rPr>
                  </w:pPr>
                  <w:r>
                    <w:rPr>
                      <w:bCs/>
                      <w:color w:val="auto"/>
                      <w:szCs w:val="21"/>
                      <w:highlight w:val="none"/>
                    </w:rPr>
                    <w:t>1</w:t>
                  </w:r>
                </w:p>
              </w:tc>
              <w:tc>
                <w:tcPr>
                  <w:tcW w:w="970" w:type="pct"/>
                  <w:vAlign w:val="center"/>
                </w:tcPr>
                <w:p w14:paraId="0BA2FBAC">
                  <w:pPr>
                    <w:widowControl/>
                    <w:adjustRightInd w:val="0"/>
                    <w:snapToGrid w:val="0"/>
                    <w:jc w:val="center"/>
                    <w:rPr>
                      <w:color w:val="auto"/>
                      <w:szCs w:val="21"/>
                      <w:highlight w:val="none"/>
                    </w:rPr>
                  </w:pPr>
                  <w:r>
                    <w:rPr>
                      <w:color w:val="auto"/>
                      <w:szCs w:val="21"/>
                      <w:highlight w:val="none"/>
                    </w:rPr>
                    <w:t>舜驱动力科技（南通）有限公司年产4万台FG270电机项目</w:t>
                  </w:r>
                </w:p>
              </w:tc>
              <w:tc>
                <w:tcPr>
                  <w:tcW w:w="824" w:type="pct"/>
                  <w:vAlign w:val="center"/>
                </w:tcPr>
                <w:p w14:paraId="14B7F9CC">
                  <w:pPr>
                    <w:widowControl/>
                    <w:adjustRightInd w:val="0"/>
                    <w:snapToGrid w:val="0"/>
                    <w:jc w:val="center"/>
                    <w:rPr>
                      <w:color w:val="auto"/>
                      <w:szCs w:val="21"/>
                      <w:highlight w:val="none"/>
                    </w:rPr>
                  </w:pPr>
                  <w:r>
                    <w:rPr>
                      <w:rFonts w:hint="eastAsia"/>
                      <w:bCs/>
                      <w:color w:val="auto"/>
                      <w:szCs w:val="21"/>
                      <w:highlight w:val="none"/>
                    </w:rPr>
                    <w:t>海审批表复</w:t>
                  </w:r>
                  <w:r>
                    <w:rPr>
                      <w:bCs/>
                      <w:color w:val="auto"/>
                      <w:szCs w:val="21"/>
                      <w:highlight w:val="none"/>
                    </w:rPr>
                    <w:t>[20</w:t>
                  </w:r>
                  <w:r>
                    <w:rPr>
                      <w:rFonts w:hint="eastAsia"/>
                      <w:bCs/>
                      <w:color w:val="auto"/>
                      <w:szCs w:val="21"/>
                      <w:highlight w:val="none"/>
                    </w:rPr>
                    <w:t>20</w:t>
                  </w:r>
                  <w:r>
                    <w:rPr>
                      <w:bCs/>
                      <w:color w:val="auto"/>
                      <w:szCs w:val="21"/>
                      <w:highlight w:val="none"/>
                    </w:rPr>
                    <w:t>]</w:t>
                  </w:r>
                  <w:r>
                    <w:rPr>
                      <w:rFonts w:hint="eastAsia"/>
                      <w:bCs/>
                      <w:color w:val="auto"/>
                      <w:szCs w:val="21"/>
                      <w:highlight w:val="none"/>
                    </w:rPr>
                    <w:t>87</w:t>
                  </w:r>
                  <w:r>
                    <w:rPr>
                      <w:bCs/>
                      <w:color w:val="auto"/>
                      <w:szCs w:val="21"/>
                      <w:highlight w:val="none"/>
                    </w:rPr>
                    <w:t>号</w:t>
                  </w:r>
                </w:p>
              </w:tc>
              <w:tc>
                <w:tcPr>
                  <w:tcW w:w="956" w:type="pct"/>
                  <w:vAlign w:val="center"/>
                </w:tcPr>
                <w:p w14:paraId="2D5EF6A5">
                  <w:pPr>
                    <w:widowControl/>
                    <w:adjustRightInd w:val="0"/>
                    <w:snapToGrid w:val="0"/>
                    <w:jc w:val="center"/>
                    <w:rPr>
                      <w:color w:val="auto"/>
                      <w:kern w:val="0"/>
                      <w:szCs w:val="21"/>
                      <w:highlight w:val="none"/>
                    </w:rPr>
                  </w:pPr>
                  <w:r>
                    <w:rPr>
                      <w:rFonts w:hint="eastAsia"/>
                      <w:color w:val="auto"/>
                      <w:kern w:val="0"/>
                      <w:szCs w:val="21"/>
                      <w:highlight w:val="none"/>
                    </w:rPr>
                    <w:t>海门行政审批局</w:t>
                  </w:r>
                </w:p>
                <w:p w14:paraId="5C0499CD">
                  <w:pPr>
                    <w:widowControl/>
                    <w:adjustRightInd w:val="0"/>
                    <w:snapToGrid w:val="0"/>
                    <w:jc w:val="center"/>
                    <w:rPr>
                      <w:bCs/>
                      <w:color w:val="auto"/>
                      <w:szCs w:val="21"/>
                      <w:highlight w:val="none"/>
                    </w:rPr>
                  </w:pPr>
                  <w:r>
                    <w:rPr>
                      <w:color w:val="auto"/>
                      <w:szCs w:val="21"/>
                      <w:highlight w:val="none"/>
                    </w:rPr>
                    <w:t>20</w:t>
                  </w:r>
                  <w:r>
                    <w:rPr>
                      <w:rFonts w:hint="eastAsia"/>
                      <w:color w:val="auto"/>
                      <w:szCs w:val="21"/>
                      <w:highlight w:val="none"/>
                    </w:rPr>
                    <w:t>20.7</w:t>
                  </w:r>
                  <w:r>
                    <w:rPr>
                      <w:color w:val="auto"/>
                      <w:szCs w:val="21"/>
                      <w:highlight w:val="none"/>
                    </w:rPr>
                    <w:t>.7</w:t>
                  </w:r>
                </w:p>
              </w:tc>
              <w:tc>
                <w:tcPr>
                  <w:tcW w:w="1319" w:type="pct"/>
                  <w:vAlign w:val="center"/>
                </w:tcPr>
                <w:p w14:paraId="3F842211">
                  <w:pPr>
                    <w:adjustRightInd w:val="0"/>
                    <w:snapToGrid w:val="0"/>
                    <w:jc w:val="center"/>
                    <w:rPr>
                      <w:color w:val="auto"/>
                      <w:kern w:val="0"/>
                      <w:szCs w:val="21"/>
                      <w:highlight w:val="none"/>
                    </w:rPr>
                  </w:pPr>
                  <w:r>
                    <w:rPr>
                      <w:rFonts w:hint="eastAsia"/>
                      <w:color w:val="auto"/>
                      <w:kern w:val="0"/>
                      <w:szCs w:val="21"/>
                      <w:highlight w:val="none"/>
                    </w:rPr>
                    <w:t>竣工环境保护验收意见</w:t>
                  </w:r>
                </w:p>
                <w:p w14:paraId="7F3682EB">
                  <w:pPr>
                    <w:adjustRightInd w:val="0"/>
                    <w:snapToGrid w:val="0"/>
                    <w:jc w:val="center"/>
                    <w:rPr>
                      <w:bCs/>
                      <w:color w:val="auto"/>
                      <w:szCs w:val="21"/>
                      <w:highlight w:val="none"/>
                    </w:rPr>
                  </w:pPr>
                  <w:r>
                    <w:rPr>
                      <w:color w:val="auto"/>
                      <w:szCs w:val="21"/>
                      <w:highlight w:val="none"/>
                    </w:rPr>
                    <w:t>20</w:t>
                  </w:r>
                  <w:r>
                    <w:rPr>
                      <w:rFonts w:hint="eastAsia"/>
                      <w:color w:val="auto"/>
                      <w:szCs w:val="21"/>
                      <w:highlight w:val="none"/>
                    </w:rPr>
                    <w:t>20.9.1</w:t>
                  </w:r>
                </w:p>
              </w:tc>
              <w:tc>
                <w:tcPr>
                  <w:tcW w:w="525" w:type="pct"/>
                  <w:vAlign w:val="center"/>
                </w:tcPr>
                <w:p w14:paraId="6021A9D3">
                  <w:pPr>
                    <w:adjustRightInd w:val="0"/>
                    <w:snapToGrid w:val="0"/>
                    <w:jc w:val="center"/>
                    <w:rPr>
                      <w:color w:val="auto"/>
                      <w:kern w:val="0"/>
                      <w:szCs w:val="21"/>
                      <w:highlight w:val="none"/>
                    </w:rPr>
                  </w:pPr>
                  <w:r>
                    <w:rPr>
                      <w:rFonts w:hint="eastAsia"/>
                      <w:color w:val="auto"/>
                      <w:kern w:val="0"/>
                      <w:szCs w:val="21"/>
                      <w:highlight w:val="none"/>
                    </w:rPr>
                    <w:t>已建成</w:t>
                  </w:r>
                </w:p>
              </w:tc>
            </w:tr>
          </w:tbl>
          <w:p w14:paraId="3B89A206">
            <w:pPr>
              <w:adjustRightInd w:val="0"/>
              <w:snapToGrid w:val="0"/>
              <w:spacing w:line="360" w:lineRule="auto"/>
              <w:rPr>
                <w:b/>
                <w:bCs/>
                <w:color w:val="auto"/>
                <w:sz w:val="24"/>
                <w:highlight w:val="none"/>
              </w:rPr>
            </w:pPr>
            <w:r>
              <w:rPr>
                <w:rFonts w:hint="eastAsia"/>
                <w:b/>
                <w:bCs/>
                <w:color w:val="auto"/>
                <w:sz w:val="24"/>
                <w:highlight w:val="none"/>
              </w:rPr>
              <w:t>2、</w:t>
            </w:r>
            <w:r>
              <w:rPr>
                <w:b/>
                <w:bCs/>
                <w:color w:val="auto"/>
                <w:sz w:val="24"/>
                <w:highlight w:val="none"/>
              </w:rPr>
              <w:t>现有项目工艺流程</w:t>
            </w:r>
          </w:p>
          <w:p w14:paraId="23A43501">
            <w:pPr>
              <w:tabs>
                <w:tab w:val="left" w:pos="604"/>
              </w:tabs>
              <w:adjustRightInd w:val="0"/>
              <w:snapToGrid w:val="0"/>
              <w:spacing w:line="360" w:lineRule="auto"/>
              <w:ind w:firstLine="480" w:firstLineChars="200"/>
              <w:jc w:val="left"/>
              <w:rPr>
                <w:b/>
                <w:color w:val="auto"/>
                <w:sz w:val="24"/>
                <w:highlight w:val="none"/>
              </w:rPr>
            </w:pPr>
            <w:bookmarkStart w:id="10" w:name="OLE_LINK3"/>
            <w:r>
              <w:rPr>
                <w:rFonts w:hint="eastAsia" w:hAnsi="宋体"/>
                <w:bCs/>
                <w:color w:val="auto"/>
                <w:sz w:val="24"/>
                <w:highlight w:val="none"/>
              </w:rPr>
              <w:t>现有</w:t>
            </w:r>
            <w:r>
              <w:rPr>
                <w:rFonts w:hAnsi="宋体"/>
                <w:bCs/>
                <w:color w:val="auto"/>
                <w:sz w:val="24"/>
                <w:highlight w:val="none"/>
              </w:rPr>
              <w:t>项目主要生产电动汽车驱动</w:t>
            </w:r>
            <w:r>
              <w:rPr>
                <w:color w:val="auto"/>
                <w:sz w:val="24"/>
                <w:highlight w:val="none"/>
              </w:rPr>
              <w:t>FG270</w:t>
            </w:r>
            <w:r>
              <w:rPr>
                <w:rFonts w:hAnsi="宋体"/>
                <w:bCs/>
                <w:color w:val="auto"/>
                <w:sz w:val="24"/>
                <w:highlight w:val="none"/>
              </w:rPr>
              <w:t>电机，</w:t>
            </w:r>
            <w:r>
              <w:rPr>
                <w:rFonts w:hAnsi="宋体"/>
                <w:color w:val="auto"/>
                <w:sz w:val="24"/>
                <w:highlight w:val="none"/>
              </w:rPr>
              <w:t>电机主要由定子和转子组成，</w:t>
            </w:r>
            <w:r>
              <w:rPr>
                <w:rFonts w:hint="eastAsia" w:hAnsi="宋体"/>
                <w:color w:val="auto"/>
                <w:sz w:val="24"/>
                <w:highlight w:val="none"/>
              </w:rPr>
              <w:t>现有</w:t>
            </w:r>
            <w:r>
              <w:rPr>
                <w:rFonts w:hAnsi="宋体"/>
                <w:color w:val="auto"/>
                <w:sz w:val="24"/>
                <w:highlight w:val="none"/>
              </w:rPr>
              <w:t>项目无需进行总装，外售的为分体式电机（定子和转子）。</w:t>
            </w:r>
          </w:p>
          <w:p w14:paraId="59D183FC">
            <w:pPr>
              <w:tabs>
                <w:tab w:val="left" w:pos="604"/>
              </w:tabs>
              <w:adjustRightInd w:val="0"/>
              <w:snapToGrid w:val="0"/>
              <w:spacing w:line="360" w:lineRule="auto"/>
              <w:ind w:left="465"/>
              <w:rPr>
                <w:b/>
                <w:color w:val="auto"/>
                <w:sz w:val="24"/>
                <w:highlight w:val="none"/>
              </w:rPr>
            </w:pPr>
            <w:r>
              <w:rPr>
                <w:rFonts w:hint="eastAsia"/>
                <w:b/>
                <w:color w:val="auto"/>
                <w:sz w:val="24"/>
                <w:highlight w:val="none"/>
              </w:rPr>
              <w:t>①</w:t>
            </w:r>
            <w:r>
              <w:rPr>
                <w:rFonts w:hAnsi="宋体"/>
                <w:b/>
                <w:color w:val="auto"/>
                <w:sz w:val="24"/>
                <w:highlight w:val="none"/>
              </w:rPr>
              <w:t>生产工艺流程</w:t>
            </w:r>
            <w:r>
              <w:rPr>
                <w:b/>
                <w:color w:val="auto"/>
                <w:sz w:val="24"/>
                <w:highlight w:val="none"/>
              </w:rPr>
              <w:t>(G</w:t>
            </w:r>
            <w:r>
              <w:rPr>
                <w:rFonts w:hAnsi="宋体"/>
                <w:b/>
                <w:color w:val="auto"/>
                <w:sz w:val="24"/>
                <w:highlight w:val="none"/>
              </w:rPr>
              <w:t>：废气，</w:t>
            </w:r>
            <w:r>
              <w:rPr>
                <w:b/>
                <w:color w:val="auto"/>
                <w:sz w:val="24"/>
                <w:highlight w:val="none"/>
              </w:rPr>
              <w:t>W</w:t>
            </w:r>
            <w:r>
              <w:rPr>
                <w:rFonts w:hAnsi="宋体"/>
                <w:b/>
                <w:color w:val="auto"/>
                <w:sz w:val="24"/>
                <w:highlight w:val="none"/>
              </w:rPr>
              <w:t>：污水，</w:t>
            </w:r>
            <w:r>
              <w:rPr>
                <w:b/>
                <w:color w:val="auto"/>
                <w:sz w:val="24"/>
                <w:highlight w:val="none"/>
              </w:rPr>
              <w:t>S</w:t>
            </w:r>
            <w:r>
              <w:rPr>
                <w:rFonts w:hAnsi="宋体"/>
                <w:b/>
                <w:color w:val="auto"/>
                <w:sz w:val="24"/>
                <w:highlight w:val="none"/>
              </w:rPr>
              <w:t>：固体废弃物，</w:t>
            </w:r>
            <w:r>
              <w:rPr>
                <w:b/>
                <w:color w:val="auto"/>
                <w:sz w:val="24"/>
                <w:highlight w:val="none"/>
              </w:rPr>
              <w:t>N</w:t>
            </w:r>
            <w:r>
              <w:rPr>
                <w:rFonts w:hAnsi="宋体"/>
                <w:b/>
                <w:color w:val="auto"/>
                <w:sz w:val="24"/>
                <w:highlight w:val="none"/>
              </w:rPr>
              <w:t>：噪声</w:t>
            </w:r>
            <w:r>
              <w:rPr>
                <w:b/>
                <w:color w:val="auto"/>
                <w:sz w:val="24"/>
                <w:highlight w:val="none"/>
              </w:rPr>
              <w:t>)</w:t>
            </w:r>
            <w:bookmarkEnd w:id="10"/>
          </w:p>
          <w:p w14:paraId="3BEFC95F">
            <w:pPr>
              <w:tabs>
                <w:tab w:val="left" w:pos="604"/>
              </w:tabs>
              <w:adjustRightInd w:val="0"/>
              <w:snapToGrid w:val="0"/>
              <w:spacing w:line="360" w:lineRule="auto"/>
              <w:ind w:left="465"/>
              <w:jc w:val="center"/>
              <w:rPr>
                <w:b/>
                <w:color w:val="auto"/>
                <w:sz w:val="24"/>
                <w:highlight w:val="none"/>
              </w:rPr>
            </w:pPr>
            <w:r>
              <w:rPr>
                <w:snapToGrid w:val="0"/>
                <w:color w:val="auto"/>
                <w:kern w:val="0"/>
                <w:szCs w:val="21"/>
                <w:highlight w:val="none"/>
              </w:rPr>
              <w:t xml:space="preserve">                                            </w:t>
            </w:r>
            <w:r>
              <w:rPr>
                <w:color w:val="auto"/>
                <w:highlight w:val="none"/>
              </w:rPr>
              <w:object>
                <v:shape id="_x0000_i1025" o:spt="75" type="#_x0000_t75" style="height:238.6pt;width:427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14:paraId="7D821B78">
            <w:pPr>
              <w:tabs>
                <w:tab w:val="left" w:pos="604"/>
              </w:tabs>
              <w:adjustRightInd w:val="0"/>
              <w:snapToGrid w:val="0"/>
              <w:spacing w:line="360" w:lineRule="auto"/>
              <w:ind w:left="840"/>
              <w:jc w:val="center"/>
              <w:rPr>
                <w:b/>
                <w:bCs/>
                <w:color w:val="auto"/>
                <w:sz w:val="24"/>
                <w:highlight w:val="none"/>
              </w:rPr>
            </w:pPr>
            <w:r>
              <w:rPr>
                <w:rFonts w:hAnsi="宋体"/>
                <w:b/>
                <w:bCs/>
                <w:color w:val="auto"/>
                <w:sz w:val="24"/>
                <w:highlight w:val="none"/>
              </w:rPr>
              <w:t>图</w:t>
            </w:r>
            <w:r>
              <w:rPr>
                <w:rFonts w:hint="eastAsia"/>
                <w:b/>
                <w:bCs/>
                <w:color w:val="auto"/>
                <w:sz w:val="24"/>
                <w:highlight w:val="none"/>
              </w:rPr>
              <w:t>2-8</w:t>
            </w:r>
            <w:r>
              <w:rPr>
                <w:b/>
                <w:bCs/>
                <w:color w:val="auto"/>
                <w:sz w:val="24"/>
                <w:highlight w:val="none"/>
              </w:rPr>
              <w:t xml:space="preserve">  </w:t>
            </w:r>
            <w:r>
              <w:rPr>
                <w:rFonts w:hAnsi="宋体"/>
                <w:b/>
                <w:bCs/>
                <w:color w:val="auto"/>
                <w:sz w:val="24"/>
                <w:highlight w:val="none"/>
              </w:rPr>
              <w:t>工艺流程及产污环节图</w:t>
            </w:r>
          </w:p>
          <w:p w14:paraId="1F319E3D">
            <w:pPr>
              <w:adjustRightInd w:val="0"/>
              <w:snapToGrid w:val="0"/>
              <w:spacing w:line="360" w:lineRule="auto"/>
              <w:ind w:firstLine="482" w:firstLineChars="200"/>
              <w:rPr>
                <w:rFonts w:hAnsi="宋体"/>
                <w:b/>
                <w:snapToGrid w:val="0"/>
                <w:color w:val="auto"/>
                <w:kern w:val="0"/>
                <w:sz w:val="24"/>
                <w:highlight w:val="none"/>
              </w:rPr>
            </w:pPr>
            <w:r>
              <w:rPr>
                <w:rFonts w:hAnsi="宋体"/>
                <w:b/>
                <w:snapToGrid w:val="0"/>
                <w:color w:val="auto"/>
                <w:kern w:val="0"/>
                <w:sz w:val="24"/>
                <w:highlight w:val="none"/>
              </w:rPr>
              <w:t>工艺流程说明</w:t>
            </w:r>
          </w:p>
          <w:p w14:paraId="594D5F92">
            <w:pPr>
              <w:adjustRightInd w:val="0"/>
              <w:snapToGrid w:val="0"/>
              <w:spacing w:line="360" w:lineRule="auto"/>
              <w:ind w:firstLine="482" w:firstLineChars="200"/>
              <w:rPr>
                <w:rFonts w:hAnsi="宋体"/>
                <w:b/>
                <w:snapToGrid w:val="0"/>
                <w:color w:val="auto"/>
                <w:kern w:val="0"/>
                <w:sz w:val="24"/>
                <w:highlight w:val="none"/>
              </w:rPr>
            </w:pPr>
            <w:r>
              <w:rPr>
                <w:rFonts w:hAnsi="宋体"/>
                <w:b/>
                <w:snapToGrid w:val="0"/>
                <w:color w:val="auto"/>
                <w:kern w:val="0"/>
                <w:sz w:val="24"/>
                <w:highlight w:val="none"/>
              </w:rPr>
              <w:t>定子线生产：</w:t>
            </w:r>
          </w:p>
          <w:p w14:paraId="00EBD3FB">
            <w:pPr>
              <w:adjustRightInd w:val="0"/>
              <w:snapToGrid w:val="0"/>
              <w:spacing w:line="360" w:lineRule="auto"/>
              <w:ind w:firstLine="480" w:firstLineChars="200"/>
              <w:rPr>
                <w:rFonts w:hAnsi="宋体"/>
                <w:bCs/>
                <w:snapToGrid w:val="0"/>
                <w:color w:val="auto"/>
                <w:kern w:val="0"/>
                <w:sz w:val="24"/>
                <w:highlight w:val="none"/>
              </w:rPr>
            </w:pPr>
            <w:r>
              <w:rPr>
                <w:rFonts w:hAnsi="宋体"/>
                <w:bCs/>
                <w:snapToGrid w:val="0"/>
                <w:color w:val="auto"/>
                <w:kern w:val="0"/>
                <w:sz w:val="24"/>
                <w:highlight w:val="none"/>
              </w:rPr>
              <w:t>绕线：首先利用骨支架安装机和绕线机将漆包线、线圈上下支架和分割铁芯进行绕线处理，该工序产生废铜线S1；</w:t>
            </w:r>
          </w:p>
          <w:p w14:paraId="65903121">
            <w:pPr>
              <w:adjustRightInd w:val="0"/>
              <w:snapToGrid w:val="0"/>
              <w:spacing w:line="360" w:lineRule="auto"/>
              <w:ind w:firstLine="480" w:firstLineChars="200"/>
              <w:rPr>
                <w:rFonts w:hAnsi="宋体"/>
                <w:bCs/>
                <w:snapToGrid w:val="0"/>
                <w:color w:val="auto"/>
                <w:kern w:val="0"/>
                <w:sz w:val="24"/>
                <w:highlight w:val="none"/>
              </w:rPr>
            </w:pPr>
            <w:r>
              <w:rPr>
                <w:rFonts w:hAnsi="宋体"/>
                <w:bCs/>
                <w:snapToGrid w:val="0"/>
                <w:color w:val="auto"/>
                <w:kern w:val="0"/>
                <w:sz w:val="24"/>
                <w:highlight w:val="none"/>
              </w:rPr>
              <w:t>分割铁芯、成圆热套：将铁芯与两头铜线整理后，利用成圆热套安装机将经电加热（温度</w:t>
            </w:r>
            <w:r>
              <w:rPr>
                <w:rFonts w:hint="eastAsia" w:hAnsi="宋体"/>
                <w:bCs/>
                <w:snapToGrid w:val="0"/>
                <w:color w:val="auto"/>
                <w:kern w:val="0"/>
                <w:sz w:val="24"/>
                <w:highlight w:val="none"/>
              </w:rPr>
              <w:t>225</w:t>
            </w:r>
            <w:r>
              <w:rPr>
                <w:rFonts w:hAnsi="宋体"/>
                <w:snapToGrid w:val="0"/>
                <w:color w:val="auto"/>
                <w:kern w:val="0"/>
                <w:sz w:val="24"/>
                <w:highlight w:val="none"/>
              </w:rPr>
              <w:t>℃</w:t>
            </w:r>
            <w:r>
              <w:rPr>
                <w:rFonts w:hAnsi="宋体"/>
                <w:bCs/>
                <w:snapToGrid w:val="0"/>
                <w:color w:val="auto"/>
                <w:kern w:val="0"/>
                <w:sz w:val="24"/>
                <w:highlight w:val="none"/>
              </w:rPr>
              <w:t>）后的内壳套入线圈；</w:t>
            </w:r>
          </w:p>
          <w:p w14:paraId="099A732A">
            <w:pPr>
              <w:adjustRightInd w:val="0"/>
              <w:snapToGrid w:val="0"/>
              <w:spacing w:line="360" w:lineRule="auto"/>
              <w:ind w:firstLine="480" w:firstLineChars="200"/>
              <w:rPr>
                <w:rFonts w:hAnsi="宋体"/>
                <w:bCs/>
                <w:snapToGrid w:val="0"/>
                <w:color w:val="auto"/>
                <w:kern w:val="0"/>
                <w:sz w:val="24"/>
                <w:highlight w:val="none"/>
              </w:rPr>
            </w:pPr>
            <w:r>
              <w:rPr>
                <w:rFonts w:hAnsi="宋体"/>
                <w:bCs/>
                <w:snapToGrid w:val="0"/>
                <w:color w:val="auto"/>
                <w:kern w:val="0"/>
                <w:sz w:val="24"/>
                <w:highlight w:val="none"/>
              </w:rPr>
              <w:t>电阻焊：利用电阻焊机将裸露铜线焊接到</w:t>
            </w:r>
            <w:r>
              <w:rPr>
                <w:rFonts w:hAnsi="宋体"/>
                <w:snapToGrid w:val="0"/>
                <w:color w:val="auto"/>
                <w:kern w:val="0"/>
                <w:sz w:val="24"/>
                <w:highlight w:val="none"/>
              </w:rPr>
              <w:t>铜叉子中，焊接时，电极对被焊接金属施压并通电，电流通过金属件紧贴的接触部位时，其电阻较大，发热并熔融接触点，在电极的压力作用下，接触点处焊为一体。电阻焊无需焊材，但有少量焊接烟尘G1产生，焊接烟尘经移动式焊接烟尘净化器处理后车间无组织排放</w:t>
            </w:r>
            <w:r>
              <w:rPr>
                <w:rFonts w:hAnsi="宋体"/>
                <w:bCs/>
                <w:snapToGrid w:val="0"/>
                <w:color w:val="auto"/>
                <w:kern w:val="0"/>
                <w:sz w:val="24"/>
                <w:highlight w:val="none"/>
              </w:rPr>
              <w:t>；</w:t>
            </w:r>
          </w:p>
          <w:p w14:paraId="0B20FF5D">
            <w:pPr>
              <w:adjustRightInd w:val="0"/>
              <w:snapToGrid w:val="0"/>
              <w:spacing w:line="360" w:lineRule="auto"/>
              <w:ind w:firstLine="480" w:firstLineChars="200"/>
              <w:rPr>
                <w:rFonts w:hAnsi="宋体"/>
                <w:bCs/>
                <w:snapToGrid w:val="0"/>
                <w:color w:val="auto"/>
                <w:kern w:val="0"/>
                <w:sz w:val="24"/>
                <w:highlight w:val="none"/>
              </w:rPr>
            </w:pPr>
            <w:r>
              <w:rPr>
                <w:rFonts w:hAnsi="宋体"/>
                <w:snapToGrid w:val="0"/>
                <w:color w:val="auto"/>
                <w:kern w:val="0"/>
                <w:sz w:val="24"/>
                <w:highlight w:val="none"/>
              </w:rPr>
              <w:t>点胶、安装分配环：在定子局部区域用点胶设备点滴环氧树脂</w:t>
            </w:r>
            <w:r>
              <w:rPr>
                <w:rFonts w:hAnsi="宋体"/>
                <w:bCs/>
                <w:snapToGrid w:val="0"/>
                <w:color w:val="auto"/>
                <w:kern w:val="0"/>
                <w:sz w:val="24"/>
                <w:highlight w:val="none"/>
              </w:rPr>
              <w:t>，点胶时间小于1min，再利用分配环点胶安装机进行分配环的安装，安装过程采用感应加热对胶水进行固化，固化时间1min，该工序产生有机废气G2和废胶S2，有机废气G2经收集后经UV光解氧化+活性炭吸附处理后，尾气通过排气筒FQ-1排放；</w:t>
            </w:r>
          </w:p>
          <w:p w14:paraId="7FD50A82">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整体注胶：将预热好的定子放入注胶设备当中进行整体注胶，注胶使用环氧树脂，注胶过程产生少量废胶S3和有机废气G3，注胶后的定子在隧道炉内进行固化</w:t>
            </w:r>
            <w:r>
              <w:rPr>
                <w:rFonts w:hint="eastAsia" w:hAnsi="宋体"/>
                <w:snapToGrid w:val="0"/>
                <w:color w:val="auto"/>
                <w:kern w:val="0"/>
                <w:sz w:val="24"/>
                <w:highlight w:val="none"/>
              </w:rPr>
              <w:t>（时间4小时，固化温度90</w:t>
            </w:r>
            <w:r>
              <w:rPr>
                <w:rFonts w:hAnsi="宋体"/>
                <w:snapToGrid w:val="0"/>
                <w:color w:val="auto"/>
                <w:kern w:val="0"/>
                <w:sz w:val="24"/>
                <w:highlight w:val="none"/>
              </w:rPr>
              <w:t>℃</w:t>
            </w:r>
            <w:r>
              <w:rPr>
                <w:rFonts w:hint="eastAsia" w:hAnsi="宋体"/>
                <w:snapToGrid w:val="0"/>
                <w:color w:val="auto"/>
                <w:kern w:val="0"/>
                <w:sz w:val="24"/>
                <w:highlight w:val="none"/>
              </w:rPr>
              <w:t>）</w:t>
            </w:r>
            <w:r>
              <w:rPr>
                <w:rFonts w:hAnsi="宋体"/>
                <w:snapToGrid w:val="0"/>
                <w:color w:val="auto"/>
                <w:kern w:val="0"/>
                <w:sz w:val="24"/>
                <w:highlight w:val="none"/>
              </w:rPr>
              <w:t>，该工序产生有机废气G4，有机废气G3与G4一并经</w:t>
            </w:r>
            <w:r>
              <w:rPr>
                <w:rFonts w:hAnsi="宋体"/>
                <w:bCs/>
                <w:snapToGrid w:val="0"/>
                <w:color w:val="auto"/>
                <w:kern w:val="0"/>
                <w:sz w:val="24"/>
                <w:highlight w:val="none"/>
              </w:rPr>
              <w:t>UV光解氧化+活性炭吸附处理后，尾气通过排气筒FQ-1排放</w:t>
            </w:r>
            <w:r>
              <w:rPr>
                <w:rFonts w:hAnsi="宋体"/>
                <w:snapToGrid w:val="0"/>
                <w:color w:val="auto"/>
                <w:kern w:val="0"/>
                <w:sz w:val="24"/>
                <w:highlight w:val="none"/>
              </w:rPr>
              <w:t>；</w:t>
            </w:r>
          </w:p>
          <w:p w14:paraId="40831EBD">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电气测试：固化后的定子经电气测试设备进行电阻、电流、电压等电气测试后，即为定子总成。</w:t>
            </w:r>
          </w:p>
          <w:p w14:paraId="60A1A10F">
            <w:pPr>
              <w:adjustRightInd w:val="0"/>
              <w:snapToGrid w:val="0"/>
              <w:spacing w:line="360" w:lineRule="auto"/>
              <w:ind w:firstLine="482" w:firstLineChars="200"/>
              <w:rPr>
                <w:rFonts w:hAnsi="宋体"/>
                <w:b/>
                <w:snapToGrid w:val="0"/>
                <w:color w:val="auto"/>
                <w:kern w:val="0"/>
                <w:sz w:val="24"/>
                <w:highlight w:val="none"/>
              </w:rPr>
            </w:pPr>
            <w:r>
              <w:rPr>
                <w:rFonts w:hAnsi="宋体"/>
                <w:b/>
                <w:snapToGrid w:val="0"/>
                <w:color w:val="auto"/>
                <w:kern w:val="0"/>
                <w:sz w:val="24"/>
                <w:highlight w:val="none"/>
              </w:rPr>
              <w:t>转子线生产：</w:t>
            </w:r>
          </w:p>
          <w:p w14:paraId="1ABA9623">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涂胶、磁钢安装、固化：利用点胶机将少量水性环氧树脂通过针头快速点滴至转子上，再利用磁钢机将磁钢装至转子上，该工序产生有机废气G5和少量废胶S4，点胶后工件放入烘箱中进行固化，固化温度约1</w:t>
            </w:r>
            <w:r>
              <w:rPr>
                <w:rFonts w:hint="eastAsia" w:hAnsi="宋体"/>
                <w:snapToGrid w:val="0"/>
                <w:color w:val="auto"/>
                <w:kern w:val="0"/>
                <w:sz w:val="24"/>
                <w:highlight w:val="none"/>
              </w:rPr>
              <w:t>6</w:t>
            </w:r>
            <w:r>
              <w:rPr>
                <w:rFonts w:hAnsi="宋体"/>
                <w:snapToGrid w:val="0"/>
                <w:color w:val="auto"/>
                <w:kern w:val="0"/>
                <w:sz w:val="24"/>
                <w:highlight w:val="none"/>
              </w:rPr>
              <w:t>0℃，时间</w:t>
            </w:r>
            <w:r>
              <w:rPr>
                <w:rFonts w:hint="eastAsia" w:hAnsi="宋体"/>
                <w:snapToGrid w:val="0"/>
                <w:color w:val="auto"/>
                <w:kern w:val="0"/>
                <w:sz w:val="24"/>
                <w:highlight w:val="none"/>
              </w:rPr>
              <w:t>120</w:t>
            </w:r>
            <w:r>
              <w:rPr>
                <w:rFonts w:hAnsi="宋体"/>
                <w:snapToGrid w:val="0"/>
                <w:color w:val="auto"/>
                <w:kern w:val="0"/>
                <w:sz w:val="24"/>
                <w:highlight w:val="none"/>
              </w:rPr>
              <w:t>min，固化工序产生有机废气G6，有机废气G5和G6经收集汇总进废气净化装置（UV光解氧化+活性炭吸附）处理，尾气通过排气筒FQ-1排放；</w:t>
            </w:r>
          </w:p>
          <w:p w14:paraId="0EBF8E6A">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动平衡测试、激光打标、包装：利用平衡块机对转子进行动平衡调试，再经激光打标后进入包装终检工序，检验合格的转子，打包待出售，检验不合格者返回生产线整修。</w:t>
            </w:r>
          </w:p>
          <w:p w14:paraId="4EB4DDD5">
            <w:pPr>
              <w:adjustRightInd w:val="0"/>
              <w:snapToGrid w:val="0"/>
              <w:spacing w:line="360" w:lineRule="auto"/>
              <w:rPr>
                <w:rFonts w:hAnsi="宋体"/>
                <w:snapToGrid w:val="0"/>
                <w:color w:val="auto"/>
                <w:kern w:val="0"/>
                <w:sz w:val="24"/>
                <w:highlight w:val="none"/>
              </w:rPr>
            </w:pPr>
            <w:r>
              <w:rPr>
                <w:rFonts w:hint="eastAsia" w:hAnsi="宋体"/>
                <w:b/>
                <w:bCs/>
                <w:snapToGrid w:val="0"/>
                <w:color w:val="auto"/>
                <w:kern w:val="0"/>
                <w:sz w:val="24"/>
                <w:highlight w:val="none"/>
              </w:rPr>
              <w:t>3</w:t>
            </w:r>
            <w:r>
              <w:rPr>
                <w:rFonts w:hAnsi="宋体"/>
                <w:b/>
                <w:bCs/>
                <w:snapToGrid w:val="0"/>
                <w:color w:val="auto"/>
                <w:kern w:val="0"/>
                <w:sz w:val="24"/>
                <w:highlight w:val="none"/>
              </w:rPr>
              <w:t>、现有项目污染物产生和排放情况</w:t>
            </w:r>
            <w:r>
              <w:rPr>
                <w:rFonts w:hAnsi="宋体"/>
                <w:snapToGrid w:val="0"/>
                <w:color w:val="auto"/>
                <w:kern w:val="0"/>
                <w:sz w:val="24"/>
                <w:highlight w:val="none"/>
              </w:rPr>
              <w:tab/>
            </w:r>
          </w:p>
          <w:p w14:paraId="181D30A9">
            <w:pPr>
              <w:adjustRightInd w:val="0"/>
              <w:snapToGrid w:val="0"/>
              <w:spacing w:line="360" w:lineRule="auto"/>
              <w:ind w:firstLine="482" w:firstLineChars="200"/>
              <w:rPr>
                <w:rFonts w:hAnsi="宋体"/>
                <w:b/>
                <w:snapToGrid w:val="0"/>
                <w:color w:val="auto"/>
                <w:kern w:val="0"/>
                <w:sz w:val="24"/>
                <w:highlight w:val="none"/>
              </w:rPr>
            </w:pPr>
            <w:r>
              <w:rPr>
                <w:rFonts w:hint="eastAsia" w:hAnsi="宋体"/>
                <w:b/>
                <w:snapToGrid w:val="0"/>
                <w:color w:val="auto"/>
                <w:kern w:val="0"/>
                <w:sz w:val="24"/>
                <w:highlight w:val="none"/>
              </w:rPr>
              <w:t>（1）</w:t>
            </w:r>
            <w:r>
              <w:rPr>
                <w:rFonts w:hAnsi="宋体"/>
                <w:b/>
                <w:snapToGrid w:val="0"/>
                <w:color w:val="auto"/>
                <w:kern w:val="0"/>
                <w:sz w:val="24"/>
                <w:highlight w:val="none"/>
              </w:rPr>
              <w:t>废气产生及排放情况</w:t>
            </w:r>
          </w:p>
          <w:p w14:paraId="6F4230FC">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现有项目环评中核定的大气污染物主要为</w:t>
            </w:r>
            <w:r>
              <w:rPr>
                <w:rFonts w:hAnsi="宋体"/>
                <w:snapToGrid w:val="0"/>
                <w:color w:val="auto"/>
                <w:kern w:val="0"/>
                <w:sz w:val="24"/>
                <w:highlight w:val="none"/>
              </w:rPr>
              <w:t>焊接工序产生的焊接烟尘和点胶、注胶、固化等工序产生的有机废气</w:t>
            </w:r>
            <w:r>
              <w:rPr>
                <w:rFonts w:hint="eastAsia" w:hAnsi="宋体"/>
                <w:snapToGrid w:val="0"/>
                <w:color w:val="auto"/>
                <w:kern w:val="0"/>
                <w:sz w:val="24"/>
                <w:highlight w:val="none"/>
              </w:rPr>
              <w:t>。其中</w:t>
            </w:r>
            <w:r>
              <w:rPr>
                <w:rFonts w:hAnsi="宋体"/>
                <w:snapToGrid w:val="0"/>
                <w:color w:val="auto"/>
                <w:kern w:val="0"/>
                <w:sz w:val="24"/>
                <w:highlight w:val="none"/>
              </w:rPr>
              <w:t>点胶、注胶、固化等工序产生的有机废气</w:t>
            </w:r>
            <w:r>
              <w:rPr>
                <w:rFonts w:hint="eastAsia" w:hAnsi="宋体"/>
                <w:snapToGrid w:val="0"/>
                <w:color w:val="auto"/>
                <w:kern w:val="0"/>
                <w:sz w:val="24"/>
                <w:highlight w:val="none"/>
              </w:rPr>
              <w:t>经收集后通过UV光解氧化+活性炭吸附装置处理后经15m高排气筒FQ-1排放，焊接烟尘经移动式焊烟净化器处理后车间通风排放。</w:t>
            </w:r>
            <w:r>
              <w:rPr>
                <w:color w:val="auto"/>
                <w:sz w:val="24"/>
                <w:highlight w:val="none"/>
              </w:rPr>
              <w:t>根据</w:t>
            </w:r>
            <w:r>
              <w:rPr>
                <w:rFonts w:hint="eastAsia"/>
                <w:color w:val="auto"/>
                <w:sz w:val="24"/>
                <w:highlight w:val="none"/>
              </w:rPr>
              <w:t>江苏迈斯特环境检测有限公司</w:t>
            </w:r>
            <w:r>
              <w:rPr>
                <w:snapToGrid w:val="0"/>
                <w:color w:val="auto"/>
                <w:sz w:val="24"/>
                <w:highlight w:val="none"/>
              </w:rPr>
              <w:t>20</w:t>
            </w:r>
            <w:r>
              <w:rPr>
                <w:rFonts w:hint="eastAsia"/>
                <w:snapToGrid w:val="0"/>
                <w:color w:val="auto"/>
                <w:sz w:val="24"/>
                <w:highlight w:val="none"/>
              </w:rPr>
              <w:t>20</w:t>
            </w:r>
            <w:r>
              <w:rPr>
                <w:snapToGrid w:val="0"/>
                <w:color w:val="auto"/>
                <w:sz w:val="24"/>
                <w:highlight w:val="none"/>
              </w:rPr>
              <w:t>年</w:t>
            </w:r>
            <w:r>
              <w:rPr>
                <w:rFonts w:hint="eastAsia"/>
                <w:snapToGrid w:val="0"/>
                <w:color w:val="auto"/>
                <w:sz w:val="24"/>
                <w:highlight w:val="none"/>
              </w:rPr>
              <w:t>8</w:t>
            </w:r>
            <w:r>
              <w:rPr>
                <w:snapToGrid w:val="0"/>
                <w:color w:val="auto"/>
                <w:sz w:val="24"/>
                <w:highlight w:val="none"/>
              </w:rPr>
              <w:t>月</w:t>
            </w:r>
            <w:r>
              <w:rPr>
                <w:rFonts w:hint="eastAsia"/>
                <w:snapToGrid w:val="0"/>
                <w:color w:val="auto"/>
                <w:sz w:val="24"/>
                <w:highlight w:val="none"/>
              </w:rPr>
              <w:t>21</w:t>
            </w:r>
            <w:r>
              <w:rPr>
                <w:snapToGrid w:val="0"/>
                <w:color w:val="auto"/>
                <w:sz w:val="24"/>
                <w:highlight w:val="none"/>
              </w:rPr>
              <w:t>日出具的现有项目的《“三同时”验收监测》</w:t>
            </w:r>
            <w:r>
              <w:rPr>
                <w:rFonts w:hint="eastAsia"/>
                <w:snapToGrid w:val="0"/>
                <w:color w:val="auto"/>
                <w:sz w:val="24"/>
                <w:highlight w:val="none"/>
              </w:rPr>
              <w:t>（MST20200806005</w:t>
            </w:r>
            <w:r>
              <w:rPr>
                <w:rFonts w:hint="eastAsia"/>
                <w:color w:val="auto"/>
                <w:sz w:val="24"/>
                <w:highlight w:val="none"/>
              </w:rPr>
              <w:t>），现有项目废气污染物产生情况见下表。</w:t>
            </w:r>
          </w:p>
          <w:p w14:paraId="3408C7B1">
            <w:pPr>
              <w:tabs>
                <w:tab w:val="center" w:pos="4776"/>
                <w:tab w:val="left" w:pos="7350"/>
              </w:tabs>
              <w:adjustRightInd w:val="0"/>
              <w:snapToGrid w:val="0"/>
              <w:jc w:val="center"/>
              <w:rPr>
                <w:b/>
                <w:color w:val="auto"/>
                <w:sz w:val="24"/>
                <w:highlight w:val="none"/>
              </w:rPr>
            </w:pPr>
            <w:r>
              <w:rPr>
                <w:rFonts w:hAnsi="宋体"/>
                <w:b/>
                <w:color w:val="auto"/>
                <w:sz w:val="24"/>
                <w:highlight w:val="none"/>
              </w:rPr>
              <w:t>表</w:t>
            </w:r>
            <w:r>
              <w:rPr>
                <w:rFonts w:hint="eastAsia"/>
                <w:b/>
                <w:color w:val="auto"/>
                <w:sz w:val="24"/>
                <w:highlight w:val="none"/>
              </w:rPr>
              <w:t>2-11</w:t>
            </w:r>
            <w:r>
              <w:rPr>
                <w:b/>
                <w:color w:val="auto"/>
                <w:sz w:val="24"/>
                <w:highlight w:val="none"/>
              </w:rPr>
              <w:t xml:space="preserve">  </w:t>
            </w:r>
            <w:r>
              <w:rPr>
                <w:rFonts w:hAnsi="宋体"/>
                <w:b/>
                <w:color w:val="auto"/>
                <w:sz w:val="24"/>
                <w:highlight w:val="none"/>
              </w:rPr>
              <w:t>有组织废气排放情况</w:t>
            </w:r>
          </w:p>
          <w:tbl>
            <w:tblPr>
              <w:tblStyle w:val="24"/>
              <w:tblW w:w="481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4"/>
              <w:gridCol w:w="608"/>
              <w:gridCol w:w="599"/>
              <w:gridCol w:w="920"/>
              <w:gridCol w:w="776"/>
              <w:gridCol w:w="875"/>
              <w:gridCol w:w="887"/>
              <w:gridCol w:w="758"/>
              <w:gridCol w:w="619"/>
              <w:gridCol w:w="525"/>
              <w:gridCol w:w="574"/>
              <w:gridCol w:w="497"/>
              <w:gridCol w:w="575"/>
            </w:tblGrid>
            <w:tr w14:paraId="56E73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pct"/>
                  <w:vMerge w:val="restart"/>
                  <w:tcBorders>
                    <w:top w:val="single" w:color="auto" w:sz="12" w:space="0"/>
                    <w:left w:val="nil"/>
                    <w:bottom w:val="single" w:color="auto" w:sz="4" w:space="0"/>
                    <w:right w:val="single" w:color="auto" w:sz="4" w:space="0"/>
                  </w:tcBorders>
                  <w:tcMar>
                    <w:top w:w="0" w:type="dxa"/>
                    <w:left w:w="0" w:type="dxa"/>
                    <w:bottom w:w="0" w:type="dxa"/>
                    <w:right w:w="0" w:type="dxa"/>
                  </w:tcMar>
                  <w:vAlign w:val="center"/>
                </w:tcPr>
                <w:p w14:paraId="65FD7799">
                  <w:pPr>
                    <w:widowControl/>
                    <w:adjustRightInd w:val="0"/>
                    <w:snapToGrid w:val="0"/>
                    <w:jc w:val="center"/>
                    <w:rPr>
                      <w:b/>
                      <w:color w:val="auto"/>
                      <w:kern w:val="0"/>
                      <w:szCs w:val="21"/>
                      <w:highlight w:val="none"/>
                    </w:rPr>
                  </w:pPr>
                  <w:r>
                    <w:rPr>
                      <w:rFonts w:hAnsi="宋体"/>
                      <w:b/>
                      <w:color w:val="auto"/>
                      <w:kern w:val="0"/>
                      <w:szCs w:val="21"/>
                      <w:highlight w:val="none"/>
                    </w:rPr>
                    <w:t>污染源</w:t>
                  </w:r>
                </w:p>
              </w:tc>
              <w:tc>
                <w:tcPr>
                  <w:tcW w:w="339" w:type="pct"/>
                  <w:vMerge w:val="restar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464FD7E2">
                  <w:pPr>
                    <w:widowControl/>
                    <w:adjustRightInd w:val="0"/>
                    <w:snapToGrid w:val="0"/>
                    <w:jc w:val="center"/>
                    <w:rPr>
                      <w:b/>
                      <w:color w:val="auto"/>
                      <w:kern w:val="0"/>
                      <w:szCs w:val="21"/>
                      <w:highlight w:val="none"/>
                    </w:rPr>
                  </w:pPr>
                  <w:r>
                    <w:rPr>
                      <w:rFonts w:hAnsi="宋体"/>
                      <w:b/>
                      <w:color w:val="auto"/>
                      <w:kern w:val="0"/>
                      <w:szCs w:val="21"/>
                      <w:highlight w:val="none"/>
                    </w:rPr>
                    <w:t>排气量</w:t>
                  </w:r>
                  <w:r>
                    <w:rPr>
                      <w:b/>
                      <w:color w:val="auto"/>
                      <w:kern w:val="0"/>
                      <w:szCs w:val="21"/>
                      <w:highlight w:val="none"/>
                    </w:rPr>
                    <w:t>m</w:t>
                  </w:r>
                  <w:r>
                    <w:rPr>
                      <w:b/>
                      <w:color w:val="auto"/>
                      <w:kern w:val="0"/>
                      <w:szCs w:val="21"/>
                      <w:highlight w:val="none"/>
                      <w:vertAlign w:val="superscript"/>
                    </w:rPr>
                    <w:t>3</w:t>
                  </w:r>
                  <w:r>
                    <w:rPr>
                      <w:b/>
                      <w:color w:val="auto"/>
                      <w:kern w:val="0"/>
                      <w:szCs w:val="21"/>
                      <w:highlight w:val="none"/>
                    </w:rPr>
                    <w:t>/h</w:t>
                  </w:r>
                </w:p>
              </w:tc>
              <w:tc>
                <w:tcPr>
                  <w:tcW w:w="334" w:type="pct"/>
                  <w:vMerge w:val="restar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4C0B4E1D">
                  <w:pPr>
                    <w:widowControl/>
                    <w:adjustRightInd w:val="0"/>
                    <w:snapToGrid w:val="0"/>
                    <w:jc w:val="center"/>
                    <w:rPr>
                      <w:b/>
                      <w:color w:val="auto"/>
                      <w:kern w:val="0"/>
                      <w:szCs w:val="21"/>
                      <w:highlight w:val="none"/>
                    </w:rPr>
                  </w:pPr>
                  <w:r>
                    <w:rPr>
                      <w:rFonts w:hAnsi="宋体"/>
                      <w:b/>
                      <w:color w:val="auto"/>
                      <w:kern w:val="0"/>
                      <w:szCs w:val="21"/>
                      <w:highlight w:val="none"/>
                    </w:rPr>
                    <w:t>污染物名称</w:t>
                  </w:r>
                </w:p>
              </w:tc>
              <w:tc>
                <w:tcPr>
                  <w:tcW w:w="513" w:type="pct"/>
                  <w:vMerge w:val="restar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29042912">
                  <w:pPr>
                    <w:widowControl/>
                    <w:adjustRightInd w:val="0"/>
                    <w:snapToGrid w:val="0"/>
                    <w:jc w:val="center"/>
                    <w:rPr>
                      <w:b/>
                      <w:color w:val="auto"/>
                      <w:kern w:val="0"/>
                      <w:szCs w:val="21"/>
                      <w:highlight w:val="none"/>
                    </w:rPr>
                  </w:pPr>
                  <w:r>
                    <w:rPr>
                      <w:rFonts w:hAnsi="宋体"/>
                      <w:b/>
                      <w:color w:val="auto"/>
                      <w:kern w:val="0"/>
                      <w:szCs w:val="21"/>
                      <w:highlight w:val="none"/>
                    </w:rPr>
                    <w:t>治理</w:t>
                  </w:r>
                </w:p>
                <w:p w14:paraId="74465DCD">
                  <w:pPr>
                    <w:widowControl/>
                    <w:adjustRightInd w:val="0"/>
                    <w:snapToGrid w:val="0"/>
                    <w:jc w:val="center"/>
                    <w:rPr>
                      <w:b/>
                      <w:color w:val="auto"/>
                      <w:kern w:val="0"/>
                      <w:szCs w:val="21"/>
                      <w:highlight w:val="none"/>
                    </w:rPr>
                  </w:pPr>
                  <w:r>
                    <w:rPr>
                      <w:rFonts w:hAnsi="宋体"/>
                      <w:b/>
                      <w:color w:val="auto"/>
                      <w:kern w:val="0"/>
                      <w:szCs w:val="21"/>
                      <w:highlight w:val="none"/>
                    </w:rPr>
                    <w:t>措施</w:t>
                  </w:r>
                </w:p>
              </w:tc>
              <w:tc>
                <w:tcPr>
                  <w:tcW w:w="1416" w:type="pct"/>
                  <w:gridSpan w:val="3"/>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4D0C5F73">
                  <w:pPr>
                    <w:widowControl/>
                    <w:adjustRightInd w:val="0"/>
                    <w:snapToGrid w:val="0"/>
                    <w:jc w:val="center"/>
                    <w:rPr>
                      <w:b/>
                      <w:color w:val="auto"/>
                      <w:kern w:val="0"/>
                      <w:szCs w:val="21"/>
                      <w:highlight w:val="none"/>
                    </w:rPr>
                  </w:pPr>
                  <w:r>
                    <w:rPr>
                      <w:rFonts w:hAnsi="宋体"/>
                      <w:b/>
                      <w:color w:val="auto"/>
                      <w:kern w:val="0"/>
                      <w:szCs w:val="21"/>
                      <w:highlight w:val="none"/>
                    </w:rPr>
                    <w:t>排放状况</w:t>
                  </w:r>
                </w:p>
              </w:tc>
              <w:tc>
                <w:tcPr>
                  <w:tcW w:w="768" w:type="pct"/>
                  <w:gridSpan w:val="2"/>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62C81F12">
                  <w:pPr>
                    <w:widowControl/>
                    <w:adjustRightInd w:val="0"/>
                    <w:snapToGrid w:val="0"/>
                    <w:jc w:val="center"/>
                    <w:rPr>
                      <w:b/>
                      <w:color w:val="auto"/>
                      <w:kern w:val="0"/>
                      <w:szCs w:val="21"/>
                      <w:highlight w:val="none"/>
                    </w:rPr>
                  </w:pPr>
                  <w:r>
                    <w:rPr>
                      <w:rFonts w:hAnsi="宋体"/>
                      <w:b/>
                      <w:color w:val="auto"/>
                      <w:kern w:val="0"/>
                      <w:szCs w:val="21"/>
                      <w:highlight w:val="none"/>
                    </w:rPr>
                    <w:t>执行标准</w:t>
                  </w:r>
                </w:p>
              </w:tc>
              <w:tc>
                <w:tcPr>
                  <w:tcW w:w="890" w:type="pct"/>
                  <w:gridSpan w:val="3"/>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39C204BD">
                  <w:pPr>
                    <w:widowControl/>
                    <w:adjustRightInd w:val="0"/>
                    <w:snapToGrid w:val="0"/>
                    <w:jc w:val="center"/>
                    <w:rPr>
                      <w:b/>
                      <w:color w:val="auto"/>
                      <w:kern w:val="0"/>
                      <w:szCs w:val="21"/>
                      <w:highlight w:val="none"/>
                    </w:rPr>
                  </w:pPr>
                  <w:r>
                    <w:rPr>
                      <w:rFonts w:hAnsi="宋体"/>
                      <w:b/>
                      <w:color w:val="auto"/>
                      <w:kern w:val="0"/>
                      <w:szCs w:val="21"/>
                      <w:highlight w:val="none"/>
                    </w:rPr>
                    <w:t>排放源参数</w:t>
                  </w:r>
                </w:p>
              </w:tc>
              <w:tc>
                <w:tcPr>
                  <w:tcW w:w="321" w:type="pct"/>
                  <w:vMerge w:val="restart"/>
                  <w:tcBorders>
                    <w:top w:val="single" w:color="auto" w:sz="12" w:space="0"/>
                    <w:left w:val="single" w:color="auto" w:sz="4" w:space="0"/>
                    <w:bottom w:val="single" w:color="auto" w:sz="4" w:space="0"/>
                    <w:right w:val="nil"/>
                  </w:tcBorders>
                  <w:tcMar>
                    <w:top w:w="0" w:type="dxa"/>
                    <w:left w:w="0" w:type="dxa"/>
                    <w:bottom w:w="0" w:type="dxa"/>
                    <w:right w:w="0" w:type="dxa"/>
                  </w:tcMar>
                  <w:vAlign w:val="center"/>
                </w:tcPr>
                <w:p w14:paraId="4C5B7EC9">
                  <w:pPr>
                    <w:widowControl/>
                    <w:adjustRightInd w:val="0"/>
                    <w:snapToGrid w:val="0"/>
                    <w:jc w:val="center"/>
                    <w:rPr>
                      <w:b/>
                      <w:color w:val="auto"/>
                      <w:kern w:val="0"/>
                      <w:szCs w:val="21"/>
                      <w:highlight w:val="none"/>
                    </w:rPr>
                  </w:pPr>
                  <w:r>
                    <w:rPr>
                      <w:rFonts w:hAnsi="宋体"/>
                      <w:b/>
                      <w:color w:val="auto"/>
                      <w:kern w:val="0"/>
                      <w:szCs w:val="21"/>
                      <w:highlight w:val="none"/>
                    </w:rPr>
                    <w:t>处理效果</w:t>
                  </w:r>
                </w:p>
              </w:tc>
            </w:tr>
            <w:tr w14:paraId="553F0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pct"/>
                  <w:vMerge w:val="continue"/>
                  <w:tcBorders>
                    <w:top w:val="single" w:color="auto" w:sz="12" w:space="0"/>
                    <w:left w:val="nil"/>
                    <w:bottom w:val="single" w:color="auto" w:sz="4" w:space="0"/>
                    <w:right w:val="single" w:color="auto" w:sz="4" w:space="0"/>
                  </w:tcBorders>
                  <w:vAlign w:val="center"/>
                </w:tcPr>
                <w:p w14:paraId="3EEFC608">
                  <w:pPr>
                    <w:widowControl/>
                    <w:jc w:val="left"/>
                    <w:rPr>
                      <w:b/>
                      <w:color w:val="auto"/>
                      <w:kern w:val="0"/>
                      <w:szCs w:val="21"/>
                      <w:highlight w:val="none"/>
                    </w:rPr>
                  </w:pPr>
                </w:p>
              </w:tc>
              <w:tc>
                <w:tcPr>
                  <w:tcW w:w="339" w:type="pct"/>
                  <w:vMerge w:val="continue"/>
                  <w:tcBorders>
                    <w:top w:val="single" w:color="auto" w:sz="12" w:space="0"/>
                    <w:left w:val="single" w:color="auto" w:sz="4" w:space="0"/>
                    <w:bottom w:val="single" w:color="auto" w:sz="4" w:space="0"/>
                    <w:right w:val="single" w:color="auto" w:sz="4" w:space="0"/>
                  </w:tcBorders>
                  <w:vAlign w:val="center"/>
                </w:tcPr>
                <w:p w14:paraId="573C5830">
                  <w:pPr>
                    <w:widowControl/>
                    <w:jc w:val="left"/>
                    <w:rPr>
                      <w:b/>
                      <w:color w:val="auto"/>
                      <w:kern w:val="0"/>
                      <w:szCs w:val="21"/>
                      <w:highlight w:val="none"/>
                    </w:rPr>
                  </w:pPr>
                </w:p>
              </w:tc>
              <w:tc>
                <w:tcPr>
                  <w:tcW w:w="334" w:type="pct"/>
                  <w:vMerge w:val="continue"/>
                  <w:tcBorders>
                    <w:top w:val="single" w:color="auto" w:sz="12" w:space="0"/>
                    <w:left w:val="single" w:color="auto" w:sz="4" w:space="0"/>
                    <w:bottom w:val="single" w:color="auto" w:sz="4" w:space="0"/>
                    <w:right w:val="single" w:color="auto" w:sz="4" w:space="0"/>
                  </w:tcBorders>
                  <w:vAlign w:val="center"/>
                </w:tcPr>
                <w:p w14:paraId="55172663">
                  <w:pPr>
                    <w:widowControl/>
                    <w:jc w:val="left"/>
                    <w:rPr>
                      <w:b/>
                      <w:color w:val="auto"/>
                      <w:kern w:val="0"/>
                      <w:szCs w:val="21"/>
                      <w:highlight w:val="none"/>
                    </w:rPr>
                  </w:pPr>
                </w:p>
              </w:tc>
              <w:tc>
                <w:tcPr>
                  <w:tcW w:w="513" w:type="pct"/>
                  <w:vMerge w:val="continue"/>
                  <w:tcBorders>
                    <w:top w:val="single" w:color="auto" w:sz="12" w:space="0"/>
                    <w:left w:val="single" w:color="auto" w:sz="4" w:space="0"/>
                    <w:bottom w:val="single" w:color="auto" w:sz="4" w:space="0"/>
                    <w:right w:val="single" w:color="auto" w:sz="4" w:space="0"/>
                  </w:tcBorders>
                  <w:vAlign w:val="center"/>
                </w:tcPr>
                <w:p w14:paraId="6F484B43">
                  <w:pPr>
                    <w:widowControl/>
                    <w:jc w:val="left"/>
                    <w:rPr>
                      <w:b/>
                      <w:color w:val="auto"/>
                      <w:kern w:val="0"/>
                      <w:szCs w:val="21"/>
                      <w:highlight w:val="none"/>
                    </w:rPr>
                  </w:pPr>
                </w:p>
              </w:tc>
              <w:tc>
                <w:tcPr>
                  <w:tcW w:w="43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13B2F17">
                  <w:pPr>
                    <w:widowControl/>
                    <w:adjustRightInd w:val="0"/>
                    <w:snapToGrid w:val="0"/>
                    <w:jc w:val="center"/>
                    <w:rPr>
                      <w:b/>
                      <w:color w:val="auto"/>
                      <w:kern w:val="0"/>
                      <w:szCs w:val="21"/>
                      <w:highlight w:val="none"/>
                    </w:rPr>
                  </w:pPr>
                  <w:r>
                    <w:rPr>
                      <w:rFonts w:hAnsi="宋体"/>
                      <w:b/>
                      <w:color w:val="auto"/>
                      <w:kern w:val="0"/>
                      <w:szCs w:val="21"/>
                      <w:highlight w:val="none"/>
                    </w:rPr>
                    <w:t>浓度</w:t>
                  </w:r>
                </w:p>
                <w:p w14:paraId="76A7ECE0">
                  <w:pPr>
                    <w:widowControl/>
                    <w:adjustRightInd w:val="0"/>
                    <w:snapToGrid w:val="0"/>
                    <w:jc w:val="center"/>
                    <w:rPr>
                      <w:b/>
                      <w:color w:val="auto"/>
                      <w:kern w:val="0"/>
                      <w:szCs w:val="21"/>
                      <w:highlight w:val="none"/>
                    </w:rPr>
                  </w:pPr>
                  <w:r>
                    <w:rPr>
                      <w:b/>
                      <w:color w:val="auto"/>
                      <w:kern w:val="0"/>
                      <w:szCs w:val="21"/>
                      <w:highlight w:val="none"/>
                    </w:rPr>
                    <w:t>mg/m</w:t>
                  </w:r>
                  <w:r>
                    <w:rPr>
                      <w:b/>
                      <w:color w:val="auto"/>
                      <w:kern w:val="0"/>
                      <w:szCs w:val="21"/>
                      <w:highlight w:val="none"/>
                      <w:vertAlign w:val="superscript"/>
                    </w:rPr>
                    <w:t>3</w:t>
                  </w:r>
                </w:p>
              </w:tc>
              <w:tc>
                <w:tcPr>
                  <w:tcW w:w="4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C377965">
                  <w:pPr>
                    <w:widowControl/>
                    <w:adjustRightInd w:val="0"/>
                    <w:snapToGrid w:val="0"/>
                    <w:jc w:val="center"/>
                    <w:rPr>
                      <w:b/>
                      <w:color w:val="auto"/>
                      <w:kern w:val="0"/>
                      <w:szCs w:val="21"/>
                      <w:highlight w:val="none"/>
                    </w:rPr>
                  </w:pPr>
                  <w:r>
                    <w:rPr>
                      <w:rFonts w:hAnsi="宋体"/>
                      <w:b/>
                      <w:color w:val="auto"/>
                      <w:kern w:val="0"/>
                      <w:szCs w:val="21"/>
                      <w:highlight w:val="none"/>
                    </w:rPr>
                    <w:t>速率</w:t>
                  </w:r>
                </w:p>
                <w:p w14:paraId="0B72A37C">
                  <w:pPr>
                    <w:widowControl/>
                    <w:adjustRightInd w:val="0"/>
                    <w:snapToGrid w:val="0"/>
                    <w:jc w:val="center"/>
                    <w:rPr>
                      <w:b/>
                      <w:color w:val="auto"/>
                      <w:kern w:val="0"/>
                      <w:szCs w:val="21"/>
                      <w:highlight w:val="none"/>
                    </w:rPr>
                  </w:pPr>
                  <w:r>
                    <w:rPr>
                      <w:b/>
                      <w:color w:val="auto"/>
                      <w:kern w:val="0"/>
                      <w:szCs w:val="21"/>
                      <w:highlight w:val="none"/>
                    </w:rPr>
                    <w:t>kg/h</w:t>
                  </w:r>
                </w:p>
              </w:tc>
              <w:tc>
                <w:tcPr>
                  <w:tcW w:w="4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C48BB9B">
                  <w:pPr>
                    <w:widowControl/>
                    <w:adjustRightInd w:val="0"/>
                    <w:snapToGrid w:val="0"/>
                    <w:jc w:val="center"/>
                    <w:rPr>
                      <w:b/>
                      <w:color w:val="auto"/>
                      <w:kern w:val="0"/>
                      <w:szCs w:val="21"/>
                      <w:highlight w:val="none"/>
                    </w:rPr>
                  </w:pPr>
                  <w:r>
                    <w:rPr>
                      <w:rFonts w:hAnsi="宋体"/>
                      <w:b/>
                      <w:color w:val="auto"/>
                      <w:kern w:val="0"/>
                      <w:szCs w:val="21"/>
                      <w:highlight w:val="none"/>
                    </w:rPr>
                    <w:t>排放</w:t>
                  </w:r>
                </w:p>
                <w:p w14:paraId="5E5D0131">
                  <w:pPr>
                    <w:widowControl/>
                    <w:adjustRightInd w:val="0"/>
                    <w:snapToGrid w:val="0"/>
                    <w:jc w:val="center"/>
                    <w:rPr>
                      <w:b/>
                      <w:color w:val="auto"/>
                      <w:kern w:val="0"/>
                      <w:szCs w:val="21"/>
                      <w:highlight w:val="none"/>
                    </w:rPr>
                  </w:pPr>
                  <w:r>
                    <w:rPr>
                      <w:rFonts w:hAnsi="宋体"/>
                      <w:b/>
                      <w:color w:val="auto"/>
                      <w:kern w:val="0"/>
                      <w:szCs w:val="21"/>
                      <w:highlight w:val="none"/>
                    </w:rPr>
                    <w:t>量</w:t>
                  </w:r>
                  <w:r>
                    <w:rPr>
                      <w:b/>
                      <w:color w:val="auto"/>
                      <w:kern w:val="0"/>
                      <w:szCs w:val="21"/>
                      <w:highlight w:val="none"/>
                    </w:rPr>
                    <w:t>t/a</w:t>
                  </w:r>
                </w:p>
              </w:tc>
              <w:tc>
                <w:tcPr>
                  <w:tcW w:w="4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FF6591C">
                  <w:pPr>
                    <w:widowControl/>
                    <w:adjustRightInd w:val="0"/>
                    <w:snapToGrid w:val="0"/>
                    <w:jc w:val="center"/>
                    <w:rPr>
                      <w:b/>
                      <w:color w:val="auto"/>
                      <w:kern w:val="0"/>
                      <w:szCs w:val="21"/>
                      <w:highlight w:val="none"/>
                    </w:rPr>
                  </w:pPr>
                  <w:r>
                    <w:rPr>
                      <w:rFonts w:hAnsi="宋体"/>
                      <w:b/>
                      <w:color w:val="auto"/>
                      <w:kern w:val="0"/>
                      <w:szCs w:val="21"/>
                      <w:highlight w:val="none"/>
                    </w:rPr>
                    <w:t>浓度</w:t>
                  </w:r>
                </w:p>
                <w:p w14:paraId="684E3440">
                  <w:pPr>
                    <w:widowControl/>
                    <w:adjustRightInd w:val="0"/>
                    <w:snapToGrid w:val="0"/>
                    <w:jc w:val="center"/>
                    <w:rPr>
                      <w:b/>
                      <w:color w:val="auto"/>
                      <w:kern w:val="0"/>
                      <w:szCs w:val="21"/>
                      <w:highlight w:val="none"/>
                    </w:rPr>
                  </w:pPr>
                  <w:r>
                    <w:rPr>
                      <w:b/>
                      <w:color w:val="auto"/>
                      <w:kern w:val="0"/>
                      <w:szCs w:val="21"/>
                      <w:highlight w:val="none"/>
                    </w:rPr>
                    <w:t>mg/m</w:t>
                  </w:r>
                  <w:r>
                    <w:rPr>
                      <w:b/>
                      <w:color w:val="auto"/>
                      <w:kern w:val="0"/>
                      <w:szCs w:val="21"/>
                      <w:highlight w:val="none"/>
                      <w:vertAlign w:val="superscript"/>
                    </w:rPr>
                    <w:t>3</w:t>
                  </w:r>
                </w:p>
              </w:tc>
              <w:tc>
                <w:tcPr>
                  <w:tcW w:w="34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F0484EF">
                  <w:pPr>
                    <w:widowControl/>
                    <w:adjustRightInd w:val="0"/>
                    <w:snapToGrid w:val="0"/>
                    <w:jc w:val="center"/>
                    <w:rPr>
                      <w:b/>
                      <w:color w:val="auto"/>
                      <w:kern w:val="0"/>
                      <w:szCs w:val="21"/>
                      <w:highlight w:val="none"/>
                    </w:rPr>
                  </w:pPr>
                  <w:r>
                    <w:rPr>
                      <w:rFonts w:hAnsi="宋体"/>
                      <w:b/>
                      <w:color w:val="auto"/>
                      <w:kern w:val="0"/>
                      <w:szCs w:val="21"/>
                      <w:highlight w:val="none"/>
                    </w:rPr>
                    <w:t>速率</w:t>
                  </w:r>
                </w:p>
                <w:p w14:paraId="4AED911E">
                  <w:pPr>
                    <w:widowControl/>
                    <w:adjustRightInd w:val="0"/>
                    <w:snapToGrid w:val="0"/>
                    <w:jc w:val="center"/>
                    <w:rPr>
                      <w:b/>
                      <w:color w:val="auto"/>
                      <w:kern w:val="0"/>
                      <w:szCs w:val="21"/>
                      <w:highlight w:val="none"/>
                    </w:rPr>
                  </w:pPr>
                  <w:r>
                    <w:rPr>
                      <w:b/>
                      <w:color w:val="auto"/>
                      <w:kern w:val="0"/>
                      <w:szCs w:val="21"/>
                      <w:highlight w:val="none"/>
                    </w:rPr>
                    <w:t>kg/h</w:t>
                  </w:r>
                </w:p>
              </w:tc>
              <w:tc>
                <w:tcPr>
                  <w:tcW w:w="29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2A498F7">
                  <w:pPr>
                    <w:widowControl/>
                    <w:adjustRightInd w:val="0"/>
                    <w:snapToGrid w:val="0"/>
                    <w:jc w:val="center"/>
                    <w:rPr>
                      <w:b/>
                      <w:color w:val="auto"/>
                      <w:kern w:val="0"/>
                      <w:szCs w:val="21"/>
                      <w:highlight w:val="none"/>
                    </w:rPr>
                  </w:pPr>
                  <w:r>
                    <w:rPr>
                      <w:rFonts w:hAnsi="宋体"/>
                      <w:b/>
                      <w:color w:val="auto"/>
                      <w:kern w:val="0"/>
                      <w:szCs w:val="21"/>
                      <w:highlight w:val="none"/>
                    </w:rPr>
                    <w:t>高度</w:t>
                  </w:r>
                </w:p>
                <w:p w14:paraId="21EF612B">
                  <w:pPr>
                    <w:widowControl/>
                    <w:adjustRightInd w:val="0"/>
                    <w:snapToGrid w:val="0"/>
                    <w:jc w:val="center"/>
                    <w:rPr>
                      <w:b/>
                      <w:color w:val="auto"/>
                      <w:kern w:val="0"/>
                      <w:szCs w:val="21"/>
                      <w:highlight w:val="none"/>
                    </w:rPr>
                  </w:pPr>
                  <w:r>
                    <w:rPr>
                      <w:b/>
                      <w:color w:val="auto"/>
                      <w:kern w:val="0"/>
                      <w:szCs w:val="21"/>
                      <w:highlight w:val="none"/>
                    </w:rPr>
                    <w:t>m</w:t>
                  </w:r>
                </w:p>
              </w:tc>
              <w:tc>
                <w:tcPr>
                  <w:tcW w:w="32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5340CA4">
                  <w:pPr>
                    <w:widowControl/>
                    <w:adjustRightInd w:val="0"/>
                    <w:snapToGrid w:val="0"/>
                    <w:jc w:val="center"/>
                    <w:rPr>
                      <w:b/>
                      <w:color w:val="auto"/>
                      <w:kern w:val="0"/>
                      <w:szCs w:val="21"/>
                      <w:highlight w:val="none"/>
                    </w:rPr>
                  </w:pPr>
                  <w:r>
                    <w:rPr>
                      <w:rFonts w:hAnsi="宋体"/>
                      <w:b/>
                      <w:color w:val="auto"/>
                      <w:kern w:val="0"/>
                      <w:szCs w:val="21"/>
                      <w:highlight w:val="none"/>
                    </w:rPr>
                    <w:t>直径</w:t>
                  </w:r>
                </w:p>
                <w:p w14:paraId="5528DA7E">
                  <w:pPr>
                    <w:widowControl/>
                    <w:adjustRightInd w:val="0"/>
                    <w:snapToGrid w:val="0"/>
                    <w:jc w:val="center"/>
                    <w:rPr>
                      <w:b/>
                      <w:color w:val="auto"/>
                      <w:kern w:val="0"/>
                      <w:szCs w:val="21"/>
                      <w:highlight w:val="none"/>
                    </w:rPr>
                  </w:pPr>
                  <w:r>
                    <w:rPr>
                      <w:b/>
                      <w:color w:val="auto"/>
                      <w:kern w:val="0"/>
                      <w:szCs w:val="21"/>
                      <w:highlight w:val="none"/>
                    </w:rPr>
                    <w:t>m</w:t>
                  </w:r>
                </w:p>
              </w:tc>
              <w:tc>
                <w:tcPr>
                  <w:tcW w:w="27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0BE3A4F">
                  <w:pPr>
                    <w:widowControl/>
                    <w:adjustRightInd w:val="0"/>
                    <w:snapToGrid w:val="0"/>
                    <w:jc w:val="center"/>
                    <w:rPr>
                      <w:b/>
                      <w:color w:val="auto"/>
                      <w:kern w:val="0"/>
                      <w:szCs w:val="21"/>
                      <w:highlight w:val="none"/>
                    </w:rPr>
                  </w:pPr>
                  <w:r>
                    <w:rPr>
                      <w:rFonts w:hAnsi="宋体"/>
                      <w:b/>
                      <w:color w:val="auto"/>
                      <w:kern w:val="0"/>
                      <w:szCs w:val="21"/>
                      <w:highlight w:val="none"/>
                    </w:rPr>
                    <w:t>编号</w:t>
                  </w:r>
                </w:p>
              </w:tc>
              <w:tc>
                <w:tcPr>
                  <w:tcW w:w="321" w:type="pct"/>
                  <w:vMerge w:val="continue"/>
                  <w:tcBorders>
                    <w:top w:val="single" w:color="auto" w:sz="12" w:space="0"/>
                    <w:left w:val="single" w:color="auto" w:sz="4" w:space="0"/>
                    <w:bottom w:val="single" w:color="auto" w:sz="4" w:space="0"/>
                    <w:right w:val="nil"/>
                  </w:tcBorders>
                  <w:vAlign w:val="center"/>
                </w:tcPr>
                <w:p w14:paraId="601C53DF">
                  <w:pPr>
                    <w:widowControl/>
                    <w:jc w:val="left"/>
                    <w:rPr>
                      <w:b/>
                      <w:color w:val="auto"/>
                      <w:kern w:val="0"/>
                      <w:szCs w:val="21"/>
                      <w:highlight w:val="none"/>
                    </w:rPr>
                  </w:pPr>
                </w:p>
              </w:tc>
            </w:tr>
            <w:tr w14:paraId="233AA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415" w:type="pct"/>
                  <w:tcBorders>
                    <w:top w:val="single" w:color="auto" w:sz="4" w:space="0"/>
                    <w:left w:val="nil"/>
                    <w:bottom w:val="single" w:color="auto" w:sz="12" w:space="0"/>
                    <w:right w:val="single" w:color="auto" w:sz="4" w:space="0"/>
                  </w:tcBorders>
                  <w:tcMar>
                    <w:top w:w="0" w:type="dxa"/>
                    <w:left w:w="0" w:type="dxa"/>
                    <w:bottom w:w="0" w:type="dxa"/>
                    <w:right w:w="0" w:type="dxa"/>
                  </w:tcMar>
                  <w:vAlign w:val="center"/>
                </w:tcPr>
                <w:p w14:paraId="7B51DDFD">
                  <w:pPr>
                    <w:widowControl/>
                    <w:adjustRightInd w:val="0"/>
                    <w:snapToGrid w:val="0"/>
                    <w:jc w:val="center"/>
                    <w:rPr>
                      <w:color w:val="auto"/>
                      <w:kern w:val="0"/>
                      <w:szCs w:val="21"/>
                      <w:highlight w:val="none"/>
                    </w:rPr>
                  </w:pPr>
                  <w:r>
                    <w:rPr>
                      <w:rFonts w:hAnsi="宋体"/>
                      <w:color w:val="auto"/>
                      <w:kern w:val="0"/>
                      <w:szCs w:val="21"/>
                      <w:highlight w:val="none"/>
                    </w:rPr>
                    <w:t>点胶、注胶、固化等工序</w:t>
                  </w:r>
                </w:p>
              </w:tc>
              <w:tc>
                <w:tcPr>
                  <w:tcW w:w="339"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04FF69CA">
                  <w:pPr>
                    <w:widowControl/>
                    <w:adjustRightInd w:val="0"/>
                    <w:snapToGrid w:val="0"/>
                    <w:jc w:val="center"/>
                    <w:rPr>
                      <w:color w:val="auto"/>
                      <w:kern w:val="0"/>
                      <w:szCs w:val="21"/>
                      <w:highlight w:val="none"/>
                    </w:rPr>
                  </w:pPr>
                  <w:r>
                    <w:rPr>
                      <w:rFonts w:hint="eastAsia"/>
                      <w:color w:val="auto"/>
                      <w:kern w:val="0"/>
                      <w:szCs w:val="21"/>
                      <w:highlight w:val="none"/>
                    </w:rPr>
                    <w:t>4</w:t>
                  </w:r>
                  <w:r>
                    <w:rPr>
                      <w:color w:val="auto"/>
                      <w:kern w:val="0"/>
                      <w:szCs w:val="21"/>
                      <w:highlight w:val="none"/>
                    </w:rPr>
                    <w:t>000</w:t>
                  </w:r>
                </w:p>
              </w:tc>
              <w:tc>
                <w:tcPr>
                  <w:tcW w:w="334"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7D205ED4">
                  <w:pPr>
                    <w:pStyle w:val="95"/>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VOCs</w:t>
                  </w:r>
                </w:p>
              </w:tc>
              <w:tc>
                <w:tcPr>
                  <w:tcW w:w="513"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529849C4">
                  <w:pPr>
                    <w:widowControl/>
                    <w:adjustRightInd w:val="0"/>
                    <w:snapToGrid w:val="0"/>
                    <w:jc w:val="center"/>
                    <w:rPr>
                      <w:color w:val="auto"/>
                      <w:kern w:val="0"/>
                      <w:szCs w:val="21"/>
                      <w:highlight w:val="none"/>
                    </w:rPr>
                  </w:pPr>
                  <w:r>
                    <w:rPr>
                      <w:color w:val="auto"/>
                      <w:kern w:val="0"/>
                      <w:szCs w:val="21"/>
                      <w:highlight w:val="none"/>
                    </w:rPr>
                    <w:t>UV</w:t>
                  </w:r>
                  <w:r>
                    <w:rPr>
                      <w:rFonts w:hAnsi="宋体"/>
                      <w:color w:val="auto"/>
                      <w:kern w:val="0"/>
                      <w:szCs w:val="21"/>
                      <w:highlight w:val="none"/>
                    </w:rPr>
                    <w:t>光解氧化</w:t>
                  </w:r>
                  <w:r>
                    <w:rPr>
                      <w:color w:val="auto"/>
                      <w:kern w:val="0"/>
                      <w:szCs w:val="21"/>
                      <w:highlight w:val="none"/>
                    </w:rPr>
                    <w:t>+</w:t>
                  </w:r>
                  <w:r>
                    <w:rPr>
                      <w:rFonts w:hAnsi="宋体"/>
                      <w:color w:val="auto"/>
                      <w:kern w:val="0"/>
                      <w:szCs w:val="21"/>
                      <w:highlight w:val="none"/>
                    </w:rPr>
                    <w:t>活性炭吸附</w:t>
                  </w:r>
                </w:p>
              </w:tc>
              <w:tc>
                <w:tcPr>
                  <w:tcW w:w="433"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6C6D3937">
                  <w:pPr>
                    <w:jc w:val="center"/>
                    <w:rPr>
                      <w:color w:val="auto"/>
                      <w:kern w:val="0"/>
                      <w:szCs w:val="21"/>
                      <w:highlight w:val="none"/>
                    </w:rPr>
                  </w:pPr>
                  <w:r>
                    <w:rPr>
                      <w:rFonts w:hint="eastAsia"/>
                      <w:color w:val="auto"/>
                      <w:kern w:val="0"/>
                      <w:szCs w:val="21"/>
                      <w:highlight w:val="none"/>
                    </w:rPr>
                    <w:t>0.972</w:t>
                  </w:r>
                </w:p>
              </w:tc>
              <w:tc>
                <w:tcPr>
                  <w:tcW w:w="488"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025D457B">
                  <w:pPr>
                    <w:jc w:val="center"/>
                    <w:rPr>
                      <w:color w:val="auto"/>
                      <w:kern w:val="0"/>
                      <w:szCs w:val="21"/>
                      <w:highlight w:val="none"/>
                    </w:rPr>
                  </w:pPr>
                  <w:r>
                    <w:rPr>
                      <w:color w:val="auto"/>
                      <w:kern w:val="0"/>
                      <w:szCs w:val="21"/>
                      <w:highlight w:val="none"/>
                    </w:rPr>
                    <w:t>0.00</w:t>
                  </w:r>
                  <w:r>
                    <w:rPr>
                      <w:rFonts w:hint="eastAsia"/>
                      <w:color w:val="auto"/>
                      <w:kern w:val="0"/>
                      <w:szCs w:val="21"/>
                      <w:highlight w:val="none"/>
                    </w:rPr>
                    <w:t>37</w:t>
                  </w:r>
                </w:p>
              </w:tc>
              <w:tc>
                <w:tcPr>
                  <w:tcW w:w="495"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7D6485DE">
                  <w:pPr>
                    <w:widowControl/>
                    <w:adjustRightInd w:val="0"/>
                    <w:snapToGrid w:val="0"/>
                    <w:jc w:val="center"/>
                    <w:rPr>
                      <w:color w:val="auto"/>
                      <w:kern w:val="0"/>
                      <w:szCs w:val="21"/>
                      <w:highlight w:val="none"/>
                    </w:rPr>
                  </w:pPr>
                  <w:r>
                    <w:rPr>
                      <w:color w:val="auto"/>
                      <w:kern w:val="0"/>
                      <w:szCs w:val="21"/>
                      <w:highlight w:val="none"/>
                    </w:rPr>
                    <w:t>0.0</w:t>
                  </w:r>
                  <w:r>
                    <w:rPr>
                      <w:rFonts w:hint="eastAsia"/>
                      <w:color w:val="auto"/>
                      <w:kern w:val="0"/>
                      <w:szCs w:val="21"/>
                      <w:highlight w:val="none"/>
                    </w:rPr>
                    <w:t>133</w:t>
                  </w:r>
                </w:p>
              </w:tc>
              <w:tc>
                <w:tcPr>
                  <w:tcW w:w="423"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119A2DB5">
                  <w:pPr>
                    <w:widowControl/>
                    <w:adjustRightInd w:val="0"/>
                    <w:snapToGrid w:val="0"/>
                    <w:jc w:val="center"/>
                    <w:rPr>
                      <w:color w:val="auto"/>
                      <w:kern w:val="0"/>
                      <w:szCs w:val="21"/>
                      <w:highlight w:val="none"/>
                    </w:rPr>
                  </w:pPr>
                  <w:r>
                    <w:rPr>
                      <w:color w:val="auto"/>
                      <w:kern w:val="0"/>
                      <w:szCs w:val="21"/>
                      <w:highlight w:val="none"/>
                    </w:rPr>
                    <w:t>80</w:t>
                  </w:r>
                </w:p>
              </w:tc>
              <w:tc>
                <w:tcPr>
                  <w:tcW w:w="344"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1EDB8C9E">
                  <w:pPr>
                    <w:widowControl/>
                    <w:adjustRightInd w:val="0"/>
                    <w:snapToGrid w:val="0"/>
                    <w:jc w:val="center"/>
                    <w:rPr>
                      <w:color w:val="auto"/>
                      <w:kern w:val="0"/>
                      <w:szCs w:val="21"/>
                      <w:highlight w:val="none"/>
                    </w:rPr>
                  </w:pPr>
                  <w:r>
                    <w:rPr>
                      <w:color w:val="auto"/>
                      <w:kern w:val="0"/>
                      <w:szCs w:val="21"/>
                      <w:highlight w:val="none"/>
                    </w:rPr>
                    <w:t>2.0</w:t>
                  </w:r>
                </w:p>
              </w:tc>
              <w:tc>
                <w:tcPr>
                  <w:tcW w:w="293"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3C07A35C">
                  <w:pPr>
                    <w:widowControl/>
                    <w:adjustRightInd w:val="0"/>
                    <w:snapToGrid w:val="0"/>
                    <w:jc w:val="center"/>
                    <w:rPr>
                      <w:color w:val="auto"/>
                      <w:kern w:val="0"/>
                      <w:szCs w:val="21"/>
                      <w:highlight w:val="none"/>
                    </w:rPr>
                  </w:pPr>
                  <w:r>
                    <w:rPr>
                      <w:color w:val="auto"/>
                      <w:kern w:val="0"/>
                      <w:szCs w:val="21"/>
                      <w:highlight w:val="none"/>
                    </w:rPr>
                    <w:t>15</w:t>
                  </w:r>
                </w:p>
              </w:tc>
              <w:tc>
                <w:tcPr>
                  <w:tcW w:w="320"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27E39D3C">
                  <w:pPr>
                    <w:widowControl/>
                    <w:adjustRightInd w:val="0"/>
                    <w:snapToGrid w:val="0"/>
                    <w:jc w:val="center"/>
                    <w:rPr>
                      <w:color w:val="auto"/>
                      <w:kern w:val="0"/>
                      <w:szCs w:val="21"/>
                      <w:highlight w:val="none"/>
                    </w:rPr>
                  </w:pPr>
                  <w:r>
                    <w:rPr>
                      <w:color w:val="auto"/>
                      <w:kern w:val="0"/>
                      <w:szCs w:val="21"/>
                      <w:highlight w:val="none"/>
                    </w:rPr>
                    <w:t>0.</w:t>
                  </w:r>
                  <w:r>
                    <w:rPr>
                      <w:rFonts w:hint="eastAsia"/>
                      <w:color w:val="auto"/>
                      <w:kern w:val="0"/>
                      <w:szCs w:val="21"/>
                      <w:highlight w:val="none"/>
                    </w:rPr>
                    <w:t>4</w:t>
                  </w:r>
                </w:p>
              </w:tc>
              <w:tc>
                <w:tcPr>
                  <w:tcW w:w="277"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08A51401">
                  <w:pPr>
                    <w:widowControl/>
                    <w:adjustRightInd w:val="0"/>
                    <w:snapToGrid w:val="0"/>
                    <w:jc w:val="center"/>
                    <w:rPr>
                      <w:color w:val="auto"/>
                      <w:kern w:val="0"/>
                      <w:szCs w:val="21"/>
                      <w:highlight w:val="none"/>
                    </w:rPr>
                  </w:pPr>
                  <w:r>
                    <w:rPr>
                      <w:color w:val="auto"/>
                      <w:kern w:val="0"/>
                      <w:szCs w:val="21"/>
                      <w:highlight w:val="none"/>
                    </w:rPr>
                    <w:t>FQ-1</w:t>
                  </w:r>
                </w:p>
              </w:tc>
              <w:tc>
                <w:tcPr>
                  <w:tcW w:w="321" w:type="pct"/>
                  <w:tcBorders>
                    <w:top w:val="single" w:color="auto" w:sz="4" w:space="0"/>
                    <w:left w:val="single" w:color="auto" w:sz="4" w:space="0"/>
                    <w:bottom w:val="single" w:color="auto" w:sz="12" w:space="0"/>
                    <w:right w:val="nil"/>
                  </w:tcBorders>
                  <w:tcMar>
                    <w:top w:w="0" w:type="dxa"/>
                    <w:left w:w="0" w:type="dxa"/>
                    <w:bottom w:w="0" w:type="dxa"/>
                    <w:right w:w="0" w:type="dxa"/>
                  </w:tcMar>
                  <w:vAlign w:val="center"/>
                </w:tcPr>
                <w:p w14:paraId="2A2410F7">
                  <w:pPr>
                    <w:widowControl/>
                    <w:adjustRightInd w:val="0"/>
                    <w:snapToGrid w:val="0"/>
                    <w:jc w:val="center"/>
                    <w:rPr>
                      <w:color w:val="auto"/>
                      <w:kern w:val="0"/>
                      <w:szCs w:val="21"/>
                      <w:highlight w:val="none"/>
                    </w:rPr>
                  </w:pPr>
                  <w:r>
                    <w:rPr>
                      <w:rFonts w:hAnsi="宋体"/>
                      <w:color w:val="auto"/>
                      <w:kern w:val="0"/>
                      <w:szCs w:val="21"/>
                      <w:highlight w:val="none"/>
                    </w:rPr>
                    <w:t>达标</w:t>
                  </w:r>
                </w:p>
              </w:tc>
            </w:tr>
          </w:tbl>
          <w:p w14:paraId="09701B2A">
            <w:pPr>
              <w:adjustRightInd w:val="0"/>
              <w:snapToGrid w:val="0"/>
              <w:spacing w:line="360" w:lineRule="auto"/>
              <w:ind w:firstLine="480" w:firstLineChars="200"/>
              <w:rPr>
                <w:snapToGrid w:val="0"/>
                <w:color w:val="auto"/>
                <w:sz w:val="24"/>
                <w:highlight w:val="none"/>
              </w:rPr>
            </w:pPr>
            <w:r>
              <w:rPr>
                <w:rFonts w:hint="eastAsia"/>
                <w:snapToGrid w:val="0"/>
                <w:color w:val="auto"/>
                <w:sz w:val="24"/>
                <w:highlight w:val="none"/>
              </w:rPr>
              <w:t>由上表可知，排放VOCs达到《工业企业挥发性有机物排放控制标准》（DB12/524-2014）表2中相关标准：VOCs排放浓度≤80mg/m</w:t>
            </w:r>
            <w:r>
              <w:rPr>
                <w:rFonts w:hint="eastAsia"/>
                <w:snapToGrid w:val="0"/>
                <w:color w:val="auto"/>
                <w:sz w:val="24"/>
                <w:highlight w:val="none"/>
                <w:vertAlign w:val="superscript"/>
              </w:rPr>
              <w:t>3</w:t>
            </w:r>
            <w:r>
              <w:rPr>
                <w:rFonts w:hint="eastAsia"/>
                <w:snapToGrid w:val="0"/>
                <w:color w:val="auto"/>
                <w:sz w:val="24"/>
                <w:highlight w:val="none"/>
              </w:rPr>
              <w:t>、排放速率≤2.0kg/h。</w:t>
            </w:r>
          </w:p>
          <w:p w14:paraId="70F6EF1F">
            <w:pPr>
              <w:adjustRightInd w:val="0"/>
              <w:snapToGrid w:val="0"/>
              <w:spacing w:line="360" w:lineRule="auto"/>
              <w:ind w:firstLine="482" w:firstLineChars="200"/>
              <w:rPr>
                <w:rFonts w:hAnsi="宋体"/>
                <w:b/>
                <w:snapToGrid w:val="0"/>
                <w:color w:val="auto"/>
                <w:kern w:val="0"/>
                <w:sz w:val="24"/>
                <w:highlight w:val="none"/>
              </w:rPr>
            </w:pPr>
            <w:r>
              <w:rPr>
                <w:rFonts w:hint="eastAsia" w:hAnsi="宋体"/>
                <w:b/>
                <w:snapToGrid w:val="0"/>
                <w:color w:val="auto"/>
                <w:kern w:val="0"/>
                <w:sz w:val="24"/>
                <w:highlight w:val="none"/>
              </w:rPr>
              <w:t>（</w:t>
            </w:r>
            <w:r>
              <w:rPr>
                <w:rFonts w:hAnsi="宋体"/>
                <w:b/>
                <w:snapToGrid w:val="0"/>
                <w:color w:val="auto"/>
                <w:kern w:val="0"/>
                <w:sz w:val="24"/>
                <w:highlight w:val="none"/>
              </w:rPr>
              <w:t>2</w:t>
            </w:r>
            <w:r>
              <w:rPr>
                <w:rFonts w:hint="eastAsia" w:hAnsi="宋体"/>
                <w:b/>
                <w:snapToGrid w:val="0"/>
                <w:color w:val="auto"/>
                <w:kern w:val="0"/>
                <w:sz w:val="24"/>
                <w:highlight w:val="none"/>
              </w:rPr>
              <w:t>）废水</w:t>
            </w:r>
          </w:p>
          <w:p w14:paraId="2EC5BF8B">
            <w:pPr>
              <w:adjustRightInd w:val="0"/>
              <w:snapToGrid w:val="0"/>
              <w:spacing w:line="360" w:lineRule="auto"/>
              <w:ind w:firstLine="480" w:firstLineChars="200"/>
              <w:rPr>
                <w:rFonts w:hint="default"/>
                <w:snapToGrid w:val="0"/>
                <w:color w:val="auto"/>
                <w:sz w:val="24"/>
                <w:highlight w:val="none"/>
                <w:lang w:val="en-US" w:eastAsia="zh-CN"/>
              </w:rPr>
            </w:pPr>
            <w:r>
              <w:rPr>
                <w:rFonts w:hint="eastAsia"/>
                <w:snapToGrid w:val="0"/>
                <w:color w:val="auto"/>
                <w:sz w:val="24"/>
                <w:highlight w:val="none"/>
                <w:lang w:val="en-US" w:eastAsia="zh-CN"/>
              </w:rPr>
              <w:t>现有项目车间为洁净车间，为保持车间地面清洁，定期用吸尘器清扫地面，无车间保洁用水。则全厂用水主要为职工生活用水、冷却塔用水、纯水制备用水。排水为职工生活污水和纯水制备弃水，接管海门东洲水处理有限公司</w:t>
            </w:r>
            <w:r>
              <w:rPr>
                <w:rFonts w:hint="eastAsia"/>
                <w:snapToGrid w:val="0"/>
                <w:color w:val="auto"/>
                <w:sz w:val="24"/>
                <w:highlight w:val="none"/>
                <w:lang w:val="en-US" w:eastAsia="zh-Hans"/>
              </w:rPr>
              <w:t>。</w:t>
            </w:r>
          </w:p>
          <w:p w14:paraId="01A4D7C6">
            <w:pPr>
              <w:adjustRightInd w:val="0"/>
              <w:snapToGrid w:val="0"/>
              <w:spacing w:line="360" w:lineRule="auto"/>
              <w:ind w:left="480"/>
              <w:rPr>
                <w:color w:val="auto"/>
                <w:sz w:val="24"/>
                <w:highlight w:val="none"/>
              </w:rPr>
            </w:pPr>
            <w:r>
              <w:rPr>
                <w:rFonts w:hAnsi="宋体"/>
                <w:color w:val="auto"/>
                <w:sz w:val="24"/>
                <w:highlight w:val="none"/>
              </w:rPr>
              <w:t>（</w:t>
            </w:r>
            <w:r>
              <w:rPr>
                <w:color w:val="auto"/>
                <w:sz w:val="24"/>
                <w:highlight w:val="none"/>
              </w:rPr>
              <w:t>1</w:t>
            </w:r>
            <w:r>
              <w:rPr>
                <w:rFonts w:hAnsi="宋体"/>
                <w:color w:val="auto"/>
                <w:sz w:val="24"/>
                <w:highlight w:val="none"/>
              </w:rPr>
              <w:t>）生活污水</w:t>
            </w:r>
          </w:p>
          <w:p w14:paraId="77B4333A">
            <w:pPr>
              <w:adjustRightInd w:val="0"/>
              <w:snapToGrid w:val="0"/>
              <w:spacing w:line="360" w:lineRule="auto"/>
              <w:ind w:firstLine="480" w:firstLineChars="200"/>
              <w:rPr>
                <w:color w:val="auto"/>
                <w:kern w:val="0"/>
                <w:sz w:val="24"/>
                <w:highlight w:val="none"/>
              </w:rPr>
            </w:pPr>
            <w:r>
              <w:rPr>
                <w:rFonts w:hint="eastAsia" w:hAnsi="宋体"/>
                <w:color w:val="auto"/>
                <w:sz w:val="24"/>
                <w:szCs w:val="24"/>
                <w:highlight w:val="none"/>
                <w:lang w:val="en-US" w:eastAsia="zh-Hans"/>
              </w:rPr>
              <w:t>现有</w:t>
            </w:r>
            <w:r>
              <w:rPr>
                <w:rFonts w:hAnsi="宋体"/>
                <w:color w:val="auto"/>
                <w:sz w:val="24"/>
                <w:szCs w:val="24"/>
                <w:highlight w:val="none"/>
              </w:rPr>
              <w:t>项目共有员工</w:t>
            </w:r>
            <w:r>
              <w:rPr>
                <w:color w:val="auto"/>
                <w:sz w:val="24"/>
                <w:szCs w:val="24"/>
                <w:highlight w:val="none"/>
              </w:rPr>
              <w:t>100</w:t>
            </w:r>
            <w:r>
              <w:rPr>
                <w:rFonts w:hAnsi="宋体"/>
                <w:color w:val="auto"/>
                <w:sz w:val="24"/>
                <w:szCs w:val="24"/>
                <w:highlight w:val="none"/>
              </w:rPr>
              <w:t>人，年工作</w:t>
            </w:r>
            <w:r>
              <w:rPr>
                <w:color w:val="auto"/>
                <w:sz w:val="24"/>
                <w:szCs w:val="24"/>
                <w:highlight w:val="none"/>
              </w:rPr>
              <w:t>300</w:t>
            </w:r>
            <w:r>
              <w:rPr>
                <w:rFonts w:hAnsi="宋体"/>
                <w:color w:val="auto"/>
                <w:sz w:val="24"/>
                <w:szCs w:val="24"/>
                <w:highlight w:val="none"/>
              </w:rPr>
              <w:t>天。根据《建筑给水排水设计规范》（</w:t>
            </w:r>
            <w:r>
              <w:rPr>
                <w:color w:val="auto"/>
                <w:sz w:val="24"/>
                <w:szCs w:val="24"/>
                <w:highlight w:val="none"/>
              </w:rPr>
              <w:t>GB50015-2003</w:t>
            </w:r>
            <w:r>
              <w:rPr>
                <w:rFonts w:hAnsi="宋体"/>
                <w:color w:val="auto"/>
                <w:sz w:val="24"/>
                <w:szCs w:val="24"/>
                <w:highlight w:val="none"/>
              </w:rPr>
              <w:t>），日常生活用水取</w:t>
            </w:r>
            <w:r>
              <w:rPr>
                <w:color w:val="auto"/>
                <w:sz w:val="24"/>
                <w:szCs w:val="24"/>
                <w:highlight w:val="none"/>
              </w:rPr>
              <w:t>100L/</w:t>
            </w:r>
            <w:r>
              <w:rPr>
                <w:rFonts w:hAnsi="宋体"/>
                <w:color w:val="auto"/>
                <w:sz w:val="24"/>
                <w:szCs w:val="24"/>
                <w:highlight w:val="none"/>
              </w:rPr>
              <w:t>人</w:t>
            </w:r>
            <w:r>
              <w:rPr>
                <w:color w:val="auto"/>
                <w:sz w:val="24"/>
                <w:szCs w:val="24"/>
                <w:highlight w:val="none"/>
              </w:rPr>
              <w:t>•d</w:t>
            </w:r>
            <w:r>
              <w:rPr>
                <w:rFonts w:hAnsi="宋体"/>
                <w:color w:val="auto"/>
                <w:sz w:val="24"/>
                <w:szCs w:val="24"/>
                <w:highlight w:val="none"/>
              </w:rPr>
              <w:t>，则本项目年生活用水量约</w:t>
            </w:r>
            <w:r>
              <w:rPr>
                <w:color w:val="auto"/>
                <w:sz w:val="24"/>
                <w:szCs w:val="24"/>
                <w:highlight w:val="none"/>
              </w:rPr>
              <w:t>3000t/a</w:t>
            </w:r>
            <w:r>
              <w:rPr>
                <w:rFonts w:hAnsi="宋体"/>
                <w:color w:val="auto"/>
                <w:sz w:val="24"/>
                <w:szCs w:val="24"/>
                <w:highlight w:val="none"/>
              </w:rPr>
              <w:t>。排污量以总用水量的</w:t>
            </w:r>
            <w:r>
              <w:rPr>
                <w:color w:val="auto"/>
                <w:sz w:val="24"/>
                <w:szCs w:val="24"/>
                <w:highlight w:val="none"/>
              </w:rPr>
              <w:t>80%</w:t>
            </w:r>
            <w:r>
              <w:rPr>
                <w:rFonts w:hAnsi="宋体"/>
                <w:color w:val="auto"/>
                <w:sz w:val="24"/>
                <w:szCs w:val="24"/>
                <w:highlight w:val="none"/>
              </w:rPr>
              <w:t>计，则本项目产生生活污水约</w:t>
            </w:r>
            <w:r>
              <w:rPr>
                <w:color w:val="auto"/>
                <w:sz w:val="24"/>
                <w:szCs w:val="24"/>
                <w:highlight w:val="none"/>
              </w:rPr>
              <w:t>2400t/a</w:t>
            </w:r>
            <w:r>
              <w:rPr>
                <w:rFonts w:hAnsi="宋体"/>
                <w:color w:val="auto"/>
                <w:sz w:val="24"/>
                <w:szCs w:val="24"/>
                <w:highlight w:val="none"/>
              </w:rPr>
              <w:t>，</w:t>
            </w:r>
            <w:r>
              <w:rPr>
                <w:rFonts w:hAnsi="宋体"/>
                <w:color w:val="auto"/>
                <w:kern w:val="0"/>
                <w:sz w:val="24"/>
                <w:highlight w:val="none"/>
              </w:rPr>
              <w:t>污水中的主要污染物为</w:t>
            </w:r>
            <w:r>
              <w:rPr>
                <w:color w:val="auto"/>
                <w:kern w:val="0"/>
                <w:sz w:val="24"/>
                <w:highlight w:val="none"/>
              </w:rPr>
              <w:t>COD</w:t>
            </w:r>
            <w:r>
              <w:rPr>
                <w:rFonts w:hAnsi="宋体"/>
                <w:color w:val="auto"/>
                <w:kern w:val="0"/>
                <w:sz w:val="24"/>
                <w:highlight w:val="none"/>
              </w:rPr>
              <w:t>、</w:t>
            </w:r>
            <w:r>
              <w:rPr>
                <w:color w:val="auto"/>
                <w:kern w:val="0"/>
                <w:sz w:val="24"/>
                <w:highlight w:val="none"/>
              </w:rPr>
              <w:t>SS</w:t>
            </w:r>
            <w:r>
              <w:rPr>
                <w:rFonts w:hAnsi="宋体"/>
                <w:color w:val="auto"/>
                <w:kern w:val="0"/>
                <w:sz w:val="24"/>
                <w:highlight w:val="none"/>
              </w:rPr>
              <w:t>、氨氮、总氮、总磷，其产生浓度分别为</w:t>
            </w:r>
            <w:r>
              <w:rPr>
                <w:color w:val="auto"/>
                <w:kern w:val="0"/>
                <w:sz w:val="24"/>
                <w:highlight w:val="none"/>
              </w:rPr>
              <w:t>400mg/L</w:t>
            </w:r>
            <w:r>
              <w:rPr>
                <w:rFonts w:hAnsi="宋体"/>
                <w:color w:val="auto"/>
                <w:kern w:val="0"/>
                <w:sz w:val="24"/>
                <w:highlight w:val="none"/>
              </w:rPr>
              <w:t>、</w:t>
            </w:r>
            <w:r>
              <w:rPr>
                <w:color w:val="auto"/>
                <w:kern w:val="0"/>
                <w:sz w:val="24"/>
                <w:highlight w:val="none"/>
              </w:rPr>
              <w:t>300mg/L</w:t>
            </w:r>
            <w:r>
              <w:rPr>
                <w:rFonts w:hAnsi="宋体"/>
                <w:color w:val="auto"/>
                <w:kern w:val="0"/>
                <w:sz w:val="24"/>
                <w:highlight w:val="none"/>
              </w:rPr>
              <w:t>、</w:t>
            </w:r>
            <w:r>
              <w:rPr>
                <w:color w:val="auto"/>
                <w:kern w:val="0"/>
                <w:sz w:val="24"/>
                <w:highlight w:val="none"/>
              </w:rPr>
              <w:t>25mg/L</w:t>
            </w:r>
            <w:r>
              <w:rPr>
                <w:rFonts w:hAnsi="宋体"/>
                <w:color w:val="auto"/>
                <w:kern w:val="0"/>
                <w:sz w:val="24"/>
                <w:highlight w:val="none"/>
              </w:rPr>
              <w:t>、</w:t>
            </w:r>
            <w:r>
              <w:rPr>
                <w:color w:val="auto"/>
                <w:kern w:val="0"/>
                <w:sz w:val="24"/>
                <w:highlight w:val="none"/>
              </w:rPr>
              <w:t>50mg/L</w:t>
            </w:r>
            <w:r>
              <w:rPr>
                <w:rFonts w:hAnsi="宋体"/>
                <w:color w:val="auto"/>
                <w:kern w:val="0"/>
                <w:sz w:val="24"/>
                <w:highlight w:val="none"/>
              </w:rPr>
              <w:t>、</w:t>
            </w:r>
            <w:r>
              <w:rPr>
                <w:color w:val="auto"/>
                <w:kern w:val="0"/>
                <w:sz w:val="24"/>
                <w:highlight w:val="none"/>
              </w:rPr>
              <w:t>5mg/L</w:t>
            </w:r>
            <w:r>
              <w:rPr>
                <w:rFonts w:hAnsi="宋体"/>
                <w:color w:val="auto"/>
                <w:kern w:val="0"/>
                <w:sz w:val="24"/>
                <w:szCs w:val="24"/>
                <w:highlight w:val="none"/>
              </w:rPr>
              <w:t>。</w:t>
            </w:r>
          </w:p>
          <w:p w14:paraId="76F001E0">
            <w:pPr>
              <w:snapToGrid w:val="0"/>
              <w:spacing w:line="360" w:lineRule="auto"/>
              <w:ind w:firstLine="480" w:firstLineChars="200"/>
              <w:jc w:val="left"/>
              <w:rPr>
                <w:color w:val="auto"/>
                <w:sz w:val="24"/>
                <w:highlight w:val="none"/>
              </w:rPr>
            </w:pPr>
            <w:r>
              <w:rPr>
                <w:rFonts w:hAnsi="宋体"/>
                <w:color w:val="auto"/>
                <w:sz w:val="24"/>
                <w:highlight w:val="none"/>
              </w:rPr>
              <w:t>（</w:t>
            </w:r>
            <w:r>
              <w:rPr>
                <w:color w:val="auto"/>
                <w:sz w:val="24"/>
                <w:highlight w:val="none"/>
              </w:rPr>
              <w:t>2</w:t>
            </w:r>
            <w:r>
              <w:rPr>
                <w:rFonts w:hAnsi="宋体"/>
                <w:color w:val="auto"/>
                <w:sz w:val="24"/>
                <w:highlight w:val="none"/>
              </w:rPr>
              <w:t>）循环冷却水</w:t>
            </w:r>
          </w:p>
          <w:p w14:paraId="74F03EA8">
            <w:pPr>
              <w:pStyle w:val="5"/>
              <w:spacing w:before="0" w:after="0" w:line="360" w:lineRule="auto"/>
              <w:ind w:right="0" w:firstLine="480" w:firstLineChars="200"/>
              <w:rPr>
                <w:color w:val="auto"/>
                <w:sz w:val="24"/>
                <w:szCs w:val="24"/>
                <w:highlight w:val="none"/>
                <w:lang w:val="en-US"/>
              </w:rPr>
            </w:pPr>
            <w:r>
              <w:rPr>
                <w:rFonts w:hint="eastAsia" w:hAnsi="宋体"/>
                <w:color w:val="auto"/>
                <w:sz w:val="24"/>
                <w:szCs w:val="24"/>
                <w:highlight w:val="none"/>
                <w:lang w:val="en-US" w:eastAsia="zh-Hans"/>
              </w:rPr>
              <w:t>现有</w:t>
            </w:r>
            <w:r>
              <w:rPr>
                <w:rFonts w:hAnsi="宋体"/>
                <w:color w:val="auto"/>
                <w:sz w:val="24"/>
                <w:szCs w:val="24"/>
                <w:highlight w:val="none"/>
                <w:lang w:val="en-US" w:eastAsia="zh-CN"/>
              </w:rPr>
              <w:t>目需要用纯水对电焊设备进行间接冷却，冷却水经管道后循环使用，水泵流量为</w:t>
            </w:r>
            <w:r>
              <w:rPr>
                <w:color w:val="auto"/>
                <w:sz w:val="24"/>
                <w:szCs w:val="24"/>
                <w:highlight w:val="none"/>
                <w:lang w:val="en-US" w:eastAsia="zh-CN"/>
              </w:rPr>
              <w:t>50</w:t>
            </w:r>
            <w:r>
              <w:rPr>
                <w:color w:val="auto"/>
                <w:sz w:val="24"/>
                <w:highlight w:val="none"/>
                <w:lang w:val="en-US" w:eastAsia="zh-CN"/>
              </w:rPr>
              <w:t xml:space="preserve"> m</w:t>
            </w:r>
            <w:r>
              <w:rPr>
                <w:color w:val="auto"/>
                <w:sz w:val="24"/>
                <w:highlight w:val="none"/>
                <w:vertAlign w:val="superscript"/>
                <w:lang w:val="en-US" w:eastAsia="zh-CN"/>
              </w:rPr>
              <w:t>3</w:t>
            </w:r>
            <w:r>
              <w:rPr>
                <w:color w:val="auto"/>
                <w:sz w:val="24"/>
                <w:highlight w:val="none"/>
                <w:lang w:val="en-US" w:eastAsia="zh-CN"/>
              </w:rPr>
              <w:t>/h</w:t>
            </w:r>
            <w:r>
              <w:rPr>
                <w:rFonts w:hAnsi="宋体"/>
                <w:color w:val="auto"/>
                <w:sz w:val="24"/>
                <w:szCs w:val="24"/>
                <w:highlight w:val="none"/>
                <w:lang w:val="en-US" w:eastAsia="zh-CN"/>
              </w:rPr>
              <w:t>，年工作</w:t>
            </w:r>
            <w:r>
              <w:rPr>
                <w:color w:val="auto"/>
                <w:sz w:val="24"/>
                <w:szCs w:val="24"/>
                <w:highlight w:val="none"/>
                <w:lang w:val="en-US" w:eastAsia="zh-CN"/>
              </w:rPr>
              <w:t>7200h</w:t>
            </w:r>
            <w:r>
              <w:rPr>
                <w:rFonts w:hAnsi="宋体"/>
                <w:color w:val="auto"/>
                <w:sz w:val="24"/>
                <w:szCs w:val="24"/>
                <w:highlight w:val="none"/>
                <w:lang w:val="en-US" w:eastAsia="zh-CN"/>
              </w:rPr>
              <w:t>，则循环水量</w:t>
            </w:r>
            <w:r>
              <w:rPr>
                <w:color w:val="auto"/>
                <w:sz w:val="24"/>
                <w:szCs w:val="24"/>
                <w:highlight w:val="none"/>
                <w:lang w:val="en-US" w:eastAsia="zh-CN"/>
              </w:rPr>
              <w:t>360000t/a</w:t>
            </w:r>
            <w:r>
              <w:rPr>
                <w:rFonts w:hAnsi="宋体"/>
                <w:color w:val="auto"/>
                <w:sz w:val="24"/>
                <w:szCs w:val="24"/>
                <w:highlight w:val="none"/>
                <w:lang w:val="en-US" w:eastAsia="zh-CN"/>
              </w:rPr>
              <w:t>，损耗量约占循环水量的</w:t>
            </w:r>
            <w:r>
              <w:rPr>
                <w:color w:val="auto"/>
                <w:sz w:val="24"/>
                <w:szCs w:val="24"/>
                <w:highlight w:val="none"/>
                <w:lang w:val="en-US" w:eastAsia="zh-CN"/>
              </w:rPr>
              <w:t>0.1‰</w:t>
            </w:r>
            <w:r>
              <w:rPr>
                <w:rFonts w:hAnsi="宋体"/>
                <w:color w:val="auto"/>
                <w:sz w:val="24"/>
                <w:szCs w:val="24"/>
                <w:highlight w:val="none"/>
                <w:lang w:val="en-US" w:eastAsia="zh-CN"/>
              </w:rPr>
              <w:t>，则损耗量为</w:t>
            </w:r>
            <w:r>
              <w:rPr>
                <w:color w:val="auto"/>
                <w:sz w:val="24"/>
                <w:szCs w:val="24"/>
                <w:highlight w:val="none"/>
                <w:lang w:val="en-US" w:eastAsia="zh-CN"/>
              </w:rPr>
              <w:t>36t/a</w:t>
            </w:r>
            <w:r>
              <w:rPr>
                <w:rFonts w:hAnsi="宋体"/>
                <w:color w:val="auto"/>
                <w:sz w:val="24"/>
                <w:szCs w:val="24"/>
                <w:highlight w:val="none"/>
                <w:lang w:val="en-US" w:eastAsia="zh-CN"/>
              </w:rPr>
              <w:t>，纯水由自来水制备，纯水制备率约</w:t>
            </w:r>
            <w:r>
              <w:rPr>
                <w:color w:val="auto"/>
                <w:sz w:val="24"/>
                <w:szCs w:val="24"/>
                <w:highlight w:val="none"/>
                <w:lang w:val="en-US" w:eastAsia="zh-CN"/>
              </w:rPr>
              <w:t>60%</w:t>
            </w:r>
            <w:r>
              <w:rPr>
                <w:rFonts w:hAnsi="宋体"/>
                <w:color w:val="auto"/>
                <w:sz w:val="24"/>
                <w:szCs w:val="24"/>
                <w:highlight w:val="none"/>
                <w:lang w:val="en-US" w:eastAsia="zh-CN"/>
              </w:rPr>
              <w:t>，则需要自来水约</w:t>
            </w:r>
            <w:r>
              <w:rPr>
                <w:color w:val="auto"/>
                <w:sz w:val="24"/>
                <w:szCs w:val="24"/>
                <w:highlight w:val="none"/>
                <w:lang w:val="en-US" w:eastAsia="zh-CN"/>
              </w:rPr>
              <w:t>60t/a</w:t>
            </w:r>
            <w:r>
              <w:rPr>
                <w:rFonts w:hAnsi="宋体"/>
                <w:color w:val="auto"/>
                <w:sz w:val="24"/>
                <w:szCs w:val="24"/>
                <w:highlight w:val="none"/>
                <w:lang w:val="en-US" w:eastAsia="zh-CN"/>
              </w:rPr>
              <w:t>，去离子水制备产生的弃水约</w:t>
            </w:r>
            <w:r>
              <w:rPr>
                <w:color w:val="auto"/>
                <w:sz w:val="24"/>
                <w:szCs w:val="24"/>
                <w:highlight w:val="none"/>
                <w:lang w:val="en-US" w:eastAsia="zh-CN"/>
              </w:rPr>
              <w:t>24t/a</w:t>
            </w:r>
            <w:r>
              <w:rPr>
                <w:rFonts w:hAnsi="宋体"/>
                <w:color w:val="auto"/>
                <w:sz w:val="24"/>
                <w:szCs w:val="24"/>
                <w:highlight w:val="none"/>
                <w:lang w:val="en-US" w:eastAsia="zh-CN"/>
              </w:rPr>
              <w:t>，</w:t>
            </w:r>
            <w:r>
              <w:rPr>
                <w:rFonts w:hAnsi="宋体"/>
                <w:bCs/>
                <w:color w:val="auto"/>
                <w:sz w:val="24"/>
                <w:highlight w:val="none"/>
                <w:lang w:val="en-US" w:eastAsia="zh-CN"/>
              </w:rPr>
              <w:t>接管东洲水处理有限公司集中处理</w:t>
            </w:r>
            <w:r>
              <w:rPr>
                <w:rFonts w:hint="eastAsia" w:hAnsi="宋体"/>
                <w:bCs/>
                <w:color w:val="auto"/>
                <w:sz w:val="24"/>
                <w:highlight w:val="none"/>
                <w:lang w:val="en-US" w:eastAsia="zh-Hans"/>
              </w:rPr>
              <w:t>。</w:t>
            </w:r>
          </w:p>
          <w:p w14:paraId="7F34C41B">
            <w:pPr>
              <w:adjustRightInd w:val="0"/>
              <w:snapToGrid w:val="0"/>
              <w:spacing w:line="360" w:lineRule="auto"/>
              <w:ind w:firstLine="480" w:firstLineChars="200"/>
              <w:rPr>
                <w:rFonts w:hint="eastAsia" w:hAnsi="宋体" w:eastAsia="宋体"/>
                <w:color w:val="auto"/>
                <w:sz w:val="24"/>
                <w:highlight w:val="none"/>
                <w:lang w:eastAsia="zh-Hans"/>
              </w:rPr>
            </w:pPr>
            <w:bookmarkStart w:id="11" w:name="_Hlk519775471"/>
            <w:r>
              <w:rPr>
                <w:rFonts w:hint="eastAsia" w:hAnsi="宋体"/>
                <w:color w:val="auto"/>
                <w:sz w:val="24"/>
                <w:highlight w:val="none"/>
                <w:lang w:eastAsia="zh-Hans"/>
              </w:rPr>
              <w:t>（</w:t>
            </w:r>
            <w:r>
              <w:rPr>
                <w:rFonts w:hint="default" w:hAnsi="宋体"/>
                <w:color w:val="auto"/>
                <w:sz w:val="24"/>
                <w:highlight w:val="none"/>
                <w:lang w:eastAsia="zh-Hans"/>
              </w:rPr>
              <w:t>3</w:t>
            </w:r>
            <w:r>
              <w:rPr>
                <w:rFonts w:hint="eastAsia" w:hAnsi="宋体"/>
                <w:color w:val="auto"/>
                <w:sz w:val="24"/>
                <w:highlight w:val="none"/>
                <w:lang w:eastAsia="zh-Hans"/>
              </w:rPr>
              <w:t>）</w:t>
            </w:r>
            <w:r>
              <w:rPr>
                <w:rFonts w:hint="eastAsia" w:hAnsi="宋体"/>
                <w:color w:val="auto"/>
                <w:sz w:val="24"/>
                <w:highlight w:val="none"/>
                <w:lang w:val="en-US" w:eastAsia="zh-Hans"/>
              </w:rPr>
              <w:t>冷却塔用水</w:t>
            </w:r>
          </w:p>
          <w:p w14:paraId="6C09DE7F">
            <w:pPr>
              <w:adjustRightInd w:val="0"/>
              <w:snapToGrid w:val="0"/>
              <w:spacing w:line="360" w:lineRule="auto"/>
              <w:ind w:firstLine="480" w:firstLineChars="200"/>
              <w:rPr>
                <w:color w:val="auto"/>
                <w:sz w:val="24"/>
                <w:highlight w:val="none"/>
              </w:rPr>
            </w:pPr>
            <w:r>
              <w:rPr>
                <w:rFonts w:hint="eastAsia" w:hAnsi="宋体"/>
                <w:color w:val="auto"/>
                <w:sz w:val="24"/>
                <w:szCs w:val="24"/>
                <w:highlight w:val="none"/>
                <w:lang w:val="en-US" w:eastAsia="zh-Hans"/>
              </w:rPr>
              <w:t>现有</w:t>
            </w:r>
            <w:r>
              <w:rPr>
                <w:rFonts w:hAnsi="宋体"/>
                <w:color w:val="auto"/>
                <w:sz w:val="24"/>
                <w:szCs w:val="24"/>
                <w:highlight w:val="none"/>
              </w:rPr>
              <w:t>项目使用冷却塔（冬季）或冰水机（夏季）对循环冷却水进行间接冷却，冷却水循环使用，循环水泵流量为</w:t>
            </w:r>
            <w:r>
              <w:rPr>
                <w:color w:val="auto"/>
                <w:sz w:val="24"/>
                <w:szCs w:val="24"/>
                <w:highlight w:val="none"/>
              </w:rPr>
              <w:t>200m</w:t>
            </w:r>
            <w:r>
              <w:rPr>
                <w:color w:val="auto"/>
                <w:sz w:val="24"/>
                <w:szCs w:val="24"/>
                <w:highlight w:val="none"/>
                <w:vertAlign w:val="superscript"/>
              </w:rPr>
              <w:t>3</w:t>
            </w:r>
            <w:r>
              <w:rPr>
                <w:color w:val="auto"/>
                <w:sz w:val="24"/>
                <w:szCs w:val="24"/>
                <w:highlight w:val="none"/>
              </w:rPr>
              <w:t>/h</w:t>
            </w:r>
            <w:r>
              <w:rPr>
                <w:rFonts w:hAnsi="宋体"/>
                <w:color w:val="auto"/>
                <w:sz w:val="24"/>
                <w:szCs w:val="24"/>
                <w:highlight w:val="none"/>
              </w:rPr>
              <w:t>，年工作</w:t>
            </w:r>
            <w:r>
              <w:rPr>
                <w:color w:val="auto"/>
                <w:sz w:val="24"/>
                <w:szCs w:val="24"/>
                <w:highlight w:val="none"/>
              </w:rPr>
              <w:t>3600h</w:t>
            </w:r>
            <w:r>
              <w:rPr>
                <w:rFonts w:hAnsi="宋体"/>
                <w:color w:val="auto"/>
                <w:sz w:val="24"/>
                <w:szCs w:val="24"/>
                <w:highlight w:val="none"/>
              </w:rPr>
              <w:t>，则循环水量</w:t>
            </w:r>
            <w:r>
              <w:rPr>
                <w:color w:val="auto"/>
                <w:sz w:val="24"/>
                <w:szCs w:val="24"/>
                <w:highlight w:val="none"/>
              </w:rPr>
              <w:t>720000t/a</w:t>
            </w:r>
            <w:r>
              <w:rPr>
                <w:rFonts w:hAnsi="宋体"/>
                <w:color w:val="auto"/>
                <w:sz w:val="24"/>
                <w:szCs w:val="24"/>
                <w:highlight w:val="none"/>
              </w:rPr>
              <w:t>，损耗量约占循环水量的</w:t>
            </w:r>
            <w:r>
              <w:rPr>
                <w:color w:val="auto"/>
                <w:sz w:val="24"/>
                <w:szCs w:val="24"/>
                <w:highlight w:val="none"/>
              </w:rPr>
              <w:t>0.5‰</w:t>
            </w:r>
            <w:r>
              <w:rPr>
                <w:rFonts w:hAnsi="宋体"/>
                <w:color w:val="auto"/>
                <w:sz w:val="24"/>
                <w:szCs w:val="24"/>
                <w:highlight w:val="none"/>
              </w:rPr>
              <w:t>，则损耗量为</w:t>
            </w:r>
            <w:r>
              <w:rPr>
                <w:color w:val="auto"/>
                <w:sz w:val="24"/>
                <w:szCs w:val="24"/>
                <w:highlight w:val="none"/>
              </w:rPr>
              <w:t>360t/a</w:t>
            </w:r>
            <w:r>
              <w:rPr>
                <w:rFonts w:hAnsi="宋体"/>
                <w:color w:val="auto"/>
                <w:sz w:val="24"/>
                <w:szCs w:val="24"/>
                <w:highlight w:val="none"/>
              </w:rPr>
              <w:t>，冷却水循环使用不外排。</w:t>
            </w:r>
            <w:bookmarkEnd w:id="11"/>
          </w:p>
          <w:p w14:paraId="0362F2DF">
            <w:pPr>
              <w:pStyle w:val="5"/>
              <w:spacing w:after="0" w:line="360" w:lineRule="auto"/>
              <w:ind w:firstLine="480" w:firstLineChars="200"/>
              <w:rPr>
                <w:rFonts w:hAnsi="宋体"/>
                <w:color w:val="auto"/>
                <w:sz w:val="24"/>
                <w:szCs w:val="24"/>
                <w:highlight w:val="none"/>
                <w:lang w:val="en-US"/>
              </w:rPr>
            </w:pPr>
            <w:r>
              <w:rPr>
                <w:rFonts w:hint="eastAsia" w:hAnsi="宋体"/>
                <w:color w:val="auto"/>
                <w:sz w:val="24"/>
                <w:szCs w:val="24"/>
                <w:highlight w:val="none"/>
                <w:lang w:val="en-US"/>
              </w:rPr>
              <w:t>（4）初期雨水</w:t>
            </w:r>
          </w:p>
          <w:p w14:paraId="70EDCF99">
            <w:pPr>
              <w:pStyle w:val="5"/>
              <w:spacing w:line="360" w:lineRule="auto"/>
              <w:ind w:firstLine="480" w:firstLineChars="200"/>
              <w:rPr>
                <w:color w:val="auto"/>
                <w:sz w:val="24"/>
                <w:szCs w:val="24"/>
                <w:highlight w:val="none"/>
                <w:lang w:val="en-US"/>
              </w:rPr>
            </w:pPr>
            <w:r>
              <w:rPr>
                <w:rFonts w:hint="eastAsia"/>
                <w:color w:val="auto"/>
                <w:sz w:val="24"/>
                <w:szCs w:val="24"/>
                <w:highlight w:val="none"/>
                <w:lang w:val="en-US"/>
              </w:rPr>
              <w:t>初期雨水指下雨水时前15min产生的废水，由于下雨后产生的初期雨水中含有SS成分较多，初期雨水经排水沟收集后排入初期雨水池，经初期雨水池处理后排入附近水体。初期雨水根据当地暴雨强度、厂区的面积进行估算。根据南通暴雨强度公式：</w:t>
            </w:r>
          </w:p>
          <w:p w14:paraId="4AB3FDB1">
            <w:pPr>
              <w:pStyle w:val="5"/>
              <w:spacing w:line="360" w:lineRule="auto"/>
              <w:ind w:firstLine="480" w:firstLineChars="200"/>
              <w:jc w:val="center"/>
              <w:rPr>
                <w:color w:val="auto"/>
                <w:szCs w:val="24"/>
                <w:highlight w:val="none"/>
                <w:lang w:val="en-US"/>
              </w:rPr>
            </w:pPr>
            <w:r>
              <w:rPr>
                <w:rFonts w:hint="eastAsia"/>
                <w:color w:val="auto"/>
                <w:sz w:val="24"/>
                <w:szCs w:val="24"/>
                <w:highlight w:val="none"/>
                <w:lang w:val="en-US"/>
              </w:rPr>
              <w:t>q=2007.34(1+0.7521gP)/(t+17.9)</w:t>
            </w:r>
            <w:r>
              <w:rPr>
                <w:rFonts w:hint="eastAsia"/>
                <w:color w:val="auto"/>
                <w:sz w:val="24"/>
                <w:szCs w:val="24"/>
                <w:highlight w:val="none"/>
                <w:vertAlign w:val="superscript"/>
                <w:lang w:val="en-US"/>
              </w:rPr>
              <w:t>^0.71</w:t>
            </w:r>
          </w:p>
          <w:p w14:paraId="6D5ABC45">
            <w:pPr>
              <w:pStyle w:val="5"/>
              <w:spacing w:line="360" w:lineRule="auto"/>
              <w:ind w:firstLine="480" w:firstLineChars="200"/>
              <w:rPr>
                <w:color w:val="auto"/>
                <w:szCs w:val="24"/>
                <w:highlight w:val="none"/>
                <w:lang w:val="en-US"/>
              </w:rPr>
            </w:pPr>
            <w:r>
              <w:rPr>
                <w:rFonts w:hint="eastAsia"/>
                <w:color w:val="auto"/>
                <w:sz w:val="24"/>
                <w:szCs w:val="24"/>
                <w:highlight w:val="none"/>
                <w:lang w:val="en-US"/>
              </w:rPr>
              <w:t>式中：q——暴雨量，L/s*ha；</w:t>
            </w:r>
          </w:p>
          <w:p w14:paraId="321A5C55">
            <w:pPr>
              <w:pStyle w:val="5"/>
              <w:spacing w:line="360" w:lineRule="auto"/>
              <w:ind w:firstLine="1200" w:firstLineChars="500"/>
              <w:rPr>
                <w:color w:val="auto"/>
                <w:szCs w:val="24"/>
                <w:highlight w:val="none"/>
                <w:lang w:val="en-US"/>
              </w:rPr>
            </w:pPr>
            <w:r>
              <w:rPr>
                <w:rFonts w:hint="eastAsia"/>
                <w:color w:val="auto"/>
                <w:sz w:val="24"/>
                <w:szCs w:val="24"/>
                <w:highlight w:val="none"/>
                <w:lang w:val="en-US"/>
              </w:rPr>
              <w:t>P——设计重现期，取1年；</w:t>
            </w:r>
          </w:p>
          <w:p w14:paraId="09CF647F">
            <w:pPr>
              <w:pStyle w:val="5"/>
              <w:spacing w:line="360" w:lineRule="auto"/>
              <w:ind w:firstLine="480" w:firstLineChars="200"/>
              <w:rPr>
                <w:color w:val="auto"/>
                <w:szCs w:val="24"/>
                <w:highlight w:val="none"/>
                <w:lang w:val="en-US"/>
              </w:rPr>
            </w:pPr>
            <w:r>
              <w:rPr>
                <w:rFonts w:hint="eastAsia"/>
                <w:color w:val="auto"/>
                <w:sz w:val="24"/>
                <w:szCs w:val="24"/>
                <w:highlight w:val="none"/>
                <w:lang w:val="en-US"/>
              </w:rPr>
              <w:t xml:space="preserve">t=t1+mt2 </w:t>
            </w:r>
          </w:p>
          <w:p w14:paraId="55F7D5E8">
            <w:pPr>
              <w:pStyle w:val="5"/>
              <w:spacing w:line="360" w:lineRule="auto"/>
              <w:ind w:firstLine="1200" w:firstLineChars="500"/>
              <w:rPr>
                <w:color w:val="auto"/>
                <w:szCs w:val="24"/>
                <w:highlight w:val="none"/>
                <w:lang w:val="en-US"/>
              </w:rPr>
            </w:pPr>
            <w:r>
              <w:rPr>
                <w:rFonts w:hint="eastAsia"/>
                <w:color w:val="auto"/>
                <w:sz w:val="24"/>
                <w:szCs w:val="24"/>
                <w:highlight w:val="none"/>
                <w:lang w:val="en-US"/>
              </w:rPr>
              <w:t>t1——地面集水时间，取10min；</w:t>
            </w:r>
          </w:p>
          <w:p w14:paraId="33D93318">
            <w:pPr>
              <w:pStyle w:val="5"/>
              <w:spacing w:line="360" w:lineRule="auto"/>
              <w:ind w:firstLine="1200" w:firstLineChars="500"/>
              <w:rPr>
                <w:color w:val="auto"/>
                <w:szCs w:val="24"/>
                <w:highlight w:val="none"/>
                <w:lang w:val="en-US"/>
              </w:rPr>
            </w:pPr>
            <w:r>
              <w:rPr>
                <w:rFonts w:hint="eastAsia"/>
                <w:color w:val="auto"/>
                <w:sz w:val="24"/>
                <w:szCs w:val="24"/>
                <w:highlight w:val="none"/>
                <w:lang w:val="en-US"/>
              </w:rPr>
              <w:t>t2——管道内雨水流行时间，取5min；</w:t>
            </w:r>
          </w:p>
          <w:p w14:paraId="336D1D70">
            <w:pPr>
              <w:pStyle w:val="5"/>
              <w:spacing w:line="360" w:lineRule="auto"/>
              <w:ind w:firstLine="480" w:firstLineChars="200"/>
              <w:rPr>
                <w:color w:val="auto"/>
                <w:szCs w:val="24"/>
                <w:highlight w:val="none"/>
                <w:lang w:val="en-US"/>
              </w:rPr>
            </w:pPr>
            <w:r>
              <w:rPr>
                <w:rFonts w:hint="eastAsia"/>
                <w:color w:val="auto"/>
                <w:sz w:val="24"/>
                <w:szCs w:val="24"/>
                <w:highlight w:val="none"/>
                <w:lang w:val="en-US"/>
              </w:rPr>
              <w:t>初期雨水量:Q=q*ψF</w:t>
            </w:r>
          </w:p>
          <w:p w14:paraId="748A5149">
            <w:pPr>
              <w:pStyle w:val="5"/>
              <w:spacing w:line="360" w:lineRule="auto"/>
              <w:ind w:firstLine="1200" w:firstLineChars="500"/>
              <w:rPr>
                <w:color w:val="auto"/>
                <w:szCs w:val="24"/>
                <w:highlight w:val="none"/>
                <w:lang w:val="en-US"/>
              </w:rPr>
            </w:pPr>
            <w:r>
              <w:rPr>
                <w:rFonts w:hint="eastAsia"/>
                <w:color w:val="auto"/>
                <w:sz w:val="24"/>
                <w:szCs w:val="24"/>
                <w:highlight w:val="none"/>
                <w:lang w:val="en-US"/>
              </w:rPr>
              <w:t>Q——雨水设计流量，L/s；</w:t>
            </w:r>
          </w:p>
          <w:p w14:paraId="7B9A07BA">
            <w:pPr>
              <w:pStyle w:val="5"/>
              <w:spacing w:line="360" w:lineRule="auto"/>
              <w:ind w:firstLine="1200" w:firstLineChars="500"/>
              <w:rPr>
                <w:color w:val="auto"/>
                <w:szCs w:val="24"/>
                <w:highlight w:val="none"/>
                <w:lang w:val="en-US"/>
              </w:rPr>
            </w:pPr>
            <w:r>
              <w:rPr>
                <w:rFonts w:hint="eastAsia"/>
                <w:color w:val="auto"/>
                <w:sz w:val="24"/>
                <w:szCs w:val="24"/>
                <w:highlight w:val="none"/>
                <w:lang w:val="en-US"/>
              </w:rPr>
              <w:t>ψ——径流系数，取ψ=0.4；</w:t>
            </w:r>
          </w:p>
          <w:p w14:paraId="41FE05DF">
            <w:pPr>
              <w:pStyle w:val="5"/>
              <w:spacing w:line="360" w:lineRule="auto"/>
              <w:ind w:firstLine="1200" w:firstLineChars="500"/>
              <w:rPr>
                <w:color w:val="auto"/>
                <w:szCs w:val="24"/>
                <w:highlight w:val="none"/>
                <w:lang w:val="en-US"/>
              </w:rPr>
            </w:pPr>
            <w:r>
              <w:rPr>
                <w:rFonts w:hint="eastAsia"/>
                <w:color w:val="auto"/>
                <w:sz w:val="24"/>
                <w:szCs w:val="24"/>
                <w:highlight w:val="none"/>
                <w:lang w:val="en-US"/>
              </w:rPr>
              <w:t>F——汇水面积，本项目占地面积8200m</w:t>
            </w:r>
            <w:r>
              <w:rPr>
                <w:rFonts w:hint="eastAsia"/>
                <w:color w:val="auto"/>
                <w:sz w:val="24"/>
                <w:szCs w:val="24"/>
                <w:highlight w:val="none"/>
                <w:vertAlign w:val="superscript"/>
                <w:lang w:val="en-US"/>
              </w:rPr>
              <w:t>2</w:t>
            </w:r>
            <w:r>
              <w:rPr>
                <w:rFonts w:hint="eastAsia"/>
                <w:color w:val="auto"/>
                <w:sz w:val="24"/>
                <w:szCs w:val="24"/>
                <w:highlight w:val="none"/>
                <w:lang w:val="en-US"/>
              </w:rPr>
              <w:t>。</w:t>
            </w:r>
          </w:p>
          <w:p w14:paraId="3CAEA8DA">
            <w:pPr>
              <w:pStyle w:val="5"/>
              <w:spacing w:after="0" w:line="360" w:lineRule="auto"/>
              <w:ind w:firstLine="480" w:firstLineChars="200"/>
              <w:rPr>
                <w:rFonts w:hAnsi="宋体" w:cs="宋体"/>
                <w:color w:val="auto"/>
                <w:kern w:val="2"/>
                <w:sz w:val="24"/>
                <w:szCs w:val="24"/>
                <w:highlight w:val="none"/>
                <w:lang w:val="en-US"/>
              </w:rPr>
            </w:pPr>
            <w:r>
              <w:rPr>
                <w:rFonts w:hint="eastAsia"/>
                <w:color w:val="auto"/>
                <w:sz w:val="24"/>
                <w:szCs w:val="24"/>
                <w:highlight w:val="none"/>
                <w:lang w:val="en-US"/>
              </w:rPr>
              <w:t xml:space="preserve"> 计算得初期雨水量约为50t/次，海门市年平均降水日124.0天，计算时每次降雨时间按照4天连续降雨计算，则降雨次数为31次，则年初期雨水量1550t/a，经沉淀后约20%蒸发损耗，损耗量约310t/a，收集处理后的雨水1240t/a，接入市政管网，</w:t>
            </w:r>
            <w:r>
              <w:rPr>
                <w:color w:val="auto"/>
                <w:sz w:val="24"/>
                <w:szCs w:val="24"/>
                <w:highlight w:val="none"/>
                <w:lang w:val="en-US"/>
              </w:rPr>
              <w:t>沉淀池泥渣作为固废处理</w:t>
            </w:r>
            <w:r>
              <w:rPr>
                <w:rFonts w:hint="eastAsia"/>
                <w:color w:val="auto"/>
                <w:sz w:val="24"/>
                <w:szCs w:val="24"/>
                <w:highlight w:val="none"/>
                <w:lang w:val="en-US"/>
              </w:rPr>
              <w:t>。</w:t>
            </w:r>
          </w:p>
          <w:p w14:paraId="288B1008">
            <w:pPr>
              <w:pStyle w:val="5"/>
              <w:spacing w:after="0" w:line="360" w:lineRule="auto"/>
              <w:ind w:firstLine="480" w:firstLineChars="200"/>
              <w:rPr>
                <w:color w:val="auto"/>
                <w:sz w:val="24"/>
                <w:szCs w:val="24"/>
                <w:highlight w:val="none"/>
                <w:lang w:val="en-US"/>
              </w:rPr>
            </w:pPr>
            <w:r>
              <w:rPr>
                <w:rFonts w:hint="eastAsia" w:hAnsi="宋体"/>
                <w:color w:val="auto"/>
                <w:sz w:val="24"/>
                <w:szCs w:val="24"/>
                <w:highlight w:val="none"/>
                <w:lang w:val="en-US"/>
              </w:rPr>
              <w:t>现有项目</w:t>
            </w:r>
            <w:r>
              <w:rPr>
                <w:rFonts w:hAnsi="宋体"/>
                <w:snapToGrid w:val="0"/>
                <w:color w:val="auto"/>
                <w:sz w:val="24"/>
                <w:szCs w:val="24"/>
                <w:highlight w:val="none"/>
                <w:lang w:val="en-US"/>
              </w:rPr>
              <w:t>用水平衡图如下：</w:t>
            </w:r>
          </w:p>
          <w:p w14:paraId="5C02066A">
            <w:pPr>
              <w:adjustRightInd w:val="0"/>
              <w:snapToGrid w:val="0"/>
              <w:spacing w:line="360" w:lineRule="auto"/>
              <w:ind w:firstLine="420" w:firstLineChars="200"/>
              <w:jc w:val="center"/>
              <w:rPr>
                <w:bCs/>
                <w:color w:val="auto"/>
                <w:szCs w:val="21"/>
                <w:highlight w:val="none"/>
              </w:rPr>
            </w:pPr>
            <w:r>
              <w:rPr>
                <w:color w:val="auto"/>
                <w:highlight w:val="none"/>
              </w:rPr>
              <w:drawing>
                <wp:inline distT="0" distB="0" distL="114300" distR="114300">
                  <wp:extent cx="5344160" cy="4135755"/>
                  <wp:effectExtent l="0" t="0" r="1524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tretch>
                            <a:fillRect/>
                          </a:stretch>
                        </pic:blipFill>
                        <pic:spPr>
                          <a:xfrm>
                            <a:off x="0" y="0"/>
                            <a:ext cx="5344160" cy="4135755"/>
                          </a:xfrm>
                          <a:prstGeom prst="rect">
                            <a:avLst/>
                          </a:prstGeom>
                          <a:noFill/>
                          <a:ln w="9525">
                            <a:noFill/>
                          </a:ln>
                        </pic:spPr>
                      </pic:pic>
                    </a:graphicData>
                  </a:graphic>
                </wp:inline>
              </w:drawing>
            </w:r>
          </w:p>
          <w:p w14:paraId="78B56569">
            <w:pPr>
              <w:adjustRightInd w:val="0"/>
              <w:snapToGrid w:val="0"/>
              <w:spacing w:line="360" w:lineRule="auto"/>
              <w:ind w:firstLine="482" w:firstLineChars="200"/>
              <w:jc w:val="center"/>
              <w:rPr>
                <w:b/>
                <w:bCs/>
                <w:color w:val="auto"/>
                <w:sz w:val="24"/>
                <w:highlight w:val="none"/>
              </w:rPr>
            </w:pPr>
            <w:r>
              <w:rPr>
                <w:rFonts w:hAnsi="宋体"/>
                <w:b/>
                <w:bCs/>
                <w:color w:val="auto"/>
                <w:sz w:val="24"/>
                <w:highlight w:val="none"/>
              </w:rPr>
              <w:t>图</w:t>
            </w:r>
            <w:r>
              <w:rPr>
                <w:rFonts w:hint="eastAsia"/>
                <w:b/>
                <w:bCs/>
                <w:color w:val="auto"/>
                <w:sz w:val="24"/>
                <w:highlight w:val="none"/>
              </w:rPr>
              <w:t>2-9</w:t>
            </w:r>
            <w:r>
              <w:rPr>
                <w:b/>
                <w:bCs/>
                <w:color w:val="auto"/>
                <w:sz w:val="24"/>
                <w:highlight w:val="none"/>
              </w:rPr>
              <w:t xml:space="preserve">  </w:t>
            </w:r>
            <w:r>
              <w:rPr>
                <w:rFonts w:hint="eastAsia"/>
                <w:b/>
                <w:bCs/>
                <w:color w:val="auto"/>
                <w:sz w:val="24"/>
                <w:highlight w:val="none"/>
              </w:rPr>
              <w:t>现有</w:t>
            </w:r>
            <w:r>
              <w:rPr>
                <w:rFonts w:hAnsi="宋体"/>
                <w:b/>
                <w:bCs/>
                <w:color w:val="auto"/>
                <w:sz w:val="24"/>
                <w:highlight w:val="none"/>
              </w:rPr>
              <w:t>项目水量平衡图（单位：</w:t>
            </w:r>
            <w:r>
              <w:rPr>
                <w:b/>
                <w:bCs/>
                <w:color w:val="auto"/>
                <w:sz w:val="24"/>
                <w:highlight w:val="none"/>
              </w:rPr>
              <w:t>t/a</w:t>
            </w:r>
            <w:r>
              <w:rPr>
                <w:rFonts w:hAnsi="宋体"/>
                <w:b/>
                <w:bCs/>
                <w:color w:val="auto"/>
                <w:sz w:val="24"/>
                <w:highlight w:val="none"/>
              </w:rPr>
              <w:t>）</w:t>
            </w:r>
          </w:p>
          <w:p w14:paraId="16C77278">
            <w:pPr>
              <w:pStyle w:val="5"/>
              <w:spacing w:after="0" w:line="360" w:lineRule="auto"/>
              <w:ind w:firstLine="480" w:firstLineChars="200"/>
              <w:rPr>
                <w:rFonts w:hAnsi="宋体" w:cs="宋体"/>
                <w:color w:val="auto"/>
                <w:kern w:val="2"/>
                <w:sz w:val="24"/>
                <w:szCs w:val="24"/>
                <w:highlight w:val="none"/>
                <w:lang w:val="en-US"/>
              </w:rPr>
            </w:pPr>
            <w:r>
              <w:rPr>
                <w:rFonts w:hAnsi="宋体" w:cs="宋体"/>
                <w:color w:val="auto"/>
                <w:kern w:val="2"/>
                <w:sz w:val="24"/>
                <w:szCs w:val="24"/>
                <w:highlight w:val="none"/>
                <w:lang w:val="en-US"/>
              </w:rPr>
              <w:t>根据</w:t>
            </w:r>
            <w:r>
              <w:rPr>
                <w:rFonts w:hint="eastAsia" w:hAnsi="宋体" w:cs="宋体"/>
                <w:color w:val="auto"/>
                <w:kern w:val="2"/>
                <w:sz w:val="24"/>
                <w:szCs w:val="24"/>
                <w:highlight w:val="none"/>
                <w:lang w:val="en-US"/>
              </w:rPr>
              <w:t>江苏迈斯特环境检测有限公司</w:t>
            </w:r>
            <w:r>
              <w:rPr>
                <w:rFonts w:hAnsi="宋体" w:cs="宋体"/>
                <w:color w:val="auto"/>
                <w:kern w:val="2"/>
                <w:sz w:val="24"/>
                <w:szCs w:val="24"/>
                <w:highlight w:val="none"/>
                <w:lang w:val="en-US"/>
              </w:rPr>
              <w:t>20</w:t>
            </w:r>
            <w:r>
              <w:rPr>
                <w:rFonts w:hint="eastAsia" w:hAnsi="宋体" w:cs="宋体"/>
                <w:color w:val="auto"/>
                <w:kern w:val="2"/>
                <w:sz w:val="24"/>
                <w:szCs w:val="24"/>
                <w:highlight w:val="none"/>
                <w:lang w:val="en-US"/>
              </w:rPr>
              <w:t>20</w:t>
            </w:r>
            <w:r>
              <w:rPr>
                <w:rFonts w:hAnsi="宋体" w:cs="宋体"/>
                <w:color w:val="auto"/>
                <w:kern w:val="2"/>
                <w:sz w:val="24"/>
                <w:szCs w:val="24"/>
                <w:highlight w:val="none"/>
                <w:lang w:val="en-US"/>
              </w:rPr>
              <w:t>年</w:t>
            </w:r>
            <w:r>
              <w:rPr>
                <w:rFonts w:hint="eastAsia" w:hAnsi="宋体" w:cs="宋体"/>
                <w:color w:val="auto"/>
                <w:kern w:val="2"/>
                <w:sz w:val="24"/>
                <w:szCs w:val="24"/>
                <w:highlight w:val="none"/>
                <w:lang w:val="en-US"/>
              </w:rPr>
              <w:t>8</w:t>
            </w:r>
            <w:r>
              <w:rPr>
                <w:rFonts w:hAnsi="宋体" w:cs="宋体"/>
                <w:color w:val="auto"/>
                <w:kern w:val="2"/>
                <w:sz w:val="24"/>
                <w:szCs w:val="24"/>
                <w:highlight w:val="none"/>
                <w:lang w:val="en-US"/>
              </w:rPr>
              <w:t>月</w:t>
            </w:r>
            <w:r>
              <w:rPr>
                <w:rFonts w:hint="eastAsia" w:hAnsi="宋体" w:cs="宋体"/>
                <w:color w:val="auto"/>
                <w:kern w:val="2"/>
                <w:sz w:val="24"/>
                <w:szCs w:val="24"/>
                <w:highlight w:val="none"/>
                <w:lang w:val="en-US"/>
              </w:rPr>
              <w:t>21</w:t>
            </w:r>
            <w:r>
              <w:rPr>
                <w:rFonts w:hAnsi="宋体" w:cs="宋体"/>
                <w:color w:val="auto"/>
                <w:kern w:val="2"/>
                <w:sz w:val="24"/>
                <w:szCs w:val="24"/>
                <w:highlight w:val="none"/>
                <w:lang w:val="en-US"/>
              </w:rPr>
              <w:t>日出具的现有项目的《“三同时”验收监测》</w:t>
            </w:r>
            <w:r>
              <w:rPr>
                <w:rFonts w:hint="eastAsia" w:hAnsi="宋体" w:cs="宋体"/>
                <w:color w:val="auto"/>
                <w:kern w:val="2"/>
                <w:sz w:val="24"/>
                <w:szCs w:val="24"/>
                <w:highlight w:val="none"/>
                <w:lang w:val="en-US"/>
              </w:rPr>
              <w:t>（MST20200806005），现有项目废水污染物排放情况见下表：</w:t>
            </w:r>
          </w:p>
          <w:p w14:paraId="62B042BB">
            <w:pPr>
              <w:adjustRightInd w:val="0"/>
              <w:snapToGrid w:val="0"/>
              <w:jc w:val="center"/>
              <w:rPr>
                <w:b/>
                <w:color w:val="auto"/>
                <w:kern w:val="0"/>
                <w:sz w:val="24"/>
                <w:highlight w:val="none"/>
              </w:rPr>
            </w:pPr>
            <w:r>
              <w:rPr>
                <w:rFonts w:hAnsi="宋体"/>
                <w:b/>
                <w:color w:val="auto"/>
                <w:kern w:val="0"/>
                <w:sz w:val="24"/>
                <w:highlight w:val="none"/>
              </w:rPr>
              <w:t>表</w:t>
            </w:r>
            <w:r>
              <w:rPr>
                <w:rFonts w:hint="eastAsia"/>
                <w:b/>
                <w:color w:val="auto"/>
                <w:kern w:val="0"/>
                <w:sz w:val="24"/>
                <w:highlight w:val="none"/>
              </w:rPr>
              <w:t>2-12</w:t>
            </w:r>
            <w:r>
              <w:rPr>
                <w:color w:val="auto"/>
                <w:kern w:val="0"/>
                <w:sz w:val="24"/>
                <w:highlight w:val="none"/>
              </w:rPr>
              <w:t xml:space="preserve">  </w:t>
            </w:r>
            <w:r>
              <w:rPr>
                <w:rFonts w:hint="eastAsia" w:hAnsi="宋体"/>
                <w:b/>
                <w:color w:val="auto"/>
                <w:kern w:val="0"/>
                <w:sz w:val="24"/>
                <w:highlight w:val="none"/>
              </w:rPr>
              <w:t>现有</w:t>
            </w:r>
            <w:r>
              <w:rPr>
                <w:rFonts w:hAnsi="宋体"/>
                <w:b/>
                <w:color w:val="auto"/>
                <w:kern w:val="0"/>
                <w:sz w:val="24"/>
                <w:highlight w:val="none"/>
              </w:rPr>
              <w:t>项目主要水污染物排放情况</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110"/>
              <w:gridCol w:w="2162"/>
              <w:gridCol w:w="1383"/>
              <w:gridCol w:w="1743"/>
              <w:gridCol w:w="1808"/>
            </w:tblGrid>
            <w:tr w14:paraId="7EB91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restart"/>
                  <w:vAlign w:val="center"/>
                </w:tcPr>
                <w:p w14:paraId="1891D80E">
                  <w:pPr>
                    <w:adjustRightInd w:val="0"/>
                    <w:snapToGrid w:val="0"/>
                    <w:jc w:val="center"/>
                    <w:rPr>
                      <w:b/>
                      <w:color w:val="auto"/>
                      <w:kern w:val="0"/>
                      <w:szCs w:val="21"/>
                      <w:highlight w:val="none"/>
                    </w:rPr>
                  </w:pPr>
                  <w:r>
                    <w:rPr>
                      <w:b/>
                      <w:color w:val="auto"/>
                      <w:kern w:val="0"/>
                      <w:szCs w:val="21"/>
                      <w:highlight w:val="none"/>
                    </w:rPr>
                    <w:t>废水</w:t>
                  </w:r>
                </w:p>
                <w:p w14:paraId="12A7EC37">
                  <w:pPr>
                    <w:adjustRightInd w:val="0"/>
                    <w:snapToGrid w:val="0"/>
                    <w:jc w:val="center"/>
                    <w:rPr>
                      <w:b/>
                      <w:color w:val="auto"/>
                      <w:kern w:val="0"/>
                      <w:szCs w:val="21"/>
                      <w:highlight w:val="none"/>
                    </w:rPr>
                  </w:pPr>
                  <w:r>
                    <w:rPr>
                      <w:b/>
                      <w:color w:val="auto"/>
                      <w:kern w:val="0"/>
                      <w:szCs w:val="21"/>
                      <w:highlight w:val="none"/>
                    </w:rPr>
                    <w:t>来源</w:t>
                  </w:r>
                </w:p>
              </w:tc>
              <w:tc>
                <w:tcPr>
                  <w:tcW w:w="597" w:type="pct"/>
                  <w:vMerge w:val="restart"/>
                  <w:vAlign w:val="center"/>
                </w:tcPr>
                <w:p w14:paraId="3C8DF2F8">
                  <w:pPr>
                    <w:adjustRightInd w:val="0"/>
                    <w:snapToGrid w:val="0"/>
                    <w:jc w:val="center"/>
                    <w:rPr>
                      <w:b/>
                      <w:color w:val="auto"/>
                      <w:kern w:val="0"/>
                      <w:szCs w:val="21"/>
                      <w:highlight w:val="none"/>
                    </w:rPr>
                  </w:pPr>
                  <w:r>
                    <w:rPr>
                      <w:b/>
                      <w:color w:val="auto"/>
                      <w:kern w:val="0"/>
                      <w:szCs w:val="21"/>
                      <w:highlight w:val="none"/>
                    </w:rPr>
                    <w:t>废水量t/a</w:t>
                  </w:r>
                </w:p>
              </w:tc>
              <w:tc>
                <w:tcPr>
                  <w:tcW w:w="1163" w:type="pct"/>
                  <w:vMerge w:val="restart"/>
                  <w:vAlign w:val="center"/>
                </w:tcPr>
                <w:p w14:paraId="3766772D">
                  <w:pPr>
                    <w:adjustRightInd w:val="0"/>
                    <w:snapToGrid w:val="0"/>
                    <w:jc w:val="center"/>
                    <w:rPr>
                      <w:b/>
                      <w:color w:val="auto"/>
                      <w:kern w:val="0"/>
                      <w:szCs w:val="21"/>
                      <w:highlight w:val="none"/>
                    </w:rPr>
                  </w:pPr>
                  <w:r>
                    <w:rPr>
                      <w:b/>
                      <w:color w:val="auto"/>
                      <w:kern w:val="0"/>
                      <w:szCs w:val="21"/>
                      <w:highlight w:val="none"/>
                    </w:rPr>
                    <w:t>污染物名称</w:t>
                  </w:r>
                </w:p>
              </w:tc>
              <w:tc>
                <w:tcPr>
                  <w:tcW w:w="1682" w:type="pct"/>
                  <w:gridSpan w:val="2"/>
                  <w:vAlign w:val="center"/>
                </w:tcPr>
                <w:p w14:paraId="62D87CEE">
                  <w:pPr>
                    <w:adjustRightInd w:val="0"/>
                    <w:snapToGrid w:val="0"/>
                    <w:jc w:val="center"/>
                    <w:rPr>
                      <w:b/>
                      <w:color w:val="auto"/>
                      <w:kern w:val="0"/>
                      <w:szCs w:val="21"/>
                      <w:highlight w:val="none"/>
                    </w:rPr>
                  </w:pPr>
                  <w:r>
                    <w:rPr>
                      <w:b/>
                      <w:color w:val="auto"/>
                      <w:kern w:val="0"/>
                      <w:szCs w:val="21"/>
                      <w:highlight w:val="none"/>
                    </w:rPr>
                    <w:t>污染物排放量</w:t>
                  </w:r>
                </w:p>
              </w:tc>
              <w:tc>
                <w:tcPr>
                  <w:tcW w:w="973" w:type="pct"/>
                  <w:vMerge w:val="restart"/>
                  <w:vAlign w:val="center"/>
                </w:tcPr>
                <w:p w14:paraId="647E0C8D">
                  <w:pPr>
                    <w:adjustRightInd w:val="0"/>
                    <w:snapToGrid w:val="0"/>
                    <w:jc w:val="center"/>
                    <w:rPr>
                      <w:b/>
                      <w:color w:val="auto"/>
                      <w:kern w:val="0"/>
                      <w:szCs w:val="21"/>
                      <w:highlight w:val="none"/>
                    </w:rPr>
                  </w:pPr>
                  <w:r>
                    <w:rPr>
                      <w:b/>
                      <w:color w:val="auto"/>
                      <w:kern w:val="0"/>
                      <w:szCs w:val="21"/>
                      <w:highlight w:val="none"/>
                    </w:rPr>
                    <w:t>排放方式与去向</w:t>
                  </w:r>
                </w:p>
              </w:tc>
            </w:tr>
            <w:tr w14:paraId="3B263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continue"/>
                  <w:vAlign w:val="center"/>
                </w:tcPr>
                <w:p w14:paraId="63A05E01">
                  <w:pPr>
                    <w:adjustRightInd w:val="0"/>
                    <w:snapToGrid w:val="0"/>
                    <w:jc w:val="center"/>
                    <w:rPr>
                      <w:b/>
                      <w:color w:val="auto"/>
                      <w:kern w:val="0"/>
                      <w:szCs w:val="21"/>
                      <w:highlight w:val="none"/>
                    </w:rPr>
                  </w:pPr>
                </w:p>
              </w:tc>
              <w:tc>
                <w:tcPr>
                  <w:tcW w:w="597" w:type="pct"/>
                  <w:vMerge w:val="continue"/>
                  <w:vAlign w:val="center"/>
                </w:tcPr>
                <w:p w14:paraId="5D849A86">
                  <w:pPr>
                    <w:adjustRightInd w:val="0"/>
                    <w:snapToGrid w:val="0"/>
                    <w:jc w:val="center"/>
                    <w:rPr>
                      <w:b/>
                      <w:color w:val="auto"/>
                      <w:kern w:val="0"/>
                      <w:szCs w:val="21"/>
                      <w:highlight w:val="none"/>
                    </w:rPr>
                  </w:pPr>
                </w:p>
              </w:tc>
              <w:tc>
                <w:tcPr>
                  <w:tcW w:w="1163" w:type="pct"/>
                  <w:vMerge w:val="continue"/>
                  <w:vAlign w:val="center"/>
                </w:tcPr>
                <w:p w14:paraId="3429E556">
                  <w:pPr>
                    <w:adjustRightInd w:val="0"/>
                    <w:snapToGrid w:val="0"/>
                    <w:jc w:val="center"/>
                    <w:rPr>
                      <w:b/>
                      <w:color w:val="auto"/>
                      <w:kern w:val="0"/>
                      <w:szCs w:val="21"/>
                      <w:highlight w:val="none"/>
                    </w:rPr>
                  </w:pPr>
                </w:p>
              </w:tc>
              <w:tc>
                <w:tcPr>
                  <w:tcW w:w="744" w:type="pct"/>
                  <w:vAlign w:val="center"/>
                </w:tcPr>
                <w:p w14:paraId="76D22719">
                  <w:pPr>
                    <w:adjustRightInd w:val="0"/>
                    <w:snapToGrid w:val="0"/>
                    <w:jc w:val="center"/>
                    <w:rPr>
                      <w:b/>
                      <w:color w:val="auto"/>
                      <w:kern w:val="0"/>
                      <w:szCs w:val="21"/>
                      <w:highlight w:val="none"/>
                    </w:rPr>
                  </w:pPr>
                  <w:r>
                    <w:rPr>
                      <w:b/>
                      <w:color w:val="auto"/>
                      <w:kern w:val="0"/>
                      <w:szCs w:val="21"/>
                      <w:highlight w:val="none"/>
                    </w:rPr>
                    <w:t>浓度mg/L</w:t>
                  </w:r>
                </w:p>
              </w:tc>
              <w:tc>
                <w:tcPr>
                  <w:tcW w:w="937" w:type="pct"/>
                  <w:vAlign w:val="center"/>
                </w:tcPr>
                <w:p w14:paraId="671FCD3B">
                  <w:pPr>
                    <w:adjustRightInd w:val="0"/>
                    <w:snapToGrid w:val="0"/>
                    <w:jc w:val="center"/>
                    <w:rPr>
                      <w:b/>
                      <w:color w:val="auto"/>
                      <w:kern w:val="0"/>
                      <w:szCs w:val="21"/>
                      <w:highlight w:val="none"/>
                    </w:rPr>
                  </w:pPr>
                  <w:r>
                    <w:rPr>
                      <w:b/>
                      <w:color w:val="auto"/>
                      <w:kern w:val="0"/>
                      <w:szCs w:val="21"/>
                      <w:highlight w:val="none"/>
                    </w:rPr>
                    <w:t>排放量t/a</w:t>
                  </w:r>
                </w:p>
              </w:tc>
              <w:tc>
                <w:tcPr>
                  <w:tcW w:w="973" w:type="pct"/>
                  <w:vMerge w:val="continue"/>
                  <w:vAlign w:val="center"/>
                </w:tcPr>
                <w:p w14:paraId="6340B2F9">
                  <w:pPr>
                    <w:adjustRightInd w:val="0"/>
                    <w:snapToGrid w:val="0"/>
                    <w:jc w:val="center"/>
                    <w:rPr>
                      <w:color w:val="auto"/>
                      <w:kern w:val="0"/>
                      <w:szCs w:val="21"/>
                      <w:highlight w:val="none"/>
                    </w:rPr>
                  </w:pPr>
                </w:p>
              </w:tc>
            </w:tr>
            <w:tr w14:paraId="73C9A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restart"/>
                  <w:vAlign w:val="center"/>
                </w:tcPr>
                <w:p w14:paraId="2C34A1D2">
                  <w:pPr>
                    <w:adjustRightInd w:val="0"/>
                    <w:snapToGrid w:val="0"/>
                    <w:jc w:val="center"/>
                    <w:rPr>
                      <w:color w:val="auto"/>
                      <w:szCs w:val="21"/>
                      <w:highlight w:val="none"/>
                    </w:rPr>
                  </w:pPr>
                  <w:r>
                    <w:rPr>
                      <w:color w:val="auto"/>
                      <w:kern w:val="0"/>
                      <w:szCs w:val="21"/>
                      <w:highlight w:val="none"/>
                    </w:rPr>
                    <w:t>生活污水</w:t>
                  </w:r>
                  <w:r>
                    <w:rPr>
                      <w:rFonts w:hint="eastAsia"/>
                      <w:color w:val="auto"/>
                      <w:kern w:val="0"/>
                      <w:szCs w:val="21"/>
                      <w:highlight w:val="none"/>
                    </w:rPr>
                    <w:t>+</w:t>
                  </w:r>
                  <w:r>
                    <w:rPr>
                      <w:color w:val="auto"/>
                      <w:kern w:val="0"/>
                      <w:szCs w:val="21"/>
                      <w:highlight w:val="none"/>
                    </w:rPr>
                    <w:t>纯水制备弃水</w:t>
                  </w:r>
                </w:p>
              </w:tc>
              <w:tc>
                <w:tcPr>
                  <w:tcW w:w="597" w:type="pct"/>
                  <w:vMerge w:val="restart"/>
                  <w:vAlign w:val="center"/>
                </w:tcPr>
                <w:p w14:paraId="409FAAC7">
                  <w:pPr>
                    <w:adjustRightInd w:val="0"/>
                    <w:snapToGrid w:val="0"/>
                    <w:jc w:val="center"/>
                    <w:rPr>
                      <w:color w:val="auto"/>
                      <w:kern w:val="0"/>
                      <w:szCs w:val="21"/>
                      <w:highlight w:val="none"/>
                    </w:rPr>
                  </w:pPr>
                  <w:r>
                    <w:rPr>
                      <w:color w:val="auto"/>
                      <w:kern w:val="0"/>
                      <w:szCs w:val="21"/>
                      <w:highlight w:val="none"/>
                    </w:rPr>
                    <w:t>2424</w:t>
                  </w:r>
                </w:p>
              </w:tc>
              <w:tc>
                <w:tcPr>
                  <w:tcW w:w="1163" w:type="pct"/>
                  <w:vAlign w:val="center"/>
                </w:tcPr>
                <w:p w14:paraId="4B337BB1">
                  <w:pPr>
                    <w:pStyle w:val="60"/>
                    <w:spacing w:before="24" w:after="24"/>
                    <w:rPr>
                      <w:rFonts w:ascii="Times New Roman"/>
                      <w:color w:val="auto"/>
                      <w:szCs w:val="21"/>
                      <w:highlight w:val="none"/>
                      <w:lang w:val="en-US"/>
                    </w:rPr>
                  </w:pPr>
                  <w:r>
                    <w:rPr>
                      <w:rFonts w:ascii="Times New Roman"/>
                      <w:color w:val="auto"/>
                      <w:szCs w:val="21"/>
                      <w:highlight w:val="none"/>
                      <w:lang w:val="en-US"/>
                    </w:rPr>
                    <w:t>COD</w:t>
                  </w:r>
                </w:p>
              </w:tc>
              <w:tc>
                <w:tcPr>
                  <w:tcW w:w="744" w:type="pct"/>
                  <w:vAlign w:val="center"/>
                </w:tcPr>
                <w:p w14:paraId="283987B7">
                  <w:pPr>
                    <w:jc w:val="center"/>
                    <w:rPr>
                      <w:color w:val="auto"/>
                      <w:szCs w:val="21"/>
                      <w:highlight w:val="none"/>
                    </w:rPr>
                  </w:pPr>
                  <w:r>
                    <w:rPr>
                      <w:rFonts w:hint="eastAsia"/>
                      <w:color w:val="auto"/>
                      <w:szCs w:val="21"/>
                      <w:highlight w:val="none"/>
                    </w:rPr>
                    <w:t>130</w:t>
                  </w:r>
                </w:p>
              </w:tc>
              <w:tc>
                <w:tcPr>
                  <w:tcW w:w="1748" w:type="dxa"/>
                  <w:vAlign w:val="center"/>
                </w:tcPr>
                <w:p w14:paraId="1A4919F0">
                  <w:pPr>
                    <w:jc w:val="center"/>
                    <w:rPr>
                      <w:color w:val="auto"/>
                      <w:szCs w:val="21"/>
                      <w:highlight w:val="none"/>
                    </w:rPr>
                  </w:pPr>
                  <w:r>
                    <w:rPr>
                      <w:rFonts w:hint="eastAsia"/>
                      <w:color w:val="auto"/>
                      <w:szCs w:val="21"/>
                      <w:highlight w:val="none"/>
                    </w:rPr>
                    <w:t xml:space="preserve">0.3151 </w:t>
                  </w:r>
                </w:p>
              </w:tc>
              <w:tc>
                <w:tcPr>
                  <w:tcW w:w="973" w:type="pct"/>
                  <w:vMerge w:val="restart"/>
                  <w:vAlign w:val="center"/>
                </w:tcPr>
                <w:p w14:paraId="018083D4">
                  <w:pPr>
                    <w:adjustRightInd w:val="0"/>
                    <w:snapToGrid w:val="0"/>
                    <w:jc w:val="center"/>
                    <w:rPr>
                      <w:color w:val="auto"/>
                      <w:kern w:val="0"/>
                      <w:szCs w:val="21"/>
                      <w:highlight w:val="none"/>
                    </w:rPr>
                  </w:pPr>
                  <w:r>
                    <w:rPr>
                      <w:color w:val="auto"/>
                      <w:kern w:val="0"/>
                      <w:szCs w:val="21"/>
                      <w:highlight w:val="none"/>
                    </w:rPr>
                    <w:t>接管海门东洲水处理有限公司集中处理</w:t>
                  </w:r>
                </w:p>
              </w:tc>
            </w:tr>
            <w:tr w14:paraId="7E540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continue"/>
                  <w:vAlign w:val="center"/>
                </w:tcPr>
                <w:p w14:paraId="3C1338B1">
                  <w:pPr>
                    <w:pStyle w:val="5"/>
                    <w:rPr>
                      <w:color w:val="auto"/>
                      <w:sz w:val="21"/>
                      <w:szCs w:val="21"/>
                      <w:highlight w:val="none"/>
                      <w:lang w:val="en-US"/>
                    </w:rPr>
                  </w:pPr>
                </w:p>
              </w:tc>
              <w:tc>
                <w:tcPr>
                  <w:tcW w:w="597" w:type="pct"/>
                  <w:vMerge w:val="continue"/>
                  <w:vAlign w:val="center"/>
                </w:tcPr>
                <w:p w14:paraId="0802F8F8">
                  <w:pPr>
                    <w:adjustRightInd w:val="0"/>
                    <w:snapToGrid w:val="0"/>
                    <w:jc w:val="center"/>
                    <w:rPr>
                      <w:color w:val="auto"/>
                      <w:kern w:val="0"/>
                      <w:szCs w:val="21"/>
                      <w:highlight w:val="none"/>
                    </w:rPr>
                  </w:pPr>
                </w:p>
              </w:tc>
              <w:tc>
                <w:tcPr>
                  <w:tcW w:w="1163" w:type="pct"/>
                  <w:vAlign w:val="center"/>
                </w:tcPr>
                <w:p w14:paraId="36CF9B85">
                  <w:pPr>
                    <w:pStyle w:val="60"/>
                    <w:spacing w:before="24" w:after="24"/>
                    <w:rPr>
                      <w:rFonts w:ascii="Times New Roman"/>
                      <w:color w:val="auto"/>
                      <w:szCs w:val="21"/>
                      <w:highlight w:val="none"/>
                      <w:lang w:val="en-US"/>
                    </w:rPr>
                  </w:pPr>
                  <w:r>
                    <w:rPr>
                      <w:rFonts w:ascii="Times New Roman"/>
                      <w:color w:val="auto"/>
                      <w:szCs w:val="21"/>
                      <w:highlight w:val="none"/>
                      <w:lang w:val="en-US"/>
                    </w:rPr>
                    <w:t>SS</w:t>
                  </w:r>
                </w:p>
              </w:tc>
              <w:tc>
                <w:tcPr>
                  <w:tcW w:w="744" w:type="pct"/>
                  <w:vAlign w:val="center"/>
                </w:tcPr>
                <w:p w14:paraId="16AD8624">
                  <w:pPr>
                    <w:jc w:val="center"/>
                    <w:rPr>
                      <w:color w:val="auto"/>
                      <w:szCs w:val="21"/>
                      <w:highlight w:val="none"/>
                    </w:rPr>
                  </w:pPr>
                  <w:r>
                    <w:rPr>
                      <w:rFonts w:hint="eastAsia"/>
                      <w:color w:val="auto"/>
                      <w:szCs w:val="21"/>
                      <w:highlight w:val="none"/>
                    </w:rPr>
                    <w:t>27</w:t>
                  </w:r>
                </w:p>
              </w:tc>
              <w:tc>
                <w:tcPr>
                  <w:tcW w:w="1748" w:type="dxa"/>
                  <w:vAlign w:val="center"/>
                </w:tcPr>
                <w:p w14:paraId="6D0C1C48">
                  <w:pPr>
                    <w:jc w:val="center"/>
                    <w:rPr>
                      <w:color w:val="auto"/>
                      <w:szCs w:val="21"/>
                      <w:highlight w:val="none"/>
                    </w:rPr>
                  </w:pPr>
                  <w:r>
                    <w:rPr>
                      <w:rFonts w:hint="eastAsia"/>
                      <w:color w:val="auto"/>
                      <w:szCs w:val="21"/>
                      <w:highlight w:val="none"/>
                    </w:rPr>
                    <w:t xml:space="preserve">0.0654 </w:t>
                  </w:r>
                </w:p>
              </w:tc>
              <w:tc>
                <w:tcPr>
                  <w:tcW w:w="973" w:type="pct"/>
                  <w:vMerge w:val="continue"/>
                  <w:vAlign w:val="center"/>
                </w:tcPr>
                <w:p w14:paraId="33CEF23C">
                  <w:pPr>
                    <w:adjustRightInd w:val="0"/>
                    <w:snapToGrid w:val="0"/>
                    <w:jc w:val="center"/>
                    <w:rPr>
                      <w:color w:val="auto"/>
                      <w:kern w:val="0"/>
                      <w:szCs w:val="21"/>
                      <w:highlight w:val="none"/>
                    </w:rPr>
                  </w:pPr>
                </w:p>
              </w:tc>
            </w:tr>
            <w:tr w14:paraId="1B8B0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continue"/>
                  <w:vAlign w:val="center"/>
                </w:tcPr>
                <w:p w14:paraId="35132EBE">
                  <w:pPr>
                    <w:pStyle w:val="5"/>
                    <w:rPr>
                      <w:color w:val="auto"/>
                      <w:sz w:val="21"/>
                      <w:szCs w:val="21"/>
                      <w:highlight w:val="none"/>
                      <w:lang w:val="en-US"/>
                    </w:rPr>
                  </w:pPr>
                </w:p>
              </w:tc>
              <w:tc>
                <w:tcPr>
                  <w:tcW w:w="597" w:type="pct"/>
                  <w:vMerge w:val="continue"/>
                  <w:vAlign w:val="center"/>
                </w:tcPr>
                <w:p w14:paraId="2D1A1B80">
                  <w:pPr>
                    <w:adjustRightInd w:val="0"/>
                    <w:snapToGrid w:val="0"/>
                    <w:jc w:val="center"/>
                    <w:rPr>
                      <w:color w:val="auto"/>
                      <w:kern w:val="0"/>
                      <w:szCs w:val="21"/>
                      <w:highlight w:val="none"/>
                    </w:rPr>
                  </w:pPr>
                </w:p>
              </w:tc>
              <w:tc>
                <w:tcPr>
                  <w:tcW w:w="1163" w:type="pct"/>
                  <w:vAlign w:val="center"/>
                </w:tcPr>
                <w:p w14:paraId="5033E6B5">
                  <w:pPr>
                    <w:pStyle w:val="60"/>
                    <w:spacing w:before="24" w:after="24"/>
                    <w:rPr>
                      <w:rFonts w:ascii="Times New Roman"/>
                      <w:color w:val="auto"/>
                      <w:szCs w:val="21"/>
                      <w:highlight w:val="none"/>
                      <w:lang w:val="en-US"/>
                    </w:rPr>
                  </w:pPr>
                  <w:r>
                    <w:rPr>
                      <w:rFonts w:ascii="Times New Roman"/>
                      <w:color w:val="auto"/>
                      <w:szCs w:val="21"/>
                      <w:highlight w:val="none"/>
                      <w:lang w:val="en-US"/>
                    </w:rPr>
                    <w:t>NH</w:t>
                  </w:r>
                  <w:r>
                    <w:rPr>
                      <w:rFonts w:ascii="Times New Roman"/>
                      <w:color w:val="auto"/>
                      <w:szCs w:val="21"/>
                      <w:highlight w:val="none"/>
                      <w:vertAlign w:val="subscript"/>
                      <w:lang w:val="en-US"/>
                    </w:rPr>
                    <w:t>3</w:t>
                  </w:r>
                  <w:r>
                    <w:rPr>
                      <w:rFonts w:ascii="Times New Roman"/>
                      <w:color w:val="auto"/>
                      <w:szCs w:val="21"/>
                      <w:highlight w:val="none"/>
                      <w:lang w:val="en-US"/>
                    </w:rPr>
                    <w:t>-N</w:t>
                  </w:r>
                </w:p>
              </w:tc>
              <w:tc>
                <w:tcPr>
                  <w:tcW w:w="744" w:type="pct"/>
                  <w:vAlign w:val="center"/>
                </w:tcPr>
                <w:p w14:paraId="67EA7A15">
                  <w:pPr>
                    <w:adjustRightInd w:val="0"/>
                    <w:snapToGrid w:val="0"/>
                    <w:jc w:val="center"/>
                    <w:rPr>
                      <w:color w:val="auto"/>
                      <w:kern w:val="0"/>
                      <w:szCs w:val="21"/>
                      <w:highlight w:val="none"/>
                    </w:rPr>
                  </w:pPr>
                  <w:r>
                    <w:rPr>
                      <w:rFonts w:hint="eastAsia"/>
                      <w:color w:val="auto"/>
                      <w:kern w:val="0"/>
                      <w:szCs w:val="21"/>
                      <w:highlight w:val="none"/>
                    </w:rPr>
                    <w:t>1.73</w:t>
                  </w:r>
                </w:p>
              </w:tc>
              <w:tc>
                <w:tcPr>
                  <w:tcW w:w="1748" w:type="dxa"/>
                  <w:vAlign w:val="center"/>
                </w:tcPr>
                <w:p w14:paraId="17AE3B12">
                  <w:pPr>
                    <w:jc w:val="center"/>
                    <w:rPr>
                      <w:color w:val="auto"/>
                      <w:szCs w:val="21"/>
                      <w:highlight w:val="none"/>
                    </w:rPr>
                  </w:pPr>
                  <w:r>
                    <w:rPr>
                      <w:rFonts w:hint="eastAsia"/>
                      <w:color w:val="auto"/>
                      <w:szCs w:val="21"/>
                      <w:highlight w:val="none"/>
                    </w:rPr>
                    <w:t xml:space="preserve">0.0042 </w:t>
                  </w:r>
                </w:p>
              </w:tc>
              <w:tc>
                <w:tcPr>
                  <w:tcW w:w="973" w:type="pct"/>
                  <w:vMerge w:val="continue"/>
                  <w:vAlign w:val="center"/>
                </w:tcPr>
                <w:p w14:paraId="6C5F0B87">
                  <w:pPr>
                    <w:adjustRightInd w:val="0"/>
                    <w:snapToGrid w:val="0"/>
                    <w:jc w:val="center"/>
                    <w:rPr>
                      <w:color w:val="auto"/>
                      <w:kern w:val="0"/>
                      <w:szCs w:val="21"/>
                      <w:highlight w:val="none"/>
                    </w:rPr>
                  </w:pPr>
                </w:p>
              </w:tc>
            </w:tr>
            <w:tr w14:paraId="61CCE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continue"/>
                  <w:vAlign w:val="center"/>
                </w:tcPr>
                <w:p w14:paraId="513A38F8">
                  <w:pPr>
                    <w:pStyle w:val="5"/>
                    <w:rPr>
                      <w:color w:val="auto"/>
                      <w:sz w:val="21"/>
                      <w:szCs w:val="21"/>
                      <w:highlight w:val="none"/>
                      <w:lang w:val="en-US"/>
                    </w:rPr>
                  </w:pPr>
                </w:p>
              </w:tc>
              <w:tc>
                <w:tcPr>
                  <w:tcW w:w="597" w:type="pct"/>
                  <w:vMerge w:val="continue"/>
                  <w:vAlign w:val="center"/>
                </w:tcPr>
                <w:p w14:paraId="3B102A12">
                  <w:pPr>
                    <w:adjustRightInd w:val="0"/>
                    <w:snapToGrid w:val="0"/>
                    <w:jc w:val="center"/>
                    <w:rPr>
                      <w:color w:val="auto"/>
                      <w:kern w:val="0"/>
                      <w:szCs w:val="21"/>
                      <w:highlight w:val="none"/>
                    </w:rPr>
                  </w:pPr>
                </w:p>
              </w:tc>
              <w:tc>
                <w:tcPr>
                  <w:tcW w:w="1163" w:type="pct"/>
                  <w:vAlign w:val="center"/>
                </w:tcPr>
                <w:p w14:paraId="1F732492">
                  <w:pPr>
                    <w:pStyle w:val="60"/>
                    <w:spacing w:before="24" w:after="24"/>
                    <w:rPr>
                      <w:rFonts w:ascii="Times New Roman"/>
                      <w:color w:val="auto"/>
                      <w:szCs w:val="21"/>
                      <w:highlight w:val="none"/>
                      <w:lang w:val="en-US"/>
                    </w:rPr>
                  </w:pPr>
                  <w:r>
                    <w:rPr>
                      <w:rFonts w:ascii="Times New Roman"/>
                      <w:color w:val="auto"/>
                      <w:szCs w:val="21"/>
                      <w:highlight w:val="none"/>
                      <w:lang w:val="en-US"/>
                    </w:rPr>
                    <w:t>TN</w:t>
                  </w:r>
                </w:p>
              </w:tc>
              <w:tc>
                <w:tcPr>
                  <w:tcW w:w="744" w:type="pct"/>
                  <w:vAlign w:val="center"/>
                </w:tcPr>
                <w:p w14:paraId="6BA6CB0B">
                  <w:pPr>
                    <w:adjustRightInd w:val="0"/>
                    <w:snapToGrid w:val="0"/>
                    <w:jc w:val="center"/>
                    <w:rPr>
                      <w:color w:val="auto"/>
                      <w:kern w:val="0"/>
                      <w:szCs w:val="21"/>
                      <w:highlight w:val="none"/>
                    </w:rPr>
                  </w:pPr>
                  <w:r>
                    <w:rPr>
                      <w:rFonts w:hint="eastAsia"/>
                      <w:color w:val="auto"/>
                      <w:kern w:val="0"/>
                      <w:szCs w:val="21"/>
                      <w:highlight w:val="none"/>
                    </w:rPr>
                    <w:t>2.82</w:t>
                  </w:r>
                </w:p>
              </w:tc>
              <w:tc>
                <w:tcPr>
                  <w:tcW w:w="1748" w:type="dxa"/>
                  <w:vAlign w:val="center"/>
                </w:tcPr>
                <w:p w14:paraId="751F9FCB">
                  <w:pPr>
                    <w:jc w:val="center"/>
                    <w:rPr>
                      <w:color w:val="auto"/>
                      <w:szCs w:val="21"/>
                      <w:highlight w:val="none"/>
                    </w:rPr>
                  </w:pPr>
                  <w:r>
                    <w:rPr>
                      <w:rFonts w:hint="eastAsia"/>
                      <w:color w:val="auto"/>
                      <w:szCs w:val="21"/>
                      <w:highlight w:val="none"/>
                    </w:rPr>
                    <w:t xml:space="preserve">0.0068 </w:t>
                  </w:r>
                </w:p>
              </w:tc>
              <w:tc>
                <w:tcPr>
                  <w:tcW w:w="973" w:type="pct"/>
                  <w:vMerge w:val="continue"/>
                  <w:vAlign w:val="center"/>
                </w:tcPr>
                <w:p w14:paraId="6BB6B8A7">
                  <w:pPr>
                    <w:adjustRightInd w:val="0"/>
                    <w:snapToGrid w:val="0"/>
                    <w:jc w:val="center"/>
                    <w:rPr>
                      <w:color w:val="auto"/>
                      <w:kern w:val="0"/>
                      <w:szCs w:val="21"/>
                      <w:highlight w:val="none"/>
                    </w:rPr>
                  </w:pPr>
                </w:p>
              </w:tc>
            </w:tr>
            <w:tr w14:paraId="3E9E0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vMerge w:val="continue"/>
                  <w:vAlign w:val="center"/>
                </w:tcPr>
                <w:p w14:paraId="163E6988">
                  <w:pPr>
                    <w:pStyle w:val="5"/>
                    <w:rPr>
                      <w:color w:val="auto"/>
                      <w:sz w:val="21"/>
                      <w:szCs w:val="21"/>
                      <w:highlight w:val="none"/>
                      <w:lang w:val="en-US"/>
                    </w:rPr>
                  </w:pPr>
                </w:p>
              </w:tc>
              <w:tc>
                <w:tcPr>
                  <w:tcW w:w="597" w:type="pct"/>
                  <w:vMerge w:val="continue"/>
                  <w:vAlign w:val="center"/>
                </w:tcPr>
                <w:p w14:paraId="70849CC9">
                  <w:pPr>
                    <w:adjustRightInd w:val="0"/>
                    <w:snapToGrid w:val="0"/>
                    <w:jc w:val="center"/>
                    <w:rPr>
                      <w:color w:val="auto"/>
                      <w:kern w:val="0"/>
                      <w:szCs w:val="21"/>
                      <w:highlight w:val="none"/>
                    </w:rPr>
                  </w:pPr>
                </w:p>
              </w:tc>
              <w:tc>
                <w:tcPr>
                  <w:tcW w:w="1163" w:type="pct"/>
                  <w:vAlign w:val="center"/>
                </w:tcPr>
                <w:p w14:paraId="2C5F787F">
                  <w:pPr>
                    <w:pStyle w:val="60"/>
                    <w:spacing w:before="24" w:after="24"/>
                    <w:rPr>
                      <w:rFonts w:ascii="Times New Roman"/>
                      <w:color w:val="auto"/>
                      <w:szCs w:val="21"/>
                      <w:highlight w:val="none"/>
                      <w:lang w:val="en-US"/>
                    </w:rPr>
                  </w:pPr>
                  <w:r>
                    <w:rPr>
                      <w:rFonts w:ascii="Times New Roman"/>
                      <w:color w:val="auto"/>
                      <w:szCs w:val="21"/>
                      <w:highlight w:val="none"/>
                      <w:lang w:val="en-US"/>
                    </w:rPr>
                    <w:t>TP</w:t>
                  </w:r>
                </w:p>
              </w:tc>
              <w:tc>
                <w:tcPr>
                  <w:tcW w:w="744" w:type="pct"/>
                  <w:vAlign w:val="center"/>
                </w:tcPr>
                <w:p w14:paraId="3D601E4C">
                  <w:pPr>
                    <w:adjustRightInd w:val="0"/>
                    <w:snapToGrid w:val="0"/>
                    <w:jc w:val="center"/>
                    <w:rPr>
                      <w:color w:val="auto"/>
                      <w:kern w:val="0"/>
                      <w:szCs w:val="21"/>
                      <w:highlight w:val="none"/>
                    </w:rPr>
                  </w:pPr>
                  <w:r>
                    <w:rPr>
                      <w:rFonts w:hint="eastAsia"/>
                      <w:color w:val="auto"/>
                      <w:kern w:val="0"/>
                      <w:szCs w:val="21"/>
                      <w:highlight w:val="none"/>
                    </w:rPr>
                    <w:t>0.44</w:t>
                  </w:r>
                </w:p>
              </w:tc>
              <w:tc>
                <w:tcPr>
                  <w:tcW w:w="1748" w:type="dxa"/>
                  <w:vAlign w:val="center"/>
                </w:tcPr>
                <w:p w14:paraId="7B6FDB34">
                  <w:pPr>
                    <w:jc w:val="center"/>
                    <w:rPr>
                      <w:color w:val="auto"/>
                      <w:szCs w:val="21"/>
                      <w:highlight w:val="none"/>
                    </w:rPr>
                  </w:pPr>
                  <w:r>
                    <w:rPr>
                      <w:rFonts w:hint="eastAsia"/>
                      <w:color w:val="auto"/>
                      <w:szCs w:val="21"/>
                      <w:highlight w:val="none"/>
                    </w:rPr>
                    <w:t xml:space="preserve">0.0011 </w:t>
                  </w:r>
                </w:p>
              </w:tc>
              <w:tc>
                <w:tcPr>
                  <w:tcW w:w="973" w:type="pct"/>
                  <w:vMerge w:val="continue"/>
                  <w:vAlign w:val="center"/>
                </w:tcPr>
                <w:p w14:paraId="12F7B5CD">
                  <w:pPr>
                    <w:adjustRightInd w:val="0"/>
                    <w:snapToGrid w:val="0"/>
                    <w:jc w:val="center"/>
                    <w:rPr>
                      <w:color w:val="auto"/>
                      <w:kern w:val="0"/>
                      <w:szCs w:val="21"/>
                      <w:highlight w:val="none"/>
                    </w:rPr>
                  </w:pPr>
                </w:p>
              </w:tc>
            </w:tr>
          </w:tbl>
          <w:p w14:paraId="5E814A34">
            <w:pPr>
              <w:pStyle w:val="99"/>
              <w:snapToGrid w:val="0"/>
              <w:spacing w:before="120" w:beforeLines="50" w:line="360" w:lineRule="auto"/>
              <w:ind w:firstLine="482"/>
              <w:rPr>
                <w:color w:val="auto"/>
                <w:sz w:val="24"/>
                <w:highlight w:val="none"/>
              </w:rPr>
            </w:pPr>
            <w:r>
              <w:rPr>
                <w:color w:val="auto"/>
                <w:sz w:val="24"/>
                <w:highlight w:val="none"/>
              </w:rPr>
              <w:t>由上表可知，已建在生产项目废水COD和SS达到《污水综合排放标准》（GB8978-1996）表4中三级标准：COD≤500mg/L、SS≤400mg/L；NH</w:t>
            </w:r>
            <w:r>
              <w:rPr>
                <w:color w:val="auto"/>
                <w:sz w:val="24"/>
                <w:highlight w:val="none"/>
                <w:vertAlign w:val="subscript"/>
              </w:rPr>
              <w:t>3</w:t>
            </w:r>
            <w:r>
              <w:rPr>
                <w:color w:val="auto"/>
                <w:sz w:val="24"/>
                <w:highlight w:val="none"/>
              </w:rPr>
              <w:t>-N、TN和TP达到《污水排入城镇下水道水质标准》（GB/T 31962-2015）</w:t>
            </w:r>
            <w:r>
              <w:rPr>
                <w:rFonts w:hint="eastAsia"/>
                <w:color w:val="auto"/>
                <w:sz w:val="24"/>
                <w:highlight w:val="none"/>
              </w:rPr>
              <w:t>表1中B级标准</w:t>
            </w:r>
            <w:r>
              <w:rPr>
                <w:color w:val="auto"/>
                <w:sz w:val="24"/>
                <w:highlight w:val="none"/>
              </w:rPr>
              <w:t>：NH</w:t>
            </w:r>
            <w:r>
              <w:rPr>
                <w:color w:val="auto"/>
                <w:sz w:val="24"/>
                <w:highlight w:val="none"/>
                <w:vertAlign w:val="subscript"/>
              </w:rPr>
              <w:t>3</w:t>
            </w:r>
            <w:r>
              <w:rPr>
                <w:color w:val="auto"/>
                <w:sz w:val="24"/>
                <w:highlight w:val="none"/>
              </w:rPr>
              <w:t>-N≤</w:t>
            </w:r>
            <w:r>
              <w:rPr>
                <w:rFonts w:hint="eastAsia"/>
                <w:color w:val="auto"/>
                <w:sz w:val="24"/>
                <w:highlight w:val="none"/>
              </w:rPr>
              <w:t>45</w:t>
            </w:r>
            <w:r>
              <w:rPr>
                <w:color w:val="auto"/>
                <w:sz w:val="24"/>
                <w:highlight w:val="none"/>
              </w:rPr>
              <w:t>mg/L、TN≤</w:t>
            </w:r>
            <w:r>
              <w:rPr>
                <w:rFonts w:hint="eastAsia"/>
                <w:color w:val="auto"/>
                <w:sz w:val="24"/>
                <w:highlight w:val="none"/>
              </w:rPr>
              <w:t>70</w:t>
            </w:r>
            <w:r>
              <w:rPr>
                <w:color w:val="auto"/>
                <w:sz w:val="24"/>
                <w:highlight w:val="none"/>
              </w:rPr>
              <w:t>mg/L、TP≤8mg/L，满足</w:t>
            </w:r>
            <w:r>
              <w:rPr>
                <w:rFonts w:hint="eastAsia" w:hAnsi="宋体" w:cs="宋体"/>
                <w:color w:val="auto"/>
                <w:kern w:val="2"/>
                <w:sz w:val="24"/>
                <w:highlight w:val="none"/>
              </w:rPr>
              <w:t>海门东洲水处理有限公司</w:t>
            </w:r>
            <w:r>
              <w:rPr>
                <w:color w:val="auto"/>
                <w:sz w:val="24"/>
                <w:highlight w:val="none"/>
              </w:rPr>
              <w:t>接管要求。</w:t>
            </w:r>
          </w:p>
          <w:p w14:paraId="251C3B30">
            <w:pPr>
              <w:adjustRightInd w:val="0"/>
              <w:snapToGrid w:val="0"/>
              <w:spacing w:line="360" w:lineRule="auto"/>
              <w:ind w:firstLine="482" w:firstLineChars="200"/>
              <w:rPr>
                <w:rFonts w:hAnsi="宋体"/>
                <w:b/>
                <w:snapToGrid w:val="0"/>
                <w:color w:val="auto"/>
                <w:kern w:val="0"/>
                <w:sz w:val="24"/>
                <w:highlight w:val="none"/>
              </w:rPr>
            </w:pPr>
            <w:r>
              <w:rPr>
                <w:rFonts w:hint="eastAsia" w:hAnsi="宋体"/>
                <w:b/>
                <w:snapToGrid w:val="0"/>
                <w:color w:val="auto"/>
                <w:kern w:val="0"/>
                <w:sz w:val="24"/>
                <w:highlight w:val="none"/>
              </w:rPr>
              <w:t>（</w:t>
            </w:r>
            <w:r>
              <w:rPr>
                <w:rFonts w:hAnsi="宋体"/>
                <w:b/>
                <w:snapToGrid w:val="0"/>
                <w:color w:val="auto"/>
                <w:kern w:val="0"/>
                <w:sz w:val="24"/>
                <w:highlight w:val="none"/>
              </w:rPr>
              <w:t>3</w:t>
            </w:r>
            <w:r>
              <w:rPr>
                <w:rFonts w:hint="eastAsia" w:hAnsi="宋体"/>
                <w:b/>
                <w:snapToGrid w:val="0"/>
                <w:color w:val="auto"/>
                <w:kern w:val="0"/>
                <w:sz w:val="24"/>
                <w:highlight w:val="none"/>
              </w:rPr>
              <w:t>）噪声</w:t>
            </w:r>
          </w:p>
          <w:p w14:paraId="16FF5C9A">
            <w:pPr>
              <w:pStyle w:val="99"/>
              <w:snapToGrid w:val="0"/>
              <w:spacing w:line="360" w:lineRule="auto"/>
              <w:ind w:firstLine="480"/>
              <w:rPr>
                <w:b/>
                <w:color w:val="auto"/>
                <w:sz w:val="24"/>
                <w:highlight w:val="none"/>
              </w:rPr>
            </w:pPr>
            <w:r>
              <w:rPr>
                <w:color w:val="auto"/>
                <w:sz w:val="24"/>
                <w:highlight w:val="none"/>
              </w:rPr>
              <w:t>厂内主要噪声源为风机、空压机、水泵、冷却塔等公辅设施，采取厂区合理布局、减震底座、厂房隔声等降噪措施。根据</w:t>
            </w:r>
            <w:r>
              <w:rPr>
                <w:rFonts w:hint="eastAsia"/>
                <w:color w:val="auto"/>
                <w:sz w:val="24"/>
                <w:highlight w:val="none"/>
              </w:rPr>
              <w:t>江苏迈斯特环境检测有限公司</w:t>
            </w:r>
            <w:r>
              <w:rPr>
                <w:snapToGrid w:val="0"/>
                <w:color w:val="auto"/>
                <w:sz w:val="24"/>
                <w:highlight w:val="none"/>
              </w:rPr>
              <w:t>20</w:t>
            </w:r>
            <w:r>
              <w:rPr>
                <w:rFonts w:hint="eastAsia"/>
                <w:snapToGrid w:val="0"/>
                <w:color w:val="auto"/>
                <w:sz w:val="24"/>
                <w:highlight w:val="none"/>
              </w:rPr>
              <w:t>20</w:t>
            </w:r>
            <w:r>
              <w:rPr>
                <w:snapToGrid w:val="0"/>
                <w:color w:val="auto"/>
                <w:sz w:val="24"/>
                <w:highlight w:val="none"/>
              </w:rPr>
              <w:t>年</w:t>
            </w:r>
            <w:r>
              <w:rPr>
                <w:rFonts w:hint="eastAsia"/>
                <w:snapToGrid w:val="0"/>
                <w:color w:val="auto"/>
                <w:sz w:val="24"/>
                <w:highlight w:val="none"/>
              </w:rPr>
              <w:t>8</w:t>
            </w:r>
            <w:r>
              <w:rPr>
                <w:snapToGrid w:val="0"/>
                <w:color w:val="auto"/>
                <w:sz w:val="24"/>
                <w:highlight w:val="none"/>
              </w:rPr>
              <w:t>月</w:t>
            </w:r>
            <w:r>
              <w:rPr>
                <w:rFonts w:hint="eastAsia"/>
                <w:snapToGrid w:val="0"/>
                <w:color w:val="auto"/>
                <w:sz w:val="24"/>
                <w:highlight w:val="none"/>
              </w:rPr>
              <w:t>21</w:t>
            </w:r>
            <w:r>
              <w:rPr>
                <w:snapToGrid w:val="0"/>
                <w:color w:val="auto"/>
                <w:sz w:val="24"/>
                <w:highlight w:val="none"/>
              </w:rPr>
              <w:t>日出具的现有项目的《“三同时”验收监测》</w:t>
            </w:r>
            <w:r>
              <w:rPr>
                <w:rFonts w:hint="eastAsia"/>
                <w:snapToGrid w:val="0"/>
                <w:color w:val="auto"/>
                <w:sz w:val="24"/>
                <w:highlight w:val="none"/>
              </w:rPr>
              <w:t>（MST20200806005</w:t>
            </w:r>
            <w:r>
              <w:rPr>
                <w:rFonts w:hint="eastAsia"/>
                <w:color w:val="auto"/>
                <w:sz w:val="24"/>
                <w:highlight w:val="none"/>
              </w:rPr>
              <w:t>）数据如下：</w:t>
            </w:r>
          </w:p>
          <w:p w14:paraId="14DFA6DA">
            <w:pPr>
              <w:adjustRightInd w:val="0"/>
              <w:snapToGrid w:val="0"/>
              <w:ind w:firstLine="482" w:firstLineChars="200"/>
              <w:jc w:val="center"/>
              <w:rPr>
                <w:b/>
                <w:color w:val="auto"/>
                <w:sz w:val="24"/>
                <w:highlight w:val="none"/>
              </w:rPr>
            </w:pPr>
            <w:r>
              <w:rPr>
                <w:b/>
                <w:color w:val="auto"/>
                <w:sz w:val="24"/>
                <w:highlight w:val="none"/>
              </w:rPr>
              <w:t>表</w:t>
            </w:r>
            <w:r>
              <w:rPr>
                <w:rFonts w:hint="eastAsia"/>
                <w:b/>
                <w:color w:val="auto"/>
                <w:sz w:val="24"/>
                <w:highlight w:val="none"/>
              </w:rPr>
              <w:t>2-13</w:t>
            </w:r>
            <w:r>
              <w:rPr>
                <w:b/>
                <w:color w:val="auto"/>
                <w:sz w:val="24"/>
                <w:highlight w:val="none"/>
              </w:rPr>
              <w:t xml:space="preserve">  噪声现状监测结果汇总   单位：dB(A)</w:t>
            </w:r>
          </w:p>
          <w:tbl>
            <w:tblPr>
              <w:tblStyle w:val="24"/>
              <w:tblW w:w="90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814"/>
              <w:gridCol w:w="1814"/>
              <w:gridCol w:w="986"/>
              <w:gridCol w:w="1608"/>
              <w:gridCol w:w="1034"/>
              <w:gridCol w:w="1815"/>
            </w:tblGrid>
            <w:tr w14:paraId="4E0595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14" w:type="dxa"/>
                  <w:vMerge w:val="restart"/>
                  <w:vAlign w:val="center"/>
                </w:tcPr>
                <w:p w14:paraId="1CCC5DDA">
                  <w:pPr>
                    <w:pStyle w:val="107"/>
                    <w:adjustRightInd w:val="0"/>
                    <w:snapToGrid w:val="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测点</w:t>
                  </w:r>
                </w:p>
              </w:tc>
              <w:tc>
                <w:tcPr>
                  <w:tcW w:w="1814" w:type="dxa"/>
                  <w:vMerge w:val="restart"/>
                  <w:vAlign w:val="center"/>
                </w:tcPr>
                <w:p w14:paraId="14B9444F">
                  <w:pPr>
                    <w:pStyle w:val="107"/>
                    <w:adjustRightInd w:val="0"/>
                    <w:snapToGrid w:val="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位置</w:t>
                  </w:r>
                </w:p>
              </w:tc>
              <w:tc>
                <w:tcPr>
                  <w:tcW w:w="986" w:type="dxa"/>
                  <w:vMerge w:val="restart"/>
                  <w:vAlign w:val="center"/>
                </w:tcPr>
                <w:p w14:paraId="476D95ED">
                  <w:pPr>
                    <w:pStyle w:val="107"/>
                    <w:adjustRightInd w:val="0"/>
                    <w:snapToGrid w:val="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环境功能</w:t>
                  </w:r>
                </w:p>
              </w:tc>
              <w:tc>
                <w:tcPr>
                  <w:tcW w:w="2642" w:type="dxa"/>
                  <w:gridSpan w:val="2"/>
                  <w:vAlign w:val="center"/>
                </w:tcPr>
                <w:p w14:paraId="6EB369BD">
                  <w:pPr>
                    <w:pStyle w:val="107"/>
                    <w:adjustRightInd w:val="0"/>
                    <w:snapToGrid w:val="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20</w:t>
                  </w:r>
                  <w:r>
                    <w:rPr>
                      <w:rFonts w:hint="eastAsia" w:ascii="Times New Roman" w:hAnsi="Times New Roman" w:eastAsia="宋体"/>
                      <w:b/>
                      <w:color w:val="auto"/>
                      <w:sz w:val="21"/>
                      <w:szCs w:val="21"/>
                      <w:highlight w:val="none"/>
                    </w:rPr>
                    <w:t>20</w:t>
                  </w:r>
                  <w:r>
                    <w:rPr>
                      <w:rFonts w:ascii="Times New Roman" w:hAnsi="Times New Roman" w:eastAsia="宋体"/>
                      <w:b/>
                      <w:color w:val="auto"/>
                      <w:sz w:val="21"/>
                      <w:szCs w:val="21"/>
                      <w:highlight w:val="none"/>
                    </w:rPr>
                    <w:t>.</w:t>
                  </w:r>
                  <w:r>
                    <w:rPr>
                      <w:rFonts w:hint="eastAsia" w:ascii="Times New Roman" w:hAnsi="Times New Roman" w:eastAsia="宋体"/>
                      <w:b/>
                      <w:color w:val="auto"/>
                      <w:sz w:val="21"/>
                      <w:szCs w:val="21"/>
                      <w:highlight w:val="none"/>
                    </w:rPr>
                    <w:t>8.10-2020.8.11</w:t>
                  </w:r>
                </w:p>
              </w:tc>
              <w:tc>
                <w:tcPr>
                  <w:tcW w:w="1815" w:type="dxa"/>
                  <w:vMerge w:val="restart"/>
                  <w:vAlign w:val="center"/>
                </w:tcPr>
                <w:p w14:paraId="6451F9D3">
                  <w:pPr>
                    <w:pStyle w:val="107"/>
                    <w:adjustRightInd w:val="0"/>
                    <w:snapToGrid w:val="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达标状况</w:t>
                  </w:r>
                </w:p>
              </w:tc>
            </w:tr>
            <w:tr w14:paraId="5A72F3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14" w:type="dxa"/>
                  <w:vMerge w:val="continue"/>
                  <w:vAlign w:val="center"/>
                </w:tcPr>
                <w:p w14:paraId="0235EBD2">
                  <w:pPr>
                    <w:pStyle w:val="107"/>
                    <w:adjustRightInd w:val="0"/>
                    <w:snapToGrid w:val="0"/>
                    <w:jc w:val="center"/>
                    <w:rPr>
                      <w:rFonts w:ascii="Times New Roman" w:hAnsi="Times New Roman"/>
                      <w:color w:val="auto"/>
                      <w:szCs w:val="22"/>
                      <w:highlight w:val="none"/>
                    </w:rPr>
                  </w:pPr>
                </w:p>
              </w:tc>
              <w:tc>
                <w:tcPr>
                  <w:tcW w:w="1814" w:type="dxa"/>
                  <w:vMerge w:val="continue"/>
                  <w:vAlign w:val="center"/>
                </w:tcPr>
                <w:p w14:paraId="4BD1E92C">
                  <w:pPr>
                    <w:pStyle w:val="107"/>
                    <w:adjustRightInd w:val="0"/>
                    <w:snapToGrid w:val="0"/>
                    <w:jc w:val="center"/>
                    <w:rPr>
                      <w:rFonts w:ascii="Times New Roman" w:hAnsi="Times New Roman"/>
                      <w:color w:val="auto"/>
                      <w:szCs w:val="22"/>
                      <w:highlight w:val="none"/>
                    </w:rPr>
                  </w:pPr>
                </w:p>
              </w:tc>
              <w:tc>
                <w:tcPr>
                  <w:tcW w:w="986" w:type="dxa"/>
                  <w:vMerge w:val="continue"/>
                  <w:vAlign w:val="center"/>
                </w:tcPr>
                <w:p w14:paraId="15230447">
                  <w:pPr>
                    <w:pStyle w:val="107"/>
                    <w:adjustRightInd w:val="0"/>
                    <w:snapToGrid w:val="0"/>
                    <w:jc w:val="center"/>
                    <w:rPr>
                      <w:rFonts w:ascii="Times New Roman" w:hAnsi="Times New Roman"/>
                      <w:color w:val="auto"/>
                      <w:szCs w:val="22"/>
                      <w:highlight w:val="none"/>
                    </w:rPr>
                  </w:pPr>
                </w:p>
              </w:tc>
              <w:tc>
                <w:tcPr>
                  <w:tcW w:w="1608" w:type="dxa"/>
                  <w:tcBorders>
                    <w:right w:val="single" w:color="auto" w:sz="4" w:space="0"/>
                  </w:tcBorders>
                  <w:vAlign w:val="center"/>
                </w:tcPr>
                <w:p w14:paraId="65B686D4">
                  <w:pPr>
                    <w:pStyle w:val="107"/>
                    <w:adjustRightInd w:val="0"/>
                    <w:snapToGrid w:val="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昼间</w:t>
                  </w:r>
                </w:p>
              </w:tc>
              <w:tc>
                <w:tcPr>
                  <w:tcW w:w="1034" w:type="dxa"/>
                  <w:tcBorders>
                    <w:left w:val="single" w:color="auto" w:sz="4" w:space="0"/>
                  </w:tcBorders>
                  <w:vAlign w:val="center"/>
                </w:tcPr>
                <w:p w14:paraId="0EEB432A">
                  <w:pPr>
                    <w:pStyle w:val="107"/>
                    <w:adjustRightInd w:val="0"/>
                    <w:snapToGrid w:val="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夜间</w:t>
                  </w:r>
                </w:p>
              </w:tc>
              <w:tc>
                <w:tcPr>
                  <w:tcW w:w="1815" w:type="dxa"/>
                  <w:vMerge w:val="continue"/>
                  <w:vAlign w:val="center"/>
                </w:tcPr>
                <w:p w14:paraId="4049E276">
                  <w:pPr>
                    <w:pStyle w:val="107"/>
                    <w:adjustRightInd w:val="0"/>
                    <w:snapToGrid w:val="0"/>
                    <w:jc w:val="center"/>
                    <w:rPr>
                      <w:rFonts w:ascii="Times New Roman" w:hAnsi="Times New Roman" w:eastAsia="宋体"/>
                      <w:b/>
                      <w:color w:val="auto"/>
                      <w:sz w:val="21"/>
                      <w:szCs w:val="21"/>
                      <w:highlight w:val="none"/>
                    </w:rPr>
                  </w:pPr>
                </w:p>
              </w:tc>
            </w:tr>
            <w:tr w14:paraId="1AEC16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14" w:type="dxa"/>
                  <w:vAlign w:val="center"/>
                </w:tcPr>
                <w:p w14:paraId="11B1A1DB">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N1</w:t>
                  </w:r>
                </w:p>
              </w:tc>
              <w:tc>
                <w:tcPr>
                  <w:tcW w:w="1814" w:type="dxa"/>
                  <w:vAlign w:val="center"/>
                </w:tcPr>
                <w:p w14:paraId="27C279AF">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东厂界</w:t>
                  </w:r>
                </w:p>
              </w:tc>
              <w:tc>
                <w:tcPr>
                  <w:tcW w:w="986" w:type="dxa"/>
                  <w:vAlign w:val="center"/>
                </w:tcPr>
                <w:p w14:paraId="1E615191">
                  <w:pPr>
                    <w:adjustRightInd w:val="0"/>
                    <w:snapToGrid w:val="0"/>
                    <w:jc w:val="center"/>
                    <w:rPr>
                      <w:color w:val="auto"/>
                      <w:highlight w:val="none"/>
                    </w:rPr>
                  </w:pPr>
                  <w:r>
                    <w:rPr>
                      <w:color w:val="auto"/>
                      <w:highlight w:val="none"/>
                    </w:rPr>
                    <w:t>3类</w:t>
                  </w:r>
                </w:p>
              </w:tc>
              <w:tc>
                <w:tcPr>
                  <w:tcW w:w="1608" w:type="dxa"/>
                  <w:tcBorders>
                    <w:right w:val="single" w:color="auto" w:sz="4" w:space="0"/>
                  </w:tcBorders>
                  <w:vAlign w:val="center"/>
                </w:tcPr>
                <w:p w14:paraId="63D96223">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54</w:t>
                  </w:r>
                </w:p>
              </w:tc>
              <w:tc>
                <w:tcPr>
                  <w:tcW w:w="1034" w:type="dxa"/>
                  <w:tcBorders>
                    <w:left w:val="single" w:color="auto" w:sz="4" w:space="0"/>
                  </w:tcBorders>
                  <w:vAlign w:val="center"/>
                </w:tcPr>
                <w:p w14:paraId="709EE22E">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45</w:t>
                  </w:r>
                </w:p>
              </w:tc>
              <w:tc>
                <w:tcPr>
                  <w:tcW w:w="1815" w:type="dxa"/>
                  <w:vAlign w:val="center"/>
                </w:tcPr>
                <w:p w14:paraId="7D2E4004">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14:paraId="39C62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14" w:type="dxa"/>
                  <w:vAlign w:val="center"/>
                </w:tcPr>
                <w:p w14:paraId="5DFA7FA7">
                  <w:pPr>
                    <w:adjustRightInd w:val="0"/>
                    <w:snapToGrid w:val="0"/>
                    <w:jc w:val="center"/>
                    <w:rPr>
                      <w:color w:val="auto"/>
                      <w:highlight w:val="none"/>
                    </w:rPr>
                  </w:pPr>
                  <w:r>
                    <w:rPr>
                      <w:color w:val="auto"/>
                      <w:highlight w:val="none"/>
                    </w:rPr>
                    <w:t>N2</w:t>
                  </w:r>
                </w:p>
              </w:tc>
              <w:tc>
                <w:tcPr>
                  <w:tcW w:w="1814" w:type="dxa"/>
                  <w:vAlign w:val="center"/>
                </w:tcPr>
                <w:p w14:paraId="59E874DB">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南厂界</w:t>
                  </w:r>
                </w:p>
              </w:tc>
              <w:tc>
                <w:tcPr>
                  <w:tcW w:w="986" w:type="dxa"/>
                  <w:vAlign w:val="center"/>
                </w:tcPr>
                <w:p w14:paraId="53C0F705">
                  <w:pPr>
                    <w:adjustRightInd w:val="0"/>
                    <w:snapToGrid w:val="0"/>
                    <w:jc w:val="center"/>
                    <w:rPr>
                      <w:color w:val="auto"/>
                      <w:highlight w:val="none"/>
                    </w:rPr>
                  </w:pPr>
                  <w:r>
                    <w:rPr>
                      <w:color w:val="auto"/>
                      <w:highlight w:val="none"/>
                    </w:rPr>
                    <w:t>3类</w:t>
                  </w:r>
                </w:p>
              </w:tc>
              <w:tc>
                <w:tcPr>
                  <w:tcW w:w="1608" w:type="dxa"/>
                  <w:tcBorders>
                    <w:right w:val="single" w:color="auto" w:sz="4" w:space="0"/>
                  </w:tcBorders>
                  <w:vAlign w:val="center"/>
                </w:tcPr>
                <w:p w14:paraId="0D46018B">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54</w:t>
                  </w:r>
                </w:p>
              </w:tc>
              <w:tc>
                <w:tcPr>
                  <w:tcW w:w="1034" w:type="dxa"/>
                  <w:tcBorders>
                    <w:left w:val="single" w:color="auto" w:sz="4" w:space="0"/>
                  </w:tcBorders>
                  <w:vAlign w:val="center"/>
                </w:tcPr>
                <w:p w14:paraId="2AFA5850">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47</w:t>
                  </w:r>
                </w:p>
              </w:tc>
              <w:tc>
                <w:tcPr>
                  <w:tcW w:w="1815" w:type="dxa"/>
                  <w:vAlign w:val="center"/>
                </w:tcPr>
                <w:p w14:paraId="587E72B4">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14:paraId="5395F4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14" w:type="dxa"/>
                  <w:vAlign w:val="center"/>
                </w:tcPr>
                <w:p w14:paraId="36AF8C33">
                  <w:pPr>
                    <w:adjustRightInd w:val="0"/>
                    <w:snapToGrid w:val="0"/>
                    <w:jc w:val="center"/>
                    <w:rPr>
                      <w:color w:val="auto"/>
                      <w:highlight w:val="none"/>
                    </w:rPr>
                  </w:pPr>
                  <w:r>
                    <w:rPr>
                      <w:color w:val="auto"/>
                      <w:highlight w:val="none"/>
                    </w:rPr>
                    <w:t>N3</w:t>
                  </w:r>
                </w:p>
              </w:tc>
              <w:tc>
                <w:tcPr>
                  <w:tcW w:w="1814" w:type="dxa"/>
                  <w:vAlign w:val="center"/>
                </w:tcPr>
                <w:p w14:paraId="47373027">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西厂界</w:t>
                  </w:r>
                </w:p>
              </w:tc>
              <w:tc>
                <w:tcPr>
                  <w:tcW w:w="986" w:type="dxa"/>
                  <w:vAlign w:val="center"/>
                </w:tcPr>
                <w:p w14:paraId="03C09FBA">
                  <w:pPr>
                    <w:adjustRightInd w:val="0"/>
                    <w:snapToGrid w:val="0"/>
                    <w:jc w:val="center"/>
                    <w:rPr>
                      <w:color w:val="auto"/>
                      <w:highlight w:val="none"/>
                    </w:rPr>
                  </w:pPr>
                  <w:r>
                    <w:rPr>
                      <w:color w:val="auto"/>
                      <w:highlight w:val="none"/>
                    </w:rPr>
                    <w:t>3类</w:t>
                  </w:r>
                </w:p>
              </w:tc>
              <w:tc>
                <w:tcPr>
                  <w:tcW w:w="1608" w:type="dxa"/>
                  <w:tcBorders>
                    <w:right w:val="single" w:color="auto" w:sz="4" w:space="0"/>
                  </w:tcBorders>
                  <w:vAlign w:val="center"/>
                </w:tcPr>
                <w:p w14:paraId="24100721">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57</w:t>
                  </w:r>
                </w:p>
              </w:tc>
              <w:tc>
                <w:tcPr>
                  <w:tcW w:w="1034" w:type="dxa"/>
                  <w:tcBorders>
                    <w:left w:val="single" w:color="auto" w:sz="4" w:space="0"/>
                  </w:tcBorders>
                  <w:vAlign w:val="center"/>
                </w:tcPr>
                <w:p w14:paraId="1342540E">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45</w:t>
                  </w:r>
                </w:p>
              </w:tc>
              <w:tc>
                <w:tcPr>
                  <w:tcW w:w="1815" w:type="dxa"/>
                  <w:vAlign w:val="center"/>
                </w:tcPr>
                <w:p w14:paraId="157D22D7">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14:paraId="635FEF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14" w:type="dxa"/>
                  <w:vAlign w:val="center"/>
                </w:tcPr>
                <w:p w14:paraId="12C9DA40">
                  <w:pPr>
                    <w:adjustRightInd w:val="0"/>
                    <w:snapToGrid w:val="0"/>
                    <w:jc w:val="center"/>
                    <w:rPr>
                      <w:color w:val="auto"/>
                      <w:highlight w:val="none"/>
                    </w:rPr>
                  </w:pPr>
                  <w:r>
                    <w:rPr>
                      <w:color w:val="auto"/>
                      <w:highlight w:val="none"/>
                    </w:rPr>
                    <w:t>N4</w:t>
                  </w:r>
                </w:p>
              </w:tc>
              <w:tc>
                <w:tcPr>
                  <w:tcW w:w="1814" w:type="dxa"/>
                  <w:vAlign w:val="center"/>
                </w:tcPr>
                <w:p w14:paraId="20B2C91F">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北厂界</w:t>
                  </w:r>
                </w:p>
              </w:tc>
              <w:tc>
                <w:tcPr>
                  <w:tcW w:w="986" w:type="dxa"/>
                  <w:vAlign w:val="center"/>
                </w:tcPr>
                <w:p w14:paraId="217D64EA">
                  <w:pPr>
                    <w:adjustRightInd w:val="0"/>
                    <w:snapToGrid w:val="0"/>
                    <w:jc w:val="center"/>
                    <w:rPr>
                      <w:color w:val="auto"/>
                      <w:highlight w:val="none"/>
                    </w:rPr>
                  </w:pPr>
                  <w:r>
                    <w:rPr>
                      <w:color w:val="auto"/>
                      <w:highlight w:val="none"/>
                    </w:rPr>
                    <w:t>3类</w:t>
                  </w:r>
                </w:p>
              </w:tc>
              <w:tc>
                <w:tcPr>
                  <w:tcW w:w="1608" w:type="dxa"/>
                  <w:tcBorders>
                    <w:right w:val="single" w:color="auto" w:sz="4" w:space="0"/>
                  </w:tcBorders>
                  <w:vAlign w:val="center"/>
                </w:tcPr>
                <w:p w14:paraId="5B331796">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55</w:t>
                  </w:r>
                </w:p>
              </w:tc>
              <w:tc>
                <w:tcPr>
                  <w:tcW w:w="1034" w:type="dxa"/>
                  <w:tcBorders>
                    <w:left w:val="single" w:color="auto" w:sz="4" w:space="0"/>
                  </w:tcBorders>
                  <w:vAlign w:val="center"/>
                </w:tcPr>
                <w:p w14:paraId="32F74148">
                  <w:pPr>
                    <w:pStyle w:val="107"/>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47</w:t>
                  </w:r>
                </w:p>
              </w:tc>
              <w:tc>
                <w:tcPr>
                  <w:tcW w:w="1815" w:type="dxa"/>
                  <w:vAlign w:val="center"/>
                </w:tcPr>
                <w:p w14:paraId="1E3A1CC4">
                  <w:pPr>
                    <w:pStyle w:val="107"/>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bl>
          <w:p w14:paraId="4417CAEA">
            <w:pPr>
              <w:pStyle w:val="99"/>
              <w:snapToGrid w:val="0"/>
              <w:spacing w:line="360" w:lineRule="auto"/>
              <w:ind w:firstLine="480"/>
              <w:rPr>
                <w:color w:val="auto"/>
                <w:sz w:val="24"/>
                <w:highlight w:val="none"/>
              </w:rPr>
            </w:pPr>
            <w:r>
              <w:rPr>
                <w:rFonts w:hint="eastAsia"/>
                <w:color w:val="auto"/>
                <w:sz w:val="24"/>
                <w:highlight w:val="none"/>
              </w:rPr>
              <w:t>由上表可知，</w:t>
            </w:r>
            <w:r>
              <w:rPr>
                <w:color w:val="auto"/>
                <w:sz w:val="24"/>
                <w:highlight w:val="none"/>
              </w:rPr>
              <w:t>企业厂界昼间噪声值达到《工业企业厂界环境噪声排放标准》（GB12348-2008）3类标准，即昼间≤65dB（A），夜间≤55dB（A），对周围声环境影响较小。</w:t>
            </w:r>
          </w:p>
          <w:p w14:paraId="4749D21F">
            <w:pPr>
              <w:pStyle w:val="99"/>
              <w:snapToGrid w:val="0"/>
              <w:spacing w:line="360" w:lineRule="auto"/>
              <w:ind w:firstLine="480"/>
              <w:rPr>
                <w:color w:val="auto"/>
                <w:sz w:val="24"/>
                <w:highlight w:val="none"/>
              </w:rPr>
            </w:pPr>
            <w:r>
              <w:rPr>
                <w:color w:val="auto"/>
                <w:sz w:val="24"/>
                <w:highlight w:val="none"/>
              </w:rPr>
              <w:t>企业厂界昼间噪声值为5</w:t>
            </w:r>
            <w:r>
              <w:rPr>
                <w:rFonts w:hint="eastAsia"/>
                <w:color w:val="auto"/>
                <w:sz w:val="24"/>
                <w:highlight w:val="none"/>
              </w:rPr>
              <w:t>2</w:t>
            </w:r>
            <w:r>
              <w:rPr>
                <w:color w:val="auto"/>
                <w:sz w:val="24"/>
                <w:highlight w:val="none"/>
              </w:rPr>
              <w:t>~5</w:t>
            </w:r>
            <w:r>
              <w:rPr>
                <w:rFonts w:hint="eastAsia"/>
                <w:color w:val="auto"/>
                <w:sz w:val="24"/>
                <w:highlight w:val="none"/>
              </w:rPr>
              <w:t>7</w:t>
            </w:r>
            <w:r>
              <w:rPr>
                <w:color w:val="auto"/>
                <w:sz w:val="24"/>
                <w:highlight w:val="none"/>
              </w:rPr>
              <w:t>dB（A），夜间噪声值为4</w:t>
            </w:r>
            <w:r>
              <w:rPr>
                <w:rFonts w:hint="eastAsia"/>
                <w:color w:val="auto"/>
                <w:sz w:val="24"/>
                <w:highlight w:val="none"/>
              </w:rPr>
              <w:t>5</w:t>
            </w:r>
            <w:r>
              <w:rPr>
                <w:color w:val="auto"/>
                <w:sz w:val="24"/>
                <w:highlight w:val="none"/>
              </w:rPr>
              <w:t>~</w:t>
            </w:r>
            <w:r>
              <w:rPr>
                <w:rFonts w:hint="eastAsia"/>
                <w:color w:val="auto"/>
                <w:sz w:val="24"/>
                <w:highlight w:val="none"/>
              </w:rPr>
              <w:t>47</w:t>
            </w:r>
            <w:r>
              <w:rPr>
                <w:color w:val="auto"/>
                <w:sz w:val="24"/>
                <w:highlight w:val="none"/>
              </w:rPr>
              <w:t>dB（A），达到《工业企业厂界环境噪声排放标准》（GB12348-2008）3类标准，即昼间≤65dB（A），夜间≤55dB（A），对周围声环境影响较小。</w:t>
            </w:r>
          </w:p>
          <w:p w14:paraId="1DBCB989">
            <w:pPr>
              <w:adjustRightInd w:val="0"/>
              <w:snapToGrid w:val="0"/>
              <w:spacing w:line="360" w:lineRule="auto"/>
              <w:ind w:firstLine="482" w:firstLineChars="200"/>
              <w:rPr>
                <w:rFonts w:hAnsi="宋体"/>
                <w:b/>
                <w:snapToGrid w:val="0"/>
                <w:color w:val="auto"/>
                <w:kern w:val="0"/>
                <w:sz w:val="24"/>
                <w:highlight w:val="none"/>
              </w:rPr>
            </w:pPr>
            <w:r>
              <w:rPr>
                <w:rFonts w:hint="eastAsia" w:hAnsi="宋体"/>
                <w:b/>
                <w:snapToGrid w:val="0"/>
                <w:color w:val="auto"/>
                <w:kern w:val="0"/>
                <w:sz w:val="24"/>
                <w:highlight w:val="none"/>
              </w:rPr>
              <w:t>（4）</w:t>
            </w:r>
            <w:r>
              <w:rPr>
                <w:rFonts w:hAnsi="宋体"/>
                <w:b/>
                <w:snapToGrid w:val="0"/>
                <w:color w:val="auto"/>
                <w:kern w:val="0"/>
                <w:sz w:val="24"/>
                <w:highlight w:val="none"/>
              </w:rPr>
              <w:t>固废</w:t>
            </w:r>
          </w:p>
          <w:p w14:paraId="7DD730CA">
            <w:pPr>
              <w:pStyle w:val="3"/>
              <w:adjustRightInd w:val="0"/>
              <w:snapToGrid w:val="0"/>
              <w:ind w:left="0" w:leftChars="0" w:firstLine="480" w:firstLineChars="200"/>
              <w:rPr>
                <w:color w:val="auto"/>
                <w:szCs w:val="24"/>
                <w:highlight w:val="none"/>
              </w:rPr>
            </w:pPr>
            <w:r>
              <w:rPr>
                <w:color w:val="auto"/>
                <w:szCs w:val="24"/>
                <w:highlight w:val="none"/>
              </w:rPr>
              <w:t>现有项目固体废物产生及排放情况见表</w:t>
            </w:r>
            <w:r>
              <w:rPr>
                <w:rFonts w:hint="eastAsia"/>
                <w:color w:val="auto"/>
                <w:szCs w:val="24"/>
                <w:highlight w:val="none"/>
                <w:lang w:val="en-US"/>
              </w:rPr>
              <w:t>2-14</w:t>
            </w:r>
            <w:r>
              <w:rPr>
                <w:color w:val="auto"/>
                <w:szCs w:val="24"/>
                <w:highlight w:val="none"/>
              </w:rPr>
              <w:t>。</w:t>
            </w:r>
          </w:p>
          <w:p w14:paraId="0CE60141">
            <w:pPr>
              <w:adjustRightInd w:val="0"/>
              <w:snapToGrid w:val="0"/>
              <w:jc w:val="center"/>
              <w:rPr>
                <w:b/>
                <w:color w:val="auto"/>
                <w:kern w:val="0"/>
                <w:sz w:val="24"/>
                <w:highlight w:val="none"/>
              </w:rPr>
            </w:pPr>
            <w:r>
              <w:rPr>
                <w:rFonts w:hAnsi="宋体"/>
                <w:b/>
                <w:color w:val="auto"/>
                <w:kern w:val="0"/>
                <w:sz w:val="24"/>
                <w:highlight w:val="none"/>
              </w:rPr>
              <w:t>表</w:t>
            </w:r>
            <w:r>
              <w:rPr>
                <w:rFonts w:hint="eastAsia"/>
                <w:b/>
                <w:color w:val="auto"/>
                <w:kern w:val="0"/>
                <w:sz w:val="24"/>
                <w:highlight w:val="none"/>
              </w:rPr>
              <w:t>2-14</w:t>
            </w:r>
            <w:r>
              <w:rPr>
                <w:b/>
                <w:color w:val="auto"/>
                <w:kern w:val="0"/>
                <w:sz w:val="24"/>
                <w:highlight w:val="none"/>
              </w:rPr>
              <w:t xml:space="preserve">  </w:t>
            </w:r>
            <w:r>
              <w:rPr>
                <w:rFonts w:hAnsi="宋体"/>
                <w:b/>
                <w:color w:val="auto"/>
                <w:kern w:val="0"/>
                <w:sz w:val="24"/>
                <w:highlight w:val="none"/>
              </w:rPr>
              <w:t>本项目固体废物利用处置方式评价表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9"/>
              <w:gridCol w:w="1422"/>
              <w:gridCol w:w="1041"/>
              <w:gridCol w:w="862"/>
              <w:gridCol w:w="1360"/>
              <w:gridCol w:w="1158"/>
              <w:gridCol w:w="1156"/>
              <w:gridCol w:w="1778"/>
            </w:tblGrid>
            <w:tr w14:paraId="59E73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1DDD882A">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序号</w:t>
                  </w:r>
                </w:p>
              </w:tc>
              <w:tc>
                <w:tcPr>
                  <w:tcW w:w="765" w:type="pct"/>
                  <w:vAlign w:val="center"/>
                </w:tcPr>
                <w:p w14:paraId="0118B2F9">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固体废物名称</w:t>
                  </w:r>
                </w:p>
              </w:tc>
              <w:tc>
                <w:tcPr>
                  <w:tcW w:w="560" w:type="pct"/>
                  <w:vAlign w:val="center"/>
                </w:tcPr>
                <w:p w14:paraId="5C04186B">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产生工序</w:t>
                  </w:r>
                </w:p>
              </w:tc>
              <w:tc>
                <w:tcPr>
                  <w:tcW w:w="464" w:type="pct"/>
                  <w:vAlign w:val="center"/>
                </w:tcPr>
                <w:p w14:paraId="7DF57AC0">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属性</w:t>
                  </w:r>
                </w:p>
              </w:tc>
              <w:tc>
                <w:tcPr>
                  <w:tcW w:w="732" w:type="pct"/>
                  <w:vAlign w:val="center"/>
                </w:tcPr>
                <w:p w14:paraId="09439E0B">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废物代码</w:t>
                  </w:r>
                </w:p>
              </w:tc>
              <w:tc>
                <w:tcPr>
                  <w:tcW w:w="623" w:type="pct"/>
                  <w:vAlign w:val="center"/>
                </w:tcPr>
                <w:p w14:paraId="53219885">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产生量（</w:t>
                  </w:r>
                  <w:r>
                    <w:rPr>
                      <w:rFonts w:ascii="Times New Roman"/>
                      <w:b/>
                      <w:bCs/>
                      <w:color w:val="auto"/>
                      <w:kern w:val="2"/>
                      <w:sz w:val="21"/>
                      <w:szCs w:val="21"/>
                      <w:highlight w:val="none"/>
                    </w:rPr>
                    <w:t>t/a</w:t>
                  </w:r>
                  <w:r>
                    <w:rPr>
                      <w:rFonts w:ascii="Times New Roman" w:hAnsi="宋体"/>
                      <w:b/>
                      <w:bCs/>
                      <w:color w:val="auto"/>
                      <w:kern w:val="2"/>
                      <w:sz w:val="21"/>
                      <w:szCs w:val="21"/>
                      <w:highlight w:val="none"/>
                    </w:rPr>
                    <w:t>）</w:t>
                  </w:r>
                </w:p>
              </w:tc>
              <w:tc>
                <w:tcPr>
                  <w:tcW w:w="622" w:type="pct"/>
                  <w:vAlign w:val="center"/>
                </w:tcPr>
                <w:p w14:paraId="0F36BDE2">
                  <w:pPr>
                    <w:pStyle w:val="67"/>
                    <w:jc w:val="center"/>
                    <w:rPr>
                      <w:rFonts w:ascii="Times New Roman" w:hAnsi="宋体"/>
                      <w:b/>
                      <w:bCs/>
                      <w:color w:val="auto"/>
                      <w:kern w:val="2"/>
                      <w:sz w:val="21"/>
                      <w:szCs w:val="21"/>
                      <w:highlight w:val="none"/>
                    </w:rPr>
                  </w:pPr>
                  <w:r>
                    <w:rPr>
                      <w:rFonts w:hint="eastAsia" w:ascii="Times New Roman" w:hAnsi="宋体"/>
                      <w:b/>
                      <w:bCs/>
                      <w:color w:val="auto"/>
                      <w:kern w:val="2"/>
                      <w:sz w:val="21"/>
                      <w:szCs w:val="21"/>
                      <w:highlight w:val="none"/>
                    </w:rPr>
                    <w:t>实际产生量（t/a）*</w:t>
                  </w:r>
                </w:p>
              </w:tc>
              <w:tc>
                <w:tcPr>
                  <w:tcW w:w="956" w:type="pct"/>
                  <w:vAlign w:val="center"/>
                </w:tcPr>
                <w:p w14:paraId="763422D2">
                  <w:pPr>
                    <w:pStyle w:val="67"/>
                    <w:jc w:val="center"/>
                    <w:rPr>
                      <w:rFonts w:ascii="Times New Roman"/>
                      <w:b/>
                      <w:bCs/>
                      <w:color w:val="auto"/>
                      <w:kern w:val="2"/>
                      <w:sz w:val="21"/>
                      <w:szCs w:val="21"/>
                      <w:highlight w:val="none"/>
                    </w:rPr>
                  </w:pPr>
                  <w:r>
                    <w:rPr>
                      <w:rFonts w:ascii="Times New Roman" w:hAnsi="宋体"/>
                      <w:b/>
                      <w:bCs/>
                      <w:color w:val="auto"/>
                      <w:kern w:val="2"/>
                      <w:sz w:val="21"/>
                      <w:szCs w:val="21"/>
                      <w:highlight w:val="none"/>
                    </w:rPr>
                    <w:t>利用处置方式</w:t>
                  </w:r>
                </w:p>
              </w:tc>
            </w:tr>
            <w:tr w14:paraId="451A4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6F02E44D">
                  <w:pPr>
                    <w:jc w:val="center"/>
                    <w:rPr>
                      <w:color w:val="auto"/>
                      <w:szCs w:val="21"/>
                      <w:highlight w:val="none"/>
                    </w:rPr>
                  </w:pPr>
                  <w:r>
                    <w:rPr>
                      <w:color w:val="auto"/>
                      <w:szCs w:val="21"/>
                      <w:highlight w:val="none"/>
                    </w:rPr>
                    <w:t>1</w:t>
                  </w:r>
                </w:p>
              </w:tc>
              <w:tc>
                <w:tcPr>
                  <w:tcW w:w="765" w:type="pct"/>
                  <w:vAlign w:val="center"/>
                </w:tcPr>
                <w:p w14:paraId="173C8BAC">
                  <w:pPr>
                    <w:snapToGrid w:val="0"/>
                    <w:jc w:val="center"/>
                    <w:rPr>
                      <w:color w:val="auto"/>
                      <w:szCs w:val="21"/>
                      <w:highlight w:val="none"/>
                    </w:rPr>
                  </w:pPr>
                  <w:r>
                    <w:rPr>
                      <w:rFonts w:hAnsi="宋体"/>
                      <w:color w:val="auto"/>
                      <w:szCs w:val="21"/>
                      <w:highlight w:val="none"/>
                    </w:rPr>
                    <w:t>生活垃圾</w:t>
                  </w:r>
                </w:p>
              </w:tc>
              <w:tc>
                <w:tcPr>
                  <w:tcW w:w="560" w:type="pct"/>
                  <w:vAlign w:val="center"/>
                </w:tcPr>
                <w:p w14:paraId="5B686437">
                  <w:pPr>
                    <w:snapToGrid w:val="0"/>
                    <w:jc w:val="center"/>
                    <w:rPr>
                      <w:color w:val="auto"/>
                      <w:szCs w:val="21"/>
                      <w:highlight w:val="none"/>
                    </w:rPr>
                  </w:pPr>
                  <w:r>
                    <w:rPr>
                      <w:rFonts w:hAnsi="宋体"/>
                      <w:color w:val="auto"/>
                      <w:szCs w:val="21"/>
                      <w:highlight w:val="none"/>
                    </w:rPr>
                    <w:t>员工生活</w:t>
                  </w:r>
                </w:p>
              </w:tc>
              <w:tc>
                <w:tcPr>
                  <w:tcW w:w="464" w:type="pct"/>
                  <w:vAlign w:val="center"/>
                </w:tcPr>
                <w:p w14:paraId="2AC23EC0">
                  <w:pPr>
                    <w:snapToGrid w:val="0"/>
                    <w:jc w:val="center"/>
                    <w:rPr>
                      <w:color w:val="auto"/>
                      <w:szCs w:val="21"/>
                      <w:highlight w:val="none"/>
                    </w:rPr>
                  </w:pPr>
                  <w:r>
                    <w:rPr>
                      <w:rFonts w:hAnsi="宋体"/>
                      <w:color w:val="auto"/>
                      <w:szCs w:val="21"/>
                      <w:highlight w:val="none"/>
                    </w:rPr>
                    <w:t>一般固废</w:t>
                  </w:r>
                </w:p>
              </w:tc>
              <w:tc>
                <w:tcPr>
                  <w:tcW w:w="732" w:type="pct"/>
                  <w:vAlign w:val="center"/>
                </w:tcPr>
                <w:p w14:paraId="60F1F725">
                  <w:pPr>
                    <w:jc w:val="center"/>
                    <w:rPr>
                      <w:color w:val="auto"/>
                      <w:szCs w:val="21"/>
                      <w:highlight w:val="none"/>
                    </w:rPr>
                  </w:pPr>
                  <w:r>
                    <w:rPr>
                      <w:color w:val="auto"/>
                      <w:szCs w:val="21"/>
                      <w:highlight w:val="none"/>
                    </w:rPr>
                    <w:t>/</w:t>
                  </w:r>
                </w:p>
              </w:tc>
              <w:tc>
                <w:tcPr>
                  <w:tcW w:w="623" w:type="pct"/>
                  <w:vAlign w:val="center"/>
                </w:tcPr>
                <w:p w14:paraId="6905D541">
                  <w:pPr>
                    <w:jc w:val="center"/>
                    <w:rPr>
                      <w:color w:val="auto"/>
                      <w:szCs w:val="21"/>
                      <w:highlight w:val="none"/>
                    </w:rPr>
                  </w:pPr>
                  <w:r>
                    <w:rPr>
                      <w:color w:val="auto"/>
                      <w:szCs w:val="21"/>
                      <w:highlight w:val="none"/>
                    </w:rPr>
                    <w:t>15</w:t>
                  </w:r>
                </w:p>
              </w:tc>
              <w:tc>
                <w:tcPr>
                  <w:tcW w:w="622" w:type="pct"/>
                  <w:vAlign w:val="center"/>
                </w:tcPr>
                <w:p w14:paraId="1F063F3F">
                  <w:pPr>
                    <w:jc w:val="center"/>
                    <w:rPr>
                      <w:rFonts w:hAnsi="宋体"/>
                      <w:color w:val="auto"/>
                      <w:szCs w:val="21"/>
                      <w:highlight w:val="none"/>
                    </w:rPr>
                  </w:pPr>
                  <w:r>
                    <w:rPr>
                      <w:rFonts w:hint="eastAsia" w:hAnsi="宋体"/>
                      <w:color w:val="auto"/>
                      <w:szCs w:val="21"/>
                      <w:highlight w:val="none"/>
                    </w:rPr>
                    <w:t>2</w:t>
                  </w:r>
                </w:p>
              </w:tc>
              <w:tc>
                <w:tcPr>
                  <w:tcW w:w="956" w:type="pct"/>
                  <w:vAlign w:val="center"/>
                </w:tcPr>
                <w:p w14:paraId="32C4349C">
                  <w:pPr>
                    <w:jc w:val="center"/>
                    <w:rPr>
                      <w:color w:val="auto"/>
                      <w:szCs w:val="21"/>
                      <w:highlight w:val="none"/>
                    </w:rPr>
                  </w:pPr>
                  <w:r>
                    <w:rPr>
                      <w:rFonts w:hAnsi="宋体"/>
                      <w:color w:val="auto"/>
                      <w:szCs w:val="21"/>
                      <w:highlight w:val="none"/>
                    </w:rPr>
                    <w:t>环卫部门统一清运</w:t>
                  </w:r>
                </w:p>
              </w:tc>
            </w:tr>
            <w:tr w14:paraId="65D81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0017741F">
                  <w:pPr>
                    <w:jc w:val="center"/>
                    <w:rPr>
                      <w:color w:val="auto"/>
                      <w:szCs w:val="21"/>
                      <w:highlight w:val="none"/>
                    </w:rPr>
                  </w:pPr>
                  <w:r>
                    <w:rPr>
                      <w:color w:val="auto"/>
                      <w:szCs w:val="21"/>
                      <w:highlight w:val="none"/>
                    </w:rPr>
                    <w:t>2</w:t>
                  </w:r>
                </w:p>
              </w:tc>
              <w:tc>
                <w:tcPr>
                  <w:tcW w:w="765" w:type="pct"/>
                  <w:vAlign w:val="center"/>
                </w:tcPr>
                <w:p w14:paraId="7615F105">
                  <w:pPr>
                    <w:snapToGrid w:val="0"/>
                    <w:jc w:val="center"/>
                    <w:rPr>
                      <w:color w:val="auto"/>
                      <w:szCs w:val="21"/>
                      <w:highlight w:val="none"/>
                    </w:rPr>
                  </w:pPr>
                  <w:r>
                    <w:rPr>
                      <w:rFonts w:hAnsi="宋体"/>
                      <w:color w:val="auto"/>
                      <w:szCs w:val="21"/>
                      <w:highlight w:val="none"/>
                    </w:rPr>
                    <w:t>废铜线</w:t>
                  </w:r>
                </w:p>
              </w:tc>
              <w:tc>
                <w:tcPr>
                  <w:tcW w:w="560" w:type="pct"/>
                  <w:vAlign w:val="center"/>
                </w:tcPr>
                <w:p w14:paraId="2771BE8E">
                  <w:pPr>
                    <w:jc w:val="center"/>
                    <w:rPr>
                      <w:color w:val="auto"/>
                      <w:szCs w:val="21"/>
                      <w:highlight w:val="none"/>
                    </w:rPr>
                  </w:pPr>
                  <w:r>
                    <w:rPr>
                      <w:rFonts w:hAnsi="宋体"/>
                      <w:color w:val="auto"/>
                      <w:szCs w:val="21"/>
                      <w:highlight w:val="none"/>
                    </w:rPr>
                    <w:t>绕线</w:t>
                  </w:r>
                </w:p>
              </w:tc>
              <w:tc>
                <w:tcPr>
                  <w:tcW w:w="464" w:type="pct"/>
                  <w:vAlign w:val="center"/>
                </w:tcPr>
                <w:p w14:paraId="48915C08">
                  <w:pPr>
                    <w:snapToGrid w:val="0"/>
                    <w:jc w:val="center"/>
                    <w:rPr>
                      <w:color w:val="auto"/>
                      <w:szCs w:val="21"/>
                      <w:highlight w:val="none"/>
                    </w:rPr>
                  </w:pPr>
                  <w:r>
                    <w:rPr>
                      <w:rFonts w:hAnsi="宋体"/>
                      <w:color w:val="auto"/>
                      <w:szCs w:val="21"/>
                      <w:highlight w:val="none"/>
                    </w:rPr>
                    <w:t>一般固废</w:t>
                  </w:r>
                </w:p>
              </w:tc>
              <w:tc>
                <w:tcPr>
                  <w:tcW w:w="732" w:type="pct"/>
                  <w:vAlign w:val="center"/>
                </w:tcPr>
                <w:p w14:paraId="7CAABB27">
                  <w:pPr>
                    <w:jc w:val="center"/>
                    <w:rPr>
                      <w:color w:val="auto"/>
                      <w:szCs w:val="21"/>
                      <w:highlight w:val="none"/>
                    </w:rPr>
                  </w:pPr>
                  <w:r>
                    <w:rPr>
                      <w:color w:val="auto"/>
                      <w:szCs w:val="21"/>
                      <w:highlight w:val="none"/>
                    </w:rPr>
                    <w:t>/</w:t>
                  </w:r>
                </w:p>
              </w:tc>
              <w:tc>
                <w:tcPr>
                  <w:tcW w:w="623" w:type="pct"/>
                  <w:vAlign w:val="center"/>
                </w:tcPr>
                <w:p w14:paraId="4CABFD09">
                  <w:pPr>
                    <w:jc w:val="center"/>
                    <w:rPr>
                      <w:color w:val="auto"/>
                      <w:szCs w:val="21"/>
                      <w:highlight w:val="none"/>
                    </w:rPr>
                  </w:pPr>
                  <w:r>
                    <w:rPr>
                      <w:color w:val="auto"/>
                      <w:szCs w:val="21"/>
                      <w:highlight w:val="none"/>
                    </w:rPr>
                    <w:t>0.2</w:t>
                  </w:r>
                </w:p>
              </w:tc>
              <w:tc>
                <w:tcPr>
                  <w:tcW w:w="622" w:type="pct"/>
                  <w:vAlign w:val="center"/>
                </w:tcPr>
                <w:p w14:paraId="497D4416">
                  <w:pPr>
                    <w:jc w:val="center"/>
                    <w:rPr>
                      <w:rFonts w:hAnsi="宋体"/>
                      <w:color w:val="auto"/>
                      <w:szCs w:val="21"/>
                      <w:highlight w:val="none"/>
                    </w:rPr>
                  </w:pPr>
                  <w:r>
                    <w:rPr>
                      <w:rFonts w:hint="eastAsia" w:hAnsi="宋体"/>
                      <w:color w:val="auto"/>
                      <w:szCs w:val="21"/>
                      <w:highlight w:val="none"/>
                    </w:rPr>
                    <w:t>0.1</w:t>
                  </w:r>
                </w:p>
              </w:tc>
              <w:tc>
                <w:tcPr>
                  <w:tcW w:w="956" w:type="pct"/>
                  <w:vMerge w:val="restart"/>
                  <w:vAlign w:val="center"/>
                </w:tcPr>
                <w:p w14:paraId="24DE29EB">
                  <w:pPr>
                    <w:jc w:val="center"/>
                    <w:rPr>
                      <w:color w:val="auto"/>
                      <w:szCs w:val="21"/>
                      <w:highlight w:val="none"/>
                    </w:rPr>
                  </w:pPr>
                  <w:r>
                    <w:rPr>
                      <w:rFonts w:hAnsi="宋体"/>
                      <w:color w:val="auto"/>
                      <w:szCs w:val="21"/>
                      <w:highlight w:val="none"/>
                    </w:rPr>
                    <w:t>收集外售</w:t>
                  </w:r>
                </w:p>
              </w:tc>
            </w:tr>
            <w:tr w14:paraId="58488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30E1A217">
                  <w:pPr>
                    <w:jc w:val="center"/>
                    <w:rPr>
                      <w:color w:val="auto"/>
                      <w:szCs w:val="21"/>
                      <w:highlight w:val="none"/>
                    </w:rPr>
                  </w:pPr>
                  <w:r>
                    <w:rPr>
                      <w:color w:val="auto"/>
                      <w:szCs w:val="21"/>
                      <w:highlight w:val="none"/>
                    </w:rPr>
                    <w:t>3</w:t>
                  </w:r>
                </w:p>
              </w:tc>
              <w:tc>
                <w:tcPr>
                  <w:tcW w:w="765" w:type="pct"/>
                  <w:vAlign w:val="center"/>
                </w:tcPr>
                <w:p w14:paraId="5441FA2F">
                  <w:pPr>
                    <w:snapToGrid w:val="0"/>
                    <w:jc w:val="center"/>
                    <w:rPr>
                      <w:color w:val="auto"/>
                      <w:szCs w:val="21"/>
                      <w:highlight w:val="none"/>
                    </w:rPr>
                  </w:pPr>
                  <w:r>
                    <w:rPr>
                      <w:rFonts w:hAnsi="宋体"/>
                      <w:color w:val="auto"/>
                      <w:szCs w:val="21"/>
                      <w:highlight w:val="none"/>
                    </w:rPr>
                    <w:t>废边角料</w:t>
                  </w:r>
                </w:p>
              </w:tc>
              <w:tc>
                <w:tcPr>
                  <w:tcW w:w="560" w:type="pct"/>
                  <w:vAlign w:val="center"/>
                </w:tcPr>
                <w:p w14:paraId="7F203BB4">
                  <w:pPr>
                    <w:snapToGrid w:val="0"/>
                    <w:jc w:val="center"/>
                    <w:rPr>
                      <w:color w:val="auto"/>
                      <w:szCs w:val="21"/>
                      <w:highlight w:val="none"/>
                    </w:rPr>
                  </w:pPr>
                  <w:r>
                    <w:rPr>
                      <w:rFonts w:hAnsi="宋体"/>
                      <w:color w:val="auto"/>
                      <w:szCs w:val="21"/>
                      <w:highlight w:val="none"/>
                    </w:rPr>
                    <w:t>生产</w:t>
                  </w:r>
                </w:p>
              </w:tc>
              <w:tc>
                <w:tcPr>
                  <w:tcW w:w="464" w:type="pct"/>
                  <w:vAlign w:val="center"/>
                </w:tcPr>
                <w:p w14:paraId="0E861D5C">
                  <w:pPr>
                    <w:snapToGrid w:val="0"/>
                    <w:jc w:val="center"/>
                    <w:rPr>
                      <w:color w:val="auto"/>
                      <w:szCs w:val="21"/>
                      <w:highlight w:val="none"/>
                    </w:rPr>
                  </w:pPr>
                  <w:r>
                    <w:rPr>
                      <w:rFonts w:hAnsi="宋体"/>
                      <w:color w:val="auto"/>
                      <w:szCs w:val="21"/>
                      <w:highlight w:val="none"/>
                    </w:rPr>
                    <w:t>一般固废</w:t>
                  </w:r>
                </w:p>
              </w:tc>
              <w:tc>
                <w:tcPr>
                  <w:tcW w:w="732" w:type="pct"/>
                  <w:vAlign w:val="center"/>
                </w:tcPr>
                <w:p w14:paraId="5E0DBC03">
                  <w:pPr>
                    <w:jc w:val="center"/>
                    <w:rPr>
                      <w:color w:val="auto"/>
                      <w:szCs w:val="21"/>
                      <w:highlight w:val="none"/>
                    </w:rPr>
                  </w:pPr>
                  <w:r>
                    <w:rPr>
                      <w:color w:val="auto"/>
                      <w:szCs w:val="21"/>
                      <w:highlight w:val="none"/>
                    </w:rPr>
                    <w:t>/</w:t>
                  </w:r>
                </w:p>
              </w:tc>
              <w:tc>
                <w:tcPr>
                  <w:tcW w:w="623" w:type="pct"/>
                  <w:vAlign w:val="center"/>
                </w:tcPr>
                <w:p w14:paraId="4015B8A2">
                  <w:pPr>
                    <w:jc w:val="center"/>
                    <w:rPr>
                      <w:color w:val="auto"/>
                      <w:szCs w:val="21"/>
                      <w:highlight w:val="none"/>
                    </w:rPr>
                  </w:pPr>
                  <w:r>
                    <w:rPr>
                      <w:color w:val="auto"/>
                      <w:szCs w:val="21"/>
                      <w:highlight w:val="none"/>
                    </w:rPr>
                    <w:t>0.1</w:t>
                  </w:r>
                </w:p>
              </w:tc>
              <w:tc>
                <w:tcPr>
                  <w:tcW w:w="622" w:type="pct"/>
                  <w:vAlign w:val="center"/>
                </w:tcPr>
                <w:p w14:paraId="2A7FD2C4">
                  <w:pPr>
                    <w:jc w:val="center"/>
                    <w:rPr>
                      <w:color w:val="auto"/>
                      <w:szCs w:val="21"/>
                      <w:highlight w:val="none"/>
                    </w:rPr>
                  </w:pPr>
                  <w:r>
                    <w:rPr>
                      <w:rFonts w:hint="eastAsia"/>
                      <w:color w:val="auto"/>
                      <w:szCs w:val="21"/>
                      <w:highlight w:val="none"/>
                    </w:rPr>
                    <w:t>0.05</w:t>
                  </w:r>
                </w:p>
              </w:tc>
              <w:tc>
                <w:tcPr>
                  <w:tcW w:w="956" w:type="pct"/>
                  <w:vMerge w:val="continue"/>
                  <w:vAlign w:val="center"/>
                </w:tcPr>
                <w:p w14:paraId="09CB5F59">
                  <w:pPr>
                    <w:jc w:val="center"/>
                    <w:rPr>
                      <w:color w:val="auto"/>
                      <w:szCs w:val="21"/>
                      <w:highlight w:val="none"/>
                    </w:rPr>
                  </w:pPr>
                </w:p>
              </w:tc>
            </w:tr>
            <w:tr w14:paraId="7B745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5EAD4686">
                  <w:pPr>
                    <w:jc w:val="center"/>
                    <w:rPr>
                      <w:color w:val="auto"/>
                      <w:szCs w:val="21"/>
                      <w:highlight w:val="none"/>
                    </w:rPr>
                  </w:pPr>
                  <w:r>
                    <w:rPr>
                      <w:color w:val="auto"/>
                      <w:szCs w:val="21"/>
                      <w:highlight w:val="none"/>
                    </w:rPr>
                    <w:t>4</w:t>
                  </w:r>
                </w:p>
              </w:tc>
              <w:tc>
                <w:tcPr>
                  <w:tcW w:w="765" w:type="pct"/>
                  <w:vAlign w:val="center"/>
                </w:tcPr>
                <w:p w14:paraId="166A309B">
                  <w:pPr>
                    <w:snapToGrid w:val="0"/>
                    <w:jc w:val="center"/>
                    <w:rPr>
                      <w:rFonts w:hAnsi="宋体"/>
                      <w:color w:val="auto"/>
                      <w:szCs w:val="21"/>
                      <w:highlight w:val="none"/>
                    </w:rPr>
                  </w:pPr>
                  <w:r>
                    <w:rPr>
                      <w:rFonts w:hint="eastAsia" w:hAnsi="宋体"/>
                      <w:color w:val="auto"/>
                      <w:szCs w:val="21"/>
                      <w:highlight w:val="none"/>
                    </w:rPr>
                    <w:t>焊接烟尘净化器收集粉尘</w:t>
                  </w:r>
                </w:p>
              </w:tc>
              <w:tc>
                <w:tcPr>
                  <w:tcW w:w="560" w:type="pct"/>
                  <w:vAlign w:val="center"/>
                </w:tcPr>
                <w:p w14:paraId="2666FA08">
                  <w:pPr>
                    <w:snapToGrid w:val="0"/>
                    <w:jc w:val="center"/>
                    <w:rPr>
                      <w:rFonts w:hAnsi="宋体"/>
                      <w:color w:val="auto"/>
                      <w:szCs w:val="21"/>
                      <w:highlight w:val="none"/>
                    </w:rPr>
                  </w:pPr>
                  <w:r>
                    <w:rPr>
                      <w:rFonts w:hint="eastAsia" w:hAnsi="宋体"/>
                      <w:color w:val="auto"/>
                      <w:szCs w:val="21"/>
                      <w:highlight w:val="none"/>
                    </w:rPr>
                    <w:t>废气处理</w:t>
                  </w:r>
                </w:p>
              </w:tc>
              <w:tc>
                <w:tcPr>
                  <w:tcW w:w="464" w:type="pct"/>
                  <w:vAlign w:val="center"/>
                </w:tcPr>
                <w:p w14:paraId="64A96B2D">
                  <w:pPr>
                    <w:snapToGrid w:val="0"/>
                    <w:jc w:val="center"/>
                    <w:rPr>
                      <w:color w:val="auto"/>
                      <w:szCs w:val="21"/>
                      <w:highlight w:val="none"/>
                    </w:rPr>
                  </w:pPr>
                  <w:r>
                    <w:rPr>
                      <w:rFonts w:hAnsi="宋体"/>
                      <w:color w:val="auto"/>
                      <w:szCs w:val="21"/>
                      <w:highlight w:val="none"/>
                    </w:rPr>
                    <w:t>一般固废</w:t>
                  </w:r>
                </w:p>
              </w:tc>
              <w:tc>
                <w:tcPr>
                  <w:tcW w:w="732" w:type="pct"/>
                  <w:vAlign w:val="center"/>
                </w:tcPr>
                <w:p w14:paraId="6A57FE88">
                  <w:pPr>
                    <w:jc w:val="center"/>
                    <w:rPr>
                      <w:color w:val="auto"/>
                      <w:szCs w:val="21"/>
                      <w:highlight w:val="none"/>
                    </w:rPr>
                  </w:pPr>
                  <w:r>
                    <w:rPr>
                      <w:color w:val="auto"/>
                      <w:szCs w:val="21"/>
                      <w:highlight w:val="none"/>
                    </w:rPr>
                    <w:t>/</w:t>
                  </w:r>
                </w:p>
              </w:tc>
              <w:tc>
                <w:tcPr>
                  <w:tcW w:w="623" w:type="pct"/>
                  <w:vAlign w:val="center"/>
                </w:tcPr>
                <w:p w14:paraId="5C4CE842">
                  <w:pPr>
                    <w:jc w:val="center"/>
                    <w:rPr>
                      <w:color w:val="auto"/>
                      <w:szCs w:val="21"/>
                      <w:highlight w:val="none"/>
                    </w:rPr>
                  </w:pPr>
                  <w:r>
                    <w:rPr>
                      <w:rFonts w:hint="eastAsia"/>
                      <w:color w:val="auto"/>
                      <w:szCs w:val="21"/>
                      <w:highlight w:val="none"/>
                    </w:rPr>
                    <w:t>0.23</w:t>
                  </w:r>
                </w:p>
              </w:tc>
              <w:tc>
                <w:tcPr>
                  <w:tcW w:w="622" w:type="pct"/>
                  <w:vAlign w:val="center"/>
                </w:tcPr>
                <w:p w14:paraId="39D555F4">
                  <w:pPr>
                    <w:jc w:val="center"/>
                    <w:rPr>
                      <w:color w:val="auto"/>
                      <w:szCs w:val="21"/>
                      <w:highlight w:val="none"/>
                    </w:rPr>
                  </w:pPr>
                  <w:r>
                    <w:rPr>
                      <w:rFonts w:hint="eastAsia"/>
                      <w:color w:val="auto"/>
                      <w:szCs w:val="21"/>
                      <w:highlight w:val="none"/>
                    </w:rPr>
                    <w:t>0.1</w:t>
                  </w:r>
                </w:p>
              </w:tc>
              <w:tc>
                <w:tcPr>
                  <w:tcW w:w="956" w:type="pct"/>
                  <w:vMerge w:val="continue"/>
                  <w:vAlign w:val="center"/>
                </w:tcPr>
                <w:p w14:paraId="412B1A18">
                  <w:pPr>
                    <w:jc w:val="center"/>
                    <w:rPr>
                      <w:color w:val="auto"/>
                      <w:szCs w:val="21"/>
                      <w:highlight w:val="none"/>
                    </w:rPr>
                  </w:pPr>
                </w:p>
              </w:tc>
            </w:tr>
            <w:tr w14:paraId="0A07A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781644B9">
                  <w:pPr>
                    <w:jc w:val="center"/>
                    <w:rPr>
                      <w:color w:val="auto"/>
                      <w:szCs w:val="21"/>
                      <w:highlight w:val="none"/>
                    </w:rPr>
                  </w:pPr>
                  <w:r>
                    <w:rPr>
                      <w:color w:val="auto"/>
                      <w:szCs w:val="21"/>
                      <w:highlight w:val="none"/>
                    </w:rPr>
                    <w:t>5</w:t>
                  </w:r>
                </w:p>
              </w:tc>
              <w:tc>
                <w:tcPr>
                  <w:tcW w:w="765" w:type="pct"/>
                  <w:vAlign w:val="center"/>
                </w:tcPr>
                <w:p w14:paraId="3B4A49D9">
                  <w:pPr>
                    <w:snapToGrid w:val="0"/>
                    <w:jc w:val="center"/>
                    <w:rPr>
                      <w:color w:val="auto"/>
                      <w:szCs w:val="21"/>
                      <w:highlight w:val="none"/>
                    </w:rPr>
                  </w:pPr>
                  <w:r>
                    <w:rPr>
                      <w:rFonts w:hAnsi="宋体"/>
                      <w:color w:val="auto"/>
                      <w:szCs w:val="21"/>
                      <w:highlight w:val="none"/>
                    </w:rPr>
                    <w:t>废胶</w:t>
                  </w:r>
                </w:p>
              </w:tc>
              <w:tc>
                <w:tcPr>
                  <w:tcW w:w="560" w:type="pct"/>
                  <w:vAlign w:val="center"/>
                </w:tcPr>
                <w:p w14:paraId="7220C0F4">
                  <w:pPr>
                    <w:snapToGrid w:val="0"/>
                    <w:jc w:val="center"/>
                    <w:rPr>
                      <w:color w:val="auto"/>
                      <w:szCs w:val="21"/>
                      <w:highlight w:val="none"/>
                    </w:rPr>
                  </w:pPr>
                  <w:r>
                    <w:rPr>
                      <w:rFonts w:hAnsi="宋体"/>
                      <w:color w:val="auto"/>
                      <w:szCs w:val="21"/>
                      <w:highlight w:val="none"/>
                    </w:rPr>
                    <w:t>点胶、注胶等</w:t>
                  </w:r>
                </w:p>
              </w:tc>
              <w:tc>
                <w:tcPr>
                  <w:tcW w:w="464" w:type="pct"/>
                  <w:vAlign w:val="center"/>
                </w:tcPr>
                <w:p w14:paraId="086610F8">
                  <w:pPr>
                    <w:snapToGrid w:val="0"/>
                    <w:jc w:val="center"/>
                    <w:rPr>
                      <w:color w:val="auto"/>
                      <w:szCs w:val="21"/>
                      <w:highlight w:val="none"/>
                    </w:rPr>
                  </w:pPr>
                  <w:r>
                    <w:rPr>
                      <w:rFonts w:hAnsi="宋体"/>
                      <w:color w:val="auto"/>
                      <w:szCs w:val="21"/>
                      <w:highlight w:val="none"/>
                    </w:rPr>
                    <w:t>危险固废</w:t>
                  </w:r>
                </w:p>
              </w:tc>
              <w:tc>
                <w:tcPr>
                  <w:tcW w:w="732" w:type="pct"/>
                  <w:vAlign w:val="center"/>
                </w:tcPr>
                <w:p w14:paraId="09917595">
                  <w:pPr>
                    <w:adjustRightInd w:val="0"/>
                    <w:snapToGrid w:val="0"/>
                    <w:jc w:val="center"/>
                    <w:rPr>
                      <w:color w:val="auto"/>
                      <w:szCs w:val="21"/>
                      <w:highlight w:val="none"/>
                    </w:rPr>
                  </w:pPr>
                  <w:r>
                    <w:rPr>
                      <w:rFonts w:hint="eastAsia"/>
                      <w:color w:val="auto"/>
                      <w:szCs w:val="21"/>
                      <w:highlight w:val="none"/>
                    </w:rPr>
                    <w:t>HW13</w:t>
                  </w:r>
                </w:p>
                <w:p w14:paraId="6CD1D084">
                  <w:pPr>
                    <w:adjustRightInd w:val="0"/>
                    <w:snapToGrid w:val="0"/>
                    <w:jc w:val="center"/>
                    <w:rPr>
                      <w:color w:val="auto"/>
                      <w:kern w:val="0"/>
                      <w:szCs w:val="21"/>
                      <w:highlight w:val="none"/>
                    </w:rPr>
                  </w:pPr>
                  <w:r>
                    <w:rPr>
                      <w:color w:val="auto"/>
                      <w:szCs w:val="21"/>
                      <w:highlight w:val="none"/>
                    </w:rPr>
                    <w:t>900-014-13</w:t>
                  </w:r>
                </w:p>
              </w:tc>
              <w:tc>
                <w:tcPr>
                  <w:tcW w:w="623" w:type="pct"/>
                  <w:vAlign w:val="center"/>
                </w:tcPr>
                <w:p w14:paraId="11B4E425">
                  <w:pPr>
                    <w:jc w:val="center"/>
                    <w:rPr>
                      <w:color w:val="auto"/>
                      <w:szCs w:val="21"/>
                      <w:highlight w:val="none"/>
                    </w:rPr>
                  </w:pPr>
                  <w:r>
                    <w:rPr>
                      <w:rFonts w:hint="eastAsia"/>
                      <w:color w:val="auto"/>
                      <w:szCs w:val="21"/>
                      <w:highlight w:val="none"/>
                    </w:rPr>
                    <w:t>0.1</w:t>
                  </w:r>
                </w:p>
              </w:tc>
              <w:tc>
                <w:tcPr>
                  <w:tcW w:w="622" w:type="pct"/>
                  <w:vAlign w:val="center"/>
                </w:tcPr>
                <w:p w14:paraId="038A2109">
                  <w:pPr>
                    <w:jc w:val="center"/>
                    <w:rPr>
                      <w:rFonts w:hAnsi="宋体"/>
                      <w:color w:val="auto"/>
                      <w:szCs w:val="21"/>
                      <w:highlight w:val="none"/>
                    </w:rPr>
                  </w:pPr>
                  <w:r>
                    <w:rPr>
                      <w:rFonts w:hint="eastAsia" w:hAnsi="宋体"/>
                      <w:color w:val="auto"/>
                      <w:szCs w:val="21"/>
                      <w:highlight w:val="none"/>
                    </w:rPr>
                    <w:t>0.03</w:t>
                  </w:r>
                </w:p>
              </w:tc>
              <w:tc>
                <w:tcPr>
                  <w:tcW w:w="956" w:type="pct"/>
                  <w:vMerge w:val="restart"/>
                  <w:vAlign w:val="center"/>
                </w:tcPr>
                <w:p w14:paraId="4C9DF048">
                  <w:pPr>
                    <w:jc w:val="center"/>
                    <w:rPr>
                      <w:rFonts w:hAnsi="宋体"/>
                      <w:color w:val="auto"/>
                      <w:szCs w:val="21"/>
                      <w:highlight w:val="none"/>
                    </w:rPr>
                  </w:pPr>
                  <w:r>
                    <w:rPr>
                      <w:rFonts w:hint="eastAsia" w:hAnsi="宋体"/>
                      <w:color w:val="auto"/>
                      <w:szCs w:val="21"/>
                      <w:highlight w:val="none"/>
                    </w:rPr>
                    <w:t>委托淮安华昌固废处置有限公司处置</w:t>
                  </w:r>
                </w:p>
              </w:tc>
            </w:tr>
            <w:tr w14:paraId="4F89F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42943AA2">
                  <w:pPr>
                    <w:jc w:val="center"/>
                    <w:rPr>
                      <w:color w:val="auto"/>
                      <w:szCs w:val="21"/>
                      <w:highlight w:val="none"/>
                    </w:rPr>
                  </w:pPr>
                  <w:r>
                    <w:rPr>
                      <w:rFonts w:hint="eastAsia"/>
                      <w:color w:val="auto"/>
                      <w:szCs w:val="21"/>
                      <w:highlight w:val="none"/>
                    </w:rPr>
                    <w:t>6</w:t>
                  </w:r>
                </w:p>
              </w:tc>
              <w:tc>
                <w:tcPr>
                  <w:tcW w:w="765" w:type="pct"/>
                  <w:vAlign w:val="center"/>
                </w:tcPr>
                <w:p w14:paraId="521E24AD">
                  <w:pPr>
                    <w:snapToGrid w:val="0"/>
                    <w:jc w:val="center"/>
                    <w:rPr>
                      <w:color w:val="auto"/>
                      <w:szCs w:val="21"/>
                      <w:highlight w:val="none"/>
                    </w:rPr>
                  </w:pPr>
                  <w:r>
                    <w:rPr>
                      <w:rFonts w:hAnsi="宋体"/>
                      <w:color w:val="auto"/>
                      <w:szCs w:val="21"/>
                      <w:highlight w:val="none"/>
                    </w:rPr>
                    <w:t>废活性炭</w:t>
                  </w:r>
                </w:p>
              </w:tc>
              <w:tc>
                <w:tcPr>
                  <w:tcW w:w="560" w:type="pct"/>
                  <w:vAlign w:val="center"/>
                </w:tcPr>
                <w:p w14:paraId="5EA5D4D7">
                  <w:pPr>
                    <w:snapToGrid w:val="0"/>
                    <w:jc w:val="center"/>
                    <w:rPr>
                      <w:color w:val="auto"/>
                      <w:szCs w:val="21"/>
                      <w:highlight w:val="none"/>
                    </w:rPr>
                  </w:pPr>
                  <w:r>
                    <w:rPr>
                      <w:rFonts w:hAnsi="宋体"/>
                      <w:color w:val="auto"/>
                      <w:szCs w:val="21"/>
                      <w:highlight w:val="none"/>
                    </w:rPr>
                    <w:t>废气处理</w:t>
                  </w:r>
                </w:p>
              </w:tc>
              <w:tc>
                <w:tcPr>
                  <w:tcW w:w="464" w:type="pct"/>
                  <w:vAlign w:val="center"/>
                </w:tcPr>
                <w:p w14:paraId="3EE4A1FD">
                  <w:pPr>
                    <w:snapToGrid w:val="0"/>
                    <w:jc w:val="center"/>
                    <w:rPr>
                      <w:color w:val="auto"/>
                      <w:szCs w:val="21"/>
                      <w:highlight w:val="none"/>
                    </w:rPr>
                  </w:pPr>
                  <w:r>
                    <w:rPr>
                      <w:rFonts w:hAnsi="宋体"/>
                      <w:color w:val="auto"/>
                      <w:szCs w:val="21"/>
                      <w:highlight w:val="none"/>
                    </w:rPr>
                    <w:t>危险固废</w:t>
                  </w:r>
                </w:p>
              </w:tc>
              <w:tc>
                <w:tcPr>
                  <w:tcW w:w="732" w:type="pct"/>
                  <w:vAlign w:val="center"/>
                </w:tcPr>
                <w:p w14:paraId="1033418C">
                  <w:pPr>
                    <w:adjustRightInd w:val="0"/>
                    <w:snapToGrid w:val="0"/>
                    <w:jc w:val="center"/>
                    <w:rPr>
                      <w:color w:val="auto"/>
                      <w:szCs w:val="21"/>
                      <w:highlight w:val="none"/>
                    </w:rPr>
                  </w:pPr>
                  <w:r>
                    <w:rPr>
                      <w:rFonts w:hint="eastAsia"/>
                      <w:color w:val="auto"/>
                      <w:szCs w:val="21"/>
                      <w:highlight w:val="none"/>
                    </w:rPr>
                    <w:t>HW49</w:t>
                  </w:r>
                </w:p>
                <w:p w14:paraId="140B722C">
                  <w:pPr>
                    <w:jc w:val="center"/>
                    <w:rPr>
                      <w:color w:val="auto"/>
                      <w:szCs w:val="21"/>
                      <w:highlight w:val="none"/>
                    </w:rPr>
                  </w:pPr>
                  <w:r>
                    <w:rPr>
                      <w:color w:val="auto"/>
                      <w:szCs w:val="21"/>
                      <w:highlight w:val="none"/>
                    </w:rPr>
                    <w:t>900-041-49</w:t>
                  </w:r>
                </w:p>
              </w:tc>
              <w:tc>
                <w:tcPr>
                  <w:tcW w:w="623" w:type="pct"/>
                  <w:vAlign w:val="center"/>
                </w:tcPr>
                <w:p w14:paraId="145D68E1">
                  <w:pPr>
                    <w:jc w:val="center"/>
                    <w:rPr>
                      <w:color w:val="auto"/>
                      <w:szCs w:val="21"/>
                      <w:highlight w:val="none"/>
                    </w:rPr>
                  </w:pPr>
                  <w:r>
                    <w:rPr>
                      <w:color w:val="auto"/>
                      <w:szCs w:val="21"/>
                      <w:highlight w:val="none"/>
                    </w:rPr>
                    <w:t>0.</w:t>
                  </w:r>
                  <w:r>
                    <w:rPr>
                      <w:rFonts w:hint="eastAsia"/>
                      <w:color w:val="auto"/>
                      <w:szCs w:val="21"/>
                      <w:highlight w:val="none"/>
                    </w:rPr>
                    <w:t>26</w:t>
                  </w:r>
                </w:p>
              </w:tc>
              <w:tc>
                <w:tcPr>
                  <w:tcW w:w="622" w:type="pct"/>
                  <w:vAlign w:val="center"/>
                </w:tcPr>
                <w:p w14:paraId="72736E99">
                  <w:pPr>
                    <w:jc w:val="center"/>
                    <w:rPr>
                      <w:color w:val="auto"/>
                      <w:szCs w:val="21"/>
                      <w:highlight w:val="none"/>
                    </w:rPr>
                  </w:pPr>
                  <w:r>
                    <w:rPr>
                      <w:rFonts w:hint="eastAsia"/>
                      <w:color w:val="auto"/>
                      <w:szCs w:val="21"/>
                      <w:highlight w:val="none"/>
                    </w:rPr>
                    <w:t>0.05</w:t>
                  </w:r>
                </w:p>
              </w:tc>
              <w:tc>
                <w:tcPr>
                  <w:tcW w:w="956" w:type="pct"/>
                  <w:vMerge w:val="continue"/>
                  <w:vAlign w:val="center"/>
                </w:tcPr>
                <w:p w14:paraId="65DD1FB2">
                  <w:pPr>
                    <w:jc w:val="center"/>
                    <w:rPr>
                      <w:rFonts w:hAnsi="宋体"/>
                      <w:color w:val="auto"/>
                      <w:szCs w:val="21"/>
                      <w:highlight w:val="none"/>
                    </w:rPr>
                  </w:pPr>
                </w:p>
              </w:tc>
            </w:tr>
            <w:tr w14:paraId="42721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6C2082BD">
                  <w:pPr>
                    <w:jc w:val="center"/>
                    <w:rPr>
                      <w:color w:val="auto"/>
                      <w:szCs w:val="21"/>
                      <w:highlight w:val="none"/>
                    </w:rPr>
                  </w:pPr>
                  <w:r>
                    <w:rPr>
                      <w:color w:val="auto"/>
                      <w:szCs w:val="21"/>
                      <w:highlight w:val="none"/>
                    </w:rPr>
                    <w:t>7</w:t>
                  </w:r>
                </w:p>
              </w:tc>
              <w:tc>
                <w:tcPr>
                  <w:tcW w:w="765" w:type="pct"/>
                  <w:vAlign w:val="center"/>
                </w:tcPr>
                <w:p w14:paraId="6E69CE80">
                  <w:pPr>
                    <w:snapToGrid w:val="0"/>
                    <w:jc w:val="center"/>
                    <w:rPr>
                      <w:color w:val="auto"/>
                      <w:szCs w:val="21"/>
                      <w:highlight w:val="none"/>
                    </w:rPr>
                  </w:pPr>
                  <w:r>
                    <w:rPr>
                      <w:rFonts w:hAnsi="宋体"/>
                      <w:color w:val="auto"/>
                      <w:szCs w:val="21"/>
                      <w:highlight w:val="none"/>
                    </w:rPr>
                    <w:t>废包装桶</w:t>
                  </w:r>
                </w:p>
              </w:tc>
              <w:tc>
                <w:tcPr>
                  <w:tcW w:w="560" w:type="pct"/>
                  <w:vAlign w:val="center"/>
                </w:tcPr>
                <w:p w14:paraId="6B41F6ED">
                  <w:pPr>
                    <w:jc w:val="center"/>
                    <w:rPr>
                      <w:color w:val="auto"/>
                      <w:szCs w:val="21"/>
                      <w:highlight w:val="none"/>
                    </w:rPr>
                  </w:pPr>
                  <w:r>
                    <w:rPr>
                      <w:rFonts w:hAnsi="宋体"/>
                      <w:color w:val="auto"/>
                      <w:szCs w:val="21"/>
                      <w:highlight w:val="none"/>
                    </w:rPr>
                    <w:t>原料包装</w:t>
                  </w:r>
                </w:p>
              </w:tc>
              <w:tc>
                <w:tcPr>
                  <w:tcW w:w="464" w:type="pct"/>
                  <w:vAlign w:val="center"/>
                </w:tcPr>
                <w:p w14:paraId="4F492F98">
                  <w:pPr>
                    <w:snapToGrid w:val="0"/>
                    <w:jc w:val="center"/>
                    <w:rPr>
                      <w:color w:val="auto"/>
                      <w:szCs w:val="21"/>
                      <w:highlight w:val="none"/>
                    </w:rPr>
                  </w:pPr>
                  <w:r>
                    <w:rPr>
                      <w:rFonts w:hAnsi="宋体"/>
                      <w:color w:val="auto"/>
                      <w:szCs w:val="21"/>
                      <w:highlight w:val="none"/>
                    </w:rPr>
                    <w:t>危险固废</w:t>
                  </w:r>
                </w:p>
              </w:tc>
              <w:tc>
                <w:tcPr>
                  <w:tcW w:w="732" w:type="pct"/>
                  <w:vAlign w:val="center"/>
                </w:tcPr>
                <w:p w14:paraId="017393DC">
                  <w:pPr>
                    <w:adjustRightInd w:val="0"/>
                    <w:snapToGrid w:val="0"/>
                    <w:jc w:val="center"/>
                    <w:rPr>
                      <w:color w:val="auto"/>
                      <w:szCs w:val="21"/>
                      <w:highlight w:val="none"/>
                    </w:rPr>
                  </w:pPr>
                  <w:r>
                    <w:rPr>
                      <w:rFonts w:hint="eastAsia"/>
                      <w:color w:val="auto"/>
                      <w:szCs w:val="21"/>
                      <w:highlight w:val="none"/>
                    </w:rPr>
                    <w:t>HW49</w:t>
                  </w:r>
                </w:p>
                <w:p w14:paraId="3C031BEE">
                  <w:pPr>
                    <w:jc w:val="center"/>
                    <w:rPr>
                      <w:color w:val="auto"/>
                      <w:szCs w:val="21"/>
                      <w:highlight w:val="none"/>
                    </w:rPr>
                  </w:pPr>
                  <w:r>
                    <w:rPr>
                      <w:color w:val="auto"/>
                      <w:szCs w:val="21"/>
                      <w:highlight w:val="none"/>
                    </w:rPr>
                    <w:t>900-041-49</w:t>
                  </w:r>
                </w:p>
              </w:tc>
              <w:tc>
                <w:tcPr>
                  <w:tcW w:w="623" w:type="pct"/>
                  <w:vAlign w:val="center"/>
                </w:tcPr>
                <w:p w14:paraId="51CFA935">
                  <w:pPr>
                    <w:jc w:val="center"/>
                    <w:rPr>
                      <w:color w:val="auto"/>
                      <w:szCs w:val="21"/>
                      <w:highlight w:val="none"/>
                    </w:rPr>
                  </w:pPr>
                  <w:r>
                    <w:rPr>
                      <w:rFonts w:hint="eastAsia"/>
                      <w:color w:val="auto"/>
                      <w:szCs w:val="21"/>
                      <w:highlight w:val="none"/>
                    </w:rPr>
                    <w:t>0.3</w:t>
                  </w:r>
                </w:p>
              </w:tc>
              <w:tc>
                <w:tcPr>
                  <w:tcW w:w="622" w:type="pct"/>
                  <w:vAlign w:val="center"/>
                </w:tcPr>
                <w:p w14:paraId="6C4F61F6">
                  <w:pPr>
                    <w:jc w:val="center"/>
                    <w:rPr>
                      <w:color w:val="auto"/>
                      <w:szCs w:val="21"/>
                      <w:highlight w:val="none"/>
                    </w:rPr>
                  </w:pPr>
                  <w:r>
                    <w:rPr>
                      <w:rFonts w:hint="eastAsia"/>
                      <w:color w:val="auto"/>
                      <w:szCs w:val="21"/>
                      <w:highlight w:val="none"/>
                    </w:rPr>
                    <w:t>0.1</w:t>
                  </w:r>
                </w:p>
              </w:tc>
              <w:tc>
                <w:tcPr>
                  <w:tcW w:w="956" w:type="pct"/>
                  <w:vMerge w:val="continue"/>
                  <w:vAlign w:val="center"/>
                </w:tcPr>
                <w:p w14:paraId="130ED2C1">
                  <w:pPr>
                    <w:jc w:val="center"/>
                    <w:rPr>
                      <w:rFonts w:hAnsi="宋体"/>
                      <w:color w:val="auto"/>
                      <w:szCs w:val="21"/>
                      <w:highlight w:val="none"/>
                    </w:rPr>
                  </w:pPr>
                </w:p>
              </w:tc>
            </w:tr>
            <w:tr w14:paraId="46254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4" w:type="pct"/>
                  <w:vAlign w:val="center"/>
                </w:tcPr>
                <w:p w14:paraId="619DD25F">
                  <w:pPr>
                    <w:jc w:val="center"/>
                    <w:rPr>
                      <w:color w:val="auto"/>
                      <w:szCs w:val="21"/>
                      <w:highlight w:val="none"/>
                    </w:rPr>
                  </w:pPr>
                  <w:r>
                    <w:rPr>
                      <w:color w:val="auto"/>
                      <w:szCs w:val="21"/>
                      <w:highlight w:val="none"/>
                    </w:rPr>
                    <w:t>8</w:t>
                  </w:r>
                </w:p>
              </w:tc>
              <w:tc>
                <w:tcPr>
                  <w:tcW w:w="765" w:type="pct"/>
                  <w:vAlign w:val="center"/>
                </w:tcPr>
                <w:p w14:paraId="01FE2860">
                  <w:pPr>
                    <w:snapToGrid w:val="0"/>
                    <w:jc w:val="center"/>
                    <w:rPr>
                      <w:color w:val="auto"/>
                      <w:szCs w:val="21"/>
                      <w:highlight w:val="none"/>
                    </w:rPr>
                  </w:pPr>
                  <w:r>
                    <w:rPr>
                      <w:rFonts w:hAnsi="宋体"/>
                      <w:color w:val="auto"/>
                      <w:szCs w:val="21"/>
                      <w:highlight w:val="none"/>
                    </w:rPr>
                    <w:t>废</w:t>
                  </w:r>
                  <w:r>
                    <w:rPr>
                      <w:color w:val="auto"/>
                      <w:szCs w:val="21"/>
                      <w:highlight w:val="none"/>
                    </w:rPr>
                    <w:t>UV</w:t>
                  </w:r>
                  <w:r>
                    <w:rPr>
                      <w:rFonts w:hAnsi="宋体"/>
                      <w:color w:val="auto"/>
                      <w:szCs w:val="21"/>
                      <w:highlight w:val="none"/>
                    </w:rPr>
                    <w:t>灯管</w:t>
                  </w:r>
                </w:p>
              </w:tc>
              <w:tc>
                <w:tcPr>
                  <w:tcW w:w="560" w:type="pct"/>
                  <w:vAlign w:val="center"/>
                </w:tcPr>
                <w:p w14:paraId="5530AAAF">
                  <w:pPr>
                    <w:snapToGrid w:val="0"/>
                    <w:jc w:val="center"/>
                    <w:rPr>
                      <w:color w:val="auto"/>
                      <w:szCs w:val="21"/>
                      <w:highlight w:val="none"/>
                    </w:rPr>
                  </w:pPr>
                  <w:r>
                    <w:rPr>
                      <w:rFonts w:hAnsi="宋体"/>
                      <w:color w:val="auto"/>
                      <w:szCs w:val="21"/>
                      <w:highlight w:val="none"/>
                    </w:rPr>
                    <w:t>废气处理</w:t>
                  </w:r>
                </w:p>
              </w:tc>
              <w:tc>
                <w:tcPr>
                  <w:tcW w:w="464" w:type="pct"/>
                  <w:vAlign w:val="center"/>
                </w:tcPr>
                <w:p w14:paraId="302B8695">
                  <w:pPr>
                    <w:snapToGrid w:val="0"/>
                    <w:jc w:val="center"/>
                    <w:rPr>
                      <w:color w:val="auto"/>
                      <w:szCs w:val="21"/>
                      <w:highlight w:val="none"/>
                    </w:rPr>
                  </w:pPr>
                  <w:r>
                    <w:rPr>
                      <w:rFonts w:hAnsi="宋体"/>
                      <w:color w:val="auto"/>
                      <w:szCs w:val="21"/>
                      <w:highlight w:val="none"/>
                    </w:rPr>
                    <w:t>危险固废</w:t>
                  </w:r>
                </w:p>
              </w:tc>
              <w:tc>
                <w:tcPr>
                  <w:tcW w:w="732" w:type="pct"/>
                  <w:vAlign w:val="center"/>
                </w:tcPr>
                <w:p w14:paraId="7ADFE56E">
                  <w:pPr>
                    <w:adjustRightInd w:val="0"/>
                    <w:snapToGrid w:val="0"/>
                    <w:jc w:val="center"/>
                    <w:rPr>
                      <w:color w:val="auto"/>
                      <w:szCs w:val="21"/>
                      <w:highlight w:val="none"/>
                    </w:rPr>
                  </w:pPr>
                  <w:r>
                    <w:rPr>
                      <w:rFonts w:hint="eastAsia"/>
                      <w:color w:val="auto"/>
                      <w:szCs w:val="21"/>
                      <w:highlight w:val="none"/>
                    </w:rPr>
                    <w:t>HW29</w:t>
                  </w:r>
                </w:p>
                <w:p w14:paraId="6314F046">
                  <w:pPr>
                    <w:jc w:val="center"/>
                    <w:rPr>
                      <w:color w:val="auto"/>
                      <w:szCs w:val="21"/>
                      <w:highlight w:val="none"/>
                    </w:rPr>
                  </w:pPr>
                  <w:r>
                    <w:rPr>
                      <w:color w:val="auto"/>
                      <w:szCs w:val="21"/>
                      <w:highlight w:val="none"/>
                    </w:rPr>
                    <w:t>900-023-29</w:t>
                  </w:r>
                </w:p>
              </w:tc>
              <w:tc>
                <w:tcPr>
                  <w:tcW w:w="623" w:type="pct"/>
                  <w:vAlign w:val="center"/>
                </w:tcPr>
                <w:p w14:paraId="7F65A57D">
                  <w:pPr>
                    <w:jc w:val="center"/>
                    <w:rPr>
                      <w:color w:val="auto"/>
                      <w:szCs w:val="21"/>
                      <w:highlight w:val="none"/>
                    </w:rPr>
                  </w:pPr>
                  <w:r>
                    <w:rPr>
                      <w:color w:val="auto"/>
                      <w:szCs w:val="21"/>
                      <w:highlight w:val="none"/>
                    </w:rPr>
                    <w:t>0.</w:t>
                  </w:r>
                  <w:r>
                    <w:rPr>
                      <w:rFonts w:hint="eastAsia"/>
                      <w:color w:val="auto"/>
                      <w:szCs w:val="21"/>
                      <w:highlight w:val="none"/>
                    </w:rPr>
                    <w:t>1</w:t>
                  </w:r>
                </w:p>
              </w:tc>
              <w:tc>
                <w:tcPr>
                  <w:tcW w:w="622" w:type="pct"/>
                  <w:vAlign w:val="center"/>
                </w:tcPr>
                <w:p w14:paraId="4B4E0EB1">
                  <w:pPr>
                    <w:jc w:val="center"/>
                    <w:rPr>
                      <w:color w:val="auto"/>
                      <w:szCs w:val="21"/>
                      <w:highlight w:val="none"/>
                    </w:rPr>
                  </w:pPr>
                  <w:r>
                    <w:rPr>
                      <w:rFonts w:hint="eastAsia"/>
                      <w:color w:val="auto"/>
                      <w:szCs w:val="21"/>
                      <w:highlight w:val="none"/>
                    </w:rPr>
                    <w:t>0.02</w:t>
                  </w:r>
                </w:p>
              </w:tc>
              <w:tc>
                <w:tcPr>
                  <w:tcW w:w="956" w:type="pct"/>
                  <w:vAlign w:val="center"/>
                </w:tcPr>
                <w:p w14:paraId="4709E778">
                  <w:pPr>
                    <w:jc w:val="center"/>
                    <w:rPr>
                      <w:rFonts w:hAnsi="宋体"/>
                      <w:color w:val="auto"/>
                      <w:szCs w:val="21"/>
                      <w:highlight w:val="none"/>
                    </w:rPr>
                  </w:pPr>
                  <w:r>
                    <w:rPr>
                      <w:rFonts w:hint="eastAsia" w:hAnsi="宋体"/>
                      <w:color w:val="auto"/>
                      <w:szCs w:val="21"/>
                      <w:highlight w:val="none"/>
                    </w:rPr>
                    <w:t>委托常州市锦云工业废弃物处理有限公司处置</w:t>
                  </w:r>
                </w:p>
              </w:tc>
            </w:tr>
            <w:tr w14:paraId="52620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 w:type="pct"/>
                  <w:vAlign w:val="center"/>
                </w:tcPr>
                <w:p w14:paraId="3D030FBE">
                  <w:pPr>
                    <w:jc w:val="center"/>
                    <w:rPr>
                      <w:color w:val="auto"/>
                      <w:szCs w:val="21"/>
                      <w:highlight w:val="none"/>
                    </w:rPr>
                  </w:pPr>
                  <w:r>
                    <w:rPr>
                      <w:rFonts w:hint="eastAsia"/>
                      <w:color w:val="auto"/>
                      <w:szCs w:val="21"/>
                      <w:highlight w:val="none"/>
                    </w:rPr>
                    <w:t>9</w:t>
                  </w:r>
                </w:p>
              </w:tc>
              <w:tc>
                <w:tcPr>
                  <w:tcW w:w="765" w:type="pct"/>
                  <w:vAlign w:val="center"/>
                </w:tcPr>
                <w:p w14:paraId="05407830">
                  <w:pPr>
                    <w:snapToGrid w:val="0"/>
                    <w:jc w:val="center"/>
                    <w:rPr>
                      <w:rFonts w:hAnsi="宋体"/>
                      <w:color w:val="auto"/>
                      <w:szCs w:val="21"/>
                      <w:highlight w:val="none"/>
                    </w:rPr>
                  </w:pPr>
                  <w:r>
                    <w:rPr>
                      <w:rFonts w:hint="eastAsia" w:hAnsi="宋体"/>
                      <w:color w:val="auto"/>
                      <w:szCs w:val="21"/>
                      <w:highlight w:val="none"/>
                    </w:rPr>
                    <w:t>泥渣</w:t>
                  </w:r>
                </w:p>
              </w:tc>
              <w:tc>
                <w:tcPr>
                  <w:tcW w:w="560" w:type="pct"/>
                  <w:vAlign w:val="center"/>
                </w:tcPr>
                <w:p w14:paraId="0D8884B5">
                  <w:pPr>
                    <w:snapToGrid w:val="0"/>
                    <w:jc w:val="center"/>
                    <w:rPr>
                      <w:rFonts w:hAnsi="宋体"/>
                      <w:color w:val="auto"/>
                      <w:szCs w:val="21"/>
                      <w:highlight w:val="none"/>
                    </w:rPr>
                  </w:pPr>
                  <w:r>
                    <w:rPr>
                      <w:rFonts w:hint="eastAsia" w:hAnsi="宋体"/>
                      <w:color w:val="auto"/>
                      <w:szCs w:val="21"/>
                      <w:highlight w:val="none"/>
                    </w:rPr>
                    <w:t>初期雨水</w:t>
                  </w:r>
                </w:p>
              </w:tc>
              <w:tc>
                <w:tcPr>
                  <w:tcW w:w="464" w:type="pct"/>
                  <w:vAlign w:val="center"/>
                </w:tcPr>
                <w:p w14:paraId="3816C67A">
                  <w:pPr>
                    <w:snapToGrid w:val="0"/>
                    <w:jc w:val="center"/>
                    <w:rPr>
                      <w:rFonts w:hAnsi="宋体"/>
                      <w:color w:val="auto"/>
                      <w:szCs w:val="21"/>
                      <w:highlight w:val="none"/>
                    </w:rPr>
                  </w:pPr>
                  <w:r>
                    <w:rPr>
                      <w:rFonts w:hint="eastAsia" w:hAnsi="宋体"/>
                      <w:color w:val="auto"/>
                      <w:szCs w:val="21"/>
                      <w:highlight w:val="none"/>
                    </w:rPr>
                    <w:t>一般固废</w:t>
                  </w:r>
                </w:p>
              </w:tc>
              <w:tc>
                <w:tcPr>
                  <w:tcW w:w="732" w:type="pct"/>
                  <w:vAlign w:val="center"/>
                </w:tcPr>
                <w:p w14:paraId="07ACE826">
                  <w:pPr>
                    <w:jc w:val="center"/>
                    <w:rPr>
                      <w:color w:val="auto"/>
                      <w:szCs w:val="21"/>
                      <w:highlight w:val="none"/>
                    </w:rPr>
                  </w:pPr>
                  <w:r>
                    <w:rPr>
                      <w:color w:val="auto"/>
                      <w:szCs w:val="21"/>
                      <w:highlight w:val="none"/>
                    </w:rPr>
                    <w:t>/</w:t>
                  </w:r>
                </w:p>
              </w:tc>
              <w:tc>
                <w:tcPr>
                  <w:tcW w:w="623" w:type="pct"/>
                  <w:vAlign w:val="center"/>
                </w:tcPr>
                <w:p w14:paraId="04FDD5A0">
                  <w:pPr>
                    <w:jc w:val="center"/>
                    <w:rPr>
                      <w:color w:val="auto"/>
                      <w:szCs w:val="21"/>
                      <w:highlight w:val="none"/>
                    </w:rPr>
                  </w:pPr>
                  <w:r>
                    <w:rPr>
                      <w:rFonts w:hint="eastAsia"/>
                      <w:color w:val="auto"/>
                      <w:szCs w:val="21"/>
                      <w:highlight w:val="none"/>
                    </w:rPr>
                    <w:t>5</w:t>
                  </w:r>
                </w:p>
              </w:tc>
              <w:tc>
                <w:tcPr>
                  <w:tcW w:w="622" w:type="pct"/>
                  <w:vAlign w:val="center"/>
                </w:tcPr>
                <w:p w14:paraId="34CC7820">
                  <w:pPr>
                    <w:jc w:val="center"/>
                    <w:rPr>
                      <w:color w:val="auto"/>
                      <w:szCs w:val="21"/>
                      <w:highlight w:val="none"/>
                    </w:rPr>
                  </w:pPr>
                  <w:r>
                    <w:rPr>
                      <w:rFonts w:hint="eastAsia"/>
                      <w:color w:val="auto"/>
                      <w:szCs w:val="21"/>
                      <w:highlight w:val="none"/>
                    </w:rPr>
                    <w:t>1（含水率80%）</w:t>
                  </w:r>
                </w:p>
              </w:tc>
              <w:tc>
                <w:tcPr>
                  <w:tcW w:w="956" w:type="pct"/>
                  <w:vAlign w:val="center"/>
                </w:tcPr>
                <w:p w14:paraId="30A31726">
                  <w:pPr>
                    <w:jc w:val="center"/>
                    <w:rPr>
                      <w:color w:val="auto"/>
                      <w:szCs w:val="21"/>
                      <w:highlight w:val="none"/>
                    </w:rPr>
                  </w:pPr>
                  <w:r>
                    <w:rPr>
                      <w:rFonts w:hint="eastAsia"/>
                      <w:color w:val="auto"/>
                      <w:szCs w:val="21"/>
                      <w:highlight w:val="none"/>
                    </w:rPr>
                    <w:t>环卫部门统一清运</w:t>
                  </w:r>
                </w:p>
              </w:tc>
            </w:tr>
          </w:tbl>
          <w:p w14:paraId="7598F74B">
            <w:pPr>
              <w:adjustRightInd w:val="0"/>
              <w:snapToGrid w:val="0"/>
              <w:ind w:firstLine="422" w:firstLineChars="200"/>
              <w:rPr>
                <w:rFonts w:hAnsi="宋体"/>
                <w:b/>
                <w:snapToGrid w:val="0"/>
                <w:color w:val="auto"/>
                <w:kern w:val="0"/>
                <w:szCs w:val="21"/>
                <w:highlight w:val="none"/>
              </w:rPr>
            </w:pPr>
            <w:r>
              <w:rPr>
                <w:rFonts w:hint="eastAsia" w:hAnsi="宋体"/>
                <w:b/>
                <w:snapToGrid w:val="0"/>
                <w:color w:val="auto"/>
                <w:kern w:val="0"/>
                <w:szCs w:val="21"/>
                <w:highlight w:val="none"/>
              </w:rPr>
              <w:t>*注：现有项目</w:t>
            </w:r>
            <w:r>
              <w:rPr>
                <w:rFonts w:hint="eastAsia"/>
                <w:b/>
                <w:color w:val="auto"/>
                <w:szCs w:val="21"/>
                <w:highlight w:val="none"/>
              </w:rPr>
              <w:t>产线设计产能4万台/年，核定员工人数100人，2020年实际生产交付200台，员工人数40人，且年工作天数较少，故产生的废弃物较少</w:t>
            </w:r>
          </w:p>
          <w:p w14:paraId="36095335">
            <w:pPr>
              <w:adjustRightInd w:val="0"/>
              <w:snapToGrid w:val="0"/>
              <w:spacing w:line="360" w:lineRule="auto"/>
              <w:ind w:firstLine="482" w:firstLineChars="200"/>
              <w:rPr>
                <w:rFonts w:hAnsi="宋体"/>
                <w:b/>
                <w:snapToGrid w:val="0"/>
                <w:color w:val="auto"/>
                <w:kern w:val="0"/>
                <w:sz w:val="24"/>
                <w:highlight w:val="none"/>
              </w:rPr>
            </w:pPr>
            <w:r>
              <w:rPr>
                <w:rFonts w:hint="eastAsia" w:hAnsi="宋体"/>
                <w:b/>
                <w:snapToGrid w:val="0"/>
                <w:color w:val="auto"/>
                <w:kern w:val="0"/>
                <w:sz w:val="24"/>
                <w:highlight w:val="none"/>
              </w:rPr>
              <w:t>（5）</w:t>
            </w:r>
            <w:r>
              <w:rPr>
                <w:rFonts w:hAnsi="宋体"/>
                <w:b/>
                <w:snapToGrid w:val="0"/>
                <w:color w:val="auto"/>
                <w:kern w:val="0"/>
                <w:sz w:val="24"/>
                <w:highlight w:val="none"/>
              </w:rPr>
              <w:t>现有项目污染物总量</w:t>
            </w:r>
          </w:p>
          <w:p w14:paraId="3CC2EF69">
            <w:pPr>
              <w:adjustRightInd w:val="0"/>
              <w:snapToGrid w:val="0"/>
              <w:spacing w:line="360" w:lineRule="auto"/>
              <w:ind w:firstLine="480" w:firstLineChars="200"/>
              <w:rPr>
                <w:b/>
                <w:bCs/>
                <w:color w:val="auto"/>
                <w:sz w:val="24"/>
                <w:highlight w:val="none"/>
              </w:rPr>
            </w:pPr>
            <w:r>
              <w:rPr>
                <w:color w:val="auto"/>
                <w:sz w:val="24"/>
                <w:highlight w:val="none"/>
              </w:rPr>
              <w:t>现有项目污染物总量汇总见表</w:t>
            </w:r>
            <w:r>
              <w:rPr>
                <w:rFonts w:hint="eastAsia"/>
                <w:color w:val="auto"/>
                <w:sz w:val="24"/>
                <w:highlight w:val="none"/>
              </w:rPr>
              <w:t>2-15</w:t>
            </w:r>
            <w:r>
              <w:rPr>
                <w:color w:val="auto"/>
                <w:sz w:val="24"/>
                <w:highlight w:val="none"/>
              </w:rPr>
              <w:t>。</w:t>
            </w:r>
          </w:p>
          <w:p w14:paraId="694DB9CB">
            <w:pPr>
              <w:pStyle w:val="94"/>
              <w:adjustRightInd w:val="0"/>
              <w:snapToGrid w:val="0"/>
              <w:ind w:firstLine="0" w:firstLineChars="0"/>
              <w:jc w:val="center"/>
              <w:rPr>
                <w:b/>
                <w:bCs/>
                <w:color w:val="auto"/>
                <w:sz w:val="24"/>
                <w:highlight w:val="none"/>
              </w:rPr>
            </w:pPr>
            <w:r>
              <w:rPr>
                <w:b/>
                <w:bCs/>
                <w:color w:val="auto"/>
                <w:sz w:val="24"/>
                <w:highlight w:val="none"/>
              </w:rPr>
              <w:t>表</w:t>
            </w:r>
            <w:r>
              <w:rPr>
                <w:rFonts w:hint="eastAsia"/>
                <w:b/>
                <w:bCs/>
                <w:color w:val="auto"/>
                <w:sz w:val="24"/>
                <w:highlight w:val="none"/>
              </w:rPr>
              <w:t>2-15</w:t>
            </w:r>
            <w:r>
              <w:rPr>
                <w:b/>
                <w:bCs/>
                <w:color w:val="auto"/>
                <w:sz w:val="24"/>
                <w:highlight w:val="none"/>
              </w:rPr>
              <w:t xml:space="preserve"> 现有项目</w:t>
            </w:r>
            <w:r>
              <w:rPr>
                <w:rStyle w:val="29"/>
                <w:b/>
                <w:bCs/>
                <w:color w:val="auto"/>
                <w:sz w:val="24"/>
                <w:highlight w:val="none"/>
              </w:rPr>
              <w:t>全厂</w:t>
            </w:r>
            <w:r>
              <w:rPr>
                <w:b/>
                <w:bCs/>
                <w:color w:val="auto"/>
                <w:sz w:val="24"/>
                <w:highlight w:val="none"/>
              </w:rPr>
              <w:t>污染物排放情况表</w:t>
            </w:r>
            <w:r>
              <w:rPr>
                <w:b/>
                <w:bCs/>
                <w:color w:val="auto"/>
                <w:kern w:val="0"/>
                <w:sz w:val="24"/>
                <w:highlight w:val="none"/>
              </w:rPr>
              <w:t>（t/a）</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286"/>
              <w:gridCol w:w="1201"/>
              <w:gridCol w:w="1638"/>
              <w:gridCol w:w="1128"/>
              <w:gridCol w:w="1961"/>
              <w:gridCol w:w="1367"/>
            </w:tblGrid>
            <w:tr w14:paraId="31558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Align w:val="center"/>
                </w:tcPr>
                <w:p w14:paraId="16126371">
                  <w:pPr>
                    <w:widowControl/>
                    <w:adjustRightInd w:val="0"/>
                    <w:snapToGrid w:val="0"/>
                    <w:jc w:val="center"/>
                    <w:rPr>
                      <w:b/>
                      <w:bCs/>
                      <w:color w:val="auto"/>
                      <w:kern w:val="0"/>
                      <w:szCs w:val="21"/>
                      <w:highlight w:val="none"/>
                    </w:rPr>
                  </w:pPr>
                  <w:r>
                    <w:rPr>
                      <w:b/>
                      <w:bCs/>
                      <w:color w:val="auto"/>
                      <w:kern w:val="0"/>
                      <w:szCs w:val="21"/>
                      <w:highlight w:val="none"/>
                    </w:rPr>
                    <w:t>类别</w:t>
                  </w:r>
                </w:p>
              </w:tc>
              <w:tc>
                <w:tcPr>
                  <w:tcW w:w="646" w:type="pct"/>
                  <w:vAlign w:val="center"/>
                </w:tcPr>
                <w:p w14:paraId="315BB666">
                  <w:pPr>
                    <w:widowControl/>
                    <w:adjustRightInd w:val="0"/>
                    <w:snapToGrid w:val="0"/>
                    <w:jc w:val="center"/>
                    <w:rPr>
                      <w:b/>
                      <w:bCs/>
                      <w:color w:val="auto"/>
                      <w:kern w:val="0"/>
                      <w:szCs w:val="21"/>
                      <w:highlight w:val="none"/>
                    </w:rPr>
                  </w:pPr>
                  <w:r>
                    <w:rPr>
                      <w:b/>
                      <w:bCs/>
                      <w:color w:val="auto"/>
                      <w:kern w:val="0"/>
                      <w:szCs w:val="21"/>
                      <w:highlight w:val="none"/>
                    </w:rPr>
                    <w:t>污染物名称</w:t>
                  </w:r>
                </w:p>
              </w:tc>
              <w:tc>
                <w:tcPr>
                  <w:tcW w:w="881" w:type="pct"/>
                  <w:vAlign w:val="center"/>
                </w:tcPr>
                <w:p w14:paraId="2F285C6D">
                  <w:pPr>
                    <w:widowControl/>
                    <w:adjustRightInd w:val="0"/>
                    <w:snapToGrid w:val="0"/>
                    <w:jc w:val="center"/>
                    <w:rPr>
                      <w:b/>
                      <w:bCs/>
                      <w:color w:val="auto"/>
                      <w:kern w:val="0"/>
                      <w:szCs w:val="21"/>
                      <w:highlight w:val="none"/>
                    </w:rPr>
                  </w:pPr>
                  <w:r>
                    <w:rPr>
                      <w:b/>
                      <w:bCs/>
                      <w:color w:val="auto"/>
                      <w:kern w:val="0"/>
                      <w:szCs w:val="21"/>
                      <w:highlight w:val="none"/>
                    </w:rPr>
                    <w:t>现有项目批复总量</w:t>
                  </w:r>
                  <w:r>
                    <w:rPr>
                      <w:rFonts w:hint="eastAsia"/>
                      <w:b/>
                      <w:bCs/>
                      <w:color w:val="auto"/>
                      <w:kern w:val="0"/>
                      <w:szCs w:val="21"/>
                      <w:highlight w:val="none"/>
                      <w:lang w:eastAsia="zh-Hans"/>
                    </w:rPr>
                    <w:t>（接管量）</w:t>
                  </w:r>
                </w:p>
              </w:tc>
              <w:tc>
                <w:tcPr>
                  <w:tcW w:w="607" w:type="pct"/>
                  <w:vAlign w:val="center"/>
                </w:tcPr>
                <w:p w14:paraId="38AF1D5B">
                  <w:pPr>
                    <w:widowControl/>
                    <w:adjustRightInd w:val="0"/>
                    <w:snapToGrid w:val="0"/>
                    <w:jc w:val="center"/>
                    <w:rPr>
                      <w:b/>
                      <w:bCs/>
                      <w:color w:val="auto"/>
                      <w:kern w:val="0"/>
                      <w:szCs w:val="21"/>
                      <w:highlight w:val="none"/>
                      <w:lang w:eastAsia="zh-Hans"/>
                    </w:rPr>
                  </w:pPr>
                  <w:r>
                    <w:rPr>
                      <w:rFonts w:hint="eastAsia"/>
                      <w:b/>
                      <w:bCs/>
                      <w:color w:val="auto"/>
                      <w:kern w:val="0"/>
                      <w:szCs w:val="21"/>
                      <w:highlight w:val="none"/>
                      <w:lang w:eastAsia="zh-Hans"/>
                    </w:rPr>
                    <w:t>排污许可量</w:t>
                  </w:r>
                </w:p>
              </w:tc>
              <w:tc>
                <w:tcPr>
                  <w:tcW w:w="1055" w:type="pct"/>
                  <w:vAlign w:val="center"/>
                </w:tcPr>
                <w:p w14:paraId="2CAF1FE7">
                  <w:pPr>
                    <w:widowControl/>
                    <w:adjustRightInd w:val="0"/>
                    <w:snapToGrid w:val="0"/>
                    <w:jc w:val="center"/>
                    <w:rPr>
                      <w:b/>
                      <w:bCs/>
                      <w:color w:val="auto"/>
                      <w:kern w:val="0"/>
                      <w:szCs w:val="21"/>
                      <w:highlight w:val="none"/>
                    </w:rPr>
                  </w:pPr>
                  <w:r>
                    <w:rPr>
                      <w:rFonts w:hint="eastAsia"/>
                      <w:b/>
                      <w:bCs/>
                      <w:color w:val="auto"/>
                      <w:kern w:val="0"/>
                      <w:szCs w:val="21"/>
                      <w:highlight w:val="none"/>
                    </w:rPr>
                    <w:t>现有项目实际排放总量</w:t>
                  </w:r>
                  <w:r>
                    <w:rPr>
                      <w:rFonts w:hint="eastAsia"/>
                      <w:b/>
                      <w:bCs/>
                      <w:color w:val="auto"/>
                      <w:kern w:val="0"/>
                      <w:szCs w:val="21"/>
                      <w:highlight w:val="none"/>
                      <w:lang w:eastAsia="zh-Hans"/>
                    </w:rPr>
                    <w:t>（接管量）</w:t>
                  </w:r>
                </w:p>
              </w:tc>
              <w:tc>
                <w:tcPr>
                  <w:tcW w:w="735" w:type="pct"/>
                  <w:vAlign w:val="center"/>
                </w:tcPr>
                <w:p w14:paraId="05D5132A">
                  <w:pPr>
                    <w:widowControl/>
                    <w:adjustRightInd w:val="0"/>
                    <w:snapToGrid w:val="0"/>
                    <w:jc w:val="center"/>
                    <w:rPr>
                      <w:b/>
                      <w:bCs/>
                      <w:color w:val="auto"/>
                      <w:kern w:val="0"/>
                      <w:szCs w:val="21"/>
                      <w:highlight w:val="none"/>
                    </w:rPr>
                  </w:pPr>
                  <w:r>
                    <w:rPr>
                      <w:rFonts w:hint="eastAsia"/>
                      <w:b/>
                      <w:bCs/>
                      <w:color w:val="auto"/>
                      <w:kern w:val="0"/>
                      <w:szCs w:val="21"/>
                      <w:highlight w:val="none"/>
                    </w:rPr>
                    <w:t>是否达标</w:t>
                  </w:r>
                </w:p>
              </w:tc>
            </w:tr>
            <w:tr w14:paraId="4B3A8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vMerge w:val="restart"/>
                  <w:vAlign w:val="center"/>
                </w:tcPr>
                <w:p w14:paraId="2D1F1A2B">
                  <w:pPr>
                    <w:widowControl/>
                    <w:adjustRightInd w:val="0"/>
                    <w:snapToGrid w:val="0"/>
                    <w:jc w:val="center"/>
                    <w:rPr>
                      <w:color w:val="auto"/>
                      <w:kern w:val="0"/>
                      <w:szCs w:val="21"/>
                      <w:highlight w:val="none"/>
                    </w:rPr>
                  </w:pPr>
                  <w:r>
                    <w:rPr>
                      <w:color w:val="auto"/>
                      <w:kern w:val="0"/>
                      <w:szCs w:val="21"/>
                      <w:highlight w:val="none"/>
                    </w:rPr>
                    <w:t>废气</w:t>
                  </w:r>
                </w:p>
              </w:tc>
              <w:tc>
                <w:tcPr>
                  <w:tcW w:w="692" w:type="pct"/>
                  <w:vAlign w:val="center"/>
                </w:tcPr>
                <w:p w14:paraId="40F22851">
                  <w:pPr>
                    <w:widowControl/>
                    <w:adjustRightInd w:val="0"/>
                    <w:snapToGrid w:val="0"/>
                    <w:jc w:val="center"/>
                    <w:rPr>
                      <w:color w:val="auto"/>
                      <w:kern w:val="0"/>
                      <w:szCs w:val="21"/>
                      <w:highlight w:val="none"/>
                    </w:rPr>
                  </w:pPr>
                  <w:r>
                    <w:rPr>
                      <w:color w:val="auto"/>
                      <w:kern w:val="0"/>
                      <w:szCs w:val="21"/>
                      <w:highlight w:val="none"/>
                    </w:rPr>
                    <w:t>有组织</w:t>
                  </w:r>
                </w:p>
              </w:tc>
              <w:tc>
                <w:tcPr>
                  <w:tcW w:w="646" w:type="pct"/>
                  <w:vAlign w:val="center"/>
                </w:tcPr>
                <w:p w14:paraId="32F72BBE">
                  <w:pPr>
                    <w:adjustRightInd w:val="0"/>
                    <w:snapToGrid w:val="0"/>
                    <w:jc w:val="center"/>
                    <w:rPr>
                      <w:color w:val="auto"/>
                      <w:kern w:val="0"/>
                      <w:szCs w:val="21"/>
                      <w:highlight w:val="none"/>
                    </w:rPr>
                  </w:pPr>
                  <w:r>
                    <w:rPr>
                      <w:rFonts w:hint="eastAsia"/>
                      <w:color w:val="auto"/>
                      <w:szCs w:val="21"/>
                      <w:highlight w:val="none"/>
                    </w:rPr>
                    <w:t>VOCs</w:t>
                  </w:r>
                </w:p>
              </w:tc>
              <w:tc>
                <w:tcPr>
                  <w:tcW w:w="881" w:type="pct"/>
                  <w:vAlign w:val="center"/>
                </w:tcPr>
                <w:p w14:paraId="7A84B03C">
                  <w:pPr>
                    <w:jc w:val="center"/>
                    <w:rPr>
                      <w:color w:val="auto"/>
                      <w:szCs w:val="21"/>
                      <w:highlight w:val="none"/>
                    </w:rPr>
                  </w:pPr>
                  <w:r>
                    <w:rPr>
                      <w:rFonts w:hint="eastAsia"/>
                      <w:color w:val="auto"/>
                      <w:szCs w:val="21"/>
                      <w:highlight w:val="none"/>
                    </w:rPr>
                    <w:t>0.015</w:t>
                  </w:r>
                </w:p>
              </w:tc>
              <w:tc>
                <w:tcPr>
                  <w:tcW w:w="607" w:type="pct"/>
                  <w:vAlign w:val="center"/>
                </w:tcPr>
                <w:p w14:paraId="5019AB32">
                  <w:pPr>
                    <w:jc w:val="center"/>
                    <w:rPr>
                      <w:color w:val="auto"/>
                      <w:szCs w:val="21"/>
                      <w:highlight w:val="none"/>
                    </w:rPr>
                  </w:pPr>
                  <w:r>
                    <w:rPr>
                      <w:color w:val="auto"/>
                      <w:szCs w:val="21"/>
                      <w:highlight w:val="none"/>
                    </w:rPr>
                    <w:t>0</w:t>
                  </w:r>
                </w:p>
              </w:tc>
              <w:tc>
                <w:tcPr>
                  <w:tcW w:w="1055" w:type="pct"/>
                  <w:vAlign w:val="center"/>
                </w:tcPr>
                <w:p w14:paraId="59D1BA63">
                  <w:pPr>
                    <w:jc w:val="center"/>
                    <w:rPr>
                      <w:color w:val="auto"/>
                      <w:szCs w:val="21"/>
                      <w:highlight w:val="none"/>
                    </w:rPr>
                  </w:pPr>
                  <w:r>
                    <w:rPr>
                      <w:rFonts w:hint="eastAsia"/>
                      <w:color w:val="auto"/>
                      <w:szCs w:val="21"/>
                      <w:highlight w:val="none"/>
                    </w:rPr>
                    <w:t>0.0133</w:t>
                  </w:r>
                </w:p>
              </w:tc>
              <w:tc>
                <w:tcPr>
                  <w:tcW w:w="735" w:type="pct"/>
                  <w:vAlign w:val="center"/>
                </w:tcPr>
                <w:p w14:paraId="7E37D852">
                  <w:pPr>
                    <w:jc w:val="center"/>
                    <w:rPr>
                      <w:color w:val="auto"/>
                      <w:szCs w:val="21"/>
                      <w:highlight w:val="none"/>
                    </w:rPr>
                  </w:pPr>
                  <w:r>
                    <w:rPr>
                      <w:rFonts w:hint="eastAsia"/>
                      <w:color w:val="auto"/>
                      <w:szCs w:val="21"/>
                      <w:highlight w:val="none"/>
                    </w:rPr>
                    <w:t>达标</w:t>
                  </w:r>
                </w:p>
              </w:tc>
            </w:tr>
            <w:tr w14:paraId="55407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vMerge w:val="continue"/>
                  <w:vAlign w:val="center"/>
                </w:tcPr>
                <w:p w14:paraId="61052916">
                  <w:pPr>
                    <w:widowControl/>
                    <w:adjustRightInd w:val="0"/>
                    <w:snapToGrid w:val="0"/>
                    <w:jc w:val="center"/>
                    <w:rPr>
                      <w:color w:val="auto"/>
                      <w:kern w:val="0"/>
                      <w:szCs w:val="21"/>
                      <w:highlight w:val="none"/>
                    </w:rPr>
                  </w:pPr>
                </w:p>
              </w:tc>
              <w:tc>
                <w:tcPr>
                  <w:tcW w:w="692" w:type="pct"/>
                  <w:vMerge w:val="restart"/>
                  <w:vAlign w:val="center"/>
                </w:tcPr>
                <w:p w14:paraId="25AE6E02">
                  <w:pPr>
                    <w:widowControl/>
                    <w:adjustRightInd w:val="0"/>
                    <w:snapToGrid w:val="0"/>
                    <w:jc w:val="center"/>
                    <w:rPr>
                      <w:color w:val="auto"/>
                      <w:kern w:val="0"/>
                      <w:szCs w:val="21"/>
                      <w:highlight w:val="none"/>
                    </w:rPr>
                  </w:pPr>
                  <w:r>
                    <w:rPr>
                      <w:color w:val="auto"/>
                      <w:kern w:val="0"/>
                      <w:szCs w:val="21"/>
                      <w:highlight w:val="none"/>
                    </w:rPr>
                    <w:t>无组织</w:t>
                  </w:r>
                  <w:r>
                    <w:rPr>
                      <w:rFonts w:hint="eastAsia"/>
                      <w:color w:val="auto"/>
                      <w:kern w:val="0"/>
                      <w:szCs w:val="21"/>
                      <w:highlight w:val="none"/>
                    </w:rPr>
                    <w:t>*</w:t>
                  </w:r>
                </w:p>
              </w:tc>
              <w:tc>
                <w:tcPr>
                  <w:tcW w:w="646" w:type="pct"/>
                  <w:vAlign w:val="center"/>
                </w:tcPr>
                <w:p w14:paraId="5D5C83D2">
                  <w:pPr>
                    <w:adjustRightInd w:val="0"/>
                    <w:snapToGrid w:val="0"/>
                    <w:jc w:val="center"/>
                    <w:rPr>
                      <w:color w:val="auto"/>
                      <w:kern w:val="0"/>
                      <w:szCs w:val="21"/>
                      <w:highlight w:val="none"/>
                    </w:rPr>
                  </w:pPr>
                  <w:r>
                    <w:rPr>
                      <w:color w:val="auto"/>
                      <w:kern w:val="0"/>
                      <w:szCs w:val="21"/>
                      <w:highlight w:val="none"/>
                    </w:rPr>
                    <w:t>颗粒物</w:t>
                  </w:r>
                </w:p>
              </w:tc>
              <w:tc>
                <w:tcPr>
                  <w:tcW w:w="881" w:type="pct"/>
                  <w:vAlign w:val="center"/>
                </w:tcPr>
                <w:p w14:paraId="272BF38F">
                  <w:pPr>
                    <w:jc w:val="center"/>
                    <w:rPr>
                      <w:color w:val="auto"/>
                      <w:kern w:val="0"/>
                      <w:szCs w:val="21"/>
                      <w:highlight w:val="none"/>
                    </w:rPr>
                  </w:pPr>
                  <w:r>
                    <w:rPr>
                      <w:rFonts w:hint="eastAsia"/>
                      <w:color w:val="auto"/>
                      <w:kern w:val="0"/>
                      <w:szCs w:val="21"/>
                      <w:highlight w:val="none"/>
                    </w:rPr>
                    <w:t>0.09</w:t>
                  </w:r>
                </w:p>
              </w:tc>
              <w:tc>
                <w:tcPr>
                  <w:tcW w:w="607" w:type="pct"/>
                  <w:vAlign w:val="center"/>
                </w:tcPr>
                <w:p w14:paraId="72427589">
                  <w:pPr>
                    <w:jc w:val="center"/>
                    <w:rPr>
                      <w:color w:val="auto"/>
                      <w:kern w:val="0"/>
                      <w:szCs w:val="21"/>
                      <w:highlight w:val="none"/>
                    </w:rPr>
                  </w:pPr>
                  <w:r>
                    <w:rPr>
                      <w:color w:val="auto"/>
                      <w:kern w:val="0"/>
                      <w:szCs w:val="21"/>
                      <w:highlight w:val="none"/>
                    </w:rPr>
                    <w:t>0</w:t>
                  </w:r>
                </w:p>
              </w:tc>
              <w:tc>
                <w:tcPr>
                  <w:tcW w:w="1055" w:type="pct"/>
                  <w:vAlign w:val="center"/>
                </w:tcPr>
                <w:p w14:paraId="26116556">
                  <w:pPr>
                    <w:jc w:val="center"/>
                    <w:rPr>
                      <w:color w:val="auto"/>
                      <w:kern w:val="0"/>
                      <w:szCs w:val="21"/>
                      <w:highlight w:val="none"/>
                    </w:rPr>
                  </w:pPr>
                  <w:r>
                    <w:rPr>
                      <w:rFonts w:hint="eastAsia"/>
                      <w:color w:val="auto"/>
                      <w:kern w:val="0"/>
                      <w:szCs w:val="21"/>
                      <w:highlight w:val="none"/>
                    </w:rPr>
                    <w:t>0.09</w:t>
                  </w:r>
                </w:p>
              </w:tc>
              <w:tc>
                <w:tcPr>
                  <w:tcW w:w="735" w:type="pct"/>
                  <w:vAlign w:val="center"/>
                </w:tcPr>
                <w:p w14:paraId="6B51DF9A">
                  <w:pPr>
                    <w:jc w:val="center"/>
                    <w:rPr>
                      <w:color w:val="auto"/>
                      <w:kern w:val="0"/>
                      <w:szCs w:val="21"/>
                      <w:highlight w:val="none"/>
                    </w:rPr>
                  </w:pPr>
                  <w:r>
                    <w:rPr>
                      <w:rFonts w:hint="eastAsia"/>
                      <w:color w:val="auto"/>
                      <w:szCs w:val="21"/>
                      <w:highlight w:val="none"/>
                    </w:rPr>
                    <w:t>达标</w:t>
                  </w:r>
                </w:p>
              </w:tc>
            </w:tr>
            <w:tr w14:paraId="2AEE3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vMerge w:val="continue"/>
                  <w:vAlign w:val="center"/>
                </w:tcPr>
                <w:p w14:paraId="47523665">
                  <w:pPr>
                    <w:widowControl/>
                    <w:adjustRightInd w:val="0"/>
                    <w:snapToGrid w:val="0"/>
                    <w:jc w:val="center"/>
                    <w:rPr>
                      <w:color w:val="auto"/>
                      <w:kern w:val="0"/>
                      <w:szCs w:val="21"/>
                      <w:highlight w:val="none"/>
                    </w:rPr>
                  </w:pPr>
                </w:p>
              </w:tc>
              <w:tc>
                <w:tcPr>
                  <w:tcW w:w="692" w:type="pct"/>
                  <w:vMerge w:val="continue"/>
                  <w:vAlign w:val="center"/>
                </w:tcPr>
                <w:p w14:paraId="64CFA5AF">
                  <w:pPr>
                    <w:widowControl/>
                    <w:adjustRightInd w:val="0"/>
                    <w:snapToGrid w:val="0"/>
                    <w:jc w:val="center"/>
                    <w:rPr>
                      <w:color w:val="auto"/>
                      <w:kern w:val="0"/>
                      <w:szCs w:val="21"/>
                      <w:highlight w:val="none"/>
                    </w:rPr>
                  </w:pPr>
                </w:p>
              </w:tc>
              <w:tc>
                <w:tcPr>
                  <w:tcW w:w="646" w:type="pct"/>
                  <w:vAlign w:val="center"/>
                </w:tcPr>
                <w:p w14:paraId="2DEA5AA5">
                  <w:pPr>
                    <w:adjustRightInd w:val="0"/>
                    <w:snapToGrid w:val="0"/>
                    <w:jc w:val="center"/>
                    <w:rPr>
                      <w:color w:val="auto"/>
                      <w:kern w:val="0"/>
                      <w:szCs w:val="21"/>
                      <w:highlight w:val="none"/>
                    </w:rPr>
                  </w:pPr>
                  <w:r>
                    <w:rPr>
                      <w:rFonts w:hint="eastAsia"/>
                      <w:color w:val="auto"/>
                      <w:szCs w:val="21"/>
                      <w:highlight w:val="none"/>
                    </w:rPr>
                    <w:t>VOCs</w:t>
                  </w:r>
                </w:p>
              </w:tc>
              <w:tc>
                <w:tcPr>
                  <w:tcW w:w="881" w:type="pct"/>
                  <w:vAlign w:val="center"/>
                </w:tcPr>
                <w:p w14:paraId="1A1D97E2">
                  <w:pPr>
                    <w:jc w:val="center"/>
                    <w:rPr>
                      <w:color w:val="auto"/>
                      <w:kern w:val="0"/>
                      <w:szCs w:val="21"/>
                      <w:highlight w:val="none"/>
                    </w:rPr>
                  </w:pPr>
                  <w:r>
                    <w:rPr>
                      <w:rFonts w:hint="eastAsia"/>
                      <w:color w:val="auto"/>
                      <w:kern w:val="0"/>
                      <w:szCs w:val="21"/>
                      <w:highlight w:val="none"/>
                    </w:rPr>
                    <w:t>0.018</w:t>
                  </w:r>
                </w:p>
              </w:tc>
              <w:tc>
                <w:tcPr>
                  <w:tcW w:w="607" w:type="pct"/>
                  <w:vAlign w:val="center"/>
                </w:tcPr>
                <w:p w14:paraId="47BE2DC0">
                  <w:pPr>
                    <w:jc w:val="center"/>
                    <w:rPr>
                      <w:color w:val="auto"/>
                      <w:kern w:val="0"/>
                      <w:szCs w:val="21"/>
                      <w:highlight w:val="none"/>
                    </w:rPr>
                  </w:pPr>
                  <w:r>
                    <w:rPr>
                      <w:color w:val="auto"/>
                      <w:kern w:val="0"/>
                      <w:szCs w:val="21"/>
                      <w:highlight w:val="none"/>
                    </w:rPr>
                    <w:t>0</w:t>
                  </w:r>
                </w:p>
              </w:tc>
              <w:tc>
                <w:tcPr>
                  <w:tcW w:w="1055" w:type="pct"/>
                  <w:vAlign w:val="center"/>
                </w:tcPr>
                <w:p w14:paraId="21360101">
                  <w:pPr>
                    <w:jc w:val="center"/>
                    <w:rPr>
                      <w:color w:val="auto"/>
                      <w:kern w:val="0"/>
                      <w:szCs w:val="21"/>
                      <w:highlight w:val="none"/>
                    </w:rPr>
                  </w:pPr>
                  <w:r>
                    <w:rPr>
                      <w:rFonts w:hint="eastAsia"/>
                      <w:color w:val="auto"/>
                      <w:kern w:val="0"/>
                      <w:szCs w:val="21"/>
                      <w:highlight w:val="none"/>
                    </w:rPr>
                    <w:t>0.018</w:t>
                  </w:r>
                </w:p>
              </w:tc>
              <w:tc>
                <w:tcPr>
                  <w:tcW w:w="735" w:type="pct"/>
                  <w:vAlign w:val="center"/>
                </w:tcPr>
                <w:p w14:paraId="0B4BF88A">
                  <w:pPr>
                    <w:jc w:val="center"/>
                    <w:rPr>
                      <w:color w:val="auto"/>
                      <w:kern w:val="0"/>
                      <w:szCs w:val="21"/>
                      <w:highlight w:val="none"/>
                    </w:rPr>
                  </w:pPr>
                  <w:r>
                    <w:rPr>
                      <w:rFonts w:hint="eastAsia"/>
                      <w:color w:val="auto"/>
                      <w:szCs w:val="21"/>
                      <w:highlight w:val="none"/>
                    </w:rPr>
                    <w:t>达标</w:t>
                  </w:r>
                </w:p>
              </w:tc>
            </w:tr>
            <w:tr w14:paraId="4A811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restart"/>
                  <w:vAlign w:val="center"/>
                </w:tcPr>
                <w:p w14:paraId="7168DB10">
                  <w:pPr>
                    <w:widowControl/>
                    <w:adjustRightInd w:val="0"/>
                    <w:snapToGrid w:val="0"/>
                    <w:jc w:val="center"/>
                    <w:rPr>
                      <w:color w:val="auto"/>
                      <w:kern w:val="0"/>
                      <w:szCs w:val="21"/>
                      <w:highlight w:val="none"/>
                    </w:rPr>
                  </w:pPr>
                  <w:r>
                    <w:rPr>
                      <w:rFonts w:hint="eastAsia"/>
                      <w:color w:val="auto"/>
                      <w:kern w:val="0"/>
                      <w:szCs w:val="21"/>
                      <w:highlight w:val="none"/>
                    </w:rPr>
                    <w:t>废水（生活污水+纯水制备浓水）</w:t>
                  </w:r>
                </w:p>
              </w:tc>
              <w:tc>
                <w:tcPr>
                  <w:tcW w:w="646" w:type="pct"/>
                  <w:vAlign w:val="center"/>
                </w:tcPr>
                <w:p w14:paraId="41049DD8">
                  <w:pPr>
                    <w:widowControl/>
                    <w:adjustRightInd w:val="0"/>
                    <w:snapToGrid w:val="0"/>
                    <w:jc w:val="center"/>
                    <w:rPr>
                      <w:color w:val="auto"/>
                      <w:kern w:val="0"/>
                      <w:szCs w:val="21"/>
                      <w:highlight w:val="none"/>
                    </w:rPr>
                  </w:pPr>
                  <w:r>
                    <w:rPr>
                      <w:color w:val="auto"/>
                      <w:kern w:val="0"/>
                      <w:szCs w:val="21"/>
                      <w:highlight w:val="none"/>
                    </w:rPr>
                    <w:t>水量</w:t>
                  </w:r>
                </w:p>
              </w:tc>
              <w:tc>
                <w:tcPr>
                  <w:tcW w:w="881" w:type="pct"/>
                  <w:vAlign w:val="center"/>
                </w:tcPr>
                <w:p w14:paraId="4B305D1A">
                  <w:pPr>
                    <w:adjustRightInd w:val="0"/>
                    <w:snapToGrid w:val="0"/>
                    <w:jc w:val="center"/>
                    <w:rPr>
                      <w:color w:val="auto"/>
                      <w:szCs w:val="21"/>
                      <w:highlight w:val="none"/>
                    </w:rPr>
                  </w:pPr>
                  <w:r>
                    <w:rPr>
                      <w:rFonts w:hint="eastAsia"/>
                      <w:color w:val="auto"/>
                      <w:szCs w:val="21"/>
                      <w:highlight w:val="none"/>
                    </w:rPr>
                    <w:t>2424</w:t>
                  </w:r>
                </w:p>
              </w:tc>
              <w:tc>
                <w:tcPr>
                  <w:tcW w:w="607" w:type="pct"/>
                  <w:vAlign w:val="center"/>
                </w:tcPr>
                <w:p w14:paraId="73CF693B">
                  <w:pPr>
                    <w:adjustRightInd w:val="0"/>
                    <w:snapToGrid w:val="0"/>
                    <w:jc w:val="center"/>
                    <w:rPr>
                      <w:color w:val="auto"/>
                      <w:szCs w:val="21"/>
                      <w:highlight w:val="none"/>
                    </w:rPr>
                  </w:pPr>
                  <w:r>
                    <w:rPr>
                      <w:color w:val="auto"/>
                      <w:szCs w:val="21"/>
                      <w:highlight w:val="none"/>
                    </w:rPr>
                    <w:t>0</w:t>
                  </w:r>
                </w:p>
              </w:tc>
              <w:tc>
                <w:tcPr>
                  <w:tcW w:w="1055" w:type="pct"/>
                  <w:vAlign w:val="center"/>
                </w:tcPr>
                <w:p w14:paraId="7194BF83">
                  <w:pPr>
                    <w:adjustRightInd w:val="0"/>
                    <w:snapToGrid w:val="0"/>
                    <w:jc w:val="center"/>
                    <w:rPr>
                      <w:color w:val="auto"/>
                      <w:szCs w:val="21"/>
                      <w:highlight w:val="none"/>
                    </w:rPr>
                  </w:pPr>
                  <w:r>
                    <w:rPr>
                      <w:rFonts w:hint="eastAsia"/>
                      <w:color w:val="auto"/>
                      <w:szCs w:val="21"/>
                      <w:highlight w:val="none"/>
                    </w:rPr>
                    <w:t>2424</w:t>
                  </w:r>
                </w:p>
              </w:tc>
              <w:tc>
                <w:tcPr>
                  <w:tcW w:w="735" w:type="pct"/>
                  <w:vAlign w:val="center"/>
                </w:tcPr>
                <w:p w14:paraId="3DCA0CDA">
                  <w:pPr>
                    <w:adjustRightInd w:val="0"/>
                    <w:snapToGrid w:val="0"/>
                    <w:jc w:val="center"/>
                    <w:rPr>
                      <w:color w:val="auto"/>
                      <w:szCs w:val="21"/>
                      <w:highlight w:val="none"/>
                    </w:rPr>
                  </w:pPr>
                  <w:r>
                    <w:rPr>
                      <w:rFonts w:hint="eastAsia"/>
                      <w:color w:val="auto"/>
                      <w:szCs w:val="21"/>
                      <w:highlight w:val="none"/>
                    </w:rPr>
                    <w:t>达标</w:t>
                  </w:r>
                </w:p>
              </w:tc>
            </w:tr>
            <w:tr w14:paraId="0B4CB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71" w:type="pct"/>
                  <w:gridSpan w:val="2"/>
                  <w:vMerge w:val="continue"/>
                  <w:vAlign w:val="center"/>
                </w:tcPr>
                <w:p w14:paraId="45928C7F">
                  <w:pPr>
                    <w:widowControl/>
                    <w:adjustRightInd w:val="0"/>
                    <w:snapToGrid w:val="0"/>
                    <w:jc w:val="center"/>
                    <w:rPr>
                      <w:color w:val="auto"/>
                      <w:kern w:val="0"/>
                      <w:szCs w:val="21"/>
                      <w:highlight w:val="none"/>
                    </w:rPr>
                  </w:pPr>
                </w:p>
              </w:tc>
              <w:tc>
                <w:tcPr>
                  <w:tcW w:w="646" w:type="pct"/>
                  <w:vAlign w:val="center"/>
                </w:tcPr>
                <w:p w14:paraId="39DAB654">
                  <w:pPr>
                    <w:snapToGrid w:val="0"/>
                    <w:jc w:val="center"/>
                    <w:rPr>
                      <w:color w:val="auto"/>
                      <w:szCs w:val="21"/>
                      <w:highlight w:val="none"/>
                    </w:rPr>
                  </w:pPr>
                  <w:r>
                    <w:rPr>
                      <w:color w:val="auto"/>
                      <w:szCs w:val="21"/>
                      <w:highlight w:val="none"/>
                    </w:rPr>
                    <w:t>COD</w:t>
                  </w:r>
                </w:p>
              </w:tc>
              <w:tc>
                <w:tcPr>
                  <w:tcW w:w="881" w:type="pct"/>
                  <w:vAlign w:val="center"/>
                </w:tcPr>
                <w:p w14:paraId="0F5526E5">
                  <w:pPr>
                    <w:adjustRightInd w:val="0"/>
                    <w:snapToGrid w:val="0"/>
                    <w:jc w:val="center"/>
                    <w:rPr>
                      <w:color w:val="auto"/>
                      <w:szCs w:val="21"/>
                      <w:highlight w:val="none"/>
                    </w:rPr>
                  </w:pPr>
                  <w:r>
                    <w:rPr>
                      <w:rFonts w:hint="eastAsia"/>
                      <w:color w:val="auto"/>
                      <w:szCs w:val="21"/>
                      <w:highlight w:val="none"/>
                    </w:rPr>
                    <w:t>0.84</w:t>
                  </w:r>
                </w:p>
              </w:tc>
              <w:tc>
                <w:tcPr>
                  <w:tcW w:w="607" w:type="pct"/>
                  <w:vAlign w:val="center"/>
                </w:tcPr>
                <w:p w14:paraId="5AA21AC7">
                  <w:pPr>
                    <w:jc w:val="center"/>
                    <w:rPr>
                      <w:color w:val="auto"/>
                      <w:kern w:val="0"/>
                      <w:szCs w:val="21"/>
                      <w:highlight w:val="none"/>
                    </w:rPr>
                  </w:pPr>
                  <w:r>
                    <w:rPr>
                      <w:color w:val="auto"/>
                      <w:kern w:val="0"/>
                      <w:szCs w:val="21"/>
                      <w:highlight w:val="none"/>
                    </w:rPr>
                    <w:t>0</w:t>
                  </w:r>
                </w:p>
              </w:tc>
              <w:tc>
                <w:tcPr>
                  <w:tcW w:w="1055" w:type="pct"/>
                  <w:vAlign w:val="center"/>
                </w:tcPr>
                <w:p w14:paraId="65F9C9EB">
                  <w:pPr>
                    <w:jc w:val="center"/>
                    <w:rPr>
                      <w:color w:val="auto"/>
                      <w:kern w:val="0"/>
                      <w:szCs w:val="21"/>
                      <w:highlight w:val="none"/>
                    </w:rPr>
                  </w:pPr>
                  <w:r>
                    <w:rPr>
                      <w:rFonts w:hint="eastAsia"/>
                      <w:color w:val="auto"/>
                      <w:kern w:val="0"/>
                      <w:szCs w:val="21"/>
                      <w:highlight w:val="none"/>
                    </w:rPr>
                    <w:t xml:space="preserve">0.3151 </w:t>
                  </w:r>
                </w:p>
              </w:tc>
              <w:tc>
                <w:tcPr>
                  <w:tcW w:w="735" w:type="pct"/>
                  <w:vAlign w:val="center"/>
                </w:tcPr>
                <w:p w14:paraId="4F9FB111">
                  <w:pPr>
                    <w:adjustRightInd w:val="0"/>
                    <w:snapToGrid w:val="0"/>
                    <w:jc w:val="center"/>
                    <w:rPr>
                      <w:color w:val="auto"/>
                      <w:szCs w:val="21"/>
                      <w:highlight w:val="none"/>
                    </w:rPr>
                  </w:pPr>
                  <w:r>
                    <w:rPr>
                      <w:rFonts w:hint="eastAsia"/>
                      <w:color w:val="auto"/>
                      <w:szCs w:val="21"/>
                      <w:highlight w:val="none"/>
                    </w:rPr>
                    <w:t>达标</w:t>
                  </w:r>
                </w:p>
              </w:tc>
            </w:tr>
            <w:tr w14:paraId="7F819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continue"/>
                  <w:vAlign w:val="center"/>
                </w:tcPr>
                <w:p w14:paraId="0117D8FE">
                  <w:pPr>
                    <w:widowControl/>
                    <w:adjustRightInd w:val="0"/>
                    <w:snapToGrid w:val="0"/>
                    <w:jc w:val="center"/>
                    <w:rPr>
                      <w:color w:val="auto"/>
                      <w:kern w:val="0"/>
                      <w:szCs w:val="21"/>
                      <w:highlight w:val="none"/>
                    </w:rPr>
                  </w:pPr>
                </w:p>
              </w:tc>
              <w:tc>
                <w:tcPr>
                  <w:tcW w:w="646" w:type="pct"/>
                  <w:vAlign w:val="center"/>
                </w:tcPr>
                <w:p w14:paraId="363DD2E2">
                  <w:pPr>
                    <w:snapToGrid w:val="0"/>
                    <w:jc w:val="center"/>
                    <w:rPr>
                      <w:color w:val="auto"/>
                      <w:szCs w:val="21"/>
                      <w:highlight w:val="none"/>
                    </w:rPr>
                  </w:pPr>
                  <w:r>
                    <w:rPr>
                      <w:color w:val="auto"/>
                      <w:szCs w:val="21"/>
                      <w:highlight w:val="none"/>
                    </w:rPr>
                    <w:t>SS</w:t>
                  </w:r>
                </w:p>
              </w:tc>
              <w:tc>
                <w:tcPr>
                  <w:tcW w:w="881" w:type="pct"/>
                  <w:vAlign w:val="center"/>
                </w:tcPr>
                <w:p w14:paraId="255C3491">
                  <w:pPr>
                    <w:adjustRightInd w:val="0"/>
                    <w:snapToGrid w:val="0"/>
                    <w:jc w:val="center"/>
                    <w:rPr>
                      <w:color w:val="auto"/>
                      <w:szCs w:val="21"/>
                      <w:highlight w:val="none"/>
                    </w:rPr>
                  </w:pPr>
                  <w:r>
                    <w:rPr>
                      <w:rFonts w:hint="eastAsia"/>
                      <w:color w:val="auto"/>
                      <w:szCs w:val="21"/>
                      <w:highlight w:val="none"/>
                    </w:rPr>
                    <w:t>0.6</w:t>
                  </w:r>
                </w:p>
              </w:tc>
              <w:tc>
                <w:tcPr>
                  <w:tcW w:w="607" w:type="pct"/>
                  <w:vAlign w:val="center"/>
                </w:tcPr>
                <w:p w14:paraId="513C8511">
                  <w:pPr>
                    <w:jc w:val="center"/>
                    <w:rPr>
                      <w:color w:val="auto"/>
                      <w:kern w:val="0"/>
                      <w:szCs w:val="21"/>
                      <w:highlight w:val="none"/>
                    </w:rPr>
                  </w:pPr>
                  <w:r>
                    <w:rPr>
                      <w:color w:val="auto"/>
                      <w:kern w:val="0"/>
                      <w:szCs w:val="21"/>
                      <w:highlight w:val="none"/>
                    </w:rPr>
                    <w:t>0</w:t>
                  </w:r>
                </w:p>
              </w:tc>
              <w:tc>
                <w:tcPr>
                  <w:tcW w:w="1055" w:type="pct"/>
                  <w:vAlign w:val="center"/>
                </w:tcPr>
                <w:p w14:paraId="65B57ADB">
                  <w:pPr>
                    <w:jc w:val="center"/>
                    <w:rPr>
                      <w:color w:val="auto"/>
                      <w:kern w:val="0"/>
                      <w:szCs w:val="21"/>
                      <w:highlight w:val="none"/>
                    </w:rPr>
                  </w:pPr>
                  <w:r>
                    <w:rPr>
                      <w:rFonts w:hint="eastAsia"/>
                      <w:color w:val="auto"/>
                      <w:kern w:val="0"/>
                      <w:szCs w:val="21"/>
                      <w:highlight w:val="none"/>
                    </w:rPr>
                    <w:t xml:space="preserve">0.0654 </w:t>
                  </w:r>
                </w:p>
              </w:tc>
              <w:tc>
                <w:tcPr>
                  <w:tcW w:w="735" w:type="pct"/>
                  <w:vAlign w:val="center"/>
                </w:tcPr>
                <w:p w14:paraId="025D9206">
                  <w:pPr>
                    <w:jc w:val="center"/>
                    <w:rPr>
                      <w:color w:val="auto"/>
                      <w:kern w:val="0"/>
                      <w:szCs w:val="21"/>
                      <w:highlight w:val="none"/>
                    </w:rPr>
                  </w:pPr>
                  <w:r>
                    <w:rPr>
                      <w:rFonts w:hint="eastAsia"/>
                      <w:color w:val="auto"/>
                      <w:szCs w:val="21"/>
                      <w:highlight w:val="none"/>
                    </w:rPr>
                    <w:t>达标</w:t>
                  </w:r>
                </w:p>
              </w:tc>
            </w:tr>
            <w:tr w14:paraId="06F2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continue"/>
                  <w:vAlign w:val="center"/>
                </w:tcPr>
                <w:p w14:paraId="0F37C2F9">
                  <w:pPr>
                    <w:widowControl/>
                    <w:adjustRightInd w:val="0"/>
                    <w:snapToGrid w:val="0"/>
                    <w:jc w:val="center"/>
                    <w:rPr>
                      <w:color w:val="auto"/>
                      <w:kern w:val="0"/>
                      <w:szCs w:val="21"/>
                      <w:highlight w:val="none"/>
                    </w:rPr>
                  </w:pPr>
                </w:p>
              </w:tc>
              <w:tc>
                <w:tcPr>
                  <w:tcW w:w="646" w:type="pct"/>
                  <w:vAlign w:val="center"/>
                </w:tcPr>
                <w:p w14:paraId="6AA163EC">
                  <w:pPr>
                    <w:snapToGrid w:val="0"/>
                    <w:jc w:val="center"/>
                    <w:rPr>
                      <w:color w:val="auto"/>
                      <w:szCs w:val="21"/>
                      <w:highlight w:val="none"/>
                    </w:rPr>
                  </w:pPr>
                  <w:r>
                    <w:rPr>
                      <w:color w:val="auto"/>
                      <w:szCs w:val="21"/>
                      <w:highlight w:val="none"/>
                    </w:rPr>
                    <w:t>氨氮</w:t>
                  </w:r>
                </w:p>
              </w:tc>
              <w:tc>
                <w:tcPr>
                  <w:tcW w:w="881" w:type="pct"/>
                  <w:vAlign w:val="center"/>
                </w:tcPr>
                <w:p w14:paraId="55B7EA53">
                  <w:pPr>
                    <w:adjustRightInd w:val="0"/>
                    <w:snapToGrid w:val="0"/>
                    <w:jc w:val="center"/>
                    <w:rPr>
                      <w:color w:val="auto"/>
                      <w:szCs w:val="21"/>
                      <w:highlight w:val="none"/>
                    </w:rPr>
                  </w:pPr>
                  <w:r>
                    <w:rPr>
                      <w:rFonts w:hint="eastAsia"/>
                      <w:color w:val="auto"/>
                      <w:szCs w:val="21"/>
                      <w:highlight w:val="none"/>
                    </w:rPr>
                    <w:t>0.06</w:t>
                  </w:r>
                </w:p>
              </w:tc>
              <w:tc>
                <w:tcPr>
                  <w:tcW w:w="607" w:type="pct"/>
                  <w:vAlign w:val="center"/>
                </w:tcPr>
                <w:p w14:paraId="265A7AF1">
                  <w:pPr>
                    <w:jc w:val="center"/>
                    <w:rPr>
                      <w:color w:val="auto"/>
                      <w:kern w:val="0"/>
                      <w:szCs w:val="21"/>
                      <w:highlight w:val="none"/>
                    </w:rPr>
                  </w:pPr>
                  <w:r>
                    <w:rPr>
                      <w:color w:val="auto"/>
                      <w:kern w:val="0"/>
                      <w:szCs w:val="21"/>
                      <w:highlight w:val="none"/>
                    </w:rPr>
                    <w:t>0</w:t>
                  </w:r>
                </w:p>
              </w:tc>
              <w:tc>
                <w:tcPr>
                  <w:tcW w:w="1055" w:type="pct"/>
                  <w:vAlign w:val="center"/>
                </w:tcPr>
                <w:p w14:paraId="2BFC0F7C">
                  <w:pPr>
                    <w:jc w:val="center"/>
                    <w:rPr>
                      <w:color w:val="auto"/>
                      <w:kern w:val="0"/>
                      <w:szCs w:val="21"/>
                      <w:highlight w:val="none"/>
                    </w:rPr>
                  </w:pPr>
                  <w:r>
                    <w:rPr>
                      <w:rFonts w:hint="eastAsia"/>
                      <w:color w:val="auto"/>
                      <w:kern w:val="0"/>
                      <w:szCs w:val="21"/>
                      <w:highlight w:val="none"/>
                    </w:rPr>
                    <w:t xml:space="preserve">0.0042 </w:t>
                  </w:r>
                </w:p>
              </w:tc>
              <w:tc>
                <w:tcPr>
                  <w:tcW w:w="735" w:type="pct"/>
                  <w:vAlign w:val="center"/>
                </w:tcPr>
                <w:p w14:paraId="09B1645C">
                  <w:pPr>
                    <w:jc w:val="center"/>
                    <w:rPr>
                      <w:color w:val="auto"/>
                      <w:kern w:val="0"/>
                      <w:szCs w:val="21"/>
                      <w:highlight w:val="none"/>
                    </w:rPr>
                  </w:pPr>
                  <w:r>
                    <w:rPr>
                      <w:rFonts w:hint="eastAsia"/>
                      <w:color w:val="auto"/>
                      <w:szCs w:val="21"/>
                      <w:highlight w:val="none"/>
                    </w:rPr>
                    <w:t>达标</w:t>
                  </w:r>
                </w:p>
              </w:tc>
            </w:tr>
            <w:tr w14:paraId="33BD1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continue"/>
                  <w:vAlign w:val="center"/>
                </w:tcPr>
                <w:p w14:paraId="4A4476FC">
                  <w:pPr>
                    <w:widowControl/>
                    <w:adjustRightInd w:val="0"/>
                    <w:snapToGrid w:val="0"/>
                    <w:jc w:val="center"/>
                    <w:rPr>
                      <w:color w:val="auto"/>
                      <w:kern w:val="0"/>
                      <w:szCs w:val="21"/>
                      <w:highlight w:val="none"/>
                    </w:rPr>
                  </w:pPr>
                </w:p>
              </w:tc>
              <w:tc>
                <w:tcPr>
                  <w:tcW w:w="646" w:type="pct"/>
                  <w:vAlign w:val="center"/>
                </w:tcPr>
                <w:p w14:paraId="0B146008">
                  <w:pPr>
                    <w:snapToGrid w:val="0"/>
                    <w:jc w:val="center"/>
                    <w:rPr>
                      <w:color w:val="auto"/>
                      <w:szCs w:val="21"/>
                      <w:highlight w:val="none"/>
                    </w:rPr>
                  </w:pPr>
                  <w:r>
                    <w:rPr>
                      <w:rFonts w:hint="eastAsia"/>
                      <w:color w:val="auto"/>
                      <w:szCs w:val="21"/>
                      <w:highlight w:val="none"/>
                    </w:rPr>
                    <w:t>总氮</w:t>
                  </w:r>
                </w:p>
              </w:tc>
              <w:tc>
                <w:tcPr>
                  <w:tcW w:w="881" w:type="pct"/>
                  <w:vAlign w:val="center"/>
                </w:tcPr>
                <w:p w14:paraId="2C396FFC">
                  <w:pPr>
                    <w:adjustRightInd w:val="0"/>
                    <w:snapToGrid w:val="0"/>
                    <w:jc w:val="center"/>
                    <w:rPr>
                      <w:color w:val="auto"/>
                      <w:szCs w:val="21"/>
                      <w:highlight w:val="none"/>
                    </w:rPr>
                  </w:pPr>
                  <w:r>
                    <w:rPr>
                      <w:rFonts w:hint="eastAsia"/>
                      <w:color w:val="auto"/>
                      <w:szCs w:val="21"/>
                      <w:highlight w:val="none"/>
                    </w:rPr>
                    <w:t>0.12</w:t>
                  </w:r>
                </w:p>
              </w:tc>
              <w:tc>
                <w:tcPr>
                  <w:tcW w:w="607" w:type="pct"/>
                  <w:vAlign w:val="center"/>
                </w:tcPr>
                <w:p w14:paraId="75E339AB">
                  <w:pPr>
                    <w:jc w:val="center"/>
                    <w:rPr>
                      <w:color w:val="auto"/>
                      <w:kern w:val="0"/>
                      <w:szCs w:val="21"/>
                      <w:highlight w:val="none"/>
                    </w:rPr>
                  </w:pPr>
                  <w:r>
                    <w:rPr>
                      <w:color w:val="auto"/>
                      <w:kern w:val="0"/>
                      <w:szCs w:val="21"/>
                      <w:highlight w:val="none"/>
                    </w:rPr>
                    <w:t>0</w:t>
                  </w:r>
                </w:p>
              </w:tc>
              <w:tc>
                <w:tcPr>
                  <w:tcW w:w="1055" w:type="pct"/>
                  <w:vAlign w:val="center"/>
                </w:tcPr>
                <w:p w14:paraId="5E6455CE">
                  <w:pPr>
                    <w:jc w:val="center"/>
                    <w:rPr>
                      <w:color w:val="auto"/>
                      <w:kern w:val="0"/>
                      <w:szCs w:val="21"/>
                      <w:highlight w:val="none"/>
                    </w:rPr>
                  </w:pPr>
                  <w:r>
                    <w:rPr>
                      <w:rFonts w:hint="eastAsia"/>
                      <w:color w:val="auto"/>
                      <w:kern w:val="0"/>
                      <w:szCs w:val="21"/>
                      <w:highlight w:val="none"/>
                    </w:rPr>
                    <w:t xml:space="preserve">0.0068 </w:t>
                  </w:r>
                </w:p>
              </w:tc>
              <w:tc>
                <w:tcPr>
                  <w:tcW w:w="735" w:type="pct"/>
                  <w:vAlign w:val="center"/>
                </w:tcPr>
                <w:p w14:paraId="6C5F630D">
                  <w:pPr>
                    <w:jc w:val="center"/>
                    <w:rPr>
                      <w:color w:val="auto"/>
                      <w:kern w:val="0"/>
                      <w:szCs w:val="21"/>
                      <w:highlight w:val="none"/>
                    </w:rPr>
                  </w:pPr>
                  <w:r>
                    <w:rPr>
                      <w:rFonts w:hint="eastAsia"/>
                      <w:color w:val="auto"/>
                      <w:szCs w:val="21"/>
                      <w:highlight w:val="none"/>
                    </w:rPr>
                    <w:t>达标</w:t>
                  </w:r>
                </w:p>
              </w:tc>
            </w:tr>
            <w:tr w14:paraId="52865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continue"/>
                  <w:vAlign w:val="center"/>
                </w:tcPr>
                <w:p w14:paraId="0267C142">
                  <w:pPr>
                    <w:widowControl/>
                    <w:adjustRightInd w:val="0"/>
                    <w:snapToGrid w:val="0"/>
                    <w:jc w:val="center"/>
                    <w:rPr>
                      <w:color w:val="auto"/>
                      <w:kern w:val="0"/>
                      <w:szCs w:val="21"/>
                      <w:highlight w:val="none"/>
                    </w:rPr>
                  </w:pPr>
                </w:p>
              </w:tc>
              <w:tc>
                <w:tcPr>
                  <w:tcW w:w="646" w:type="pct"/>
                  <w:vAlign w:val="center"/>
                </w:tcPr>
                <w:p w14:paraId="0ECF3333">
                  <w:pPr>
                    <w:snapToGrid w:val="0"/>
                    <w:jc w:val="center"/>
                    <w:rPr>
                      <w:color w:val="auto"/>
                      <w:szCs w:val="21"/>
                      <w:highlight w:val="none"/>
                    </w:rPr>
                  </w:pPr>
                  <w:r>
                    <w:rPr>
                      <w:rFonts w:hint="eastAsia"/>
                      <w:color w:val="auto"/>
                      <w:szCs w:val="21"/>
                      <w:highlight w:val="none"/>
                    </w:rPr>
                    <w:t>总磷</w:t>
                  </w:r>
                </w:p>
              </w:tc>
              <w:tc>
                <w:tcPr>
                  <w:tcW w:w="881" w:type="pct"/>
                  <w:vAlign w:val="center"/>
                </w:tcPr>
                <w:p w14:paraId="39E199D9">
                  <w:pPr>
                    <w:adjustRightInd w:val="0"/>
                    <w:snapToGrid w:val="0"/>
                    <w:jc w:val="center"/>
                    <w:rPr>
                      <w:color w:val="auto"/>
                      <w:szCs w:val="21"/>
                      <w:highlight w:val="none"/>
                    </w:rPr>
                  </w:pPr>
                  <w:r>
                    <w:rPr>
                      <w:rFonts w:hint="eastAsia"/>
                      <w:color w:val="auto"/>
                      <w:szCs w:val="21"/>
                      <w:highlight w:val="none"/>
                    </w:rPr>
                    <w:t>0.012</w:t>
                  </w:r>
                </w:p>
              </w:tc>
              <w:tc>
                <w:tcPr>
                  <w:tcW w:w="607" w:type="pct"/>
                  <w:vAlign w:val="center"/>
                </w:tcPr>
                <w:p w14:paraId="648FD54F">
                  <w:pPr>
                    <w:jc w:val="center"/>
                    <w:rPr>
                      <w:color w:val="auto"/>
                      <w:kern w:val="0"/>
                      <w:szCs w:val="21"/>
                      <w:highlight w:val="none"/>
                    </w:rPr>
                  </w:pPr>
                  <w:r>
                    <w:rPr>
                      <w:color w:val="auto"/>
                      <w:kern w:val="0"/>
                      <w:szCs w:val="21"/>
                      <w:highlight w:val="none"/>
                    </w:rPr>
                    <w:t>0</w:t>
                  </w:r>
                </w:p>
              </w:tc>
              <w:tc>
                <w:tcPr>
                  <w:tcW w:w="1055" w:type="pct"/>
                  <w:vAlign w:val="center"/>
                </w:tcPr>
                <w:p w14:paraId="47532FC0">
                  <w:pPr>
                    <w:jc w:val="center"/>
                    <w:rPr>
                      <w:color w:val="auto"/>
                      <w:kern w:val="0"/>
                      <w:szCs w:val="21"/>
                      <w:highlight w:val="none"/>
                    </w:rPr>
                  </w:pPr>
                  <w:r>
                    <w:rPr>
                      <w:rFonts w:hint="eastAsia"/>
                      <w:color w:val="auto"/>
                      <w:kern w:val="0"/>
                      <w:szCs w:val="21"/>
                      <w:highlight w:val="none"/>
                    </w:rPr>
                    <w:t xml:space="preserve">0.0011 </w:t>
                  </w:r>
                </w:p>
              </w:tc>
              <w:tc>
                <w:tcPr>
                  <w:tcW w:w="735" w:type="pct"/>
                  <w:vAlign w:val="center"/>
                </w:tcPr>
                <w:p w14:paraId="7D6DE552">
                  <w:pPr>
                    <w:jc w:val="center"/>
                    <w:rPr>
                      <w:color w:val="auto"/>
                      <w:kern w:val="0"/>
                      <w:szCs w:val="21"/>
                      <w:highlight w:val="none"/>
                    </w:rPr>
                  </w:pPr>
                  <w:r>
                    <w:rPr>
                      <w:rFonts w:hint="eastAsia"/>
                      <w:color w:val="auto"/>
                      <w:szCs w:val="21"/>
                      <w:highlight w:val="none"/>
                    </w:rPr>
                    <w:t>达标</w:t>
                  </w:r>
                </w:p>
              </w:tc>
            </w:tr>
            <w:tr w14:paraId="5930B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restart"/>
                  <w:vAlign w:val="center"/>
                </w:tcPr>
                <w:p w14:paraId="7BBFB369">
                  <w:pPr>
                    <w:widowControl/>
                    <w:adjustRightInd w:val="0"/>
                    <w:snapToGrid w:val="0"/>
                    <w:jc w:val="center"/>
                    <w:rPr>
                      <w:color w:val="auto"/>
                      <w:kern w:val="0"/>
                      <w:szCs w:val="21"/>
                      <w:highlight w:val="none"/>
                    </w:rPr>
                  </w:pPr>
                  <w:r>
                    <w:rPr>
                      <w:color w:val="auto"/>
                      <w:kern w:val="0"/>
                      <w:szCs w:val="21"/>
                      <w:highlight w:val="none"/>
                    </w:rPr>
                    <w:t>固废</w:t>
                  </w:r>
                </w:p>
              </w:tc>
              <w:tc>
                <w:tcPr>
                  <w:tcW w:w="646" w:type="pct"/>
                  <w:vAlign w:val="center"/>
                </w:tcPr>
                <w:p w14:paraId="3EA45F58">
                  <w:pPr>
                    <w:widowControl/>
                    <w:adjustRightInd w:val="0"/>
                    <w:snapToGrid w:val="0"/>
                    <w:jc w:val="center"/>
                    <w:rPr>
                      <w:color w:val="auto"/>
                      <w:kern w:val="0"/>
                      <w:szCs w:val="21"/>
                      <w:highlight w:val="none"/>
                    </w:rPr>
                  </w:pPr>
                  <w:r>
                    <w:rPr>
                      <w:color w:val="auto"/>
                      <w:kern w:val="0"/>
                      <w:szCs w:val="21"/>
                      <w:highlight w:val="none"/>
                    </w:rPr>
                    <w:t>一般固废</w:t>
                  </w:r>
                </w:p>
              </w:tc>
              <w:tc>
                <w:tcPr>
                  <w:tcW w:w="881" w:type="pct"/>
                  <w:vAlign w:val="center"/>
                </w:tcPr>
                <w:p w14:paraId="79A4509A">
                  <w:pPr>
                    <w:widowControl/>
                    <w:adjustRightInd w:val="0"/>
                    <w:snapToGrid w:val="0"/>
                    <w:jc w:val="center"/>
                    <w:rPr>
                      <w:color w:val="auto"/>
                      <w:kern w:val="0"/>
                      <w:szCs w:val="21"/>
                      <w:highlight w:val="none"/>
                    </w:rPr>
                  </w:pPr>
                  <w:r>
                    <w:rPr>
                      <w:color w:val="auto"/>
                      <w:kern w:val="0"/>
                      <w:szCs w:val="21"/>
                      <w:highlight w:val="none"/>
                    </w:rPr>
                    <w:t>0</w:t>
                  </w:r>
                </w:p>
              </w:tc>
              <w:tc>
                <w:tcPr>
                  <w:tcW w:w="607" w:type="pct"/>
                  <w:vAlign w:val="center"/>
                </w:tcPr>
                <w:p w14:paraId="57DABC32">
                  <w:pPr>
                    <w:widowControl/>
                    <w:adjustRightInd w:val="0"/>
                    <w:snapToGrid w:val="0"/>
                    <w:jc w:val="center"/>
                    <w:rPr>
                      <w:color w:val="auto"/>
                      <w:kern w:val="0"/>
                      <w:szCs w:val="21"/>
                      <w:highlight w:val="none"/>
                    </w:rPr>
                  </w:pPr>
                  <w:r>
                    <w:rPr>
                      <w:color w:val="auto"/>
                      <w:kern w:val="0"/>
                      <w:szCs w:val="21"/>
                      <w:highlight w:val="none"/>
                    </w:rPr>
                    <w:t>0</w:t>
                  </w:r>
                </w:p>
              </w:tc>
              <w:tc>
                <w:tcPr>
                  <w:tcW w:w="1055" w:type="pct"/>
                  <w:vAlign w:val="center"/>
                </w:tcPr>
                <w:p w14:paraId="63927FD0">
                  <w:pPr>
                    <w:widowControl/>
                    <w:adjustRightInd w:val="0"/>
                    <w:snapToGrid w:val="0"/>
                    <w:jc w:val="center"/>
                    <w:rPr>
                      <w:color w:val="auto"/>
                      <w:kern w:val="0"/>
                      <w:szCs w:val="21"/>
                      <w:highlight w:val="none"/>
                    </w:rPr>
                  </w:pPr>
                  <w:r>
                    <w:rPr>
                      <w:color w:val="auto"/>
                      <w:kern w:val="0"/>
                      <w:szCs w:val="21"/>
                      <w:highlight w:val="none"/>
                    </w:rPr>
                    <w:t>0</w:t>
                  </w:r>
                </w:p>
              </w:tc>
              <w:tc>
                <w:tcPr>
                  <w:tcW w:w="735" w:type="pct"/>
                  <w:vAlign w:val="center"/>
                </w:tcPr>
                <w:p w14:paraId="26BE7700">
                  <w:pPr>
                    <w:widowControl/>
                    <w:adjustRightInd w:val="0"/>
                    <w:snapToGrid w:val="0"/>
                    <w:jc w:val="center"/>
                    <w:rPr>
                      <w:color w:val="auto"/>
                      <w:kern w:val="0"/>
                      <w:szCs w:val="21"/>
                      <w:highlight w:val="none"/>
                    </w:rPr>
                  </w:pPr>
                  <w:r>
                    <w:rPr>
                      <w:rFonts w:hint="eastAsia"/>
                      <w:color w:val="auto"/>
                      <w:szCs w:val="21"/>
                      <w:highlight w:val="none"/>
                    </w:rPr>
                    <w:t>达标</w:t>
                  </w:r>
                </w:p>
              </w:tc>
            </w:tr>
            <w:tr w14:paraId="285D6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1" w:type="pct"/>
                  <w:gridSpan w:val="2"/>
                  <w:vMerge w:val="continue"/>
                  <w:vAlign w:val="center"/>
                </w:tcPr>
                <w:p w14:paraId="32C1CF78">
                  <w:pPr>
                    <w:widowControl/>
                    <w:adjustRightInd w:val="0"/>
                    <w:snapToGrid w:val="0"/>
                    <w:jc w:val="center"/>
                    <w:rPr>
                      <w:color w:val="auto"/>
                      <w:kern w:val="0"/>
                      <w:szCs w:val="21"/>
                      <w:highlight w:val="none"/>
                    </w:rPr>
                  </w:pPr>
                </w:p>
              </w:tc>
              <w:tc>
                <w:tcPr>
                  <w:tcW w:w="646" w:type="pct"/>
                  <w:vAlign w:val="center"/>
                </w:tcPr>
                <w:p w14:paraId="392706C7">
                  <w:pPr>
                    <w:widowControl/>
                    <w:adjustRightInd w:val="0"/>
                    <w:snapToGrid w:val="0"/>
                    <w:jc w:val="center"/>
                    <w:rPr>
                      <w:color w:val="auto"/>
                      <w:kern w:val="0"/>
                      <w:szCs w:val="21"/>
                      <w:highlight w:val="none"/>
                    </w:rPr>
                  </w:pPr>
                  <w:r>
                    <w:rPr>
                      <w:color w:val="auto"/>
                      <w:kern w:val="0"/>
                      <w:szCs w:val="21"/>
                      <w:highlight w:val="none"/>
                    </w:rPr>
                    <w:t>危险废物</w:t>
                  </w:r>
                </w:p>
              </w:tc>
              <w:tc>
                <w:tcPr>
                  <w:tcW w:w="881" w:type="pct"/>
                  <w:vAlign w:val="center"/>
                </w:tcPr>
                <w:p w14:paraId="41EF17E0">
                  <w:pPr>
                    <w:widowControl/>
                    <w:adjustRightInd w:val="0"/>
                    <w:snapToGrid w:val="0"/>
                    <w:jc w:val="center"/>
                    <w:rPr>
                      <w:color w:val="auto"/>
                      <w:kern w:val="0"/>
                      <w:szCs w:val="21"/>
                      <w:highlight w:val="none"/>
                    </w:rPr>
                  </w:pPr>
                  <w:r>
                    <w:rPr>
                      <w:color w:val="auto"/>
                      <w:kern w:val="0"/>
                      <w:szCs w:val="21"/>
                      <w:highlight w:val="none"/>
                    </w:rPr>
                    <w:t>0</w:t>
                  </w:r>
                </w:p>
              </w:tc>
              <w:tc>
                <w:tcPr>
                  <w:tcW w:w="607" w:type="pct"/>
                  <w:vAlign w:val="center"/>
                </w:tcPr>
                <w:p w14:paraId="3A644946">
                  <w:pPr>
                    <w:widowControl/>
                    <w:adjustRightInd w:val="0"/>
                    <w:snapToGrid w:val="0"/>
                    <w:jc w:val="center"/>
                    <w:rPr>
                      <w:color w:val="auto"/>
                      <w:kern w:val="0"/>
                      <w:szCs w:val="21"/>
                      <w:highlight w:val="none"/>
                    </w:rPr>
                  </w:pPr>
                  <w:r>
                    <w:rPr>
                      <w:color w:val="auto"/>
                      <w:kern w:val="0"/>
                      <w:szCs w:val="21"/>
                      <w:highlight w:val="none"/>
                    </w:rPr>
                    <w:t>0</w:t>
                  </w:r>
                </w:p>
              </w:tc>
              <w:tc>
                <w:tcPr>
                  <w:tcW w:w="1055" w:type="pct"/>
                  <w:vAlign w:val="center"/>
                </w:tcPr>
                <w:p w14:paraId="35060CB1">
                  <w:pPr>
                    <w:widowControl/>
                    <w:adjustRightInd w:val="0"/>
                    <w:snapToGrid w:val="0"/>
                    <w:jc w:val="center"/>
                    <w:rPr>
                      <w:color w:val="auto"/>
                      <w:kern w:val="0"/>
                      <w:szCs w:val="21"/>
                      <w:highlight w:val="none"/>
                    </w:rPr>
                  </w:pPr>
                  <w:r>
                    <w:rPr>
                      <w:color w:val="auto"/>
                      <w:kern w:val="0"/>
                      <w:szCs w:val="21"/>
                      <w:highlight w:val="none"/>
                    </w:rPr>
                    <w:t>0</w:t>
                  </w:r>
                </w:p>
              </w:tc>
              <w:tc>
                <w:tcPr>
                  <w:tcW w:w="735" w:type="pct"/>
                  <w:vAlign w:val="center"/>
                </w:tcPr>
                <w:p w14:paraId="1461B088">
                  <w:pPr>
                    <w:widowControl/>
                    <w:adjustRightInd w:val="0"/>
                    <w:snapToGrid w:val="0"/>
                    <w:jc w:val="center"/>
                    <w:rPr>
                      <w:color w:val="auto"/>
                      <w:kern w:val="0"/>
                      <w:szCs w:val="21"/>
                      <w:highlight w:val="none"/>
                    </w:rPr>
                  </w:pPr>
                  <w:r>
                    <w:rPr>
                      <w:rFonts w:hint="eastAsia"/>
                      <w:color w:val="auto"/>
                      <w:szCs w:val="21"/>
                      <w:highlight w:val="none"/>
                    </w:rPr>
                    <w:t>达标</w:t>
                  </w:r>
                </w:p>
              </w:tc>
            </w:tr>
            <w:tr w14:paraId="7B1AE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1" w:type="pct"/>
                  <w:gridSpan w:val="2"/>
                  <w:vMerge w:val="continue"/>
                  <w:vAlign w:val="center"/>
                </w:tcPr>
                <w:p w14:paraId="3892CFA9">
                  <w:pPr>
                    <w:widowControl/>
                    <w:adjustRightInd w:val="0"/>
                    <w:snapToGrid w:val="0"/>
                    <w:jc w:val="center"/>
                    <w:rPr>
                      <w:color w:val="auto"/>
                      <w:kern w:val="0"/>
                      <w:szCs w:val="21"/>
                      <w:highlight w:val="none"/>
                    </w:rPr>
                  </w:pPr>
                </w:p>
              </w:tc>
              <w:tc>
                <w:tcPr>
                  <w:tcW w:w="646" w:type="pct"/>
                  <w:vAlign w:val="center"/>
                </w:tcPr>
                <w:p w14:paraId="6B6AF562">
                  <w:pPr>
                    <w:widowControl/>
                    <w:adjustRightInd w:val="0"/>
                    <w:snapToGrid w:val="0"/>
                    <w:jc w:val="center"/>
                    <w:rPr>
                      <w:color w:val="auto"/>
                      <w:kern w:val="0"/>
                      <w:szCs w:val="21"/>
                      <w:highlight w:val="none"/>
                    </w:rPr>
                  </w:pPr>
                  <w:r>
                    <w:rPr>
                      <w:color w:val="auto"/>
                      <w:kern w:val="0"/>
                      <w:szCs w:val="21"/>
                      <w:highlight w:val="none"/>
                    </w:rPr>
                    <w:t>生活垃圾</w:t>
                  </w:r>
                </w:p>
              </w:tc>
              <w:tc>
                <w:tcPr>
                  <w:tcW w:w="881" w:type="pct"/>
                  <w:vAlign w:val="center"/>
                </w:tcPr>
                <w:p w14:paraId="3E18BADB">
                  <w:pPr>
                    <w:widowControl/>
                    <w:adjustRightInd w:val="0"/>
                    <w:snapToGrid w:val="0"/>
                    <w:jc w:val="center"/>
                    <w:rPr>
                      <w:color w:val="auto"/>
                      <w:kern w:val="0"/>
                      <w:szCs w:val="21"/>
                      <w:highlight w:val="none"/>
                    </w:rPr>
                  </w:pPr>
                  <w:r>
                    <w:rPr>
                      <w:color w:val="auto"/>
                      <w:kern w:val="0"/>
                      <w:szCs w:val="21"/>
                      <w:highlight w:val="none"/>
                    </w:rPr>
                    <w:t>0</w:t>
                  </w:r>
                </w:p>
              </w:tc>
              <w:tc>
                <w:tcPr>
                  <w:tcW w:w="607" w:type="pct"/>
                  <w:vAlign w:val="center"/>
                </w:tcPr>
                <w:p w14:paraId="09DB3D39">
                  <w:pPr>
                    <w:widowControl/>
                    <w:adjustRightInd w:val="0"/>
                    <w:snapToGrid w:val="0"/>
                    <w:jc w:val="center"/>
                    <w:rPr>
                      <w:color w:val="auto"/>
                      <w:kern w:val="0"/>
                      <w:szCs w:val="21"/>
                      <w:highlight w:val="none"/>
                    </w:rPr>
                  </w:pPr>
                  <w:r>
                    <w:rPr>
                      <w:color w:val="auto"/>
                      <w:kern w:val="0"/>
                      <w:szCs w:val="21"/>
                      <w:highlight w:val="none"/>
                    </w:rPr>
                    <w:t>0</w:t>
                  </w:r>
                </w:p>
              </w:tc>
              <w:tc>
                <w:tcPr>
                  <w:tcW w:w="1055" w:type="pct"/>
                  <w:vAlign w:val="center"/>
                </w:tcPr>
                <w:p w14:paraId="1E61C1B0">
                  <w:pPr>
                    <w:widowControl/>
                    <w:adjustRightInd w:val="0"/>
                    <w:snapToGrid w:val="0"/>
                    <w:jc w:val="center"/>
                    <w:rPr>
                      <w:color w:val="auto"/>
                      <w:kern w:val="0"/>
                      <w:szCs w:val="21"/>
                      <w:highlight w:val="none"/>
                    </w:rPr>
                  </w:pPr>
                  <w:r>
                    <w:rPr>
                      <w:color w:val="auto"/>
                      <w:kern w:val="0"/>
                      <w:szCs w:val="21"/>
                      <w:highlight w:val="none"/>
                    </w:rPr>
                    <w:t>0</w:t>
                  </w:r>
                </w:p>
              </w:tc>
              <w:tc>
                <w:tcPr>
                  <w:tcW w:w="735" w:type="pct"/>
                  <w:vAlign w:val="center"/>
                </w:tcPr>
                <w:p w14:paraId="77C14A0C">
                  <w:pPr>
                    <w:widowControl/>
                    <w:adjustRightInd w:val="0"/>
                    <w:snapToGrid w:val="0"/>
                    <w:jc w:val="center"/>
                    <w:rPr>
                      <w:color w:val="auto"/>
                      <w:kern w:val="0"/>
                      <w:szCs w:val="21"/>
                      <w:highlight w:val="none"/>
                    </w:rPr>
                  </w:pPr>
                  <w:r>
                    <w:rPr>
                      <w:rFonts w:hint="eastAsia"/>
                      <w:color w:val="auto"/>
                      <w:szCs w:val="21"/>
                      <w:highlight w:val="none"/>
                    </w:rPr>
                    <w:t>达标</w:t>
                  </w:r>
                </w:p>
              </w:tc>
            </w:tr>
          </w:tbl>
          <w:p w14:paraId="22366AB4">
            <w:pPr>
              <w:pStyle w:val="20"/>
              <w:tabs>
                <w:tab w:val="left" w:pos="4500"/>
              </w:tabs>
              <w:adjustRightInd w:val="0"/>
              <w:snapToGrid w:val="0"/>
              <w:spacing w:line="240" w:lineRule="auto"/>
              <w:ind w:firstLine="0"/>
              <w:rPr>
                <w:color w:val="auto"/>
                <w:sz w:val="21"/>
                <w:szCs w:val="21"/>
                <w:highlight w:val="none"/>
              </w:rPr>
            </w:pPr>
            <w:r>
              <w:rPr>
                <w:rFonts w:hint="eastAsia"/>
                <w:color w:val="auto"/>
                <w:sz w:val="21"/>
                <w:szCs w:val="21"/>
                <w:highlight w:val="none"/>
              </w:rPr>
              <w:t>*注：无组织废气只能监测排放浓度，无法核算排放总量。</w:t>
            </w:r>
          </w:p>
          <w:p w14:paraId="5A03EB4A">
            <w:pPr>
              <w:pStyle w:val="20"/>
              <w:numPr>
                <w:ilvl w:val="0"/>
                <w:numId w:val="8"/>
              </w:numPr>
              <w:tabs>
                <w:tab w:val="left" w:pos="4500"/>
              </w:tabs>
              <w:adjustRightInd w:val="0"/>
              <w:snapToGrid w:val="0"/>
              <w:spacing w:before="120" w:beforeLines="50"/>
              <w:ind w:firstLine="0"/>
              <w:rPr>
                <w:color w:val="auto"/>
                <w:highlight w:val="none"/>
              </w:rPr>
            </w:pPr>
            <w:r>
              <w:rPr>
                <w:b/>
                <w:bCs/>
                <w:color w:val="auto"/>
                <w:highlight w:val="none"/>
              </w:rPr>
              <w:t>现有项目排污许可申领情况</w:t>
            </w:r>
          </w:p>
          <w:p w14:paraId="4404F085">
            <w:pPr>
              <w:pStyle w:val="20"/>
              <w:tabs>
                <w:tab w:val="left" w:pos="4500"/>
              </w:tabs>
              <w:adjustRightInd w:val="0"/>
              <w:snapToGrid w:val="0"/>
              <w:ind w:firstLine="480" w:firstLineChars="200"/>
              <w:rPr>
                <w:color w:val="auto"/>
                <w:highlight w:val="none"/>
              </w:rPr>
            </w:pPr>
            <w:r>
              <w:rPr>
                <w:color w:val="auto"/>
                <w:highlight w:val="none"/>
              </w:rPr>
              <w:t>根据《固定污染源排污许可分类管理名录》（2019 年版），企业属于“三十一、汽车制造业36-85汽车零部件及配件制造367-其他”， 企业现有项目已于 2021 年 3 月 15日取得排污许可证，证书编号为 91310115MA1K4FBW1W002W（详见附件 ）。</w:t>
            </w:r>
          </w:p>
          <w:p w14:paraId="7D10E4B1">
            <w:pPr>
              <w:pStyle w:val="20"/>
              <w:numPr>
                <w:ilvl w:val="0"/>
                <w:numId w:val="8"/>
              </w:numPr>
              <w:tabs>
                <w:tab w:val="left" w:pos="4500"/>
              </w:tabs>
              <w:adjustRightInd w:val="0"/>
              <w:snapToGrid w:val="0"/>
              <w:spacing w:before="120" w:beforeLines="50"/>
              <w:ind w:firstLine="0"/>
              <w:rPr>
                <w:color w:val="auto"/>
                <w:highlight w:val="none"/>
              </w:rPr>
            </w:pPr>
            <w:r>
              <w:rPr>
                <w:b/>
                <w:bCs/>
                <w:color w:val="auto"/>
                <w:highlight w:val="none"/>
              </w:rPr>
              <w:t>现有项目存在的主要环保问题及整改措施</w:t>
            </w:r>
            <w:r>
              <w:rPr>
                <w:color w:val="auto"/>
                <w:highlight w:val="none"/>
              </w:rPr>
              <w:tab/>
            </w:r>
          </w:p>
          <w:p w14:paraId="4E1D5A74">
            <w:pPr>
              <w:adjustRightInd w:val="0"/>
              <w:snapToGrid w:val="0"/>
              <w:spacing w:line="360" w:lineRule="auto"/>
              <w:ind w:firstLine="480" w:firstLineChars="200"/>
              <w:rPr>
                <w:color w:val="auto"/>
                <w:sz w:val="24"/>
                <w:highlight w:val="none"/>
              </w:rPr>
            </w:pPr>
            <w:r>
              <w:rPr>
                <w:color w:val="auto"/>
                <w:sz w:val="24"/>
                <w:highlight w:val="none"/>
              </w:rPr>
              <w:t>①本次扩建项目利用原有项目生产车间预留区域进行建设，现有项目生产设备位置不变，现有项目固废堆场、危废堆场搬迁至厂区东侧预留区域，根据苏环办〔2021〕122号文及《关于印发〈污染影响类建设项目重大变动清单（试行）〉的通知》（环办环评函〔2020〕688号），不涉及环境防护距离范围变化且不新增敏感点，则厂区平面布置调整不属于重大变化。</w:t>
            </w:r>
          </w:p>
          <w:p w14:paraId="43C538B2">
            <w:pPr>
              <w:adjustRightInd w:val="0"/>
              <w:snapToGrid w:val="0"/>
              <w:spacing w:line="360" w:lineRule="auto"/>
              <w:ind w:firstLine="480" w:firstLineChars="200"/>
              <w:rPr>
                <w:color w:val="auto"/>
                <w:sz w:val="24"/>
                <w:highlight w:val="none"/>
              </w:rPr>
            </w:pPr>
            <w:r>
              <w:rPr>
                <w:color w:val="auto"/>
                <w:sz w:val="24"/>
                <w:highlight w:val="none"/>
              </w:rPr>
              <w:t>②基于厂内分区规划的需要，原固废位置建设为机械排烟机房，原危废</w:t>
            </w:r>
            <w:r>
              <w:rPr>
                <w:rFonts w:hint="eastAsia"/>
                <w:color w:val="auto"/>
                <w:sz w:val="24"/>
                <w:highlight w:val="none"/>
                <w:lang w:eastAsia="zh-Hans"/>
              </w:rPr>
              <w:t>暂存场所改建</w:t>
            </w:r>
            <w:r>
              <w:rPr>
                <w:color w:val="auto"/>
                <w:sz w:val="24"/>
                <w:highlight w:val="none"/>
              </w:rPr>
              <w:t>为样品试制区，新规划的固废和危废存放位置位于厂区东侧的预留区域</w:t>
            </w:r>
            <w:r>
              <w:rPr>
                <w:rFonts w:hint="eastAsia"/>
                <w:color w:val="auto"/>
                <w:sz w:val="24"/>
                <w:highlight w:val="none"/>
              </w:rPr>
              <w:t>。</w:t>
            </w:r>
          </w:p>
          <w:p w14:paraId="1F047BC6">
            <w:pPr>
              <w:adjustRightInd w:val="0"/>
              <w:snapToGrid w:val="0"/>
              <w:spacing w:line="360" w:lineRule="auto"/>
              <w:ind w:firstLine="480" w:firstLineChars="200"/>
              <w:rPr>
                <w:color w:val="auto"/>
                <w:sz w:val="24"/>
                <w:highlight w:val="none"/>
              </w:rPr>
            </w:pPr>
            <w:r>
              <w:rPr>
                <w:rFonts w:hint="eastAsia"/>
                <w:color w:val="auto"/>
                <w:sz w:val="24"/>
                <w:highlight w:val="none"/>
              </w:rPr>
              <w:t>新规划一般固废堆场33m</w:t>
            </w:r>
            <w:r>
              <w:rPr>
                <w:rFonts w:hint="eastAsia"/>
                <w:color w:val="auto"/>
                <w:sz w:val="24"/>
                <w:highlight w:val="none"/>
                <w:vertAlign w:val="superscript"/>
              </w:rPr>
              <w:t>2</w:t>
            </w:r>
            <w:r>
              <w:rPr>
                <w:rFonts w:hint="eastAsia"/>
                <w:color w:val="auto"/>
                <w:sz w:val="24"/>
                <w:highlight w:val="none"/>
              </w:rPr>
              <w:t>、危废堆场30m</w:t>
            </w:r>
            <w:r>
              <w:rPr>
                <w:rFonts w:hint="eastAsia"/>
                <w:color w:val="auto"/>
                <w:sz w:val="24"/>
                <w:highlight w:val="none"/>
                <w:vertAlign w:val="superscript"/>
              </w:rPr>
              <w:t>2</w:t>
            </w:r>
            <w:r>
              <w:rPr>
                <w:rFonts w:hint="eastAsia"/>
                <w:color w:val="auto"/>
                <w:sz w:val="24"/>
                <w:highlight w:val="none"/>
              </w:rPr>
              <w:t>。根据实际情况，现有项目产生一般固废产生量减小53%，一般固废堆场面积由原先的60m</w:t>
            </w:r>
            <w:r>
              <w:rPr>
                <w:rFonts w:hint="eastAsia"/>
                <w:color w:val="auto"/>
                <w:sz w:val="24"/>
                <w:highlight w:val="none"/>
                <w:vertAlign w:val="superscript"/>
              </w:rPr>
              <w:t>2</w:t>
            </w:r>
            <w:r>
              <w:rPr>
                <w:rFonts w:hint="eastAsia"/>
                <w:color w:val="auto"/>
                <w:sz w:val="24"/>
                <w:highlight w:val="none"/>
              </w:rPr>
              <w:t>减小为33m</w:t>
            </w:r>
            <w:r>
              <w:rPr>
                <w:rFonts w:hint="eastAsia"/>
                <w:color w:val="auto"/>
                <w:sz w:val="24"/>
                <w:highlight w:val="none"/>
                <w:vertAlign w:val="superscript"/>
              </w:rPr>
              <w:t>2</w:t>
            </w:r>
            <w:r>
              <w:rPr>
                <w:rFonts w:hint="eastAsia"/>
                <w:color w:val="auto"/>
                <w:sz w:val="24"/>
                <w:highlight w:val="none"/>
              </w:rPr>
              <w:t>，减小45%；危废产生量减小73%，危废堆场面积由原先的40m</w:t>
            </w:r>
            <w:r>
              <w:rPr>
                <w:rFonts w:hint="eastAsia"/>
                <w:color w:val="auto"/>
                <w:sz w:val="24"/>
                <w:highlight w:val="none"/>
                <w:vertAlign w:val="superscript"/>
              </w:rPr>
              <w:t>2</w:t>
            </w:r>
            <w:r>
              <w:rPr>
                <w:rFonts w:hint="eastAsia"/>
                <w:color w:val="auto"/>
                <w:sz w:val="24"/>
                <w:highlight w:val="none"/>
              </w:rPr>
              <w:t>减小为30m</w:t>
            </w:r>
            <w:r>
              <w:rPr>
                <w:rFonts w:hint="eastAsia"/>
                <w:color w:val="auto"/>
                <w:sz w:val="24"/>
                <w:highlight w:val="none"/>
                <w:vertAlign w:val="superscript"/>
              </w:rPr>
              <w:t>2</w:t>
            </w:r>
            <w:r>
              <w:rPr>
                <w:rFonts w:hint="eastAsia"/>
                <w:color w:val="auto"/>
                <w:sz w:val="24"/>
                <w:highlight w:val="none"/>
              </w:rPr>
              <w:t>，减小25%。综上，新规划一般固废堆场33m</w:t>
            </w:r>
            <w:r>
              <w:rPr>
                <w:rFonts w:hint="eastAsia"/>
                <w:color w:val="auto"/>
                <w:sz w:val="24"/>
                <w:highlight w:val="none"/>
                <w:vertAlign w:val="superscript"/>
              </w:rPr>
              <w:t>2</w:t>
            </w:r>
            <w:r>
              <w:rPr>
                <w:rFonts w:hint="eastAsia"/>
                <w:color w:val="auto"/>
                <w:sz w:val="24"/>
                <w:highlight w:val="none"/>
              </w:rPr>
              <w:t>、危废堆场30m</w:t>
            </w:r>
            <w:r>
              <w:rPr>
                <w:rFonts w:hint="eastAsia"/>
                <w:color w:val="auto"/>
                <w:sz w:val="24"/>
                <w:highlight w:val="none"/>
                <w:vertAlign w:val="superscript"/>
              </w:rPr>
              <w:t>2</w:t>
            </w:r>
            <w:r>
              <w:rPr>
                <w:color w:val="auto"/>
                <w:sz w:val="24"/>
                <w:highlight w:val="none"/>
              </w:rPr>
              <w:t>面积符合要求</w:t>
            </w:r>
            <w:r>
              <w:rPr>
                <w:rFonts w:hint="eastAsia"/>
                <w:color w:val="auto"/>
                <w:sz w:val="24"/>
                <w:highlight w:val="none"/>
              </w:rPr>
              <w:t>。</w:t>
            </w:r>
          </w:p>
          <w:p w14:paraId="0B4E2DD9">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③现有项目环评中核定员工人数100人，</w:t>
            </w:r>
            <w:r>
              <w:rPr>
                <w:rFonts w:hint="eastAsia" w:hAnsi="宋体"/>
                <w:color w:val="auto"/>
                <w:sz w:val="24"/>
                <w:highlight w:val="none"/>
                <w:lang w:val="en-US" w:eastAsia="zh-Hans"/>
              </w:rPr>
              <w:t>由于市场原因，实际产量较小，</w:t>
            </w:r>
            <w:r>
              <w:rPr>
                <w:rFonts w:hint="eastAsia" w:hAnsi="宋体"/>
                <w:color w:val="auto"/>
                <w:sz w:val="24"/>
                <w:highlight w:val="none"/>
              </w:rPr>
              <w:t>实际员工人数为40人，</w:t>
            </w:r>
            <w:r>
              <w:rPr>
                <w:rFonts w:hint="eastAsia" w:hAnsi="宋体"/>
                <w:color w:val="auto"/>
                <w:sz w:val="24"/>
                <w:highlight w:val="none"/>
                <w:lang w:eastAsia="zh-Hans"/>
              </w:rPr>
              <w:t>经“以新带老”措施</w:t>
            </w:r>
            <w:r>
              <w:rPr>
                <w:rFonts w:hint="eastAsia" w:hAnsi="宋体"/>
                <w:color w:val="auto"/>
                <w:sz w:val="24"/>
                <w:highlight w:val="none"/>
              </w:rPr>
              <w:t>实际生活污水产生量削减。</w:t>
            </w:r>
          </w:p>
          <w:p w14:paraId="28E28789">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④现有项目</w:t>
            </w:r>
            <w:r>
              <w:rPr>
                <w:rFonts w:hAnsi="宋体"/>
                <w:color w:val="auto"/>
                <w:sz w:val="24"/>
                <w:highlight w:val="none"/>
              </w:rPr>
              <w:t>需要用纯水对电焊设备进行间接冷却，</w:t>
            </w:r>
            <w:r>
              <w:rPr>
                <w:rFonts w:hint="eastAsia" w:hAnsi="宋体"/>
                <w:color w:val="auto"/>
                <w:sz w:val="24"/>
                <w:highlight w:val="none"/>
              </w:rPr>
              <w:t>根据实际情况</w:t>
            </w:r>
            <w:r>
              <w:rPr>
                <w:rFonts w:hint="eastAsia" w:hAnsi="宋体"/>
                <w:color w:val="auto"/>
                <w:sz w:val="24"/>
                <w:highlight w:val="none"/>
                <w:lang w:eastAsia="zh-Hans"/>
              </w:rPr>
              <w:t>，</w:t>
            </w:r>
            <w:r>
              <w:rPr>
                <w:rFonts w:hint="eastAsia" w:hAnsi="宋体"/>
                <w:color w:val="auto"/>
                <w:sz w:val="24"/>
                <w:highlight w:val="none"/>
              </w:rPr>
              <w:t>每年约600吨自来水进入纯水制备浓水</w:t>
            </w:r>
            <w:r>
              <w:rPr>
                <w:rFonts w:hint="eastAsia" w:hAnsi="宋体"/>
                <w:color w:val="auto"/>
                <w:sz w:val="24"/>
                <w:highlight w:val="none"/>
                <w:lang w:eastAsia="zh-Hans"/>
              </w:rPr>
              <w:t>，经“以新带老”措施</w:t>
            </w:r>
            <w:r>
              <w:rPr>
                <w:rFonts w:hint="eastAsia" w:hAnsi="宋体"/>
                <w:color w:val="auto"/>
                <w:sz w:val="24"/>
                <w:highlight w:val="none"/>
                <w:lang w:val="en-US" w:eastAsia="zh-Hans"/>
              </w:rPr>
              <w:t>增加纯水制备弃水的排放量</w:t>
            </w:r>
            <w:r>
              <w:rPr>
                <w:rFonts w:hAnsi="宋体"/>
                <w:color w:val="auto"/>
                <w:sz w:val="24"/>
                <w:highlight w:val="none"/>
              </w:rPr>
              <w:t>，</w:t>
            </w:r>
            <w:r>
              <w:rPr>
                <w:rFonts w:hint="eastAsia" w:hAnsi="宋体"/>
                <w:color w:val="auto"/>
                <w:sz w:val="24"/>
                <w:highlight w:val="none"/>
              </w:rPr>
              <w:t>弃水</w:t>
            </w:r>
            <w:r>
              <w:rPr>
                <w:rFonts w:hAnsi="宋体"/>
                <w:bCs/>
                <w:color w:val="auto"/>
                <w:sz w:val="24"/>
                <w:highlight w:val="none"/>
              </w:rPr>
              <w:t>接管东洲水处理有限公司集中处理</w:t>
            </w:r>
            <w:r>
              <w:rPr>
                <w:rFonts w:hAnsi="宋体"/>
                <w:color w:val="auto"/>
                <w:sz w:val="24"/>
                <w:highlight w:val="none"/>
              </w:rPr>
              <w:t>。</w:t>
            </w:r>
          </w:p>
          <w:p w14:paraId="3D9F74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color w:val="auto"/>
                <w:sz w:val="24"/>
                <w:highlight w:val="none"/>
              </w:rPr>
            </w:pPr>
            <w:r>
              <w:rPr>
                <w:rFonts w:hint="eastAsia"/>
                <w:color w:val="auto"/>
                <w:sz w:val="24"/>
                <w:szCs w:val="24"/>
                <w:highlight w:val="none"/>
                <w:lang w:val="en-US" w:eastAsia="zh-Hans"/>
              </w:rPr>
              <w:t>⑤现有项目初期雨水收集后经排入雨水管网，考虑到初期雨水水质不稳定，初期雨水</w:t>
            </w:r>
            <w:r>
              <w:rPr>
                <w:rFonts w:hint="eastAsia"/>
                <w:color w:val="auto"/>
                <w:sz w:val="24"/>
                <w:highlight w:val="none"/>
                <w:lang w:eastAsia="zh-Hans"/>
              </w:rPr>
              <w:t>经“以新带老”措施</w:t>
            </w:r>
            <w:r>
              <w:rPr>
                <w:rFonts w:hint="eastAsia"/>
                <w:color w:val="auto"/>
                <w:sz w:val="24"/>
                <w:highlight w:val="none"/>
              </w:rPr>
              <w:t>接入市政管网，</w:t>
            </w:r>
            <w:r>
              <w:rPr>
                <w:color w:val="auto"/>
                <w:sz w:val="24"/>
                <w:highlight w:val="none"/>
              </w:rPr>
              <w:t>沉淀池泥渣作为固废处理</w:t>
            </w:r>
            <w:r>
              <w:rPr>
                <w:rFonts w:hint="eastAsia"/>
                <w:color w:val="auto"/>
                <w:sz w:val="24"/>
                <w:highlight w:val="none"/>
              </w:rPr>
              <w:t>。</w:t>
            </w:r>
            <w:r>
              <w:rPr>
                <w:rFonts w:hint="default"/>
                <w:color w:val="auto"/>
                <w:sz w:val="24"/>
                <w:highlight w:val="none"/>
              </w:rPr>
              <w:t xml:space="preserve">    </w:t>
            </w:r>
          </w:p>
          <w:p w14:paraId="7AF8E672">
            <w:pPr>
              <w:adjustRightInd w:val="0"/>
              <w:snapToGrid w:val="0"/>
              <w:spacing w:line="360" w:lineRule="auto"/>
              <w:ind w:firstLine="480" w:firstLineChars="200"/>
              <w:rPr>
                <w:rFonts w:hAnsi="宋体"/>
                <w:color w:val="auto"/>
                <w:sz w:val="24"/>
                <w:highlight w:val="none"/>
                <w:lang w:val="en-US" w:eastAsia="zh-Hans"/>
              </w:rPr>
            </w:pPr>
            <w:r>
              <w:rPr>
                <w:rFonts w:hint="eastAsia" w:hAnsi="宋体"/>
                <w:color w:val="auto"/>
                <w:sz w:val="24"/>
                <w:highlight w:val="none"/>
                <w:lang w:val="en-US" w:eastAsia="zh-Hans"/>
              </w:rPr>
              <w:t>⑥现有项目废气处理设施为UV光解氧化+活性炭吸附装置，根据</w:t>
            </w:r>
            <w:r>
              <w:rPr>
                <w:rFonts w:hAnsi="宋体"/>
                <w:snapToGrid w:val="0"/>
                <w:color w:val="auto"/>
                <w:kern w:val="0"/>
                <w:sz w:val="24"/>
                <w:highlight w:val="none"/>
              </w:rPr>
              <w:t xml:space="preserve">《排污许可证申请与核发技术规范 </w:t>
            </w:r>
            <w:r>
              <w:rPr>
                <w:rFonts w:hint="eastAsia" w:hAnsi="宋体"/>
                <w:snapToGrid w:val="0"/>
                <w:color w:val="auto"/>
                <w:kern w:val="0"/>
                <w:sz w:val="24"/>
                <w:highlight w:val="none"/>
              </w:rPr>
              <w:t>汽车制造业</w:t>
            </w:r>
            <w:r>
              <w:rPr>
                <w:rFonts w:hAnsi="宋体"/>
                <w:snapToGrid w:val="0"/>
                <w:color w:val="auto"/>
                <w:kern w:val="0"/>
                <w:sz w:val="24"/>
                <w:highlight w:val="none"/>
              </w:rPr>
              <w:t>》（HJ</w:t>
            </w:r>
            <w:r>
              <w:rPr>
                <w:rFonts w:hint="eastAsia" w:hAnsi="宋体"/>
                <w:snapToGrid w:val="0"/>
                <w:color w:val="auto"/>
                <w:kern w:val="0"/>
                <w:sz w:val="24"/>
                <w:highlight w:val="none"/>
              </w:rPr>
              <w:t>971</w:t>
            </w:r>
            <w:r>
              <w:rPr>
                <w:rFonts w:hAnsi="宋体"/>
                <w:snapToGrid w:val="0"/>
                <w:color w:val="auto"/>
                <w:kern w:val="0"/>
                <w:sz w:val="24"/>
                <w:highlight w:val="none"/>
              </w:rPr>
              <w:t>-</w:t>
            </w:r>
            <w:r>
              <w:rPr>
                <w:rFonts w:hint="eastAsia" w:hAnsi="宋体"/>
                <w:snapToGrid w:val="0"/>
                <w:color w:val="auto"/>
                <w:kern w:val="0"/>
                <w:sz w:val="24"/>
                <w:highlight w:val="none"/>
              </w:rPr>
              <w:t>2018</w:t>
            </w:r>
            <w:r>
              <w:rPr>
                <w:rFonts w:hAnsi="宋体"/>
                <w:snapToGrid w:val="0"/>
                <w:color w:val="auto"/>
                <w:kern w:val="0"/>
                <w:sz w:val="24"/>
                <w:highlight w:val="none"/>
              </w:rPr>
              <w:t>）</w:t>
            </w:r>
            <w:r>
              <w:rPr>
                <w:rFonts w:hint="eastAsia" w:hAnsi="宋体"/>
                <w:snapToGrid w:val="0"/>
                <w:color w:val="auto"/>
                <w:kern w:val="0"/>
                <w:sz w:val="24"/>
                <w:highlight w:val="none"/>
                <w:lang w:val="en-US" w:eastAsia="zh-Hans"/>
              </w:rPr>
              <w:t>废气污染治理推荐可行性技术中，UV光解氧化装置不符合要求，经“以新带老”措施将废气处理设施</w:t>
            </w:r>
            <w:r>
              <w:rPr>
                <w:rFonts w:hint="eastAsia" w:hAnsi="宋体"/>
                <w:color w:val="auto"/>
                <w:sz w:val="24"/>
                <w:highlight w:val="none"/>
                <w:lang w:val="en-US" w:eastAsia="zh-Hans"/>
              </w:rPr>
              <w:t>UV光解氧化+活性炭吸附装置改进为三</w:t>
            </w:r>
            <w:r>
              <w:rPr>
                <w:rFonts w:hint="eastAsia" w:hAnsi="宋体"/>
                <w:snapToGrid w:val="0"/>
                <w:color w:val="auto"/>
                <w:kern w:val="0"/>
                <w:sz w:val="24"/>
                <w:highlight w:val="none"/>
                <w:lang w:val="en-US" w:eastAsia="zh-Hans"/>
              </w:rPr>
              <w:t>级活性炭吸附装置处理有机废气，现有项目产生有组织有机废气</w:t>
            </w:r>
            <w:r>
              <w:rPr>
                <w:rFonts w:hint="default" w:hAnsi="宋体"/>
                <w:snapToGrid w:val="0"/>
                <w:color w:val="auto"/>
                <w:kern w:val="0"/>
                <w:sz w:val="24"/>
                <w:highlight w:val="none"/>
                <w:lang w:eastAsia="zh-Hans"/>
              </w:rPr>
              <w:t>150</w:t>
            </w:r>
            <w:r>
              <w:rPr>
                <w:rFonts w:hint="eastAsia" w:hAnsi="宋体"/>
                <w:snapToGrid w:val="0"/>
                <w:color w:val="auto"/>
                <w:kern w:val="0"/>
                <w:sz w:val="24"/>
                <w:highlight w:val="none"/>
                <w:lang w:val="en-US" w:eastAsia="zh-Hans"/>
              </w:rPr>
              <w:t>kg，经三级活性炭吸附装置（去除率</w:t>
            </w:r>
            <w:r>
              <w:rPr>
                <w:rFonts w:hint="default" w:hAnsi="宋体"/>
                <w:snapToGrid w:val="0"/>
                <w:color w:val="auto"/>
                <w:kern w:val="0"/>
                <w:sz w:val="24"/>
                <w:highlight w:val="none"/>
                <w:lang w:eastAsia="zh-Hans"/>
              </w:rPr>
              <w:t>93%</w:t>
            </w:r>
            <w:r>
              <w:rPr>
                <w:rFonts w:hint="eastAsia" w:hAnsi="宋体"/>
                <w:snapToGrid w:val="0"/>
                <w:color w:val="auto"/>
                <w:kern w:val="0"/>
                <w:sz w:val="24"/>
                <w:highlight w:val="none"/>
                <w:lang w:val="en-US" w:eastAsia="zh-Hans"/>
              </w:rPr>
              <w:t>）处理后排放有机废气</w:t>
            </w:r>
            <w:r>
              <w:rPr>
                <w:rFonts w:hint="default" w:hAnsi="宋体"/>
                <w:snapToGrid w:val="0"/>
                <w:color w:val="auto"/>
                <w:kern w:val="0"/>
                <w:sz w:val="24"/>
                <w:highlight w:val="none"/>
                <w:lang w:eastAsia="zh-Hans"/>
              </w:rPr>
              <w:t>10.5</w:t>
            </w:r>
            <w:r>
              <w:rPr>
                <w:rFonts w:hint="eastAsia" w:hAnsi="宋体"/>
                <w:snapToGrid w:val="0"/>
                <w:color w:val="auto"/>
                <w:kern w:val="0"/>
                <w:sz w:val="24"/>
                <w:highlight w:val="none"/>
                <w:lang w:val="en-US" w:eastAsia="zh-Hans"/>
              </w:rPr>
              <w:t>kg，则现有项目有组织有机废气排放量削减了</w:t>
            </w:r>
            <w:r>
              <w:rPr>
                <w:rFonts w:hint="default" w:hAnsi="宋体"/>
                <w:snapToGrid w:val="0"/>
                <w:color w:val="auto"/>
                <w:kern w:val="0"/>
                <w:sz w:val="24"/>
                <w:highlight w:val="none"/>
                <w:lang w:eastAsia="zh-Hans"/>
              </w:rPr>
              <w:t>4.5</w:t>
            </w:r>
            <w:r>
              <w:rPr>
                <w:rFonts w:hint="eastAsia" w:hAnsi="宋体"/>
                <w:snapToGrid w:val="0"/>
                <w:color w:val="auto"/>
                <w:kern w:val="0"/>
                <w:sz w:val="24"/>
                <w:highlight w:val="none"/>
                <w:lang w:val="en-US" w:eastAsia="zh-Hans"/>
              </w:rPr>
              <w:t>kg。</w:t>
            </w:r>
          </w:p>
        </w:tc>
      </w:tr>
    </w:tbl>
    <w:p w14:paraId="0D7CCB39">
      <w:pPr>
        <w:pStyle w:val="22"/>
        <w:jc w:val="center"/>
        <w:rPr>
          <w:rFonts w:ascii="Times New Roman" w:hAnsi="Times New Roman"/>
          <w:snapToGrid w:val="0"/>
          <w:color w:val="auto"/>
          <w:sz w:val="36"/>
          <w:szCs w:val="36"/>
          <w:highlight w:val="none"/>
        </w:rPr>
        <w:sectPr>
          <w:type w:val="continuous"/>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26EF547D">
      <w:pPr>
        <w:pStyle w:val="22"/>
        <w:spacing w:before="0" w:beforeAutospacing="0" w:after="0" w:afterAutospacing="0"/>
        <w:jc w:val="center"/>
        <w:outlineLvl w:val="0"/>
        <w:rPr>
          <w:rFonts w:ascii="Times New Roman" w:hAnsi="Times New Roman"/>
          <w:b/>
          <w:snapToGrid w:val="0"/>
          <w:color w:val="auto"/>
          <w:sz w:val="30"/>
          <w:szCs w:val="30"/>
          <w:highlight w:val="none"/>
        </w:rPr>
      </w:pPr>
      <w:r>
        <w:rPr>
          <w:rFonts w:ascii="Times New Roman"/>
          <w:b/>
          <w:snapToGrid w:val="0"/>
          <w:color w:val="auto"/>
          <w:sz w:val="30"/>
          <w:szCs w:val="30"/>
          <w:highlight w:val="none"/>
        </w:rPr>
        <w:t>三、区域环境质量现状、环境保护目标及评价标准</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9287"/>
      </w:tblGrid>
      <w:tr w14:paraId="6804B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395" w:type="pct"/>
            <w:vAlign w:val="center"/>
          </w:tcPr>
          <w:p w14:paraId="58EEC9E7">
            <w:pPr>
              <w:adjustRightInd w:val="0"/>
              <w:snapToGrid w:val="0"/>
              <w:jc w:val="center"/>
              <w:rPr>
                <w:color w:val="auto"/>
                <w:kern w:val="0"/>
                <w:szCs w:val="21"/>
                <w:highlight w:val="none"/>
              </w:rPr>
            </w:pPr>
            <w:r>
              <w:rPr>
                <w:rFonts w:hAnsi="宋体"/>
                <w:color w:val="auto"/>
                <w:kern w:val="0"/>
                <w:sz w:val="24"/>
                <w:highlight w:val="none"/>
              </w:rPr>
              <w:t>区域环境质量现状</w:t>
            </w:r>
          </w:p>
        </w:tc>
        <w:tc>
          <w:tcPr>
            <w:tcW w:w="4604" w:type="pct"/>
            <w:vAlign w:val="center"/>
          </w:tcPr>
          <w:p w14:paraId="3B15A618">
            <w:pPr>
              <w:adjustRightInd w:val="0"/>
              <w:snapToGrid w:val="0"/>
              <w:spacing w:before="120" w:beforeLines="50" w:line="360" w:lineRule="auto"/>
              <w:ind w:firstLine="482" w:firstLineChars="200"/>
              <w:jc w:val="left"/>
              <w:rPr>
                <w:b/>
                <w:color w:val="auto"/>
                <w:kern w:val="0"/>
                <w:sz w:val="24"/>
                <w:highlight w:val="none"/>
              </w:rPr>
            </w:pPr>
            <w:r>
              <w:rPr>
                <w:b/>
                <w:color w:val="auto"/>
                <w:kern w:val="0"/>
                <w:sz w:val="24"/>
                <w:highlight w:val="none"/>
              </w:rPr>
              <w:t>1.</w:t>
            </w:r>
            <w:r>
              <w:rPr>
                <w:rFonts w:hAnsi="宋体"/>
                <w:b/>
                <w:bCs/>
                <w:color w:val="auto"/>
                <w:kern w:val="0"/>
                <w:sz w:val="24"/>
                <w:highlight w:val="none"/>
              </w:rPr>
              <w:t>大气环境</w:t>
            </w:r>
          </w:p>
          <w:p w14:paraId="27CF17FC">
            <w:pPr>
              <w:adjustRightInd w:val="0"/>
              <w:snapToGrid w:val="0"/>
              <w:spacing w:line="360" w:lineRule="auto"/>
              <w:ind w:firstLine="482" w:firstLineChars="200"/>
              <w:rPr>
                <w:b/>
                <w:snapToGrid w:val="0"/>
                <w:color w:val="auto"/>
                <w:kern w:val="0"/>
                <w:sz w:val="24"/>
                <w:highlight w:val="none"/>
              </w:rPr>
            </w:pPr>
            <w:bookmarkStart w:id="12" w:name="_Hlk45025443"/>
            <w:bookmarkStart w:id="13" w:name="_Hlk519674172"/>
            <w:r>
              <w:rPr>
                <w:b/>
                <w:snapToGrid w:val="0"/>
                <w:color w:val="auto"/>
                <w:kern w:val="0"/>
                <w:sz w:val="24"/>
                <w:highlight w:val="none"/>
              </w:rPr>
              <w:t>a.</w:t>
            </w:r>
            <w:r>
              <w:rPr>
                <w:rFonts w:hAnsi="宋体"/>
                <w:b/>
                <w:snapToGrid w:val="0"/>
                <w:color w:val="auto"/>
                <w:kern w:val="0"/>
                <w:sz w:val="24"/>
                <w:highlight w:val="none"/>
              </w:rPr>
              <w:t>环境质量达标区判定</w:t>
            </w:r>
            <w:bookmarkEnd w:id="12"/>
            <w:bookmarkEnd w:id="13"/>
          </w:p>
          <w:p w14:paraId="4BFC1B51">
            <w:pPr>
              <w:widowControl/>
              <w:pBdr>
                <w:top w:val="none" w:color="auto" w:sz="0" w:space="1"/>
                <w:left w:val="none" w:color="auto" w:sz="0" w:space="4"/>
                <w:bottom w:val="none" w:color="auto" w:sz="0" w:space="1"/>
                <w:right w:val="none" w:color="auto" w:sz="0" w:space="4"/>
              </w:pBdr>
              <w:adjustRightInd w:val="0"/>
              <w:snapToGrid w:val="0"/>
              <w:spacing w:line="360" w:lineRule="auto"/>
              <w:ind w:firstLine="480" w:firstLineChars="200"/>
              <w:rPr>
                <w:color w:val="auto"/>
                <w:kern w:val="0"/>
                <w:sz w:val="24"/>
                <w:highlight w:val="none"/>
              </w:rPr>
            </w:pPr>
            <w:r>
              <w:rPr>
                <w:color w:val="auto"/>
                <w:kern w:val="0"/>
                <w:sz w:val="24"/>
                <w:highlight w:val="none"/>
              </w:rPr>
              <w:t>本项目所在地环境空气质量功能为二类，执行《环境空气质量标准》（GB3095-2012）表1中二级标准。评价基准年选择20</w:t>
            </w:r>
            <w:r>
              <w:rPr>
                <w:rFonts w:hint="eastAsia"/>
                <w:color w:val="auto"/>
                <w:kern w:val="0"/>
                <w:sz w:val="24"/>
                <w:highlight w:val="none"/>
              </w:rPr>
              <w:t>20</w:t>
            </w:r>
            <w:r>
              <w:rPr>
                <w:color w:val="auto"/>
                <w:kern w:val="0"/>
                <w:sz w:val="24"/>
                <w:highlight w:val="none"/>
              </w:rPr>
              <w:t>年为评价基准年，根据</w:t>
            </w:r>
            <w:r>
              <w:rPr>
                <w:rFonts w:hint="eastAsia"/>
                <w:color w:val="auto"/>
                <w:kern w:val="0"/>
                <w:sz w:val="24"/>
                <w:highlight w:val="none"/>
              </w:rPr>
              <w:t>《南通市生态环境状况公报》（2020）</w:t>
            </w:r>
            <w:r>
              <w:rPr>
                <w:color w:val="auto"/>
                <w:kern w:val="0"/>
                <w:sz w:val="24"/>
                <w:highlight w:val="none"/>
              </w:rPr>
              <w:t>，20</w:t>
            </w:r>
            <w:r>
              <w:rPr>
                <w:rFonts w:hint="eastAsia"/>
                <w:color w:val="auto"/>
                <w:kern w:val="0"/>
                <w:sz w:val="24"/>
                <w:highlight w:val="none"/>
              </w:rPr>
              <w:t>20</w:t>
            </w:r>
            <w:r>
              <w:rPr>
                <w:color w:val="auto"/>
                <w:kern w:val="0"/>
                <w:sz w:val="24"/>
                <w:highlight w:val="none"/>
              </w:rPr>
              <w:t>年</w:t>
            </w:r>
            <w:r>
              <w:rPr>
                <w:rFonts w:hint="eastAsia"/>
                <w:color w:val="auto"/>
                <w:kern w:val="0"/>
                <w:sz w:val="24"/>
                <w:highlight w:val="none"/>
              </w:rPr>
              <w:t>南通市</w:t>
            </w:r>
            <w:r>
              <w:rPr>
                <w:color w:val="auto"/>
                <w:kern w:val="0"/>
                <w:sz w:val="24"/>
                <w:highlight w:val="none"/>
              </w:rPr>
              <w:t>主要空气污染物指标监测结果见表3-1。</w:t>
            </w:r>
          </w:p>
          <w:p w14:paraId="24B9D99F">
            <w:pPr>
              <w:autoSpaceDE w:val="0"/>
              <w:adjustRightInd w:val="0"/>
              <w:snapToGrid w:val="0"/>
              <w:jc w:val="center"/>
              <w:rPr>
                <w:b/>
                <w:color w:val="auto"/>
                <w:sz w:val="24"/>
                <w:highlight w:val="none"/>
              </w:rPr>
            </w:pPr>
            <w:r>
              <w:rPr>
                <w:b/>
                <w:color w:val="auto"/>
                <w:sz w:val="24"/>
                <w:highlight w:val="none"/>
              </w:rPr>
              <w:t>表3-1  20</w:t>
            </w:r>
            <w:r>
              <w:rPr>
                <w:rFonts w:hint="eastAsia"/>
                <w:b/>
                <w:color w:val="auto"/>
                <w:sz w:val="24"/>
                <w:highlight w:val="none"/>
              </w:rPr>
              <w:t>20</w:t>
            </w:r>
            <w:r>
              <w:rPr>
                <w:b/>
                <w:color w:val="auto"/>
                <w:sz w:val="24"/>
                <w:highlight w:val="none"/>
              </w:rPr>
              <w:t>年</w:t>
            </w:r>
            <w:r>
              <w:rPr>
                <w:rFonts w:hint="eastAsia"/>
                <w:b/>
                <w:color w:val="auto"/>
                <w:sz w:val="24"/>
                <w:highlight w:val="none"/>
              </w:rPr>
              <w:t>南通市</w:t>
            </w:r>
            <w:r>
              <w:rPr>
                <w:b/>
                <w:color w:val="auto"/>
                <w:sz w:val="24"/>
                <w:highlight w:val="none"/>
              </w:rPr>
              <w:t>主要空气污染物指标监测结果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4"/>
              <w:gridCol w:w="2792"/>
              <w:gridCol w:w="1583"/>
              <w:gridCol w:w="1320"/>
              <w:gridCol w:w="1053"/>
              <w:gridCol w:w="1419"/>
            </w:tblGrid>
            <w:tr w14:paraId="7D89A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498" w:type="pct"/>
                  <w:vAlign w:val="center"/>
                </w:tcPr>
                <w:p w14:paraId="13717DE8">
                  <w:pPr>
                    <w:pStyle w:val="72"/>
                    <w:adjustRightInd w:val="0"/>
                    <w:snapToGrid w:val="0"/>
                    <w:spacing w:line="240" w:lineRule="atLeast"/>
                    <w:ind w:firstLine="0" w:firstLineChars="0"/>
                    <w:jc w:val="center"/>
                    <w:rPr>
                      <w:rFonts w:eastAsia="宋体" w:cs="Times New Roman"/>
                      <w:b/>
                      <w:bCs/>
                      <w:color w:val="auto"/>
                      <w:szCs w:val="21"/>
                      <w:highlight w:val="none"/>
                      <w:lang w:val="en-GB"/>
                    </w:rPr>
                  </w:pPr>
                  <w:r>
                    <w:rPr>
                      <w:rFonts w:hAnsi="宋体" w:eastAsia="宋体" w:cs="Times New Roman"/>
                      <w:b/>
                      <w:bCs/>
                      <w:color w:val="auto"/>
                      <w:szCs w:val="21"/>
                      <w:highlight w:val="none"/>
                      <w:lang w:val="en-GB"/>
                    </w:rPr>
                    <w:t>污染物</w:t>
                  </w:r>
                </w:p>
              </w:tc>
              <w:tc>
                <w:tcPr>
                  <w:tcW w:w="1538" w:type="pct"/>
                  <w:vAlign w:val="center"/>
                </w:tcPr>
                <w:p w14:paraId="1972DBF5">
                  <w:pPr>
                    <w:pStyle w:val="72"/>
                    <w:adjustRightInd w:val="0"/>
                    <w:snapToGrid w:val="0"/>
                    <w:spacing w:line="240" w:lineRule="atLeast"/>
                    <w:ind w:firstLine="0" w:firstLineChars="0"/>
                    <w:jc w:val="center"/>
                    <w:rPr>
                      <w:rFonts w:eastAsia="宋体" w:cs="Times New Roman"/>
                      <w:b/>
                      <w:bCs/>
                      <w:color w:val="auto"/>
                      <w:szCs w:val="21"/>
                      <w:highlight w:val="none"/>
                      <w:lang w:val="en-GB"/>
                    </w:rPr>
                  </w:pPr>
                  <w:r>
                    <w:rPr>
                      <w:rFonts w:hAnsi="宋体" w:eastAsia="宋体" w:cs="Times New Roman"/>
                      <w:b/>
                      <w:bCs/>
                      <w:color w:val="auto"/>
                      <w:szCs w:val="21"/>
                      <w:highlight w:val="none"/>
                      <w:lang w:val="en-GB"/>
                    </w:rPr>
                    <w:t>年评价指标</w:t>
                  </w:r>
                </w:p>
              </w:tc>
              <w:tc>
                <w:tcPr>
                  <w:tcW w:w="872" w:type="pct"/>
                  <w:vAlign w:val="center"/>
                </w:tcPr>
                <w:p w14:paraId="36625F90">
                  <w:pPr>
                    <w:pStyle w:val="72"/>
                    <w:adjustRightInd w:val="0"/>
                    <w:snapToGrid w:val="0"/>
                    <w:spacing w:line="240" w:lineRule="atLeast"/>
                    <w:ind w:firstLine="0" w:firstLineChars="0"/>
                    <w:jc w:val="center"/>
                    <w:rPr>
                      <w:rFonts w:eastAsia="宋体" w:cs="Times New Roman"/>
                      <w:b/>
                      <w:bCs/>
                      <w:color w:val="auto"/>
                      <w:szCs w:val="21"/>
                      <w:highlight w:val="none"/>
                      <w:lang w:val="en-GB"/>
                    </w:rPr>
                  </w:pPr>
                  <w:r>
                    <w:rPr>
                      <w:rFonts w:hAnsi="宋体" w:eastAsia="宋体" w:cs="Times New Roman"/>
                      <w:b/>
                      <w:bCs/>
                      <w:color w:val="auto"/>
                      <w:szCs w:val="21"/>
                      <w:highlight w:val="none"/>
                      <w:lang w:val="en-GB"/>
                    </w:rPr>
                    <w:t>现状浓度</w:t>
                  </w:r>
                  <w:r>
                    <w:rPr>
                      <w:rFonts w:eastAsia="宋体" w:cs="Times New Roman"/>
                      <w:b/>
                      <w:bCs/>
                      <w:color w:val="auto"/>
                      <w:szCs w:val="21"/>
                      <w:highlight w:val="none"/>
                      <w:lang w:val="zh-CN"/>
                    </w:rPr>
                    <w:t>μg/m</w:t>
                  </w:r>
                  <w:r>
                    <w:rPr>
                      <w:rFonts w:eastAsia="宋体" w:cs="Times New Roman"/>
                      <w:b/>
                      <w:bCs/>
                      <w:color w:val="auto"/>
                      <w:szCs w:val="21"/>
                      <w:highlight w:val="none"/>
                      <w:vertAlign w:val="superscript"/>
                      <w:lang w:val="zh-CN"/>
                    </w:rPr>
                    <w:t>3</w:t>
                  </w:r>
                </w:p>
              </w:tc>
              <w:tc>
                <w:tcPr>
                  <w:tcW w:w="727" w:type="pct"/>
                  <w:vAlign w:val="center"/>
                </w:tcPr>
                <w:p w14:paraId="34308C18">
                  <w:pPr>
                    <w:pStyle w:val="72"/>
                    <w:adjustRightInd w:val="0"/>
                    <w:snapToGrid w:val="0"/>
                    <w:spacing w:line="240" w:lineRule="atLeast"/>
                    <w:ind w:firstLine="0" w:firstLineChars="0"/>
                    <w:jc w:val="center"/>
                    <w:rPr>
                      <w:rFonts w:eastAsia="宋体" w:cs="Times New Roman"/>
                      <w:b/>
                      <w:bCs/>
                      <w:color w:val="auto"/>
                      <w:szCs w:val="21"/>
                      <w:highlight w:val="none"/>
                      <w:lang w:val="en-GB"/>
                    </w:rPr>
                  </w:pPr>
                  <w:r>
                    <w:rPr>
                      <w:rFonts w:hAnsi="宋体" w:eastAsia="宋体" w:cs="Times New Roman"/>
                      <w:b/>
                      <w:bCs/>
                      <w:color w:val="auto"/>
                      <w:szCs w:val="21"/>
                      <w:highlight w:val="none"/>
                      <w:lang w:val="en-GB"/>
                    </w:rPr>
                    <w:t>标准值</w:t>
                  </w:r>
                  <w:r>
                    <w:rPr>
                      <w:rFonts w:eastAsia="宋体" w:cs="Times New Roman"/>
                      <w:b/>
                      <w:bCs/>
                      <w:color w:val="auto"/>
                      <w:szCs w:val="21"/>
                      <w:highlight w:val="none"/>
                      <w:lang w:val="zh-CN"/>
                    </w:rPr>
                    <w:t>μg/m</w:t>
                  </w:r>
                  <w:r>
                    <w:rPr>
                      <w:rFonts w:eastAsia="宋体" w:cs="Times New Roman"/>
                      <w:b/>
                      <w:bCs/>
                      <w:color w:val="auto"/>
                      <w:szCs w:val="21"/>
                      <w:highlight w:val="none"/>
                      <w:vertAlign w:val="superscript"/>
                      <w:lang w:val="zh-CN"/>
                    </w:rPr>
                    <w:t>3</w:t>
                  </w:r>
                </w:p>
              </w:tc>
              <w:tc>
                <w:tcPr>
                  <w:tcW w:w="580" w:type="pct"/>
                  <w:vAlign w:val="center"/>
                </w:tcPr>
                <w:p w14:paraId="1B921F81">
                  <w:pPr>
                    <w:pStyle w:val="72"/>
                    <w:adjustRightInd w:val="0"/>
                    <w:snapToGrid w:val="0"/>
                    <w:spacing w:line="240" w:lineRule="atLeast"/>
                    <w:ind w:firstLine="0" w:firstLineChars="0"/>
                    <w:jc w:val="center"/>
                    <w:rPr>
                      <w:rFonts w:eastAsia="宋体" w:cs="Times New Roman"/>
                      <w:b/>
                      <w:bCs/>
                      <w:color w:val="auto"/>
                      <w:szCs w:val="21"/>
                      <w:highlight w:val="none"/>
                      <w:lang w:val="en-GB"/>
                    </w:rPr>
                  </w:pPr>
                  <w:r>
                    <w:rPr>
                      <w:rFonts w:hint="eastAsia" w:hAnsi="宋体" w:eastAsia="宋体" w:cs="Times New Roman"/>
                      <w:b/>
                      <w:bCs/>
                      <w:color w:val="auto"/>
                      <w:szCs w:val="21"/>
                      <w:highlight w:val="none"/>
                      <w:lang w:val="en-GB"/>
                    </w:rPr>
                    <w:t>超标率%</w:t>
                  </w:r>
                </w:p>
              </w:tc>
              <w:tc>
                <w:tcPr>
                  <w:tcW w:w="782" w:type="pct"/>
                  <w:vAlign w:val="center"/>
                </w:tcPr>
                <w:p w14:paraId="3D51BAC3">
                  <w:pPr>
                    <w:pStyle w:val="72"/>
                    <w:adjustRightInd w:val="0"/>
                    <w:snapToGrid w:val="0"/>
                    <w:spacing w:line="240" w:lineRule="atLeast"/>
                    <w:ind w:firstLine="0" w:firstLineChars="0"/>
                    <w:jc w:val="center"/>
                    <w:rPr>
                      <w:rFonts w:eastAsia="宋体" w:cs="Times New Roman"/>
                      <w:b/>
                      <w:bCs/>
                      <w:color w:val="auto"/>
                      <w:szCs w:val="21"/>
                      <w:highlight w:val="none"/>
                      <w:lang w:val="en-GB"/>
                    </w:rPr>
                  </w:pPr>
                  <w:r>
                    <w:rPr>
                      <w:rFonts w:hAnsi="宋体" w:eastAsia="宋体" w:cs="Times New Roman"/>
                      <w:b/>
                      <w:bCs/>
                      <w:color w:val="auto"/>
                      <w:szCs w:val="21"/>
                      <w:highlight w:val="none"/>
                      <w:lang w:val="en-GB"/>
                    </w:rPr>
                    <w:t>达标情况</w:t>
                  </w:r>
                </w:p>
              </w:tc>
            </w:tr>
            <w:tr w14:paraId="2F3ED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498" w:type="pct"/>
                  <w:vAlign w:val="center"/>
                </w:tcPr>
                <w:p w14:paraId="03D76753">
                  <w:pPr>
                    <w:adjustRightInd w:val="0"/>
                    <w:snapToGrid w:val="0"/>
                    <w:spacing w:line="240" w:lineRule="atLeast"/>
                    <w:jc w:val="center"/>
                    <w:rPr>
                      <w:bCs/>
                      <w:color w:val="auto"/>
                      <w:highlight w:val="none"/>
                      <w:lang w:val="en-GB"/>
                    </w:rPr>
                  </w:pPr>
                  <w:r>
                    <w:rPr>
                      <w:bCs/>
                      <w:color w:val="auto"/>
                      <w:highlight w:val="none"/>
                      <w:lang w:val="en-GB"/>
                    </w:rPr>
                    <w:t>SO</w:t>
                  </w:r>
                  <w:r>
                    <w:rPr>
                      <w:bCs/>
                      <w:color w:val="auto"/>
                      <w:highlight w:val="none"/>
                      <w:vertAlign w:val="subscript"/>
                      <w:lang w:val="en-GB"/>
                    </w:rPr>
                    <w:t>2</w:t>
                  </w:r>
                </w:p>
              </w:tc>
              <w:tc>
                <w:tcPr>
                  <w:tcW w:w="1538" w:type="pct"/>
                  <w:vAlign w:val="center"/>
                </w:tcPr>
                <w:p w14:paraId="34E48E6F">
                  <w:pPr>
                    <w:adjustRightInd w:val="0"/>
                    <w:snapToGrid w:val="0"/>
                    <w:spacing w:line="240" w:lineRule="atLeast"/>
                    <w:jc w:val="center"/>
                    <w:rPr>
                      <w:bCs/>
                      <w:color w:val="auto"/>
                      <w:highlight w:val="none"/>
                      <w:lang w:val="en-GB"/>
                    </w:rPr>
                  </w:pPr>
                  <w:r>
                    <w:rPr>
                      <w:rFonts w:hAnsi="宋体"/>
                      <w:bCs/>
                      <w:color w:val="auto"/>
                      <w:highlight w:val="none"/>
                      <w:lang w:val="en-GB"/>
                    </w:rPr>
                    <w:t>年均值</w:t>
                  </w:r>
                </w:p>
              </w:tc>
              <w:tc>
                <w:tcPr>
                  <w:tcW w:w="1583" w:type="dxa"/>
                  <w:vAlign w:val="center"/>
                </w:tcPr>
                <w:p w14:paraId="640EFBDE">
                  <w:pPr>
                    <w:adjustRightInd w:val="0"/>
                    <w:snapToGrid w:val="0"/>
                    <w:jc w:val="center"/>
                    <w:rPr>
                      <w:bCs/>
                      <w:color w:val="auto"/>
                      <w:highlight w:val="none"/>
                      <w:lang w:val="en-GB"/>
                    </w:rPr>
                  </w:pPr>
                  <w:r>
                    <w:rPr>
                      <w:rFonts w:hint="eastAsia"/>
                      <w:color w:val="auto"/>
                      <w:szCs w:val="21"/>
                      <w:highlight w:val="none"/>
                    </w:rPr>
                    <w:t>9</w:t>
                  </w:r>
                </w:p>
              </w:tc>
              <w:tc>
                <w:tcPr>
                  <w:tcW w:w="727" w:type="pct"/>
                  <w:vAlign w:val="center"/>
                </w:tcPr>
                <w:p w14:paraId="43A6CE9B">
                  <w:pPr>
                    <w:adjustRightInd w:val="0"/>
                    <w:snapToGrid w:val="0"/>
                    <w:spacing w:line="240" w:lineRule="atLeast"/>
                    <w:jc w:val="center"/>
                    <w:rPr>
                      <w:bCs/>
                      <w:color w:val="auto"/>
                      <w:highlight w:val="none"/>
                      <w:lang w:val="en-GB"/>
                    </w:rPr>
                  </w:pPr>
                  <w:r>
                    <w:rPr>
                      <w:rFonts w:hint="eastAsia"/>
                      <w:bCs/>
                      <w:color w:val="auto"/>
                      <w:highlight w:val="none"/>
                      <w:lang w:val="en-GB"/>
                    </w:rPr>
                    <w:t>60</w:t>
                  </w:r>
                </w:p>
              </w:tc>
              <w:tc>
                <w:tcPr>
                  <w:tcW w:w="580" w:type="pct"/>
                  <w:vAlign w:val="center"/>
                </w:tcPr>
                <w:p w14:paraId="054246CA">
                  <w:pPr>
                    <w:adjustRightInd w:val="0"/>
                    <w:snapToGrid w:val="0"/>
                    <w:spacing w:line="240" w:lineRule="atLeast"/>
                    <w:jc w:val="center"/>
                    <w:rPr>
                      <w:bCs/>
                      <w:color w:val="auto"/>
                      <w:highlight w:val="none"/>
                      <w:lang w:val="en-GB"/>
                    </w:rPr>
                  </w:pPr>
                  <w:r>
                    <w:rPr>
                      <w:rFonts w:hint="eastAsia"/>
                      <w:bCs/>
                      <w:color w:val="auto"/>
                      <w:highlight w:val="none"/>
                      <w:lang w:val="en-GB"/>
                    </w:rPr>
                    <w:t>/</w:t>
                  </w:r>
                </w:p>
              </w:tc>
              <w:tc>
                <w:tcPr>
                  <w:tcW w:w="782" w:type="pct"/>
                  <w:vAlign w:val="center"/>
                </w:tcPr>
                <w:p w14:paraId="2A2B9674">
                  <w:pPr>
                    <w:adjustRightInd w:val="0"/>
                    <w:snapToGrid w:val="0"/>
                    <w:spacing w:line="240" w:lineRule="atLeast"/>
                    <w:jc w:val="center"/>
                    <w:rPr>
                      <w:bCs/>
                      <w:color w:val="auto"/>
                      <w:highlight w:val="none"/>
                      <w:lang w:val="en-GB"/>
                    </w:rPr>
                  </w:pPr>
                  <w:r>
                    <w:rPr>
                      <w:rFonts w:hAnsi="宋体"/>
                      <w:bCs/>
                      <w:color w:val="auto"/>
                      <w:highlight w:val="none"/>
                      <w:lang w:val="en-GB"/>
                    </w:rPr>
                    <w:t>达标</w:t>
                  </w:r>
                </w:p>
              </w:tc>
            </w:tr>
            <w:tr w14:paraId="731CB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498" w:type="pct"/>
                  <w:vAlign w:val="center"/>
                </w:tcPr>
                <w:p w14:paraId="0D1681D2">
                  <w:pPr>
                    <w:adjustRightInd w:val="0"/>
                    <w:snapToGrid w:val="0"/>
                    <w:spacing w:line="240" w:lineRule="atLeast"/>
                    <w:jc w:val="center"/>
                    <w:rPr>
                      <w:bCs/>
                      <w:color w:val="auto"/>
                      <w:highlight w:val="none"/>
                      <w:lang w:val="en-GB"/>
                    </w:rPr>
                  </w:pPr>
                  <w:r>
                    <w:rPr>
                      <w:bCs/>
                      <w:color w:val="auto"/>
                      <w:highlight w:val="none"/>
                      <w:lang w:val="en-GB"/>
                    </w:rPr>
                    <w:t>NO</w:t>
                  </w:r>
                  <w:r>
                    <w:rPr>
                      <w:bCs/>
                      <w:color w:val="auto"/>
                      <w:highlight w:val="none"/>
                      <w:vertAlign w:val="subscript"/>
                      <w:lang w:val="en-GB"/>
                    </w:rPr>
                    <w:t>2</w:t>
                  </w:r>
                </w:p>
              </w:tc>
              <w:tc>
                <w:tcPr>
                  <w:tcW w:w="1538" w:type="pct"/>
                  <w:vAlign w:val="center"/>
                </w:tcPr>
                <w:p w14:paraId="337D9953">
                  <w:pPr>
                    <w:adjustRightInd w:val="0"/>
                    <w:snapToGrid w:val="0"/>
                    <w:spacing w:line="240" w:lineRule="atLeast"/>
                    <w:jc w:val="center"/>
                    <w:rPr>
                      <w:bCs/>
                      <w:color w:val="auto"/>
                      <w:highlight w:val="none"/>
                      <w:lang w:val="en-GB"/>
                    </w:rPr>
                  </w:pPr>
                  <w:r>
                    <w:rPr>
                      <w:rFonts w:hAnsi="宋体"/>
                      <w:bCs/>
                      <w:color w:val="auto"/>
                      <w:highlight w:val="none"/>
                      <w:lang w:val="en-GB"/>
                    </w:rPr>
                    <w:t>年均值</w:t>
                  </w:r>
                </w:p>
              </w:tc>
              <w:tc>
                <w:tcPr>
                  <w:tcW w:w="1583" w:type="dxa"/>
                  <w:vAlign w:val="center"/>
                </w:tcPr>
                <w:p w14:paraId="15179090">
                  <w:pPr>
                    <w:adjustRightInd w:val="0"/>
                    <w:snapToGrid w:val="0"/>
                    <w:jc w:val="center"/>
                    <w:rPr>
                      <w:bCs/>
                      <w:color w:val="auto"/>
                      <w:highlight w:val="none"/>
                    </w:rPr>
                  </w:pPr>
                  <w:r>
                    <w:rPr>
                      <w:rFonts w:hint="eastAsia"/>
                      <w:color w:val="auto"/>
                      <w:szCs w:val="21"/>
                      <w:highlight w:val="none"/>
                    </w:rPr>
                    <w:t>21</w:t>
                  </w:r>
                </w:p>
              </w:tc>
              <w:tc>
                <w:tcPr>
                  <w:tcW w:w="727" w:type="pct"/>
                  <w:vAlign w:val="center"/>
                </w:tcPr>
                <w:p w14:paraId="49FA02C1">
                  <w:pPr>
                    <w:adjustRightInd w:val="0"/>
                    <w:snapToGrid w:val="0"/>
                    <w:spacing w:line="240" w:lineRule="atLeast"/>
                    <w:jc w:val="center"/>
                    <w:rPr>
                      <w:bCs/>
                      <w:color w:val="auto"/>
                      <w:highlight w:val="none"/>
                      <w:lang w:val="en-GB"/>
                    </w:rPr>
                  </w:pPr>
                  <w:r>
                    <w:rPr>
                      <w:rFonts w:hint="eastAsia"/>
                      <w:bCs/>
                      <w:color w:val="auto"/>
                      <w:highlight w:val="none"/>
                      <w:lang w:val="en-GB"/>
                    </w:rPr>
                    <w:t>40</w:t>
                  </w:r>
                </w:p>
              </w:tc>
              <w:tc>
                <w:tcPr>
                  <w:tcW w:w="580" w:type="pct"/>
                  <w:vAlign w:val="center"/>
                </w:tcPr>
                <w:p w14:paraId="76AD59A2">
                  <w:pPr>
                    <w:adjustRightInd w:val="0"/>
                    <w:snapToGrid w:val="0"/>
                    <w:spacing w:line="240" w:lineRule="atLeast"/>
                    <w:jc w:val="center"/>
                    <w:rPr>
                      <w:bCs/>
                      <w:color w:val="auto"/>
                      <w:highlight w:val="none"/>
                      <w:lang w:val="en-GB"/>
                    </w:rPr>
                  </w:pPr>
                  <w:r>
                    <w:rPr>
                      <w:rFonts w:hint="eastAsia"/>
                      <w:bCs/>
                      <w:color w:val="auto"/>
                      <w:highlight w:val="none"/>
                      <w:lang w:val="en-GB"/>
                    </w:rPr>
                    <w:t>/</w:t>
                  </w:r>
                </w:p>
              </w:tc>
              <w:tc>
                <w:tcPr>
                  <w:tcW w:w="782" w:type="pct"/>
                  <w:vAlign w:val="center"/>
                </w:tcPr>
                <w:p w14:paraId="21911963">
                  <w:pPr>
                    <w:adjustRightInd w:val="0"/>
                    <w:snapToGrid w:val="0"/>
                    <w:spacing w:line="240" w:lineRule="atLeast"/>
                    <w:jc w:val="center"/>
                    <w:rPr>
                      <w:bCs/>
                      <w:color w:val="auto"/>
                      <w:highlight w:val="none"/>
                      <w:lang w:val="en-GB"/>
                    </w:rPr>
                  </w:pPr>
                  <w:r>
                    <w:rPr>
                      <w:rFonts w:hAnsi="宋体"/>
                      <w:bCs/>
                      <w:color w:val="auto"/>
                      <w:highlight w:val="none"/>
                      <w:lang w:val="en-GB"/>
                    </w:rPr>
                    <w:t>达标</w:t>
                  </w:r>
                </w:p>
              </w:tc>
            </w:tr>
            <w:tr w14:paraId="5D3EE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498" w:type="pct"/>
                  <w:vAlign w:val="center"/>
                </w:tcPr>
                <w:p w14:paraId="7C947A1F">
                  <w:pPr>
                    <w:adjustRightInd w:val="0"/>
                    <w:snapToGrid w:val="0"/>
                    <w:spacing w:line="240" w:lineRule="atLeast"/>
                    <w:jc w:val="center"/>
                    <w:rPr>
                      <w:bCs/>
                      <w:color w:val="auto"/>
                      <w:highlight w:val="none"/>
                      <w:lang w:val="en-GB"/>
                    </w:rPr>
                  </w:pPr>
                  <w:r>
                    <w:rPr>
                      <w:bCs/>
                      <w:color w:val="auto"/>
                      <w:highlight w:val="none"/>
                      <w:lang w:val="en-GB"/>
                    </w:rPr>
                    <w:t>PM</w:t>
                  </w:r>
                  <w:r>
                    <w:rPr>
                      <w:bCs/>
                      <w:color w:val="auto"/>
                      <w:highlight w:val="none"/>
                      <w:vertAlign w:val="subscript"/>
                      <w:lang w:val="en-GB"/>
                    </w:rPr>
                    <w:t>10</w:t>
                  </w:r>
                </w:p>
              </w:tc>
              <w:tc>
                <w:tcPr>
                  <w:tcW w:w="1538" w:type="pct"/>
                  <w:vAlign w:val="center"/>
                </w:tcPr>
                <w:p w14:paraId="010FC4E3">
                  <w:pPr>
                    <w:adjustRightInd w:val="0"/>
                    <w:snapToGrid w:val="0"/>
                    <w:spacing w:line="240" w:lineRule="atLeast"/>
                    <w:jc w:val="center"/>
                    <w:rPr>
                      <w:bCs/>
                      <w:color w:val="auto"/>
                      <w:highlight w:val="none"/>
                      <w:lang w:val="en-GB"/>
                    </w:rPr>
                  </w:pPr>
                  <w:r>
                    <w:rPr>
                      <w:bCs/>
                      <w:color w:val="auto"/>
                      <w:highlight w:val="none"/>
                      <w:lang w:val="en-GB"/>
                    </w:rPr>
                    <w:t>年均值</w:t>
                  </w:r>
                </w:p>
              </w:tc>
              <w:tc>
                <w:tcPr>
                  <w:tcW w:w="1583" w:type="dxa"/>
                  <w:vAlign w:val="center"/>
                </w:tcPr>
                <w:p w14:paraId="2E0FFFEF">
                  <w:pPr>
                    <w:adjustRightInd w:val="0"/>
                    <w:snapToGrid w:val="0"/>
                    <w:jc w:val="center"/>
                    <w:rPr>
                      <w:bCs/>
                      <w:color w:val="auto"/>
                      <w:highlight w:val="none"/>
                    </w:rPr>
                  </w:pPr>
                  <w:r>
                    <w:rPr>
                      <w:rFonts w:hint="eastAsia"/>
                      <w:color w:val="auto"/>
                      <w:szCs w:val="21"/>
                      <w:highlight w:val="none"/>
                    </w:rPr>
                    <w:t>46</w:t>
                  </w:r>
                </w:p>
              </w:tc>
              <w:tc>
                <w:tcPr>
                  <w:tcW w:w="727" w:type="pct"/>
                  <w:vAlign w:val="center"/>
                </w:tcPr>
                <w:p w14:paraId="6E7C72C9">
                  <w:pPr>
                    <w:adjustRightInd w:val="0"/>
                    <w:snapToGrid w:val="0"/>
                    <w:spacing w:line="240" w:lineRule="atLeast"/>
                    <w:jc w:val="center"/>
                    <w:rPr>
                      <w:bCs/>
                      <w:color w:val="auto"/>
                      <w:highlight w:val="none"/>
                      <w:lang w:val="en-GB"/>
                    </w:rPr>
                  </w:pPr>
                  <w:r>
                    <w:rPr>
                      <w:rFonts w:hint="eastAsia"/>
                      <w:bCs/>
                      <w:color w:val="auto"/>
                      <w:highlight w:val="none"/>
                      <w:lang w:val="en-GB"/>
                    </w:rPr>
                    <w:t>70</w:t>
                  </w:r>
                </w:p>
              </w:tc>
              <w:tc>
                <w:tcPr>
                  <w:tcW w:w="580" w:type="pct"/>
                  <w:vAlign w:val="center"/>
                </w:tcPr>
                <w:p w14:paraId="2D70CD0F">
                  <w:pPr>
                    <w:adjustRightInd w:val="0"/>
                    <w:snapToGrid w:val="0"/>
                    <w:spacing w:line="240" w:lineRule="atLeast"/>
                    <w:jc w:val="center"/>
                    <w:rPr>
                      <w:bCs/>
                      <w:color w:val="auto"/>
                      <w:highlight w:val="none"/>
                      <w:lang w:val="en-GB"/>
                    </w:rPr>
                  </w:pPr>
                  <w:r>
                    <w:rPr>
                      <w:rFonts w:hint="eastAsia"/>
                      <w:bCs/>
                      <w:color w:val="auto"/>
                      <w:highlight w:val="none"/>
                      <w:lang w:val="en-GB"/>
                    </w:rPr>
                    <w:t>/</w:t>
                  </w:r>
                </w:p>
              </w:tc>
              <w:tc>
                <w:tcPr>
                  <w:tcW w:w="782" w:type="pct"/>
                  <w:vAlign w:val="center"/>
                </w:tcPr>
                <w:p w14:paraId="50CBF7A3">
                  <w:pPr>
                    <w:adjustRightInd w:val="0"/>
                    <w:snapToGrid w:val="0"/>
                    <w:spacing w:line="240" w:lineRule="atLeast"/>
                    <w:jc w:val="center"/>
                    <w:rPr>
                      <w:bCs/>
                      <w:color w:val="auto"/>
                      <w:highlight w:val="none"/>
                      <w:lang w:val="en-GB"/>
                    </w:rPr>
                  </w:pPr>
                  <w:r>
                    <w:rPr>
                      <w:bCs/>
                      <w:color w:val="auto"/>
                      <w:highlight w:val="none"/>
                      <w:lang w:val="en-GB"/>
                    </w:rPr>
                    <w:t>达标</w:t>
                  </w:r>
                </w:p>
              </w:tc>
            </w:tr>
            <w:tr w14:paraId="790CB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98" w:type="pct"/>
                  <w:vAlign w:val="center"/>
                </w:tcPr>
                <w:p w14:paraId="16B07131">
                  <w:pPr>
                    <w:adjustRightInd w:val="0"/>
                    <w:snapToGrid w:val="0"/>
                    <w:spacing w:line="240" w:lineRule="atLeast"/>
                    <w:jc w:val="center"/>
                    <w:rPr>
                      <w:bCs/>
                      <w:color w:val="auto"/>
                      <w:highlight w:val="none"/>
                      <w:lang w:val="en-GB"/>
                    </w:rPr>
                  </w:pPr>
                  <w:r>
                    <w:rPr>
                      <w:bCs/>
                      <w:color w:val="auto"/>
                      <w:highlight w:val="none"/>
                      <w:lang w:val="en-GB"/>
                    </w:rPr>
                    <w:t>PM</w:t>
                  </w:r>
                  <w:r>
                    <w:rPr>
                      <w:bCs/>
                      <w:color w:val="auto"/>
                      <w:highlight w:val="none"/>
                      <w:vertAlign w:val="subscript"/>
                      <w:lang w:val="en-GB"/>
                    </w:rPr>
                    <w:t>2.5</w:t>
                  </w:r>
                </w:p>
              </w:tc>
              <w:tc>
                <w:tcPr>
                  <w:tcW w:w="1538" w:type="pct"/>
                  <w:vAlign w:val="center"/>
                </w:tcPr>
                <w:p w14:paraId="13801779">
                  <w:pPr>
                    <w:adjustRightInd w:val="0"/>
                    <w:snapToGrid w:val="0"/>
                    <w:spacing w:line="240" w:lineRule="atLeast"/>
                    <w:jc w:val="center"/>
                    <w:rPr>
                      <w:bCs/>
                      <w:color w:val="auto"/>
                      <w:highlight w:val="none"/>
                      <w:lang w:val="en-GB"/>
                    </w:rPr>
                  </w:pPr>
                  <w:r>
                    <w:rPr>
                      <w:bCs/>
                      <w:color w:val="auto"/>
                      <w:highlight w:val="none"/>
                      <w:lang w:val="en-GB"/>
                    </w:rPr>
                    <w:t>年均值</w:t>
                  </w:r>
                </w:p>
              </w:tc>
              <w:tc>
                <w:tcPr>
                  <w:tcW w:w="1583" w:type="dxa"/>
                  <w:vAlign w:val="center"/>
                </w:tcPr>
                <w:p w14:paraId="724F6B71">
                  <w:pPr>
                    <w:adjustRightInd w:val="0"/>
                    <w:snapToGrid w:val="0"/>
                    <w:jc w:val="center"/>
                    <w:rPr>
                      <w:bCs/>
                      <w:color w:val="auto"/>
                      <w:highlight w:val="none"/>
                    </w:rPr>
                  </w:pPr>
                  <w:r>
                    <w:rPr>
                      <w:rFonts w:hint="eastAsia"/>
                      <w:color w:val="auto"/>
                      <w:szCs w:val="21"/>
                      <w:highlight w:val="none"/>
                    </w:rPr>
                    <w:t>28</w:t>
                  </w:r>
                </w:p>
              </w:tc>
              <w:tc>
                <w:tcPr>
                  <w:tcW w:w="727" w:type="pct"/>
                  <w:vAlign w:val="center"/>
                </w:tcPr>
                <w:p w14:paraId="5676386C">
                  <w:pPr>
                    <w:adjustRightInd w:val="0"/>
                    <w:snapToGrid w:val="0"/>
                    <w:spacing w:line="240" w:lineRule="atLeast"/>
                    <w:jc w:val="center"/>
                    <w:rPr>
                      <w:bCs/>
                      <w:color w:val="auto"/>
                      <w:highlight w:val="none"/>
                      <w:lang w:val="en-GB"/>
                    </w:rPr>
                  </w:pPr>
                  <w:r>
                    <w:rPr>
                      <w:rFonts w:hint="eastAsia"/>
                      <w:bCs/>
                      <w:color w:val="auto"/>
                      <w:highlight w:val="none"/>
                      <w:lang w:val="en-GB"/>
                    </w:rPr>
                    <w:t>35</w:t>
                  </w:r>
                </w:p>
              </w:tc>
              <w:tc>
                <w:tcPr>
                  <w:tcW w:w="580" w:type="pct"/>
                  <w:vAlign w:val="center"/>
                </w:tcPr>
                <w:p w14:paraId="4AAF8BA5">
                  <w:pPr>
                    <w:adjustRightInd w:val="0"/>
                    <w:snapToGrid w:val="0"/>
                    <w:spacing w:line="240" w:lineRule="atLeast"/>
                    <w:jc w:val="center"/>
                    <w:rPr>
                      <w:bCs/>
                      <w:color w:val="auto"/>
                      <w:highlight w:val="none"/>
                      <w:lang w:val="en-GB"/>
                    </w:rPr>
                  </w:pPr>
                  <w:r>
                    <w:rPr>
                      <w:rFonts w:hint="eastAsia"/>
                      <w:bCs/>
                      <w:color w:val="auto"/>
                      <w:highlight w:val="none"/>
                    </w:rPr>
                    <w:t>/</w:t>
                  </w:r>
                </w:p>
              </w:tc>
              <w:tc>
                <w:tcPr>
                  <w:tcW w:w="782" w:type="pct"/>
                  <w:vAlign w:val="center"/>
                </w:tcPr>
                <w:p w14:paraId="2AAF1FC7">
                  <w:pPr>
                    <w:adjustRightInd w:val="0"/>
                    <w:snapToGrid w:val="0"/>
                    <w:spacing w:line="240" w:lineRule="atLeast"/>
                    <w:jc w:val="center"/>
                    <w:rPr>
                      <w:bCs/>
                      <w:color w:val="auto"/>
                      <w:highlight w:val="none"/>
                      <w:lang w:val="en-GB"/>
                    </w:rPr>
                  </w:pPr>
                  <w:r>
                    <w:rPr>
                      <w:bCs/>
                      <w:color w:val="auto"/>
                      <w:highlight w:val="none"/>
                      <w:lang w:val="en-GB"/>
                    </w:rPr>
                    <w:t>达标</w:t>
                  </w:r>
                </w:p>
              </w:tc>
            </w:tr>
            <w:tr w14:paraId="43817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498" w:type="pct"/>
                  <w:vAlign w:val="center"/>
                </w:tcPr>
                <w:p w14:paraId="46CB7344">
                  <w:pPr>
                    <w:adjustRightInd w:val="0"/>
                    <w:snapToGrid w:val="0"/>
                    <w:spacing w:line="240" w:lineRule="atLeast"/>
                    <w:jc w:val="center"/>
                    <w:rPr>
                      <w:bCs/>
                      <w:color w:val="auto"/>
                      <w:highlight w:val="none"/>
                      <w:lang w:val="en-GB"/>
                    </w:rPr>
                  </w:pPr>
                  <w:r>
                    <w:rPr>
                      <w:bCs/>
                      <w:color w:val="auto"/>
                      <w:highlight w:val="none"/>
                      <w:lang w:val="en-GB"/>
                    </w:rPr>
                    <w:t>CO</w:t>
                  </w:r>
                </w:p>
              </w:tc>
              <w:tc>
                <w:tcPr>
                  <w:tcW w:w="1538" w:type="pct"/>
                  <w:vAlign w:val="center"/>
                </w:tcPr>
                <w:p w14:paraId="109539E0">
                  <w:pPr>
                    <w:adjustRightInd w:val="0"/>
                    <w:snapToGrid w:val="0"/>
                    <w:spacing w:line="240" w:lineRule="atLeast"/>
                    <w:jc w:val="center"/>
                    <w:rPr>
                      <w:bCs/>
                      <w:color w:val="auto"/>
                      <w:highlight w:val="none"/>
                      <w:lang w:val="en-GB"/>
                    </w:rPr>
                  </w:pPr>
                  <w:r>
                    <w:rPr>
                      <w:rFonts w:hint="eastAsia"/>
                      <w:bCs/>
                      <w:color w:val="auto"/>
                      <w:highlight w:val="none"/>
                      <w:lang w:val="en-GB"/>
                    </w:rPr>
                    <w:t>日均值第95百分位数</w:t>
                  </w:r>
                </w:p>
              </w:tc>
              <w:tc>
                <w:tcPr>
                  <w:tcW w:w="1583" w:type="dxa"/>
                  <w:vAlign w:val="center"/>
                </w:tcPr>
                <w:p w14:paraId="7A7A8382">
                  <w:pPr>
                    <w:adjustRightInd w:val="0"/>
                    <w:snapToGrid w:val="0"/>
                    <w:jc w:val="center"/>
                    <w:rPr>
                      <w:bCs/>
                      <w:color w:val="auto"/>
                      <w:highlight w:val="none"/>
                    </w:rPr>
                  </w:pPr>
                  <w:r>
                    <w:rPr>
                      <w:rFonts w:hint="eastAsia"/>
                      <w:color w:val="auto"/>
                      <w:szCs w:val="21"/>
                      <w:highlight w:val="none"/>
                    </w:rPr>
                    <w:t>1.5</w:t>
                  </w:r>
                </w:p>
              </w:tc>
              <w:tc>
                <w:tcPr>
                  <w:tcW w:w="727" w:type="pct"/>
                  <w:vAlign w:val="center"/>
                </w:tcPr>
                <w:p w14:paraId="5756C9B0">
                  <w:pPr>
                    <w:adjustRightInd w:val="0"/>
                    <w:snapToGrid w:val="0"/>
                    <w:spacing w:line="240" w:lineRule="atLeast"/>
                    <w:jc w:val="center"/>
                    <w:rPr>
                      <w:bCs/>
                      <w:color w:val="auto"/>
                      <w:highlight w:val="none"/>
                      <w:lang w:val="en-GB"/>
                    </w:rPr>
                  </w:pPr>
                  <w:r>
                    <w:rPr>
                      <w:rFonts w:hint="eastAsia"/>
                      <w:bCs/>
                      <w:color w:val="auto"/>
                      <w:highlight w:val="none"/>
                      <w:lang w:val="en-GB"/>
                    </w:rPr>
                    <w:t>4</w:t>
                  </w:r>
                </w:p>
              </w:tc>
              <w:tc>
                <w:tcPr>
                  <w:tcW w:w="580" w:type="pct"/>
                  <w:vAlign w:val="center"/>
                </w:tcPr>
                <w:p w14:paraId="53289E3D">
                  <w:pPr>
                    <w:adjustRightInd w:val="0"/>
                    <w:snapToGrid w:val="0"/>
                    <w:spacing w:line="240" w:lineRule="atLeast"/>
                    <w:jc w:val="center"/>
                    <w:rPr>
                      <w:bCs/>
                      <w:color w:val="auto"/>
                      <w:highlight w:val="none"/>
                      <w:lang w:val="en-GB"/>
                    </w:rPr>
                  </w:pPr>
                  <w:r>
                    <w:rPr>
                      <w:rFonts w:hint="eastAsia"/>
                      <w:bCs/>
                      <w:color w:val="auto"/>
                      <w:highlight w:val="none"/>
                      <w:lang w:val="en-GB"/>
                    </w:rPr>
                    <w:t>/</w:t>
                  </w:r>
                </w:p>
              </w:tc>
              <w:tc>
                <w:tcPr>
                  <w:tcW w:w="782" w:type="pct"/>
                  <w:vAlign w:val="center"/>
                </w:tcPr>
                <w:p w14:paraId="19DB2053">
                  <w:pPr>
                    <w:adjustRightInd w:val="0"/>
                    <w:snapToGrid w:val="0"/>
                    <w:spacing w:line="240" w:lineRule="atLeast"/>
                    <w:jc w:val="center"/>
                    <w:rPr>
                      <w:bCs/>
                      <w:color w:val="auto"/>
                      <w:highlight w:val="none"/>
                      <w:lang w:val="en-GB"/>
                    </w:rPr>
                  </w:pPr>
                  <w:r>
                    <w:rPr>
                      <w:bCs/>
                      <w:color w:val="auto"/>
                      <w:highlight w:val="none"/>
                      <w:lang w:val="en-GB"/>
                    </w:rPr>
                    <w:t>达标</w:t>
                  </w:r>
                </w:p>
              </w:tc>
            </w:tr>
            <w:tr w14:paraId="19D79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498" w:type="pct"/>
                  <w:vAlign w:val="center"/>
                </w:tcPr>
                <w:p w14:paraId="7179DBD1">
                  <w:pPr>
                    <w:adjustRightInd w:val="0"/>
                    <w:snapToGrid w:val="0"/>
                    <w:spacing w:line="240" w:lineRule="atLeast"/>
                    <w:jc w:val="center"/>
                    <w:rPr>
                      <w:bCs/>
                      <w:color w:val="auto"/>
                      <w:highlight w:val="none"/>
                      <w:lang w:val="en-GB"/>
                    </w:rPr>
                  </w:pPr>
                  <w:r>
                    <w:rPr>
                      <w:bCs/>
                      <w:color w:val="auto"/>
                      <w:highlight w:val="none"/>
                      <w:lang w:val="en-GB"/>
                    </w:rPr>
                    <w:t>O</w:t>
                  </w:r>
                  <w:r>
                    <w:rPr>
                      <w:bCs/>
                      <w:color w:val="auto"/>
                      <w:highlight w:val="none"/>
                      <w:vertAlign w:val="subscript"/>
                      <w:lang w:val="en-GB"/>
                    </w:rPr>
                    <w:t>3</w:t>
                  </w:r>
                </w:p>
              </w:tc>
              <w:tc>
                <w:tcPr>
                  <w:tcW w:w="1538" w:type="pct"/>
                  <w:vAlign w:val="center"/>
                </w:tcPr>
                <w:p w14:paraId="605CCFEF">
                  <w:pPr>
                    <w:adjustRightInd w:val="0"/>
                    <w:snapToGrid w:val="0"/>
                    <w:spacing w:line="240" w:lineRule="atLeast"/>
                    <w:jc w:val="center"/>
                    <w:rPr>
                      <w:bCs/>
                      <w:color w:val="auto"/>
                      <w:highlight w:val="none"/>
                      <w:lang w:val="en-GB"/>
                    </w:rPr>
                  </w:pPr>
                  <w:r>
                    <w:rPr>
                      <w:rFonts w:hint="eastAsia"/>
                      <w:bCs/>
                      <w:color w:val="auto"/>
                      <w:highlight w:val="none"/>
                      <w:lang w:val="en-GB"/>
                    </w:rPr>
                    <w:t>日最大8h均值第90百分位数</w:t>
                  </w:r>
                </w:p>
              </w:tc>
              <w:tc>
                <w:tcPr>
                  <w:tcW w:w="1583" w:type="dxa"/>
                  <w:vAlign w:val="center"/>
                </w:tcPr>
                <w:p w14:paraId="4B22D67C">
                  <w:pPr>
                    <w:adjustRightInd w:val="0"/>
                    <w:snapToGrid w:val="0"/>
                    <w:jc w:val="center"/>
                    <w:rPr>
                      <w:bCs/>
                      <w:color w:val="auto"/>
                      <w:highlight w:val="none"/>
                    </w:rPr>
                  </w:pPr>
                  <w:r>
                    <w:rPr>
                      <w:rFonts w:hint="eastAsia"/>
                      <w:color w:val="auto"/>
                      <w:szCs w:val="21"/>
                      <w:highlight w:val="none"/>
                    </w:rPr>
                    <w:t>161</w:t>
                  </w:r>
                </w:p>
              </w:tc>
              <w:tc>
                <w:tcPr>
                  <w:tcW w:w="727" w:type="pct"/>
                  <w:vAlign w:val="center"/>
                </w:tcPr>
                <w:p w14:paraId="2707F72D">
                  <w:pPr>
                    <w:adjustRightInd w:val="0"/>
                    <w:snapToGrid w:val="0"/>
                    <w:spacing w:line="240" w:lineRule="atLeast"/>
                    <w:jc w:val="center"/>
                    <w:rPr>
                      <w:bCs/>
                      <w:color w:val="auto"/>
                      <w:highlight w:val="none"/>
                      <w:lang w:val="en-GB"/>
                    </w:rPr>
                  </w:pPr>
                  <w:r>
                    <w:rPr>
                      <w:rFonts w:hint="eastAsia"/>
                      <w:bCs/>
                      <w:color w:val="auto"/>
                      <w:highlight w:val="none"/>
                      <w:lang w:val="en-GB"/>
                    </w:rPr>
                    <w:t>160</w:t>
                  </w:r>
                </w:p>
              </w:tc>
              <w:tc>
                <w:tcPr>
                  <w:tcW w:w="580" w:type="pct"/>
                  <w:vAlign w:val="center"/>
                </w:tcPr>
                <w:p w14:paraId="74658F76">
                  <w:pPr>
                    <w:adjustRightInd w:val="0"/>
                    <w:snapToGrid w:val="0"/>
                    <w:spacing w:line="240" w:lineRule="atLeast"/>
                    <w:jc w:val="center"/>
                    <w:rPr>
                      <w:bCs/>
                      <w:color w:val="auto"/>
                      <w:highlight w:val="none"/>
                      <w:lang w:val="en-GB"/>
                    </w:rPr>
                  </w:pPr>
                  <w:r>
                    <w:rPr>
                      <w:rFonts w:hint="eastAsia"/>
                      <w:bCs/>
                      <w:color w:val="auto"/>
                      <w:highlight w:val="none"/>
                      <w:lang w:val="en-GB"/>
                    </w:rPr>
                    <w:t>/</w:t>
                  </w:r>
                </w:p>
              </w:tc>
              <w:tc>
                <w:tcPr>
                  <w:tcW w:w="782" w:type="pct"/>
                  <w:vAlign w:val="center"/>
                </w:tcPr>
                <w:p w14:paraId="1CBE35AC">
                  <w:pPr>
                    <w:adjustRightInd w:val="0"/>
                    <w:snapToGrid w:val="0"/>
                    <w:spacing w:line="240" w:lineRule="atLeast"/>
                    <w:jc w:val="center"/>
                    <w:rPr>
                      <w:bCs/>
                      <w:color w:val="auto"/>
                      <w:highlight w:val="none"/>
                      <w:lang w:val="en-GB"/>
                    </w:rPr>
                  </w:pPr>
                  <w:r>
                    <w:rPr>
                      <w:rFonts w:hint="eastAsia"/>
                      <w:bCs/>
                      <w:color w:val="auto"/>
                      <w:highlight w:val="none"/>
                      <w:lang w:val="en-US" w:eastAsia="zh-Hans"/>
                    </w:rPr>
                    <w:t>不</w:t>
                  </w:r>
                  <w:r>
                    <w:rPr>
                      <w:bCs/>
                      <w:color w:val="auto"/>
                      <w:highlight w:val="none"/>
                      <w:lang w:val="en-GB"/>
                    </w:rPr>
                    <w:t>达标</w:t>
                  </w:r>
                </w:p>
              </w:tc>
            </w:tr>
          </w:tbl>
          <w:p w14:paraId="29BC0596">
            <w:pPr>
              <w:adjustRightInd w:val="0"/>
              <w:snapToGrid w:val="0"/>
              <w:ind w:firstLine="200" w:firstLineChars="200"/>
              <w:rPr>
                <w:bCs/>
                <w:color w:val="auto"/>
                <w:kern w:val="4"/>
                <w:sz w:val="10"/>
                <w:szCs w:val="10"/>
                <w:highlight w:val="none"/>
              </w:rPr>
            </w:pPr>
          </w:p>
          <w:p w14:paraId="28FE3B22">
            <w:pPr>
              <w:adjustRightInd w:val="0"/>
              <w:snapToGrid w:val="0"/>
              <w:spacing w:line="360" w:lineRule="auto"/>
              <w:ind w:firstLine="480" w:firstLineChars="200"/>
              <w:rPr>
                <w:b/>
                <w:snapToGrid w:val="0"/>
                <w:color w:val="auto"/>
                <w:kern w:val="0"/>
                <w:sz w:val="24"/>
                <w:highlight w:val="none"/>
              </w:rPr>
            </w:pPr>
            <w:r>
              <w:rPr>
                <w:bCs/>
                <w:color w:val="auto"/>
                <w:kern w:val="4"/>
                <w:sz w:val="24"/>
                <w:highlight w:val="none"/>
              </w:rPr>
              <w:t>由上表可知，20</w:t>
            </w:r>
            <w:r>
              <w:rPr>
                <w:rFonts w:hint="eastAsia"/>
                <w:bCs/>
                <w:color w:val="auto"/>
                <w:kern w:val="4"/>
                <w:sz w:val="24"/>
                <w:highlight w:val="none"/>
              </w:rPr>
              <w:t>20</w:t>
            </w:r>
            <w:r>
              <w:rPr>
                <w:bCs/>
                <w:color w:val="auto"/>
                <w:kern w:val="4"/>
                <w:sz w:val="24"/>
                <w:highlight w:val="none"/>
              </w:rPr>
              <w:t>年海门</w:t>
            </w:r>
            <w:r>
              <w:rPr>
                <w:rFonts w:hint="eastAsia"/>
                <w:bCs/>
                <w:color w:val="auto"/>
                <w:kern w:val="4"/>
                <w:sz w:val="24"/>
                <w:highlight w:val="none"/>
              </w:rPr>
              <w:t>区</w:t>
            </w:r>
            <w:r>
              <w:rPr>
                <w:bCs/>
                <w:color w:val="auto"/>
                <w:kern w:val="4"/>
                <w:sz w:val="24"/>
                <w:highlight w:val="none"/>
              </w:rPr>
              <w:t>环境空气质量中SO</w:t>
            </w:r>
            <w:r>
              <w:rPr>
                <w:bCs/>
                <w:color w:val="auto"/>
                <w:kern w:val="4"/>
                <w:sz w:val="24"/>
                <w:highlight w:val="none"/>
                <w:vertAlign w:val="subscript"/>
              </w:rPr>
              <w:t>2</w:t>
            </w:r>
            <w:r>
              <w:rPr>
                <w:bCs/>
                <w:color w:val="auto"/>
                <w:kern w:val="4"/>
                <w:sz w:val="24"/>
                <w:highlight w:val="none"/>
              </w:rPr>
              <w:t>、NO</w:t>
            </w:r>
            <w:r>
              <w:rPr>
                <w:bCs/>
                <w:color w:val="auto"/>
                <w:kern w:val="4"/>
                <w:sz w:val="24"/>
                <w:highlight w:val="none"/>
                <w:vertAlign w:val="subscript"/>
              </w:rPr>
              <w:t>2</w:t>
            </w:r>
            <w:r>
              <w:rPr>
                <w:bCs/>
                <w:color w:val="auto"/>
                <w:kern w:val="4"/>
                <w:sz w:val="24"/>
                <w:highlight w:val="none"/>
              </w:rPr>
              <w:t>、CO、PM</w:t>
            </w:r>
            <w:r>
              <w:rPr>
                <w:bCs/>
                <w:color w:val="auto"/>
                <w:kern w:val="4"/>
                <w:sz w:val="24"/>
                <w:highlight w:val="none"/>
                <w:vertAlign w:val="subscript"/>
              </w:rPr>
              <w:t>10</w:t>
            </w:r>
            <w:r>
              <w:rPr>
                <w:bCs/>
                <w:color w:val="auto"/>
                <w:kern w:val="4"/>
                <w:sz w:val="24"/>
                <w:highlight w:val="none"/>
              </w:rPr>
              <w:t>、PM</w:t>
            </w:r>
            <w:r>
              <w:rPr>
                <w:bCs/>
                <w:color w:val="auto"/>
                <w:kern w:val="4"/>
                <w:sz w:val="24"/>
                <w:highlight w:val="none"/>
                <w:vertAlign w:val="subscript"/>
              </w:rPr>
              <w:t>2.</w:t>
            </w:r>
            <w:r>
              <w:rPr>
                <w:rFonts w:hint="eastAsia"/>
                <w:bCs/>
                <w:color w:val="auto"/>
                <w:kern w:val="4"/>
                <w:sz w:val="24"/>
                <w:highlight w:val="none"/>
                <w:vertAlign w:val="subscript"/>
              </w:rPr>
              <w:t>5</w:t>
            </w:r>
            <w:r>
              <w:rPr>
                <w:bCs/>
                <w:color w:val="auto"/>
                <w:kern w:val="4"/>
                <w:sz w:val="24"/>
                <w:highlight w:val="none"/>
              </w:rPr>
              <w:t>相关指标符合《环境空气质量标准》（GB3095-2012）二级标准，O</w:t>
            </w:r>
            <w:r>
              <w:rPr>
                <w:bCs/>
                <w:color w:val="auto"/>
                <w:kern w:val="4"/>
                <w:sz w:val="24"/>
                <w:highlight w:val="none"/>
                <w:vertAlign w:val="subscript"/>
              </w:rPr>
              <w:t>3</w:t>
            </w:r>
            <w:r>
              <w:rPr>
                <w:bCs/>
                <w:color w:val="auto"/>
                <w:kern w:val="4"/>
                <w:sz w:val="24"/>
                <w:highlight w:val="none"/>
              </w:rPr>
              <w:t>日最大8小时滑动平均值第90百分位数浓度超过《环境空气质量标准》（GB3095-2012）二级标准浓度限值，因此区域属于不达标区</w:t>
            </w:r>
            <w:r>
              <w:rPr>
                <w:color w:val="auto"/>
                <w:kern w:val="0"/>
                <w:sz w:val="24"/>
                <w:highlight w:val="none"/>
              </w:rPr>
              <w:t>。</w:t>
            </w:r>
          </w:p>
          <w:p w14:paraId="71ACF5E7">
            <w:pPr>
              <w:adjustRightInd w:val="0"/>
              <w:snapToGrid w:val="0"/>
              <w:spacing w:line="360" w:lineRule="auto"/>
              <w:ind w:firstLine="480" w:firstLineChars="200"/>
              <w:rPr>
                <w:b/>
                <w:snapToGrid w:val="0"/>
                <w:color w:val="auto"/>
                <w:kern w:val="0"/>
                <w:sz w:val="24"/>
                <w:highlight w:val="none"/>
              </w:rPr>
            </w:pPr>
            <w:r>
              <w:rPr>
                <w:snapToGrid w:val="0"/>
                <w:color w:val="auto"/>
                <w:kern w:val="0"/>
                <w:sz w:val="24"/>
                <w:highlight w:val="none"/>
              </w:rPr>
              <w:t>针对区域大气环境超标的问题，南通市政府制定了《南通市打赢蓝天保卫战三年行动计划实施方案（2018~2020年）》，综合运用经济、法律、技术和必要的行政手段，大幅减少主要大气污染物排放总量，协同减少温室气体排放，进一步降低细颗粒物（PM</w:t>
            </w:r>
            <w:r>
              <w:rPr>
                <w:snapToGrid w:val="0"/>
                <w:color w:val="auto"/>
                <w:kern w:val="0"/>
                <w:sz w:val="24"/>
                <w:highlight w:val="none"/>
                <w:vertAlign w:val="subscript"/>
              </w:rPr>
              <w:t>2.5</w:t>
            </w:r>
            <w:r>
              <w:rPr>
                <w:snapToGrid w:val="0"/>
                <w:color w:val="auto"/>
                <w:kern w:val="0"/>
                <w:sz w:val="24"/>
                <w:highlight w:val="none"/>
              </w:rPr>
              <w:t>）浓度，持续改善环境空气质量。实施燃煤控制，在用煤量实现减量替代的前提下，新建热电项目，加强供热管网建设；治理工业污染，实施超低排放改造，以家具制造行业为重点进行整治，推进油烟净化和在线监控设施建设；防治移动污染源，推广使用200辆新能源汽车，淘汰500量高污染车辆；划定禁止高排放非道路移动机械使用区域；整治面源污染、全面推行“绿色施工”，建立扬尘控制责任制，深化秸秆“双禁”，强化“双禁”工作力度。采取上述措施后，南通市大气环境质量状况可以得到进一步改善</w:t>
            </w:r>
            <w:r>
              <w:rPr>
                <w:bCs/>
                <w:color w:val="auto"/>
                <w:sz w:val="24"/>
                <w:highlight w:val="none"/>
              </w:rPr>
              <w:t>。</w:t>
            </w:r>
          </w:p>
          <w:p w14:paraId="0085EFE8">
            <w:pPr>
              <w:adjustRightInd w:val="0"/>
              <w:snapToGrid w:val="0"/>
              <w:spacing w:line="360" w:lineRule="auto"/>
              <w:ind w:firstLine="482" w:firstLineChars="200"/>
              <w:rPr>
                <w:b/>
                <w:snapToGrid w:val="0"/>
                <w:color w:val="auto"/>
                <w:kern w:val="0"/>
                <w:sz w:val="24"/>
                <w:highlight w:val="none"/>
              </w:rPr>
            </w:pPr>
            <w:r>
              <w:rPr>
                <w:b/>
                <w:snapToGrid w:val="0"/>
                <w:color w:val="auto"/>
                <w:kern w:val="0"/>
                <w:sz w:val="24"/>
                <w:highlight w:val="none"/>
              </w:rPr>
              <w:t>b.</w:t>
            </w:r>
            <w:r>
              <w:rPr>
                <w:rFonts w:hAnsi="宋体"/>
                <w:b/>
                <w:snapToGrid w:val="0"/>
                <w:color w:val="auto"/>
                <w:kern w:val="0"/>
                <w:sz w:val="24"/>
                <w:highlight w:val="none"/>
              </w:rPr>
              <w:t>其他污染物环境质量现状</w:t>
            </w:r>
          </w:p>
          <w:p w14:paraId="1C23A994">
            <w:pPr>
              <w:pStyle w:val="9"/>
              <w:adjustRightInd w:val="0"/>
              <w:snapToGrid w:val="0"/>
              <w:spacing w:line="360" w:lineRule="auto"/>
              <w:ind w:firstLine="480"/>
              <w:rPr>
                <w:rFonts w:ascii="宋体" w:hAnsi="宋体"/>
                <w:snapToGrid w:val="0"/>
                <w:color w:val="auto"/>
                <w:kern w:val="0"/>
                <w:sz w:val="24"/>
                <w:szCs w:val="24"/>
                <w:highlight w:val="none"/>
              </w:rPr>
            </w:pPr>
            <w:r>
              <w:rPr>
                <w:rFonts w:ascii="宋体" w:hAnsi="宋体"/>
                <w:snapToGrid w:val="0"/>
                <w:color w:val="auto"/>
                <w:kern w:val="0"/>
                <w:sz w:val="24"/>
                <w:szCs w:val="24"/>
                <w:highlight w:val="none"/>
              </w:rPr>
              <w:t>建设项目所在地非甲烷总烃质量现状数据引用《</w:t>
            </w:r>
            <w:r>
              <w:rPr>
                <w:rFonts w:hint="eastAsia" w:ascii="宋体" w:hAnsi="宋体"/>
                <w:snapToGrid w:val="0"/>
                <w:color w:val="auto"/>
                <w:kern w:val="0"/>
                <w:sz w:val="24"/>
                <w:szCs w:val="24"/>
                <w:highlight w:val="none"/>
              </w:rPr>
              <w:t>海门达克罗金属涂覆有限公司年处理3000吨金属制品迁建项目</w:t>
            </w:r>
            <w:r>
              <w:rPr>
                <w:rFonts w:ascii="宋体" w:hAnsi="宋体"/>
                <w:snapToGrid w:val="0"/>
                <w:color w:val="auto"/>
                <w:kern w:val="0"/>
                <w:sz w:val="24"/>
                <w:szCs w:val="24"/>
                <w:highlight w:val="none"/>
              </w:rPr>
              <w:t>》</w:t>
            </w:r>
            <w:r>
              <w:rPr>
                <w:rFonts w:hint="eastAsia" w:ascii="宋体" w:hAnsi="宋体"/>
                <w:snapToGrid w:val="0"/>
                <w:color w:val="auto"/>
                <w:kern w:val="0"/>
                <w:sz w:val="24"/>
                <w:szCs w:val="24"/>
                <w:highlight w:val="none"/>
              </w:rPr>
              <w:t>环境影响报告书</w:t>
            </w:r>
            <w:r>
              <w:rPr>
                <w:rFonts w:ascii="宋体" w:hAnsi="宋体"/>
                <w:snapToGrid w:val="0"/>
                <w:color w:val="auto"/>
                <w:kern w:val="0"/>
                <w:sz w:val="24"/>
                <w:szCs w:val="24"/>
                <w:highlight w:val="none"/>
              </w:rPr>
              <w:t>中</w:t>
            </w:r>
            <w:r>
              <w:rPr>
                <w:snapToGrid w:val="0"/>
                <w:color w:val="auto"/>
                <w:kern w:val="0"/>
                <w:sz w:val="24"/>
                <w:szCs w:val="24"/>
                <w:highlight w:val="none"/>
              </w:rPr>
              <w:t>20</w:t>
            </w:r>
            <w:r>
              <w:rPr>
                <w:rFonts w:hint="eastAsia"/>
                <w:snapToGrid w:val="0"/>
                <w:color w:val="auto"/>
                <w:kern w:val="0"/>
                <w:sz w:val="24"/>
                <w:szCs w:val="24"/>
                <w:highlight w:val="none"/>
                <w:lang w:val="en-US"/>
              </w:rPr>
              <w:t>20</w:t>
            </w:r>
            <w:r>
              <w:rPr>
                <w:rFonts w:ascii="宋体" w:hAnsi="宋体"/>
                <w:snapToGrid w:val="0"/>
                <w:color w:val="auto"/>
                <w:kern w:val="0"/>
                <w:sz w:val="24"/>
                <w:szCs w:val="24"/>
                <w:highlight w:val="none"/>
              </w:rPr>
              <w:t>年</w:t>
            </w:r>
            <w:r>
              <w:rPr>
                <w:rFonts w:hint="eastAsia"/>
                <w:snapToGrid w:val="0"/>
                <w:color w:val="auto"/>
                <w:kern w:val="0"/>
                <w:sz w:val="24"/>
                <w:szCs w:val="24"/>
                <w:highlight w:val="none"/>
                <w:lang w:val="en-US"/>
              </w:rPr>
              <w:t>3</w:t>
            </w:r>
            <w:r>
              <w:rPr>
                <w:rFonts w:ascii="宋体" w:hAnsi="宋体"/>
                <w:snapToGrid w:val="0"/>
                <w:color w:val="auto"/>
                <w:kern w:val="0"/>
                <w:sz w:val="24"/>
                <w:szCs w:val="24"/>
                <w:highlight w:val="none"/>
              </w:rPr>
              <w:t>月</w:t>
            </w:r>
            <w:r>
              <w:rPr>
                <w:rFonts w:hint="eastAsia"/>
                <w:snapToGrid w:val="0"/>
                <w:color w:val="auto"/>
                <w:kern w:val="0"/>
                <w:sz w:val="24"/>
                <w:szCs w:val="24"/>
                <w:highlight w:val="none"/>
                <w:lang w:val="en-US"/>
              </w:rPr>
              <w:t>7</w:t>
            </w:r>
            <w:r>
              <w:rPr>
                <w:rFonts w:ascii="宋体" w:hAnsi="宋体"/>
                <w:snapToGrid w:val="0"/>
                <w:color w:val="auto"/>
                <w:kern w:val="0"/>
                <w:sz w:val="24"/>
                <w:szCs w:val="24"/>
                <w:highlight w:val="none"/>
              </w:rPr>
              <w:t>日</w:t>
            </w:r>
            <w:r>
              <w:rPr>
                <w:snapToGrid w:val="0"/>
                <w:color w:val="auto"/>
                <w:kern w:val="0"/>
                <w:sz w:val="24"/>
                <w:szCs w:val="24"/>
                <w:highlight w:val="none"/>
              </w:rPr>
              <w:t>-</w:t>
            </w:r>
            <w:r>
              <w:rPr>
                <w:rFonts w:hint="eastAsia"/>
                <w:snapToGrid w:val="0"/>
                <w:color w:val="auto"/>
                <w:kern w:val="0"/>
                <w:sz w:val="24"/>
                <w:szCs w:val="24"/>
                <w:highlight w:val="none"/>
                <w:lang w:val="en-US"/>
              </w:rPr>
              <w:t>3</w:t>
            </w:r>
            <w:r>
              <w:rPr>
                <w:rFonts w:ascii="宋体" w:hAnsi="宋体"/>
                <w:snapToGrid w:val="0"/>
                <w:color w:val="auto"/>
                <w:kern w:val="0"/>
                <w:sz w:val="24"/>
                <w:szCs w:val="24"/>
                <w:highlight w:val="none"/>
              </w:rPr>
              <w:t>月</w:t>
            </w:r>
            <w:r>
              <w:rPr>
                <w:rFonts w:hint="eastAsia" w:ascii="宋体" w:hAnsi="宋体"/>
                <w:snapToGrid w:val="0"/>
                <w:color w:val="auto"/>
                <w:kern w:val="0"/>
                <w:sz w:val="24"/>
                <w:szCs w:val="24"/>
                <w:highlight w:val="none"/>
                <w:lang w:val="en-US"/>
              </w:rPr>
              <w:t>1</w:t>
            </w:r>
            <w:r>
              <w:rPr>
                <w:rFonts w:hint="eastAsia"/>
                <w:snapToGrid w:val="0"/>
                <w:color w:val="auto"/>
                <w:kern w:val="0"/>
                <w:sz w:val="24"/>
                <w:szCs w:val="24"/>
                <w:highlight w:val="none"/>
                <w:lang w:val="en-US"/>
              </w:rPr>
              <w:t>3</w:t>
            </w:r>
            <w:r>
              <w:rPr>
                <w:rFonts w:ascii="宋体" w:hAnsi="宋体"/>
                <w:snapToGrid w:val="0"/>
                <w:color w:val="auto"/>
                <w:kern w:val="0"/>
                <w:sz w:val="24"/>
                <w:szCs w:val="24"/>
                <w:highlight w:val="none"/>
              </w:rPr>
              <w:t>日的监测数据，该监测点（</w:t>
            </w:r>
            <w:r>
              <w:rPr>
                <w:rFonts w:hint="eastAsia" w:ascii="宋体" w:hAnsi="宋体"/>
                <w:snapToGrid w:val="0"/>
                <w:color w:val="auto"/>
                <w:kern w:val="0"/>
                <w:sz w:val="24"/>
                <w:szCs w:val="24"/>
                <w:highlight w:val="none"/>
              </w:rPr>
              <w:t>海门达克罗金属涂覆有限公司</w:t>
            </w:r>
            <w:r>
              <w:rPr>
                <w:rFonts w:ascii="宋体" w:hAnsi="宋体"/>
                <w:snapToGrid w:val="0"/>
                <w:color w:val="auto"/>
                <w:kern w:val="0"/>
                <w:sz w:val="24"/>
                <w:szCs w:val="24"/>
                <w:highlight w:val="none"/>
              </w:rPr>
              <w:t>）位于建设项目</w:t>
            </w:r>
            <w:r>
              <w:rPr>
                <w:rFonts w:hint="eastAsia" w:ascii="宋体" w:hAnsi="宋体"/>
                <w:snapToGrid w:val="0"/>
                <w:color w:val="auto"/>
                <w:kern w:val="0"/>
                <w:sz w:val="24"/>
                <w:szCs w:val="24"/>
                <w:highlight w:val="none"/>
                <w:lang w:val="en-US"/>
              </w:rPr>
              <w:t>西</w:t>
            </w:r>
            <w:r>
              <w:rPr>
                <w:rFonts w:ascii="宋体" w:hAnsi="宋体"/>
                <w:snapToGrid w:val="0"/>
                <w:color w:val="auto"/>
                <w:kern w:val="0"/>
                <w:sz w:val="24"/>
                <w:szCs w:val="24"/>
                <w:highlight w:val="none"/>
              </w:rPr>
              <w:t>侧约</w:t>
            </w:r>
            <w:r>
              <w:rPr>
                <w:rFonts w:hint="eastAsia"/>
                <w:snapToGrid w:val="0"/>
                <w:color w:val="auto"/>
                <w:kern w:val="0"/>
                <w:sz w:val="24"/>
                <w:szCs w:val="24"/>
                <w:highlight w:val="none"/>
                <w:lang w:val="en-US"/>
              </w:rPr>
              <w:t>250</w:t>
            </w:r>
            <w:r>
              <w:rPr>
                <w:snapToGrid w:val="0"/>
                <w:color w:val="auto"/>
                <w:kern w:val="0"/>
                <w:sz w:val="24"/>
                <w:szCs w:val="24"/>
                <w:highlight w:val="none"/>
              </w:rPr>
              <w:t>m</w:t>
            </w:r>
            <w:r>
              <w:rPr>
                <w:rFonts w:ascii="宋体" w:hAnsi="宋体"/>
                <w:snapToGrid w:val="0"/>
                <w:color w:val="auto"/>
                <w:kern w:val="0"/>
                <w:sz w:val="24"/>
                <w:szCs w:val="24"/>
                <w:highlight w:val="none"/>
              </w:rPr>
              <w:t>，监测时间在三年内，监测期后区域污染源变化不大，因此监测数据可以引用。</w:t>
            </w:r>
          </w:p>
          <w:p w14:paraId="5B9EC5A5">
            <w:pPr>
              <w:pStyle w:val="9"/>
              <w:adjustRightInd w:val="0"/>
              <w:snapToGrid w:val="0"/>
              <w:spacing w:line="360" w:lineRule="auto"/>
              <w:ind w:firstLine="480"/>
              <w:rPr>
                <w:snapToGrid w:val="0"/>
                <w:color w:val="auto"/>
                <w:kern w:val="0"/>
                <w:sz w:val="24"/>
                <w:szCs w:val="24"/>
                <w:highlight w:val="none"/>
              </w:rPr>
            </w:pPr>
            <w:r>
              <w:rPr>
                <w:snapToGrid w:val="0"/>
                <w:color w:val="auto"/>
                <w:kern w:val="0"/>
                <w:sz w:val="24"/>
                <w:szCs w:val="24"/>
                <w:highlight w:val="none"/>
              </w:rPr>
              <w:t>建设项目所在地</w:t>
            </w:r>
            <w:r>
              <w:rPr>
                <w:snapToGrid w:val="0"/>
                <w:color w:val="auto"/>
                <w:kern w:val="0"/>
                <w:sz w:val="24"/>
                <w:szCs w:val="24"/>
                <w:highlight w:val="none"/>
                <w:lang w:val="en-US"/>
              </w:rPr>
              <w:t>TSP</w:t>
            </w:r>
            <w:r>
              <w:rPr>
                <w:snapToGrid w:val="0"/>
                <w:color w:val="auto"/>
                <w:kern w:val="0"/>
                <w:sz w:val="24"/>
                <w:szCs w:val="24"/>
                <w:highlight w:val="none"/>
              </w:rPr>
              <w:t>质量现状数据引用</w:t>
            </w:r>
            <w:r>
              <w:rPr>
                <w:snapToGrid w:val="0"/>
                <w:color w:val="auto"/>
                <w:kern w:val="0"/>
                <w:sz w:val="24"/>
                <w:szCs w:val="24"/>
                <w:highlight w:val="none"/>
                <w:lang w:val="en-US"/>
              </w:rPr>
              <w:t>中科泰检测</w:t>
            </w:r>
            <w:r>
              <w:rPr>
                <w:rFonts w:hint="eastAsia"/>
                <w:snapToGrid w:val="0"/>
                <w:color w:val="auto"/>
                <w:kern w:val="0"/>
                <w:sz w:val="24"/>
                <w:szCs w:val="24"/>
                <w:highlight w:val="none"/>
                <w:lang w:val="en-US"/>
              </w:rPr>
              <w:t>（江苏）</w:t>
            </w:r>
            <w:r>
              <w:rPr>
                <w:snapToGrid w:val="0"/>
                <w:color w:val="auto"/>
                <w:kern w:val="0"/>
                <w:sz w:val="24"/>
                <w:szCs w:val="24"/>
                <w:highlight w:val="none"/>
                <w:lang w:val="en-US"/>
              </w:rPr>
              <w:t>有限公司对项目所在地的检测报告</w:t>
            </w:r>
            <w:r>
              <w:rPr>
                <w:rFonts w:hint="eastAsia"/>
                <w:snapToGrid w:val="0"/>
                <w:color w:val="auto"/>
                <w:kern w:val="0"/>
                <w:sz w:val="24"/>
                <w:szCs w:val="24"/>
                <w:highlight w:val="none"/>
                <w:lang w:val="en-US"/>
              </w:rPr>
              <w:t>（（环）ZKTTR-2015-0593）</w:t>
            </w:r>
            <w:r>
              <w:rPr>
                <w:snapToGrid w:val="0"/>
                <w:color w:val="auto"/>
                <w:kern w:val="0"/>
                <w:sz w:val="24"/>
                <w:szCs w:val="24"/>
                <w:highlight w:val="none"/>
                <w:lang w:val="en-US"/>
              </w:rPr>
              <w:t>（</w:t>
            </w:r>
            <w:r>
              <w:rPr>
                <w:rFonts w:hint="eastAsia"/>
                <w:snapToGrid w:val="0"/>
                <w:color w:val="auto"/>
                <w:kern w:val="0"/>
                <w:sz w:val="24"/>
                <w:szCs w:val="24"/>
                <w:highlight w:val="none"/>
                <w:lang w:val="en-US" w:eastAsia="zh-Hans"/>
              </w:rPr>
              <w:t>监测时间</w:t>
            </w:r>
            <w:r>
              <w:rPr>
                <w:snapToGrid w:val="0"/>
                <w:color w:val="auto"/>
                <w:kern w:val="0"/>
                <w:sz w:val="24"/>
                <w:szCs w:val="24"/>
                <w:highlight w:val="none"/>
                <w:lang w:val="en-US"/>
              </w:rPr>
              <w:t>2021.5.26-2021.5.28）中的</w:t>
            </w:r>
            <w:r>
              <w:rPr>
                <w:snapToGrid w:val="0"/>
                <w:color w:val="auto"/>
                <w:kern w:val="0"/>
                <w:sz w:val="24"/>
                <w:szCs w:val="24"/>
                <w:highlight w:val="none"/>
              </w:rPr>
              <w:t>监测数据。</w:t>
            </w:r>
          </w:p>
          <w:p w14:paraId="025F2115">
            <w:pPr>
              <w:pStyle w:val="9"/>
              <w:adjustRightInd w:val="0"/>
              <w:snapToGrid w:val="0"/>
              <w:spacing w:line="360" w:lineRule="auto"/>
              <w:ind w:firstLine="480"/>
              <w:rPr>
                <w:snapToGrid w:val="0"/>
                <w:color w:val="auto"/>
                <w:kern w:val="0"/>
                <w:sz w:val="24"/>
                <w:szCs w:val="24"/>
                <w:highlight w:val="none"/>
                <w:lang w:val="en-US"/>
              </w:rPr>
            </w:pPr>
            <w:r>
              <w:rPr>
                <w:rFonts w:hint="eastAsia"/>
                <w:snapToGrid w:val="0"/>
                <w:color w:val="auto"/>
                <w:kern w:val="0"/>
                <w:sz w:val="24"/>
                <w:szCs w:val="24"/>
                <w:highlight w:val="none"/>
                <w:lang w:val="en-US"/>
              </w:rPr>
              <w:t>本项目排放的特征污染物为二甲苯，不属于国家、地方环境空气质量标准中有标准限值要求的特征污染物。</w:t>
            </w:r>
          </w:p>
          <w:p w14:paraId="3038856B">
            <w:pPr>
              <w:pStyle w:val="9"/>
              <w:adjustRightInd w:val="0"/>
              <w:snapToGrid w:val="0"/>
              <w:spacing w:line="360" w:lineRule="auto"/>
              <w:ind w:firstLine="480"/>
              <w:rPr>
                <w:rFonts w:ascii="宋体" w:hAnsi="宋体"/>
                <w:snapToGrid w:val="0"/>
                <w:color w:val="auto"/>
                <w:kern w:val="0"/>
                <w:sz w:val="24"/>
                <w:szCs w:val="24"/>
                <w:highlight w:val="none"/>
              </w:rPr>
            </w:pPr>
            <w:r>
              <w:rPr>
                <w:rFonts w:ascii="宋体" w:hAnsi="宋体"/>
                <w:snapToGrid w:val="0"/>
                <w:color w:val="auto"/>
                <w:kern w:val="0"/>
                <w:sz w:val="24"/>
                <w:szCs w:val="24"/>
                <w:highlight w:val="none"/>
              </w:rPr>
              <w:t>大气环境质量监测结果见表</w:t>
            </w:r>
            <w:r>
              <w:rPr>
                <w:snapToGrid w:val="0"/>
                <w:color w:val="auto"/>
                <w:kern w:val="0"/>
                <w:sz w:val="24"/>
                <w:szCs w:val="24"/>
                <w:highlight w:val="none"/>
              </w:rPr>
              <w:t>3-</w:t>
            </w:r>
            <w:r>
              <w:rPr>
                <w:rFonts w:hint="eastAsia"/>
                <w:snapToGrid w:val="0"/>
                <w:color w:val="auto"/>
                <w:kern w:val="0"/>
                <w:sz w:val="24"/>
                <w:szCs w:val="24"/>
                <w:highlight w:val="none"/>
                <w:lang w:val="en-US"/>
              </w:rPr>
              <w:t>2</w:t>
            </w:r>
            <w:r>
              <w:rPr>
                <w:rFonts w:ascii="宋体" w:hAnsi="宋体"/>
                <w:snapToGrid w:val="0"/>
                <w:color w:val="auto"/>
                <w:kern w:val="0"/>
                <w:sz w:val="24"/>
                <w:szCs w:val="24"/>
                <w:highlight w:val="none"/>
              </w:rPr>
              <w:t>。</w:t>
            </w:r>
          </w:p>
          <w:p w14:paraId="551BCC37">
            <w:pPr>
              <w:keepNext/>
              <w:keepLines/>
              <w:adjustRightInd w:val="0"/>
              <w:snapToGrid w:val="0"/>
              <w:jc w:val="center"/>
              <w:rPr>
                <w:b/>
                <w:bCs/>
                <w:color w:val="auto"/>
                <w:sz w:val="24"/>
                <w:highlight w:val="none"/>
              </w:rPr>
            </w:pPr>
            <w:r>
              <w:rPr>
                <w:rFonts w:hAnsi="宋体"/>
                <w:b/>
                <w:bCs/>
                <w:color w:val="auto"/>
                <w:sz w:val="24"/>
                <w:highlight w:val="none"/>
              </w:rPr>
              <w:t>表</w:t>
            </w:r>
            <w:r>
              <w:rPr>
                <w:b/>
                <w:bCs/>
                <w:color w:val="auto"/>
                <w:sz w:val="24"/>
                <w:highlight w:val="none"/>
              </w:rPr>
              <w:t>3-</w:t>
            </w:r>
            <w:r>
              <w:rPr>
                <w:rFonts w:hint="eastAsia"/>
                <w:b/>
                <w:bCs/>
                <w:color w:val="auto"/>
                <w:sz w:val="24"/>
                <w:highlight w:val="none"/>
              </w:rPr>
              <w:t>2</w:t>
            </w:r>
            <w:r>
              <w:rPr>
                <w:b/>
                <w:bCs/>
                <w:color w:val="auto"/>
                <w:sz w:val="24"/>
                <w:highlight w:val="none"/>
              </w:rPr>
              <w:t xml:space="preserve"> </w:t>
            </w:r>
            <w:r>
              <w:rPr>
                <w:rFonts w:hAnsi="宋体"/>
                <w:b/>
                <w:bCs/>
                <w:color w:val="auto"/>
                <w:sz w:val="24"/>
                <w:highlight w:val="none"/>
              </w:rPr>
              <w:t>大气环境质量监测结果</w:t>
            </w:r>
            <w:r>
              <w:rPr>
                <w:b/>
                <w:bCs/>
                <w:color w:val="auto"/>
                <w:sz w:val="24"/>
                <w:highlight w:val="none"/>
              </w:rPr>
              <w:t xml:space="preserve">  </w:t>
            </w:r>
            <w:r>
              <w:rPr>
                <w:rFonts w:hAnsi="宋体"/>
                <w:b/>
                <w:bCs/>
                <w:color w:val="auto"/>
                <w:sz w:val="24"/>
                <w:highlight w:val="none"/>
              </w:rPr>
              <w:t>单位：</w:t>
            </w:r>
            <w:r>
              <w:rPr>
                <w:b/>
                <w:bCs/>
                <w:color w:val="auto"/>
                <w:sz w:val="24"/>
                <w:highlight w:val="none"/>
              </w:rPr>
              <w:t>mg/m</w:t>
            </w:r>
            <w:r>
              <w:rPr>
                <w:b/>
                <w:bCs/>
                <w:color w:val="auto"/>
                <w:sz w:val="24"/>
                <w:highlight w:val="none"/>
                <w:vertAlign w:val="superscript"/>
              </w:rPr>
              <w:t>3</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0"/>
              <w:gridCol w:w="1166"/>
              <w:gridCol w:w="1088"/>
              <w:gridCol w:w="1047"/>
              <w:gridCol w:w="1145"/>
              <w:gridCol w:w="1471"/>
              <w:gridCol w:w="1919"/>
            </w:tblGrid>
            <w:tr w14:paraId="0828E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78" w:type="pct"/>
                  <w:vMerge w:val="restart"/>
                  <w:vAlign w:val="center"/>
                </w:tcPr>
                <w:p w14:paraId="39596084">
                  <w:pPr>
                    <w:adjustRightInd w:val="0"/>
                    <w:snapToGrid w:val="0"/>
                    <w:jc w:val="center"/>
                    <w:rPr>
                      <w:b/>
                      <w:bCs/>
                      <w:color w:val="auto"/>
                      <w:szCs w:val="21"/>
                      <w:highlight w:val="none"/>
                    </w:rPr>
                  </w:pPr>
                  <w:r>
                    <w:rPr>
                      <w:rFonts w:hAnsi="宋体"/>
                      <w:b/>
                      <w:bCs/>
                      <w:color w:val="auto"/>
                      <w:szCs w:val="21"/>
                      <w:highlight w:val="none"/>
                    </w:rPr>
                    <w:t>监测</w:t>
                  </w:r>
                </w:p>
                <w:p w14:paraId="2F5D10F7">
                  <w:pPr>
                    <w:adjustRightInd w:val="0"/>
                    <w:snapToGrid w:val="0"/>
                    <w:jc w:val="center"/>
                    <w:rPr>
                      <w:b/>
                      <w:bCs/>
                      <w:color w:val="auto"/>
                      <w:szCs w:val="21"/>
                      <w:highlight w:val="none"/>
                    </w:rPr>
                  </w:pPr>
                  <w:r>
                    <w:rPr>
                      <w:rFonts w:hAnsi="宋体"/>
                      <w:b/>
                      <w:bCs/>
                      <w:color w:val="auto"/>
                      <w:szCs w:val="21"/>
                      <w:highlight w:val="none"/>
                    </w:rPr>
                    <w:t>点位</w:t>
                  </w:r>
                </w:p>
              </w:tc>
              <w:tc>
                <w:tcPr>
                  <w:tcW w:w="1243" w:type="pct"/>
                  <w:gridSpan w:val="2"/>
                  <w:vAlign w:val="center"/>
                </w:tcPr>
                <w:p w14:paraId="74085C9E">
                  <w:pPr>
                    <w:adjustRightInd w:val="0"/>
                    <w:snapToGrid w:val="0"/>
                    <w:jc w:val="center"/>
                    <w:rPr>
                      <w:b/>
                      <w:bCs/>
                      <w:color w:val="auto"/>
                      <w:szCs w:val="21"/>
                      <w:highlight w:val="none"/>
                    </w:rPr>
                  </w:pPr>
                  <w:r>
                    <w:rPr>
                      <w:rFonts w:hAnsi="宋体"/>
                      <w:b/>
                      <w:bCs/>
                      <w:color w:val="auto"/>
                      <w:szCs w:val="21"/>
                      <w:highlight w:val="none"/>
                    </w:rPr>
                    <w:t>监测点坐标</w:t>
                  </w:r>
                </w:p>
              </w:tc>
              <w:tc>
                <w:tcPr>
                  <w:tcW w:w="577" w:type="pct"/>
                  <w:vMerge w:val="restart"/>
                  <w:vAlign w:val="center"/>
                </w:tcPr>
                <w:p w14:paraId="79677B5C">
                  <w:pPr>
                    <w:adjustRightInd w:val="0"/>
                    <w:snapToGrid w:val="0"/>
                    <w:jc w:val="center"/>
                    <w:rPr>
                      <w:b/>
                      <w:bCs/>
                      <w:color w:val="auto"/>
                      <w:szCs w:val="21"/>
                      <w:highlight w:val="none"/>
                    </w:rPr>
                  </w:pPr>
                  <w:r>
                    <w:rPr>
                      <w:rFonts w:hAnsi="宋体"/>
                      <w:b/>
                      <w:bCs/>
                      <w:color w:val="auto"/>
                      <w:szCs w:val="21"/>
                      <w:highlight w:val="none"/>
                    </w:rPr>
                    <w:t>项目</w:t>
                  </w:r>
                </w:p>
              </w:tc>
              <w:tc>
                <w:tcPr>
                  <w:tcW w:w="2500" w:type="pct"/>
                  <w:gridSpan w:val="3"/>
                  <w:vAlign w:val="center"/>
                </w:tcPr>
                <w:p w14:paraId="7E8DCEB9">
                  <w:pPr>
                    <w:adjustRightInd w:val="0"/>
                    <w:snapToGrid w:val="0"/>
                    <w:jc w:val="center"/>
                    <w:rPr>
                      <w:b/>
                      <w:bCs/>
                      <w:color w:val="auto"/>
                      <w:szCs w:val="21"/>
                      <w:highlight w:val="none"/>
                    </w:rPr>
                  </w:pPr>
                  <w:r>
                    <w:rPr>
                      <w:rFonts w:hAnsi="宋体"/>
                      <w:b/>
                      <w:bCs/>
                      <w:color w:val="auto"/>
                      <w:szCs w:val="21"/>
                      <w:highlight w:val="none"/>
                    </w:rPr>
                    <w:t>小时浓度</w:t>
                  </w:r>
                </w:p>
              </w:tc>
            </w:tr>
            <w:tr w14:paraId="5C726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78" w:type="pct"/>
                  <w:vMerge w:val="continue"/>
                  <w:vAlign w:val="center"/>
                </w:tcPr>
                <w:p w14:paraId="58231C90">
                  <w:pPr>
                    <w:adjustRightInd w:val="0"/>
                    <w:snapToGrid w:val="0"/>
                    <w:jc w:val="center"/>
                    <w:rPr>
                      <w:b/>
                      <w:bCs/>
                      <w:color w:val="auto"/>
                      <w:szCs w:val="21"/>
                      <w:highlight w:val="none"/>
                    </w:rPr>
                  </w:pPr>
                </w:p>
              </w:tc>
              <w:tc>
                <w:tcPr>
                  <w:tcW w:w="643" w:type="pct"/>
                  <w:vAlign w:val="center"/>
                </w:tcPr>
                <w:p w14:paraId="150085D4">
                  <w:pPr>
                    <w:adjustRightInd w:val="0"/>
                    <w:snapToGrid w:val="0"/>
                    <w:jc w:val="center"/>
                    <w:rPr>
                      <w:b/>
                      <w:bCs/>
                      <w:color w:val="auto"/>
                      <w:szCs w:val="21"/>
                      <w:highlight w:val="none"/>
                    </w:rPr>
                  </w:pPr>
                  <w:r>
                    <w:rPr>
                      <w:b/>
                      <w:bCs/>
                      <w:color w:val="auto"/>
                      <w:szCs w:val="21"/>
                      <w:highlight w:val="none"/>
                    </w:rPr>
                    <w:t>X</w:t>
                  </w:r>
                </w:p>
              </w:tc>
              <w:tc>
                <w:tcPr>
                  <w:tcW w:w="600" w:type="pct"/>
                  <w:vAlign w:val="center"/>
                </w:tcPr>
                <w:p w14:paraId="2EB2DFB7">
                  <w:pPr>
                    <w:adjustRightInd w:val="0"/>
                    <w:snapToGrid w:val="0"/>
                    <w:jc w:val="center"/>
                    <w:rPr>
                      <w:b/>
                      <w:bCs/>
                      <w:color w:val="auto"/>
                      <w:szCs w:val="21"/>
                      <w:highlight w:val="none"/>
                    </w:rPr>
                  </w:pPr>
                  <w:r>
                    <w:rPr>
                      <w:b/>
                      <w:bCs/>
                      <w:color w:val="auto"/>
                      <w:szCs w:val="21"/>
                      <w:highlight w:val="none"/>
                    </w:rPr>
                    <w:t>Y</w:t>
                  </w:r>
                </w:p>
              </w:tc>
              <w:tc>
                <w:tcPr>
                  <w:tcW w:w="577" w:type="pct"/>
                  <w:vMerge w:val="continue"/>
                  <w:vAlign w:val="center"/>
                </w:tcPr>
                <w:p w14:paraId="2B11F16C">
                  <w:pPr>
                    <w:adjustRightInd w:val="0"/>
                    <w:snapToGrid w:val="0"/>
                    <w:jc w:val="center"/>
                    <w:rPr>
                      <w:b/>
                      <w:bCs/>
                      <w:color w:val="auto"/>
                      <w:szCs w:val="21"/>
                      <w:highlight w:val="none"/>
                    </w:rPr>
                  </w:pPr>
                </w:p>
              </w:tc>
              <w:tc>
                <w:tcPr>
                  <w:tcW w:w="631" w:type="pct"/>
                  <w:vAlign w:val="center"/>
                </w:tcPr>
                <w:p w14:paraId="3B629982">
                  <w:pPr>
                    <w:adjustRightInd w:val="0"/>
                    <w:snapToGrid w:val="0"/>
                    <w:jc w:val="center"/>
                    <w:rPr>
                      <w:b/>
                      <w:bCs/>
                      <w:color w:val="auto"/>
                      <w:szCs w:val="21"/>
                      <w:highlight w:val="none"/>
                    </w:rPr>
                  </w:pPr>
                  <w:r>
                    <w:rPr>
                      <w:rFonts w:hAnsi="宋体"/>
                      <w:b/>
                      <w:bCs/>
                      <w:color w:val="auto"/>
                      <w:szCs w:val="21"/>
                      <w:highlight w:val="none"/>
                    </w:rPr>
                    <w:t>浓度范围</w:t>
                  </w:r>
                </w:p>
              </w:tc>
              <w:tc>
                <w:tcPr>
                  <w:tcW w:w="811" w:type="pct"/>
                  <w:vAlign w:val="center"/>
                </w:tcPr>
                <w:p w14:paraId="54360150">
                  <w:pPr>
                    <w:adjustRightInd w:val="0"/>
                    <w:snapToGrid w:val="0"/>
                    <w:jc w:val="center"/>
                    <w:rPr>
                      <w:b/>
                      <w:bCs/>
                      <w:color w:val="auto"/>
                      <w:szCs w:val="21"/>
                      <w:highlight w:val="none"/>
                    </w:rPr>
                  </w:pPr>
                  <w:r>
                    <w:rPr>
                      <w:rFonts w:hAnsi="宋体"/>
                      <w:b/>
                      <w:bCs/>
                      <w:color w:val="auto"/>
                      <w:szCs w:val="21"/>
                      <w:highlight w:val="none"/>
                    </w:rPr>
                    <w:t>超标率（</w:t>
                  </w:r>
                  <w:r>
                    <w:rPr>
                      <w:b/>
                      <w:bCs/>
                      <w:color w:val="auto"/>
                      <w:szCs w:val="21"/>
                      <w:highlight w:val="none"/>
                    </w:rPr>
                    <w:t>%</w:t>
                  </w:r>
                  <w:r>
                    <w:rPr>
                      <w:rFonts w:hAnsi="宋体"/>
                      <w:b/>
                      <w:bCs/>
                      <w:color w:val="auto"/>
                      <w:szCs w:val="21"/>
                      <w:highlight w:val="none"/>
                    </w:rPr>
                    <w:t>）</w:t>
                  </w:r>
                </w:p>
              </w:tc>
              <w:tc>
                <w:tcPr>
                  <w:tcW w:w="1057" w:type="pct"/>
                  <w:vAlign w:val="center"/>
                </w:tcPr>
                <w:p w14:paraId="4C5CC0F6">
                  <w:pPr>
                    <w:adjustRightInd w:val="0"/>
                    <w:snapToGrid w:val="0"/>
                    <w:jc w:val="center"/>
                    <w:rPr>
                      <w:b/>
                      <w:bCs/>
                      <w:color w:val="auto"/>
                      <w:szCs w:val="21"/>
                      <w:highlight w:val="none"/>
                    </w:rPr>
                  </w:pPr>
                  <w:r>
                    <w:rPr>
                      <w:rFonts w:hAnsi="宋体"/>
                      <w:b/>
                      <w:bCs/>
                      <w:color w:val="auto"/>
                      <w:szCs w:val="21"/>
                      <w:highlight w:val="none"/>
                    </w:rPr>
                    <w:t>最大超标倍数（</w:t>
                  </w:r>
                  <w:r>
                    <w:rPr>
                      <w:b/>
                      <w:bCs/>
                      <w:color w:val="auto"/>
                      <w:szCs w:val="21"/>
                      <w:highlight w:val="none"/>
                    </w:rPr>
                    <w:t>%</w:t>
                  </w:r>
                  <w:r>
                    <w:rPr>
                      <w:rFonts w:hAnsi="宋体"/>
                      <w:b/>
                      <w:bCs/>
                      <w:color w:val="auto"/>
                      <w:szCs w:val="21"/>
                      <w:highlight w:val="none"/>
                    </w:rPr>
                    <w:t>）</w:t>
                  </w:r>
                </w:p>
              </w:tc>
            </w:tr>
            <w:tr w14:paraId="5C5AD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78" w:type="pct"/>
                  <w:vAlign w:val="center"/>
                </w:tcPr>
                <w:p w14:paraId="43B7F098">
                  <w:pPr>
                    <w:adjustRightInd w:val="0"/>
                    <w:snapToGrid w:val="0"/>
                    <w:jc w:val="center"/>
                    <w:rPr>
                      <w:color w:val="auto"/>
                      <w:szCs w:val="21"/>
                      <w:highlight w:val="none"/>
                    </w:rPr>
                  </w:pPr>
                  <w:r>
                    <w:rPr>
                      <w:rFonts w:hint="eastAsia" w:hAnsi="宋体"/>
                      <w:snapToGrid w:val="0"/>
                      <w:color w:val="auto"/>
                      <w:kern w:val="0"/>
                      <w:szCs w:val="21"/>
                      <w:highlight w:val="none"/>
                    </w:rPr>
                    <w:t>G1海门达克罗金属涂覆有限公司</w:t>
                  </w:r>
                </w:p>
              </w:tc>
              <w:tc>
                <w:tcPr>
                  <w:tcW w:w="643" w:type="pct"/>
                  <w:vAlign w:val="center"/>
                </w:tcPr>
                <w:p w14:paraId="511D4E65">
                  <w:pPr>
                    <w:adjustRightInd w:val="0"/>
                    <w:snapToGrid w:val="0"/>
                    <w:jc w:val="center"/>
                    <w:rPr>
                      <w:color w:val="auto"/>
                      <w:szCs w:val="21"/>
                      <w:highlight w:val="none"/>
                    </w:rPr>
                  </w:pPr>
                  <w:r>
                    <w:rPr>
                      <w:rFonts w:hint="eastAsia"/>
                      <w:color w:val="auto"/>
                      <w:szCs w:val="21"/>
                      <w:highlight w:val="none"/>
                    </w:rPr>
                    <w:t>121.114075</w:t>
                  </w:r>
                </w:p>
              </w:tc>
              <w:tc>
                <w:tcPr>
                  <w:tcW w:w="600" w:type="pct"/>
                  <w:vAlign w:val="center"/>
                </w:tcPr>
                <w:p w14:paraId="38728E22">
                  <w:pPr>
                    <w:adjustRightInd w:val="0"/>
                    <w:snapToGrid w:val="0"/>
                    <w:jc w:val="center"/>
                    <w:rPr>
                      <w:color w:val="auto"/>
                      <w:szCs w:val="21"/>
                      <w:highlight w:val="none"/>
                    </w:rPr>
                  </w:pPr>
                  <w:r>
                    <w:rPr>
                      <w:rFonts w:hint="eastAsia"/>
                      <w:color w:val="auto"/>
                      <w:szCs w:val="21"/>
                      <w:highlight w:val="none"/>
                    </w:rPr>
                    <w:t>31.843763</w:t>
                  </w:r>
                </w:p>
              </w:tc>
              <w:tc>
                <w:tcPr>
                  <w:tcW w:w="577" w:type="pct"/>
                  <w:vAlign w:val="center"/>
                </w:tcPr>
                <w:p w14:paraId="7831574F">
                  <w:pPr>
                    <w:adjustRightInd w:val="0"/>
                    <w:snapToGrid w:val="0"/>
                    <w:jc w:val="center"/>
                    <w:rPr>
                      <w:color w:val="auto"/>
                      <w:szCs w:val="21"/>
                      <w:highlight w:val="none"/>
                    </w:rPr>
                  </w:pPr>
                  <w:r>
                    <w:rPr>
                      <w:rFonts w:hAnsi="宋体"/>
                      <w:color w:val="auto"/>
                      <w:szCs w:val="21"/>
                      <w:highlight w:val="none"/>
                    </w:rPr>
                    <w:t>非甲烷总烃</w:t>
                  </w:r>
                </w:p>
              </w:tc>
              <w:tc>
                <w:tcPr>
                  <w:tcW w:w="631" w:type="pct"/>
                  <w:vAlign w:val="center"/>
                </w:tcPr>
                <w:p w14:paraId="3E0E2F18">
                  <w:pPr>
                    <w:adjustRightInd w:val="0"/>
                    <w:snapToGrid w:val="0"/>
                    <w:jc w:val="center"/>
                    <w:rPr>
                      <w:color w:val="auto"/>
                      <w:szCs w:val="21"/>
                      <w:highlight w:val="none"/>
                    </w:rPr>
                  </w:pPr>
                  <w:r>
                    <w:rPr>
                      <w:rFonts w:hint="eastAsia"/>
                      <w:color w:val="auto"/>
                      <w:szCs w:val="21"/>
                      <w:highlight w:val="none"/>
                    </w:rPr>
                    <w:t>1.04~1.68</w:t>
                  </w:r>
                </w:p>
              </w:tc>
              <w:tc>
                <w:tcPr>
                  <w:tcW w:w="811" w:type="pct"/>
                  <w:vAlign w:val="center"/>
                </w:tcPr>
                <w:p w14:paraId="0D82B4EB">
                  <w:pPr>
                    <w:adjustRightInd w:val="0"/>
                    <w:snapToGrid w:val="0"/>
                    <w:jc w:val="center"/>
                    <w:rPr>
                      <w:color w:val="auto"/>
                      <w:szCs w:val="21"/>
                      <w:highlight w:val="none"/>
                    </w:rPr>
                  </w:pPr>
                  <w:r>
                    <w:rPr>
                      <w:color w:val="auto"/>
                      <w:szCs w:val="21"/>
                      <w:highlight w:val="none"/>
                    </w:rPr>
                    <w:t>0</w:t>
                  </w:r>
                </w:p>
              </w:tc>
              <w:tc>
                <w:tcPr>
                  <w:tcW w:w="1057" w:type="pct"/>
                  <w:vAlign w:val="center"/>
                </w:tcPr>
                <w:p w14:paraId="02B93ACD">
                  <w:pPr>
                    <w:adjustRightInd w:val="0"/>
                    <w:snapToGrid w:val="0"/>
                    <w:jc w:val="center"/>
                    <w:rPr>
                      <w:color w:val="auto"/>
                      <w:szCs w:val="21"/>
                      <w:highlight w:val="none"/>
                    </w:rPr>
                  </w:pPr>
                  <w:r>
                    <w:rPr>
                      <w:color w:val="auto"/>
                      <w:szCs w:val="21"/>
                      <w:highlight w:val="none"/>
                    </w:rPr>
                    <w:t>0</w:t>
                  </w:r>
                </w:p>
              </w:tc>
            </w:tr>
          </w:tbl>
          <w:p w14:paraId="39169655">
            <w:pPr>
              <w:keepNext/>
              <w:keepLines/>
              <w:adjustRightInd w:val="0"/>
              <w:snapToGrid w:val="0"/>
              <w:jc w:val="center"/>
              <w:rPr>
                <w:b/>
                <w:bCs/>
                <w:color w:val="auto"/>
                <w:sz w:val="24"/>
                <w:highlight w:val="none"/>
              </w:rPr>
            </w:pPr>
            <w:r>
              <w:rPr>
                <w:b/>
                <w:bCs/>
                <w:color w:val="auto"/>
                <w:sz w:val="24"/>
                <w:highlight w:val="none"/>
              </w:rPr>
              <w:t>表3-</w:t>
            </w:r>
            <w:r>
              <w:rPr>
                <w:rFonts w:hint="eastAsia"/>
                <w:b/>
                <w:bCs/>
                <w:color w:val="auto"/>
                <w:sz w:val="24"/>
                <w:highlight w:val="none"/>
              </w:rPr>
              <w:t>3</w:t>
            </w:r>
            <w:r>
              <w:rPr>
                <w:b/>
                <w:bCs/>
                <w:color w:val="auto"/>
                <w:sz w:val="24"/>
                <w:highlight w:val="none"/>
              </w:rPr>
              <w:t xml:space="preserve"> 大气环境质量监测结果  单位：mg/m</w:t>
            </w:r>
            <w:r>
              <w:rPr>
                <w:b/>
                <w:bCs/>
                <w:color w:val="auto"/>
                <w:sz w:val="24"/>
                <w:highlight w:val="none"/>
                <w:vertAlign w:val="superscript"/>
              </w:rPr>
              <w:t>3</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64"/>
              <w:gridCol w:w="1039"/>
              <w:gridCol w:w="1081"/>
              <w:gridCol w:w="1048"/>
              <w:gridCol w:w="1164"/>
              <w:gridCol w:w="1476"/>
              <w:gridCol w:w="1894"/>
            </w:tblGrid>
            <w:tr w14:paraId="273AB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2" w:type="pct"/>
                  <w:vMerge w:val="restart"/>
                  <w:vAlign w:val="center"/>
                </w:tcPr>
                <w:p w14:paraId="55777BA0">
                  <w:pPr>
                    <w:adjustRightInd w:val="0"/>
                    <w:snapToGrid w:val="0"/>
                    <w:jc w:val="center"/>
                    <w:rPr>
                      <w:b/>
                      <w:bCs/>
                      <w:color w:val="auto"/>
                      <w:szCs w:val="21"/>
                      <w:highlight w:val="none"/>
                    </w:rPr>
                  </w:pPr>
                  <w:r>
                    <w:rPr>
                      <w:b/>
                      <w:bCs/>
                      <w:color w:val="auto"/>
                      <w:szCs w:val="21"/>
                      <w:highlight w:val="none"/>
                    </w:rPr>
                    <w:t>监测</w:t>
                  </w:r>
                </w:p>
                <w:p w14:paraId="4025C3F0">
                  <w:pPr>
                    <w:adjustRightInd w:val="0"/>
                    <w:snapToGrid w:val="0"/>
                    <w:jc w:val="center"/>
                    <w:rPr>
                      <w:b/>
                      <w:bCs/>
                      <w:color w:val="auto"/>
                      <w:szCs w:val="21"/>
                      <w:highlight w:val="none"/>
                    </w:rPr>
                  </w:pPr>
                  <w:r>
                    <w:rPr>
                      <w:b/>
                      <w:bCs/>
                      <w:color w:val="auto"/>
                      <w:szCs w:val="21"/>
                      <w:highlight w:val="none"/>
                    </w:rPr>
                    <w:t>点位</w:t>
                  </w:r>
                </w:p>
              </w:tc>
              <w:tc>
                <w:tcPr>
                  <w:tcW w:w="1169" w:type="pct"/>
                  <w:gridSpan w:val="2"/>
                  <w:vAlign w:val="center"/>
                </w:tcPr>
                <w:p w14:paraId="7258C4CF">
                  <w:pPr>
                    <w:adjustRightInd w:val="0"/>
                    <w:snapToGrid w:val="0"/>
                    <w:jc w:val="center"/>
                    <w:rPr>
                      <w:b/>
                      <w:bCs/>
                      <w:color w:val="auto"/>
                      <w:szCs w:val="21"/>
                      <w:highlight w:val="none"/>
                    </w:rPr>
                  </w:pPr>
                  <w:r>
                    <w:rPr>
                      <w:b/>
                      <w:bCs/>
                      <w:color w:val="auto"/>
                      <w:szCs w:val="21"/>
                      <w:highlight w:val="none"/>
                    </w:rPr>
                    <w:t>监测点坐标</w:t>
                  </w:r>
                </w:p>
              </w:tc>
              <w:tc>
                <w:tcPr>
                  <w:tcW w:w="578" w:type="pct"/>
                  <w:vMerge w:val="restart"/>
                  <w:vAlign w:val="center"/>
                </w:tcPr>
                <w:p w14:paraId="02475284">
                  <w:pPr>
                    <w:adjustRightInd w:val="0"/>
                    <w:snapToGrid w:val="0"/>
                    <w:jc w:val="center"/>
                    <w:rPr>
                      <w:b/>
                      <w:bCs/>
                      <w:color w:val="auto"/>
                      <w:szCs w:val="21"/>
                      <w:highlight w:val="none"/>
                    </w:rPr>
                  </w:pPr>
                  <w:r>
                    <w:rPr>
                      <w:b/>
                      <w:bCs/>
                      <w:color w:val="auto"/>
                      <w:szCs w:val="21"/>
                      <w:highlight w:val="none"/>
                    </w:rPr>
                    <w:t>项目</w:t>
                  </w:r>
                </w:p>
              </w:tc>
              <w:tc>
                <w:tcPr>
                  <w:tcW w:w="2500" w:type="pct"/>
                  <w:gridSpan w:val="3"/>
                  <w:vAlign w:val="center"/>
                </w:tcPr>
                <w:p w14:paraId="436A4C96">
                  <w:pPr>
                    <w:adjustRightInd w:val="0"/>
                    <w:snapToGrid w:val="0"/>
                    <w:jc w:val="center"/>
                    <w:rPr>
                      <w:b/>
                      <w:bCs/>
                      <w:color w:val="auto"/>
                      <w:szCs w:val="21"/>
                      <w:highlight w:val="none"/>
                    </w:rPr>
                  </w:pPr>
                  <w:r>
                    <w:rPr>
                      <w:rFonts w:hint="eastAsia"/>
                      <w:b/>
                      <w:bCs/>
                      <w:color w:val="auto"/>
                      <w:szCs w:val="21"/>
                      <w:highlight w:val="none"/>
                    </w:rPr>
                    <w:t>日均</w:t>
                  </w:r>
                  <w:r>
                    <w:rPr>
                      <w:b/>
                      <w:bCs/>
                      <w:color w:val="auto"/>
                      <w:szCs w:val="21"/>
                      <w:highlight w:val="none"/>
                    </w:rPr>
                    <w:t>浓度</w:t>
                  </w:r>
                </w:p>
              </w:tc>
            </w:tr>
            <w:tr w14:paraId="631BD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2" w:type="pct"/>
                  <w:vMerge w:val="continue"/>
                  <w:vAlign w:val="center"/>
                </w:tcPr>
                <w:p w14:paraId="77ACE7F9">
                  <w:pPr>
                    <w:adjustRightInd w:val="0"/>
                    <w:snapToGrid w:val="0"/>
                    <w:jc w:val="center"/>
                    <w:rPr>
                      <w:b/>
                      <w:bCs/>
                      <w:color w:val="auto"/>
                      <w:szCs w:val="21"/>
                      <w:highlight w:val="none"/>
                    </w:rPr>
                  </w:pPr>
                </w:p>
              </w:tc>
              <w:tc>
                <w:tcPr>
                  <w:tcW w:w="573" w:type="pct"/>
                  <w:vAlign w:val="center"/>
                </w:tcPr>
                <w:p w14:paraId="17DD5051">
                  <w:pPr>
                    <w:adjustRightInd w:val="0"/>
                    <w:snapToGrid w:val="0"/>
                    <w:jc w:val="center"/>
                    <w:rPr>
                      <w:b/>
                      <w:bCs/>
                      <w:color w:val="auto"/>
                      <w:szCs w:val="21"/>
                      <w:highlight w:val="none"/>
                    </w:rPr>
                  </w:pPr>
                  <w:r>
                    <w:rPr>
                      <w:b/>
                      <w:bCs/>
                      <w:color w:val="auto"/>
                      <w:szCs w:val="21"/>
                      <w:highlight w:val="none"/>
                    </w:rPr>
                    <w:t>X</w:t>
                  </w:r>
                </w:p>
              </w:tc>
              <w:tc>
                <w:tcPr>
                  <w:tcW w:w="595" w:type="pct"/>
                  <w:vAlign w:val="center"/>
                </w:tcPr>
                <w:p w14:paraId="1865BBFF">
                  <w:pPr>
                    <w:adjustRightInd w:val="0"/>
                    <w:snapToGrid w:val="0"/>
                    <w:jc w:val="center"/>
                    <w:rPr>
                      <w:b/>
                      <w:bCs/>
                      <w:color w:val="auto"/>
                      <w:szCs w:val="21"/>
                      <w:highlight w:val="none"/>
                    </w:rPr>
                  </w:pPr>
                  <w:r>
                    <w:rPr>
                      <w:b/>
                      <w:bCs/>
                      <w:color w:val="auto"/>
                      <w:szCs w:val="21"/>
                      <w:highlight w:val="none"/>
                    </w:rPr>
                    <w:t>Y</w:t>
                  </w:r>
                </w:p>
              </w:tc>
              <w:tc>
                <w:tcPr>
                  <w:tcW w:w="578" w:type="pct"/>
                  <w:vMerge w:val="continue"/>
                  <w:vAlign w:val="center"/>
                </w:tcPr>
                <w:p w14:paraId="18FDB35B">
                  <w:pPr>
                    <w:adjustRightInd w:val="0"/>
                    <w:snapToGrid w:val="0"/>
                    <w:jc w:val="center"/>
                    <w:rPr>
                      <w:b/>
                      <w:bCs/>
                      <w:color w:val="auto"/>
                      <w:szCs w:val="21"/>
                      <w:highlight w:val="none"/>
                    </w:rPr>
                  </w:pPr>
                </w:p>
              </w:tc>
              <w:tc>
                <w:tcPr>
                  <w:tcW w:w="642" w:type="pct"/>
                  <w:vAlign w:val="center"/>
                </w:tcPr>
                <w:p w14:paraId="4E2DB182">
                  <w:pPr>
                    <w:adjustRightInd w:val="0"/>
                    <w:snapToGrid w:val="0"/>
                    <w:jc w:val="center"/>
                    <w:rPr>
                      <w:b/>
                      <w:bCs/>
                      <w:color w:val="auto"/>
                      <w:szCs w:val="21"/>
                      <w:highlight w:val="none"/>
                    </w:rPr>
                  </w:pPr>
                  <w:r>
                    <w:rPr>
                      <w:b/>
                      <w:bCs/>
                      <w:color w:val="auto"/>
                      <w:szCs w:val="21"/>
                      <w:highlight w:val="none"/>
                    </w:rPr>
                    <w:t>浓度范围</w:t>
                  </w:r>
                </w:p>
              </w:tc>
              <w:tc>
                <w:tcPr>
                  <w:tcW w:w="814" w:type="pct"/>
                  <w:vAlign w:val="center"/>
                </w:tcPr>
                <w:p w14:paraId="4D8B9C63">
                  <w:pPr>
                    <w:adjustRightInd w:val="0"/>
                    <w:snapToGrid w:val="0"/>
                    <w:jc w:val="center"/>
                    <w:rPr>
                      <w:b/>
                      <w:bCs/>
                      <w:color w:val="auto"/>
                      <w:szCs w:val="21"/>
                      <w:highlight w:val="none"/>
                    </w:rPr>
                  </w:pPr>
                  <w:r>
                    <w:rPr>
                      <w:b/>
                      <w:bCs/>
                      <w:color w:val="auto"/>
                      <w:szCs w:val="21"/>
                      <w:highlight w:val="none"/>
                    </w:rPr>
                    <w:t>超标率（%）</w:t>
                  </w:r>
                </w:p>
              </w:tc>
              <w:tc>
                <w:tcPr>
                  <w:tcW w:w="1043" w:type="pct"/>
                  <w:vAlign w:val="center"/>
                </w:tcPr>
                <w:p w14:paraId="6CBC0899">
                  <w:pPr>
                    <w:adjustRightInd w:val="0"/>
                    <w:snapToGrid w:val="0"/>
                    <w:jc w:val="center"/>
                    <w:rPr>
                      <w:b/>
                      <w:bCs/>
                      <w:color w:val="auto"/>
                      <w:szCs w:val="21"/>
                      <w:highlight w:val="none"/>
                    </w:rPr>
                  </w:pPr>
                  <w:r>
                    <w:rPr>
                      <w:b/>
                      <w:bCs/>
                      <w:color w:val="auto"/>
                      <w:szCs w:val="21"/>
                      <w:highlight w:val="none"/>
                    </w:rPr>
                    <w:t>最大超标倍数（%）</w:t>
                  </w:r>
                </w:p>
              </w:tc>
            </w:tr>
            <w:tr w14:paraId="29A94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2" w:type="pct"/>
                  <w:vAlign w:val="center"/>
                </w:tcPr>
                <w:p w14:paraId="3A07F4FC">
                  <w:pPr>
                    <w:adjustRightInd w:val="0"/>
                    <w:snapToGrid w:val="0"/>
                    <w:jc w:val="center"/>
                    <w:rPr>
                      <w:snapToGrid w:val="0"/>
                      <w:color w:val="auto"/>
                      <w:kern w:val="0"/>
                      <w:szCs w:val="21"/>
                      <w:highlight w:val="none"/>
                    </w:rPr>
                  </w:pPr>
                  <w:r>
                    <w:rPr>
                      <w:rFonts w:hint="eastAsia"/>
                      <w:snapToGrid w:val="0"/>
                      <w:color w:val="auto"/>
                      <w:kern w:val="0"/>
                      <w:szCs w:val="21"/>
                      <w:highlight w:val="none"/>
                    </w:rPr>
                    <w:t>G2项目所在地（舜驱动力科技（南通）有限公司）</w:t>
                  </w:r>
                </w:p>
              </w:tc>
              <w:tc>
                <w:tcPr>
                  <w:tcW w:w="573" w:type="pct"/>
                  <w:vAlign w:val="center"/>
                </w:tcPr>
                <w:p w14:paraId="2CBE1128">
                  <w:pPr>
                    <w:adjustRightInd w:val="0"/>
                    <w:snapToGrid w:val="0"/>
                    <w:jc w:val="center"/>
                    <w:rPr>
                      <w:color w:val="auto"/>
                      <w:szCs w:val="21"/>
                      <w:highlight w:val="none"/>
                    </w:rPr>
                  </w:pPr>
                  <w:r>
                    <w:rPr>
                      <w:rFonts w:hint="eastAsia"/>
                      <w:color w:val="auto"/>
                      <w:szCs w:val="21"/>
                      <w:highlight w:val="none"/>
                    </w:rPr>
                    <w:t>121.116864</w:t>
                  </w:r>
                </w:p>
              </w:tc>
              <w:tc>
                <w:tcPr>
                  <w:tcW w:w="595" w:type="pct"/>
                  <w:vAlign w:val="center"/>
                </w:tcPr>
                <w:p w14:paraId="6806A9BF">
                  <w:pPr>
                    <w:adjustRightInd w:val="0"/>
                    <w:snapToGrid w:val="0"/>
                    <w:jc w:val="center"/>
                    <w:rPr>
                      <w:color w:val="auto"/>
                      <w:szCs w:val="21"/>
                      <w:highlight w:val="none"/>
                    </w:rPr>
                  </w:pPr>
                  <w:r>
                    <w:rPr>
                      <w:rFonts w:hint="eastAsia"/>
                      <w:color w:val="auto"/>
                      <w:szCs w:val="21"/>
                      <w:highlight w:val="none"/>
                    </w:rPr>
                    <w:t>31.843991</w:t>
                  </w:r>
                </w:p>
              </w:tc>
              <w:tc>
                <w:tcPr>
                  <w:tcW w:w="578" w:type="pct"/>
                  <w:vAlign w:val="center"/>
                </w:tcPr>
                <w:p w14:paraId="7DA34414">
                  <w:pPr>
                    <w:adjustRightInd w:val="0"/>
                    <w:snapToGrid w:val="0"/>
                    <w:jc w:val="center"/>
                    <w:rPr>
                      <w:color w:val="auto"/>
                      <w:szCs w:val="21"/>
                      <w:highlight w:val="none"/>
                    </w:rPr>
                  </w:pPr>
                  <w:r>
                    <w:rPr>
                      <w:rFonts w:hint="eastAsia"/>
                      <w:color w:val="auto"/>
                      <w:szCs w:val="21"/>
                      <w:highlight w:val="none"/>
                    </w:rPr>
                    <w:t>TSP</w:t>
                  </w:r>
                </w:p>
              </w:tc>
              <w:tc>
                <w:tcPr>
                  <w:tcW w:w="642" w:type="pct"/>
                  <w:vAlign w:val="center"/>
                </w:tcPr>
                <w:p w14:paraId="51ED20EE">
                  <w:pPr>
                    <w:adjustRightInd w:val="0"/>
                    <w:snapToGrid w:val="0"/>
                    <w:jc w:val="center"/>
                    <w:rPr>
                      <w:color w:val="auto"/>
                      <w:szCs w:val="21"/>
                      <w:highlight w:val="none"/>
                    </w:rPr>
                  </w:pPr>
                  <w:r>
                    <w:rPr>
                      <w:rFonts w:hint="eastAsia"/>
                      <w:color w:val="auto"/>
                      <w:szCs w:val="21"/>
                      <w:highlight w:val="none"/>
                    </w:rPr>
                    <w:t>0.183~0.217</w:t>
                  </w:r>
                </w:p>
              </w:tc>
              <w:tc>
                <w:tcPr>
                  <w:tcW w:w="814" w:type="pct"/>
                  <w:vAlign w:val="center"/>
                </w:tcPr>
                <w:p w14:paraId="565FB028">
                  <w:pPr>
                    <w:adjustRightInd w:val="0"/>
                    <w:snapToGrid w:val="0"/>
                    <w:jc w:val="center"/>
                    <w:rPr>
                      <w:color w:val="auto"/>
                      <w:szCs w:val="21"/>
                      <w:highlight w:val="none"/>
                    </w:rPr>
                  </w:pPr>
                  <w:r>
                    <w:rPr>
                      <w:rFonts w:hint="eastAsia"/>
                      <w:color w:val="auto"/>
                      <w:szCs w:val="21"/>
                      <w:highlight w:val="none"/>
                    </w:rPr>
                    <w:t>0</w:t>
                  </w:r>
                </w:p>
              </w:tc>
              <w:tc>
                <w:tcPr>
                  <w:tcW w:w="1043" w:type="pct"/>
                  <w:vAlign w:val="center"/>
                </w:tcPr>
                <w:p w14:paraId="6A5946AB">
                  <w:pPr>
                    <w:adjustRightInd w:val="0"/>
                    <w:snapToGrid w:val="0"/>
                    <w:jc w:val="center"/>
                    <w:rPr>
                      <w:color w:val="auto"/>
                      <w:szCs w:val="21"/>
                      <w:highlight w:val="none"/>
                    </w:rPr>
                  </w:pPr>
                  <w:r>
                    <w:rPr>
                      <w:rFonts w:hint="eastAsia"/>
                      <w:color w:val="auto"/>
                      <w:szCs w:val="21"/>
                      <w:highlight w:val="none"/>
                    </w:rPr>
                    <w:t>0</w:t>
                  </w:r>
                </w:p>
              </w:tc>
            </w:tr>
          </w:tbl>
          <w:p w14:paraId="489C9B23">
            <w:pPr>
              <w:adjustRightInd w:val="0"/>
              <w:snapToGrid w:val="0"/>
              <w:spacing w:line="360" w:lineRule="auto"/>
              <w:ind w:firstLine="480" w:firstLineChars="200"/>
              <w:rPr>
                <w:color w:val="auto"/>
                <w:sz w:val="24"/>
                <w:highlight w:val="none"/>
              </w:rPr>
            </w:pPr>
            <w:r>
              <w:rPr>
                <w:rFonts w:hAnsi="宋体"/>
                <w:color w:val="auto"/>
                <w:sz w:val="24"/>
                <w:highlight w:val="none"/>
              </w:rPr>
              <w:t>由</w:t>
            </w:r>
            <w:r>
              <w:rPr>
                <w:rFonts w:hint="eastAsia" w:hAnsi="宋体"/>
                <w:color w:val="auto"/>
                <w:sz w:val="24"/>
                <w:highlight w:val="none"/>
              </w:rPr>
              <w:t>上</w:t>
            </w:r>
            <w:r>
              <w:rPr>
                <w:rFonts w:hAnsi="宋体"/>
                <w:color w:val="auto"/>
                <w:sz w:val="24"/>
                <w:highlight w:val="none"/>
              </w:rPr>
              <w:t>表结果可知，建设项目所在区域环境质量空气中非甲烷总烃满足《大气污染物综合排放标准详解》要</w:t>
            </w:r>
            <w:r>
              <w:rPr>
                <w:color w:val="auto"/>
                <w:sz w:val="24"/>
                <w:highlight w:val="none"/>
              </w:rPr>
              <w:t>求，TSP日均浓度满足《环境空气质量标准》（GB3095-2012）表2中二级标准。</w:t>
            </w:r>
          </w:p>
          <w:p w14:paraId="77B1D5B0">
            <w:pPr>
              <w:adjustRightInd w:val="0"/>
              <w:snapToGrid w:val="0"/>
              <w:spacing w:line="360" w:lineRule="auto"/>
              <w:ind w:firstLine="482" w:firstLineChars="200"/>
              <w:jc w:val="left"/>
              <w:rPr>
                <w:b/>
                <w:color w:val="auto"/>
                <w:kern w:val="0"/>
                <w:sz w:val="24"/>
                <w:highlight w:val="none"/>
              </w:rPr>
            </w:pPr>
            <w:r>
              <w:rPr>
                <w:b/>
                <w:color w:val="auto"/>
                <w:kern w:val="0"/>
                <w:sz w:val="24"/>
                <w:highlight w:val="none"/>
              </w:rPr>
              <w:t>2.</w:t>
            </w:r>
            <w:r>
              <w:rPr>
                <w:rFonts w:hAnsi="宋体"/>
                <w:b/>
                <w:bCs/>
                <w:color w:val="auto"/>
                <w:kern w:val="0"/>
                <w:sz w:val="24"/>
                <w:highlight w:val="none"/>
              </w:rPr>
              <w:t>地表水环境</w:t>
            </w:r>
          </w:p>
          <w:p w14:paraId="25DFA590">
            <w:pPr>
              <w:adjustRightInd w:val="0"/>
              <w:snapToGrid w:val="0"/>
              <w:spacing w:line="360" w:lineRule="auto"/>
              <w:ind w:firstLine="480" w:firstLineChars="200"/>
              <w:rPr>
                <w:color w:val="auto"/>
                <w:sz w:val="24"/>
                <w:highlight w:val="none"/>
              </w:rPr>
            </w:pPr>
            <w:r>
              <w:rPr>
                <w:rFonts w:hAnsi="宋体"/>
                <w:snapToGrid w:val="0"/>
                <w:color w:val="auto"/>
                <w:kern w:val="0"/>
                <w:sz w:val="24"/>
                <w:highlight w:val="none"/>
              </w:rPr>
              <w:t>根据《江苏省地表水（环境）功能区划》（江苏省水利厅、江苏省环保厅，</w:t>
            </w:r>
            <w:r>
              <w:rPr>
                <w:snapToGrid w:val="0"/>
                <w:color w:val="auto"/>
                <w:kern w:val="0"/>
                <w:sz w:val="24"/>
                <w:highlight w:val="none"/>
              </w:rPr>
              <w:t>2003</w:t>
            </w:r>
            <w:r>
              <w:rPr>
                <w:rFonts w:hAnsi="宋体"/>
                <w:snapToGrid w:val="0"/>
                <w:color w:val="auto"/>
                <w:kern w:val="0"/>
                <w:sz w:val="24"/>
                <w:highlight w:val="none"/>
              </w:rPr>
              <w:t>年</w:t>
            </w:r>
            <w:r>
              <w:rPr>
                <w:snapToGrid w:val="0"/>
                <w:color w:val="auto"/>
                <w:kern w:val="0"/>
                <w:sz w:val="24"/>
                <w:highlight w:val="none"/>
              </w:rPr>
              <w:t>3</w:t>
            </w:r>
            <w:r>
              <w:rPr>
                <w:rFonts w:hAnsi="宋体"/>
                <w:snapToGrid w:val="0"/>
                <w:color w:val="auto"/>
                <w:kern w:val="0"/>
                <w:sz w:val="24"/>
                <w:highlight w:val="none"/>
              </w:rPr>
              <w:t>月），</w:t>
            </w:r>
            <w:r>
              <w:rPr>
                <w:rFonts w:hint="eastAsia" w:hAnsi="宋体"/>
                <w:snapToGrid w:val="0"/>
                <w:color w:val="auto"/>
                <w:kern w:val="0"/>
                <w:sz w:val="24"/>
                <w:highlight w:val="none"/>
              </w:rPr>
              <w:t>长江</w:t>
            </w:r>
            <w:r>
              <w:rPr>
                <w:rFonts w:hAnsi="宋体"/>
                <w:snapToGrid w:val="0"/>
                <w:color w:val="auto"/>
                <w:kern w:val="0"/>
                <w:sz w:val="24"/>
                <w:highlight w:val="none"/>
              </w:rPr>
              <w:t>执行</w:t>
            </w:r>
            <w:r>
              <w:rPr>
                <w:rFonts w:ascii="宋体" w:hAnsi="宋体"/>
                <w:snapToGrid w:val="0"/>
                <w:color w:val="auto"/>
                <w:kern w:val="0"/>
                <w:sz w:val="24"/>
                <w:highlight w:val="none"/>
              </w:rPr>
              <w:t>Ⅲ</w:t>
            </w:r>
            <w:r>
              <w:rPr>
                <w:rFonts w:hAnsi="宋体"/>
                <w:snapToGrid w:val="0"/>
                <w:color w:val="auto"/>
                <w:kern w:val="0"/>
                <w:sz w:val="24"/>
                <w:highlight w:val="none"/>
              </w:rPr>
              <w:t>类水质标准。</w:t>
            </w:r>
            <w:r>
              <w:rPr>
                <w:rFonts w:ascii="宋体" w:hAnsi="宋体"/>
                <w:snapToGrid w:val="0"/>
                <w:color w:val="auto"/>
                <w:kern w:val="0"/>
                <w:sz w:val="24"/>
                <w:highlight w:val="none"/>
              </w:rPr>
              <w:t>本项目废水经过海门东洲水处理有限公司集中处理后，最终排入</w:t>
            </w:r>
            <w:r>
              <w:rPr>
                <w:rFonts w:hint="eastAsia" w:ascii="宋体" w:hAnsi="宋体"/>
                <w:snapToGrid w:val="0"/>
                <w:color w:val="auto"/>
                <w:kern w:val="0"/>
                <w:sz w:val="24"/>
                <w:highlight w:val="none"/>
              </w:rPr>
              <w:t>长江</w:t>
            </w:r>
            <w:r>
              <w:rPr>
                <w:rFonts w:ascii="宋体" w:hAnsi="宋体"/>
                <w:snapToGrid w:val="0"/>
                <w:color w:val="auto"/>
                <w:kern w:val="0"/>
                <w:sz w:val="24"/>
                <w:highlight w:val="none"/>
              </w:rPr>
              <w:t>。</w:t>
            </w:r>
            <w:r>
              <w:rPr>
                <w:rFonts w:hAnsi="宋体"/>
                <w:color w:val="auto"/>
                <w:sz w:val="24"/>
                <w:highlight w:val="none"/>
              </w:rPr>
              <w:t>根据《南通市环境质量公报》（</w:t>
            </w:r>
            <w:r>
              <w:rPr>
                <w:color w:val="auto"/>
                <w:sz w:val="24"/>
                <w:highlight w:val="none"/>
              </w:rPr>
              <w:t>2020</w:t>
            </w:r>
            <w:r>
              <w:rPr>
                <w:rFonts w:hAnsi="宋体"/>
                <w:color w:val="auto"/>
                <w:sz w:val="24"/>
                <w:highlight w:val="none"/>
              </w:rPr>
              <w:t>），</w:t>
            </w:r>
            <w:r>
              <w:rPr>
                <w:rFonts w:hint="eastAsia" w:hAnsi="宋体"/>
                <w:color w:val="auto"/>
                <w:sz w:val="24"/>
                <w:highlight w:val="none"/>
              </w:rPr>
              <w:t>长江（南通段）水质达到Ⅱ类，水质优良。</w:t>
            </w:r>
          </w:p>
          <w:p w14:paraId="31444E4E">
            <w:pPr>
              <w:adjustRightInd w:val="0"/>
              <w:snapToGrid w:val="0"/>
              <w:spacing w:line="360" w:lineRule="auto"/>
              <w:ind w:firstLine="482" w:firstLineChars="200"/>
              <w:jc w:val="left"/>
              <w:rPr>
                <w:b/>
                <w:color w:val="auto"/>
                <w:kern w:val="0"/>
                <w:sz w:val="24"/>
                <w:highlight w:val="none"/>
              </w:rPr>
            </w:pPr>
            <w:r>
              <w:rPr>
                <w:b/>
                <w:color w:val="auto"/>
                <w:kern w:val="0"/>
                <w:sz w:val="24"/>
                <w:highlight w:val="none"/>
              </w:rPr>
              <w:t>3.</w:t>
            </w:r>
            <w:r>
              <w:rPr>
                <w:rFonts w:hAnsi="宋体"/>
                <w:b/>
                <w:bCs/>
                <w:color w:val="auto"/>
                <w:kern w:val="0"/>
                <w:sz w:val="24"/>
                <w:highlight w:val="none"/>
              </w:rPr>
              <w:t>声环境</w:t>
            </w:r>
          </w:p>
          <w:p w14:paraId="17DF2241">
            <w:pPr>
              <w:pStyle w:val="99"/>
              <w:snapToGrid w:val="0"/>
              <w:spacing w:line="360" w:lineRule="auto"/>
              <w:ind w:firstLine="480"/>
              <w:rPr>
                <w:color w:val="auto"/>
                <w:sz w:val="24"/>
                <w:highlight w:val="none"/>
                <w:lang w:val="zh-CN"/>
              </w:rPr>
            </w:pPr>
            <w:r>
              <w:rPr>
                <w:rFonts w:hint="eastAsia"/>
                <w:color w:val="auto"/>
                <w:sz w:val="24"/>
                <w:highlight w:val="none"/>
                <w:lang w:val="zh-CN"/>
              </w:rPr>
              <w:t>根据编制指南，项目周围50m范围内无敏感目标则无需现状监测</w:t>
            </w:r>
            <w:r>
              <w:rPr>
                <w:rFonts w:hint="eastAsia"/>
                <w:color w:val="auto"/>
                <w:sz w:val="24"/>
                <w:highlight w:val="none"/>
                <w:lang w:eastAsia="zh-Hans"/>
              </w:rPr>
              <w:t>。</w:t>
            </w:r>
            <w:r>
              <w:rPr>
                <w:color w:val="auto"/>
                <w:sz w:val="24"/>
                <w:highlight w:val="none"/>
              </w:rPr>
              <w:t>项目所在地为声功能区划中的3类区。根据《</w:t>
            </w:r>
            <w:r>
              <w:rPr>
                <w:rFonts w:hint="eastAsia"/>
                <w:color w:val="auto"/>
                <w:sz w:val="24"/>
                <w:highlight w:val="none"/>
              </w:rPr>
              <w:t>南通市生态环境状况公报</w:t>
            </w:r>
            <w:r>
              <w:rPr>
                <w:color w:val="auto"/>
                <w:sz w:val="24"/>
                <w:highlight w:val="none"/>
              </w:rPr>
              <w:t>》</w:t>
            </w:r>
            <w:r>
              <w:rPr>
                <w:rFonts w:hint="eastAsia"/>
                <w:color w:val="auto"/>
                <w:sz w:val="24"/>
                <w:highlight w:val="none"/>
              </w:rPr>
              <w:t>（2020年）</w:t>
            </w:r>
            <w:r>
              <w:rPr>
                <w:color w:val="auto"/>
                <w:sz w:val="24"/>
                <w:highlight w:val="none"/>
              </w:rPr>
              <w:t>：</w:t>
            </w:r>
            <w:r>
              <w:rPr>
                <w:rFonts w:hint="eastAsia"/>
                <w:color w:val="auto"/>
                <w:sz w:val="24"/>
                <w:highlight w:val="none"/>
              </w:rPr>
              <w:t>海门区城镇区域声环境平均等效声级别值</w:t>
            </w:r>
            <w:r>
              <w:rPr>
                <w:color w:val="auto"/>
                <w:sz w:val="24"/>
                <w:highlight w:val="none"/>
              </w:rPr>
              <w:t>55.7</w:t>
            </w:r>
            <w:r>
              <w:rPr>
                <w:rFonts w:hint="eastAsia"/>
                <w:color w:val="auto"/>
                <w:sz w:val="24"/>
                <w:highlight w:val="none"/>
              </w:rPr>
              <w:t>分贝</w:t>
            </w:r>
            <w:r>
              <w:rPr>
                <w:color w:val="auto"/>
                <w:sz w:val="24"/>
                <w:highlight w:val="none"/>
              </w:rPr>
              <w:t>，3类功能区（工业区）声环境质量现状满足《声环境质量标准》（GB3096</w:t>
            </w:r>
            <w:r>
              <w:rPr>
                <w:rFonts w:hint="eastAsia"/>
                <w:color w:val="auto"/>
                <w:sz w:val="24"/>
                <w:highlight w:val="none"/>
              </w:rPr>
              <w:t>-</w:t>
            </w:r>
            <w:r>
              <w:rPr>
                <w:color w:val="auto"/>
                <w:sz w:val="24"/>
                <w:highlight w:val="none"/>
              </w:rPr>
              <w:t>2008）3类标准值，满足该区域噪声功能区划要求</w:t>
            </w:r>
            <w:r>
              <w:rPr>
                <w:rFonts w:hint="eastAsia"/>
                <w:color w:val="auto"/>
                <w:sz w:val="24"/>
                <w:highlight w:val="none"/>
                <w:lang w:eastAsia="zh-Hans"/>
              </w:rPr>
              <w:t>。</w:t>
            </w:r>
          </w:p>
          <w:p w14:paraId="5C988CCB">
            <w:pPr>
              <w:numPr>
                <w:ilvl w:val="0"/>
                <w:numId w:val="9"/>
              </w:numPr>
              <w:adjustRightInd w:val="0"/>
              <w:snapToGrid w:val="0"/>
              <w:spacing w:line="360" w:lineRule="auto"/>
              <w:ind w:firstLine="482" w:firstLineChars="200"/>
              <w:rPr>
                <w:b/>
                <w:color w:val="auto"/>
                <w:kern w:val="0"/>
                <w:sz w:val="24"/>
                <w:highlight w:val="none"/>
                <w:lang w:eastAsia="zh-Hans"/>
              </w:rPr>
            </w:pPr>
            <w:r>
              <w:rPr>
                <w:rFonts w:hint="eastAsia"/>
                <w:b/>
                <w:color w:val="auto"/>
                <w:kern w:val="0"/>
                <w:sz w:val="24"/>
                <w:highlight w:val="none"/>
                <w:lang w:eastAsia="zh-Hans"/>
              </w:rPr>
              <w:t>生态环境</w:t>
            </w:r>
          </w:p>
          <w:p w14:paraId="39308923">
            <w:pPr>
              <w:pStyle w:val="99"/>
              <w:snapToGrid w:val="0"/>
              <w:spacing w:line="360" w:lineRule="auto"/>
              <w:ind w:firstLine="480"/>
              <w:rPr>
                <w:color w:val="auto"/>
                <w:sz w:val="24"/>
                <w:highlight w:val="none"/>
              </w:rPr>
            </w:pPr>
            <w:r>
              <w:rPr>
                <w:color w:val="auto"/>
                <w:sz w:val="24"/>
                <w:highlight w:val="none"/>
              </w:rPr>
              <w:t>建设项目</w:t>
            </w:r>
            <w:r>
              <w:rPr>
                <w:rFonts w:hint="eastAsia"/>
                <w:color w:val="auto"/>
                <w:sz w:val="24"/>
                <w:highlight w:val="none"/>
                <w:lang w:eastAsia="zh-Hans"/>
              </w:rPr>
              <w:t>位于海门经济技术开发区内</w:t>
            </w:r>
            <w:r>
              <w:rPr>
                <w:color w:val="auto"/>
                <w:sz w:val="24"/>
                <w:highlight w:val="none"/>
              </w:rPr>
              <w:t>，用地范围内无生态环境保护目标。</w:t>
            </w:r>
          </w:p>
          <w:p w14:paraId="767057B0">
            <w:pPr>
              <w:numPr>
                <w:ilvl w:val="0"/>
                <w:numId w:val="9"/>
              </w:numPr>
              <w:adjustRightInd w:val="0"/>
              <w:snapToGrid w:val="0"/>
              <w:spacing w:line="360" w:lineRule="auto"/>
              <w:ind w:firstLine="482" w:firstLineChars="200"/>
              <w:rPr>
                <w:b/>
                <w:color w:val="auto"/>
                <w:kern w:val="0"/>
                <w:sz w:val="24"/>
                <w:highlight w:val="none"/>
                <w:lang w:eastAsia="zh-Hans"/>
              </w:rPr>
            </w:pPr>
            <w:r>
              <w:rPr>
                <w:rFonts w:hint="eastAsia"/>
                <w:b/>
                <w:color w:val="auto"/>
                <w:kern w:val="0"/>
                <w:sz w:val="24"/>
                <w:highlight w:val="none"/>
                <w:lang w:eastAsia="zh-Hans"/>
              </w:rPr>
              <w:t xml:space="preserve">电磁辐射 </w:t>
            </w:r>
          </w:p>
          <w:p w14:paraId="3914386E">
            <w:pPr>
              <w:pStyle w:val="99"/>
              <w:snapToGrid w:val="0"/>
              <w:spacing w:line="360" w:lineRule="auto"/>
              <w:ind w:firstLine="480"/>
              <w:rPr>
                <w:color w:val="auto"/>
                <w:sz w:val="24"/>
                <w:highlight w:val="none"/>
              </w:rPr>
            </w:pPr>
            <w:r>
              <w:rPr>
                <w:color w:val="auto"/>
                <w:sz w:val="24"/>
                <w:highlight w:val="none"/>
              </w:rPr>
              <w:t>本项目不涉及电磁辐射，不开展电磁辐射现状监测与评价。</w:t>
            </w:r>
          </w:p>
          <w:p w14:paraId="00396798">
            <w:pPr>
              <w:numPr>
                <w:ilvl w:val="0"/>
                <w:numId w:val="9"/>
              </w:numPr>
              <w:adjustRightInd w:val="0"/>
              <w:snapToGrid w:val="0"/>
              <w:spacing w:line="360" w:lineRule="auto"/>
              <w:ind w:firstLine="482" w:firstLineChars="200"/>
              <w:rPr>
                <w:b/>
                <w:color w:val="auto"/>
                <w:kern w:val="0"/>
                <w:sz w:val="24"/>
                <w:highlight w:val="none"/>
                <w:lang w:eastAsia="zh-Hans"/>
              </w:rPr>
            </w:pPr>
            <w:r>
              <w:rPr>
                <w:rFonts w:hint="eastAsia"/>
                <w:b/>
                <w:color w:val="auto"/>
                <w:kern w:val="0"/>
                <w:sz w:val="24"/>
                <w:highlight w:val="none"/>
                <w:lang w:eastAsia="zh-Hans"/>
              </w:rPr>
              <w:t xml:space="preserve">地下水环境 </w:t>
            </w:r>
          </w:p>
          <w:p w14:paraId="5B425CD1">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厂界外 500 米范围内无地下水集中式饮用水水源和热水、矿泉水、温泉等特殊地下水资源。</w:t>
            </w:r>
          </w:p>
          <w:p w14:paraId="03D59EBF">
            <w:pPr>
              <w:numPr>
                <w:ilvl w:val="0"/>
                <w:numId w:val="9"/>
              </w:numPr>
              <w:adjustRightInd w:val="0"/>
              <w:snapToGrid w:val="0"/>
              <w:spacing w:line="360" w:lineRule="auto"/>
              <w:ind w:firstLine="482" w:firstLineChars="200"/>
              <w:rPr>
                <w:b/>
                <w:color w:val="auto"/>
                <w:kern w:val="0"/>
                <w:sz w:val="24"/>
                <w:highlight w:val="none"/>
              </w:rPr>
            </w:pPr>
            <w:r>
              <w:rPr>
                <w:rFonts w:hint="eastAsia"/>
                <w:b/>
                <w:color w:val="auto"/>
                <w:kern w:val="0"/>
                <w:sz w:val="24"/>
                <w:highlight w:val="none"/>
              </w:rPr>
              <w:t>土壤环境</w:t>
            </w:r>
          </w:p>
          <w:p w14:paraId="287B0179">
            <w:pPr>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rPr>
              <w:t>土壤环境污染途径包括大气沉降、地面漫流、垂直入渗。本项目原料仓库、生产区域等均做好防腐防渗和放泄漏措施，正常情况下不存在地面漫流的情况和垂直入渗的污染途径，仅防腐防渗措施失效时泄漏事故状态下会有少量泄漏。本项目大气污染物包括颗粒物和挥发性有机废气（VOCs），颗粒物由焊接工序产生，经收集处理后 达标排放，对土壤环境污染较小。挥发性有机废气为气态物质，大部分在大气环境中扩散和分解，故本项目对周围土壤环境产生的污染较小。因此本报告不开展土壤环境现状监测调查工作</w:t>
            </w:r>
            <w:r>
              <w:rPr>
                <w:color w:val="auto"/>
                <w:kern w:val="0"/>
                <w:sz w:val="24"/>
                <w:highlight w:val="none"/>
              </w:rPr>
              <w:t>。</w:t>
            </w:r>
          </w:p>
          <w:p w14:paraId="77769DFC">
            <w:pPr>
              <w:adjustRightInd w:val="0"/>
              <w:snapToGrid w:val="0"/>
              <w:spacing w:line="360" w:lineRule="auto"/>
              <w:ind w:firstLine="480" w:firstLineChars="200"/>
              <w:jc w:val="left"/>
              <w:rPr>
                <w:color w:val="auto"/>
                <w:kern w:val="0"/>
                <w:sz w:val="24"/>
                <w:highlight w:val="none"/>
              </w:rPr>
            </w:pPr>
          </w:p>
          <w:p w14:paraId="7BD27C21">
            <w:pPr>
              <w:adjustRightInd w:val="0"/>
              <w:snapToGrid w:val="0"/>
              <w:spacing w:line="360" w:lineRule="auto"/>
              <w:ind w:firstLine="480" w:firstLineChars="200"/>
              <w:jc w:val="left"/>
              <w:rPr>
                <w:color w:val="auto"/>
                <w:kern w:val="0"/>
                <w:sz w:val="24"/>
                <w:highlight w:val="none"/>
              </w:rPr>
            </w:pPr>
          </w:p>
          <w:p w14:paraId="056C6299">
            <w:pPr>
              <w:adjustRightInd w:val="0"/>
              <w:snapToGrid w:val="0"/>
              <w:spacing w:line="360" w:lineRule="auto"/>
              <w:ind w:firstLine="480" w:firstLineChars="200"/>
              <w:jc w:val="left"/>
              <w:rPr>
                <w:color w:val="auto"/>
                <w:kern w:val="0"/>
                <w:sz w:val="24"/>
                <w:highlight w:val="none"/>
              </w:rPr>
            </w:pPr>
          </w:p>
          <w:p w14:paraId="0D556F92">
            <w:pPr>
              <w:adjustRightInd w:val="0"/>
              <w:snapToGrid w:val="0"/>
              <w:spacing w:line="360" w:lineRule="auto"/>
              <w:ind w:firstLine="480" w:firstLineChars="200"/>
              <w:jc w:val="left"/>
              <w:rPr>
                <w:color w:val="auto"/>
                <w:kern w:val="0"/>
                <w:sz w:val="24"/>
                <w:highlight w:val="none"/>
              </w:rPr>
            </w:pPr>
          </w:p>
          <w:p w14:paraId="39BAD558">
            <w:pPr>
              <w:adjustRightInd w:val="0"/>
              <w:snapToGrid w:val="0"/>
              <w:spacing w:line="360" w:lineRule="auto"/>
              <w:ind w:firstLine="480" w:firstLineChars="200"/>
              <w:jc w:val="left"/>
              <w:rPr>
                <w:color w:val="auto"/>
                <w:kern w:val="0"/>
                <w:sz w:val="24"/>
                <w:highlight w:val="none"/>
              </w:rPr>
            </w:pPr>
          </w:p>
          <w:p w14:paraId="48E5B450">
            <w:pPr>
              <w:adjustRightInd w:val="0"/>
              <w:snapToGrid w:val="0"/>
              <w:spacing w:line="360" w:lineRule="auto"/>
              <w:ind w:firstLine="480" w:firstLineChars="200"/>
              <w:jc w:val="left"/>
              <w:rPr>
                <w:color w:val="auto"/>
                <w:kern w:val="0"/>
                <w:sz w:val="24"/>
                <w:highlight w:val="none"/>
              </w:rPr>
            </w:pPr>
          </w:p>
          <w:p w14:paraId="6B18F6D7">
            <w:pPr>
              <w:adjustRightInd w:val="0"/>
              <w:snapToGrid w:val="0"/>
              <w:spacing w:line="360" w:lineRule="auto"/>
              <w:ind w:firstLine="480" w:firstLineChars="200"/>
              <w:jc w:val="left"/>
              <w:rPr>
                <w:color w:val="auto"/>
                <w:kern w:val="0"/>
                <w:sz w:val="24"/>
                <w:highlight w:val="none"/>
              </w:rPr>
            </w:pPr>
          </w:p>
          <w:p w14:paraId="16BFA01C">
            <w:pPr>
              <w:adjustRightInd w:val="0"/>
              <w:snapToGrid w:val="0"/>
              <w:spacing w:line="360" w:lineRule="auto"/>
              <w:ind w:firstLine="480" w:firstLineChars="200"/>
              <w:jc w:val="left"/>
              <w:rPr>
                <w:color w:val="auto"/>
                <w:kern w:val="0"/>
                <w:sz w:val="24"/>
                <w:highlight w:val="none"/>
              </w:rPr>
            </w:pPr>
          </w:p>
          <w:p w14:paraId="6C5A4D47">
            <w:pPr>
              <w:adjustRightInd w:val="0"/>
              <w:snapToGrid w:val="0"/>
              <w:spacing w:line="360" w:lineRule="auto"/>
              <w:ind w:firstLine="480" w:firstLineChars="200"/>
              <w:jc w:val="left"/>
              <w:rPr>
                <w:color w:val="auto"/>
                <w:kern w:val="0"/>
                <w:sz w:val="24"/>
                <w:highlight w:val="none"/>
              </w:rPr>
            </w:pPr>
          </w:p>
          <w:p w14:paraId="686B04F9">
            <w:pPr>
              <w:adjustRightInd w:val="0"/>
              <w:snapToGrid w:val="0"/>
              <w:spacing w:line="360" w:lineRule="auto"/>
              <w:ind w:firstLine="480" w:firstLineChars="200"/>
              <w:jc w:val="left"/>
              <w:rPr>
                <w:color w:val="auto"/>
                <w:kern w:val="0"/>
                <w:sz w:val="24"/>
                <w:highlight w:val="none"/>
              </w:rPr>
            </w:pPr>
          </w:p>
          <w:p w14:paraId="22F93979">
            <w:pPr>
              <w:adjustRightInd w:val="0"/>
              <w:snapToGrid w:val="0"/>
              <w:spacing w:line="360" w:lineRule="auto"/>
              <w:ind w:firstLine="480" w:firstLineChars="200"/>
              <w:jc w:val="left"/>
              <w:rPr>
                <w:color w:val="auto"/>
                <w:kern w:val="0"/>
                <w:sz w:val="24"/>
                <w:highlight w:val="none"/>
              </w:rPr>
            </w:pPr>
          </w:p>
          <w:p w14:paraId="0E7DAD17">
            <w:pPr>
              <w:adjustRightInd w:val="0"/>
              <w:snapToGrid w:val="0"/>
              <w:spacing w:line="360" w:lineRule="auto"/>
              <w:ind w:firstLine="480" w:firstLineChars="200"/>
              <w:jc w:val="left"/>
              <w:rPr>
                <w:color w:val="auto"/>
                <w:kern w:val="0"/>
                <w:sz w:val="24"/>
                <w:highlight w:val="none"/>
              </w:rPr>
            </w:pPr>
          </w:p>
          <w:p w14:paraId="5EF281D3">
            <w:pPr>
              <w:adjustRightInd w:val="0"/>
              <w:snapToGrid w:val="0"/>
              <w:spacing w:line="360" w:lineRule="auto"/>
              <w:ind w:firstLine="480" w:firstLineChars="200"/>
              <w:jc w:val="left"/>
              <w:rPr>
                <w:color w:val="auto"/>
                <w:kern w:val="0"/>
                <w:sz w:val="24"/>
                <w:highlight w:val="none"/>
              </w:rPr>
            </w:pPr>
          </w:p>
          <w:p w14:paraId="34DE497E">
            <w:pPr>
              <w:adjustRightInd w:val="0"/>
              <w:snapToGrid w:val="0"/>
              <w:spacing w:line="360" w:lineRule="auto"/>
              <w:ind w:firstLine="480" w:firstLineChars="200"/>
              <w:jc w:val="left"/>
              <w:rPr>
                <w:color w:val="auto"/>
                <w:kern w:val="0"/>
                <w:sz w:val="24"/>
                <w:highlight w:val="none"/>
              </w:rPr>
            </w:pPr>
          </w:p>
          <w:p w14:paraId="0BC55B15">
            <w:pPr>
              <w:adjustRightInd w:val="0"/>
              <w:snapToGrid w:val="0"/>
              <w:spacing w:line="360" w:lineRule="auto"/>
              <w:ind w:firstLine="480" w:firstLineChars="200"/>
              <w:jc w:val="left"/>
              <w:rPr>
                <w:color w:val="auto"/>
                <w:kern w:val="0"/>
                <w:sz w:val="24"/>
                <w:highlight w:val="none"/>
              </w:rPr>
            </w:pPr>
          </w:p>
          <w:p w14:paraId="062D8AB8">
            <w:pPr>
              <w:adjustRightInd w:val="0"/>
              <w:snapToGrid w:val="0"/>
              <w:spacing w:line="360" w:lineRule="auto"/>
              <w:ind w:firstLine="480" w:firstLineChars="200"/>
              <w:jc w:val="left"/>
              <w:rPr>
                <w:color w:val="auto"/>
                <w:kern w:val="0"/>
                <w:sz w:val="24"/>
                <w:highlight w:val="none"/>
              </w:rPr>
            </w:pPr>
          </w:p>
          <w:p w14:paraId="665C7C2E">
            <w:pPr>
              <w:adjustRightInd w:val="0"/>
              <w:snapToGrid w:val="0"/>
              <w:spacing w:line="360" w:lineRule="auto"/>
              <w:jc w:val="left"/>
              <w:rPr>
                <w:color w:val="auto"/>
                <w:szCs w:val="21"/>
                <w:highlight w:val="none"/>
              </w:rPr>
            </w:pPr>
          </w:p>
        </w:tc>
      </w:tr>
      <w:tr w14:paraId="5A7A8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9" w:hRule="atLeast"/>
          <w:jc w:val="center"/>
        </w:trPr>
        <w:tc>
          <w:tcPr>
            <w:tcW w:w="395" w:type="pct"/>
            <w:vAlign w:val="center"/>
          </w:tcPr>
          <w:p w14:paraId="06B21D90">
            <w:pPr>
              <w:adjustRightInd w:val="0"/>
              <w:snapToGrid w:val="0"/>
              <w:jc w:val="center"/>
              <w:rPr>
                <w:color w:val="auto"/>
                <w:kern w:val="0"/>
                <w:szCs w:val="21"/>
                <w:highlight w:val="none"/>
              </w:rPr>
            </w:pPr>
            <w:r>
              <w:rPr>
                <w:rFonts w:hAnsi="宋体"/>
                <w:color w:val="auto"/>
                <w:kern w:val="0"/>
                <w:sz w:val="24"/>
                <w:highlight w:val="none"/>
              </w:rPr>
              <w:t>环境保护目标</w:t>
            </w:r>
          </w:p>
        </w:tc>
        <w:tc>
          <w:tcPr>
            <w:tcW w:w="4604" w:type="pct"/>
          </w:tcPr>
          <w:p w14:paraId="20E8B4F1">
            <w:pPr>
              <w:adjustRightInd w:val="0"/>
              <w:snapToGrid w:val="0"/>
              <w:spacing w:line="360" w:lineRule="auto"/>
              <w:ind w:left="420" w:leftChars="200"/>
              <w:rPr>
                <w:rFonts w:hAnsi="宋体"/>
                <w:b/>
                <w:bCs/>
                <w:color w:val="auto"/>
                <w:sz w:val="24"/>
                <w:highlight w:val="none"/>
              </w:rPr>
            </w:pPr>
            <w:r>
              <w:rPr>
                <w:rFonts w:hint="eastAsia" w:hAnsi="宋体"/>
                <w:b/>
                <w:bCs/>
                <w:color w:val="auto"/>
                <w:sz w:val="24"/>
                <w:highlight w:val="none"/>
              </w:rPr>
              <w:t>1.</w:t>
            </w:r>
            <w:r>
              <w:rPr>
                <w:rFonts w:hAnsi="宋体"/>
                <w:b/>
                <w:bCs/>
                <w:color w:val="auto"/>
                <w:sz w:val="24"/>
                <w:highlight w:val="none"/>
              </w:rPr>
              <w:t>大气环境</w:t>
            </w:r>
          </w:p>
          <w:p w14:paraId="77CF56B9">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项目位于南通市海门市滨江街道滨港大道滨港大道2699号内52号楼，根据现场勘查，项目周边</w:t>
            </w:r>
            <w:r>
              <w:rPr>
                <w:snapToGrid w:val="0"/>
                <w:color w:val="auto"/>
                <w:kern w:val="0"/>
                <w:sz w:val="24"/>
                <w:highlight w:val="none"/>
              </w:rPr>
              <w:t>500m</w:t>
            </w:r>
            <w:r>
              <w:rPr>
                <w:rFonts w:hAnsi="宋体"/>
                <w:snapToGrid w:val="0"/>
                <w:color w:val="auto"/>
                <w:kern w:val="0"/>
                <w:sz w:val="24"/>
                <w:highlight w:val="none"/>
              </w:rPr>
              <w:t>范围内大气环境保护目标见表</w:t>
            </w:r>
            <w:r>
              <w:rPr>
                <w:snapToGrid w:val="0"/>
                <w:color w:val="auto"/>
                <w:kern w:val="0"/>
                <w:sz w:val="24"/>
                <w:highlight w:val="none"/>
              </w:rPr>
              <w:t>3-</w:t>
            </w:r>
            <w:r>
              <w:rPr>
                <w:rFonts w:hint="eastAsia"/>
                <w:snapToGrid w:val="0"/>
                <w:color w:val="auto"/>
                <w:kern w:val="0"/>
                <w:sz w:val="24"/>
                <w:highlight w:val="none"/>
              </w:rPr>
              <w:t>4，项目周围环境图见附图</w:t>
            </w:r>
            <w:r>
              <w:rPr>
                <w:rFonts w:hAnsi="宋体"/>
                <w:snapToGrid w:val="0"/>
                <w:color w:val="auto"/>
                <w:kern w:val="0"/>
                <w:sz w:val="24"/>
                <w:highlight w:val="none"/>
              </w:rPr>
              <w:t>。</w:t>
            </w:r>
          </w:p>
          <w:p w14:paraId="27A97033">
            <w:pPr>
              <w:adjustRightInd w:val="0"/>
              <w:snapToGrid w:val="0"/>
              <w:jc w:val="center"/>
              <w:rPr>
                <w:b/>
                <w:snapToGrid w:val="0"/>
                <w:color w:val="auto"/>
                <w:kern w:val="0"/>
                <w:sz w:val="24"/>
                <w:highlight w:val="none"/>
              </w:rPr>
            </w:pPr>
            <w:bookmarkStart w:id="14" w:name="_Hlk45025584"/>
            <w:r>
              <w:rPr>
                <w:rFonts w:hAnsi="宋体"/>
                <w:b/>
                <w:snapToGrid w:val="0"/>
                <w:color w:val="auto"/>
                <w:kern w:val="0"/>
                <w:sz w:val="24"/>
                <w:highlight w:val="none"/>
              </w:rPr>
              <w:t>表</w:t>
            </w:r>
            <w:r>
              <w:rPr>
                <w:b/>
                <w:snapToGrid w:val="0"/>
                <w:color w:val="auto"/>
                <w:kern w:val="0"/>
                <w:sz w:val="24"/>
                <w:highlight w:val="none"/>
              </w:rPr>
              <w:t>3-</w:t>
            </w:r>
            <w:r>
              <w:rPr>
                <w:rFonts w:hint="eastAsia"/>
                <w:b/>
                <w:snapToGrid w:val="0"/>
                <w:color w:val="auto"/>
                <w:kern w:val="0"/>
                <w:sz w:val="24"/>
                <w:highlight w:val="none"/>
              </w:rPr>
              <w:t>4</w:t>
            </w:r>
            <w:r>
              <w:rPr>
                <w:b/>
                <w:snapToGrid w:val="0"/>
                <w:color w:val="auto"/>
                <w:kern w:val="0"/>
                <w:sz w:val="24"/>
                <w:highlight w:val="none"/>
              </w:rPr>
              <w:t xml:space="preserve">  </w:t>
            </w:r>
            <w:r>
              <w:rPr>
                <w:rFonts w:hAnsi="宋体"/>
                <w:b/>
                <w:snapToGrid w:val="0"/>
                <w:color w:val="auto"/>
                <w:kern w:val="0"/>
                <w:sz w:val="24"/>
                <w:highlight w:val="none"/>
              </w:rPr>
              <w:t>大气环境保护目标表</w:t>
            </w:r>
            <w:bookmarkEnd w:id="14"/>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485"/>
              <w:gridCol w:w="1180"/>
              <w:gridCol w:w="1226"/>
              <w:gridCol w:w="1199"/>
              <w:gridCol w:w="792"/>
              <w:gridCol w:w="528"/>
              <w:gridCol w:w="660"/>
              <w:gridCol w:w="1450"/>
              <w:gridCol w:w="660"/>
              <w:gridCol w:w="891"/>
            </w:tblGrid>
            <w:tr w14:paraId="3F04AA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79" w:type="dxa"/>
                  <w:vMerge w:val="restart"/>
                  <w:vAlign w:val="center"/>
                </w:tcPr>
                <w:p w14:paraId="00371C1A">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序号</w:t>
                  </w:r>
                </w:p>
              </w:tc>
              <w:tc>
                <w:tcPr>
                  <w:tcW w:w="1166" w:type="dxa"/>
                  <w:vMerge w:val="restart"/>
                  <w:vAlign w:val="center"/>
                </w:tcPr>
                <w:p w14:paraId="3891FC7F">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名称</w:t>
                  </w:r>
                </w:p>
              </w:tc>
              <w:tc>
                <w:tcPr>
                  <w:tcW w:w="2395" w:type="dxa"/>
                  <w:gridSpan w:val="2"/>
                  <w:vAlign w:val="center"/>
                </w:tcPr>
                <w:p w14:paraId="505ADC13">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坐标</w:t>
                  </w:r>
                </w:p>
              </w:tc>
              <w:tc>
                <w:tcPr>
                  <w:tcW w:w="782" w:type="dxa"/>
                  <w:vMerge w:val="restart"/>
                  <w:vAlign w:val="center"/>
                </w:tcPr>
                <w:p w14:paraId="05A1F361">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保护对象</w:t>
                  </w:r>
                </w:p>
              </w:tc>
              <w:tc>
                <w:tcPr>
                  <w:tcW w:w="522" w:type="dxa"/>
                  <w:vMerge w:val="restart"/>
                  <w:vAlign w:val="center"/>
                </w:tcPr>
                <w:p w14:paraId="213B3033">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保护内容</w:t>
                  </w:r>
                </w:p>
              </w:tc>
              <w:tc>
                <w:tcPr>
                  <w:tcW w:w="652" w:type="dxa"/>
                  <w:vMerge w:val="restart"/>
                  <w:vAlign w:val="center"/>
                </w:tcPr>
                <w:p w14:paraId="7B0E900D">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环境功能区</w:t>
                  </w:r>
                </w:p>
              </w:tc>
              <w:tc>
                <w:tcPr>
                  <w:tcW w:w="1432" w:type="dxa"/>
                  <w:vMerge w:val="restart"/>
                  <w:vAlign w:val="center"/>
                </w:tcPr>
                <w:p w14:paraId="0C2754A1">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规模</w:t>
                  </w:r>
                </w:p>
                <w:p w14:paraId="71F15C8F">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户数</w:t>
                  </w:r>
                  <w:r>
                    <w:rPr>
                      <w:rFonts w:ascii="Times New Roman" w:hAnsi="Times New Roman"/>
                      <w:b/>
                      <w:color w:val="auto"/>
                      <w:sz w:val="21"/>
                      <w:szCs w:val="21"/>
                      <w:highlight w:val="none"/>
                    </w:rPr>
                    <w:t>/</w:t>
                  </w:r>
                  <w:r>
                    <w:rPr>
                      <w:rFonts w:ascii="Times New Roman" w:hAnsi="宋体"/>
                      <w:b/>
                      <w:color w:val="auto"/>
                      <w:sz w:val="21"/>
                      <w:szCs w:val="21"/>
                      <w:highlight w:val="none"/>
                    </w:rPr>
                    <w:t>人数</w:t>
                  </w:r>
                </w:p>
              </w:tc>
              <w:tc>
                <w:tcPr>
                  <w:tcW w:w="652" w:type="dxa"/>
                  <w:vMerge w:val="restart"/>
                  <w:vAlign w:val="center"/>
                </w:tcPr>
                <w:p w14:paraId="0B3F5B91">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相对厂址方位</w:t>
                  </w:r>
                </w:p>
              </w:tc>
              <w:tc>
                <w:tcPr>
                  <w:tcW w:w="880" w:type="dxa"/>
                  <w:vMerge w:val="restart"/>
                  <w:vAlign w:val="center"/>
                </w:tcPr>
                <w:p w14:paraId="74C343F8">
                  <w:pPr>
                    <w:pStyle w:val="14"/>
                    <w:adjustRightInd w:val="0"/>
                    <w:snapToGrid w:val="0"/>
                    <w:jc w:val="center"/>
                    <w:rPr>
                      <w:rFonts w:ascii="Times New Roman" w:hAnsi="Times New Roman"/>
                      <w:b/>
                      <w:color w:val="auto"/>
                      <w:sz w:val="21"/>
                      <w:szCs w:val="21"/>
                      <w:highlight w:val="none"/>
                    </w:rPr>
                  </w:pPr>
                  <w:r>
                    <w:rPr>
                      <w:rFonts w:ascii="Times New Roman" w:hAnsi="宋体"/>
                      <w:b/>
                      <w:color w:val="auto"/>
                      <w:sz w:val="21"/>
                      <w:szCs w:val="21"/>
                      <w:highlight w:val="none"/>
                    </w:rPr>
                    <w:t>相对厂界距离</w:t>
                  </w:r>
                  <w:r>
                    <w:rPr>
                      <w:rFonts w:ascii="Times New Roman" w:hAnsi="Times New Roman"/>
                      <w:b/>
                      <w:color w:val="auto"/>
                      <w:sz w:val="21"/>
                      <w:szCs w:val="21"/>
                      <w:highlight w:val="none"/>
                    </w:rPr>
                    <w:t>/m</w:t>
                  </w:r>
                </w:p>
              </w:tc>
            </w:tr>
            <w:tr w14:paraId="0E1796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79" w:type="dxa"/>
                  <w:vMerge w:val="continue"/>
                  <w:vAlign w:val="center"/>
                </w:tcPr>
                <w:p w14:paraId="1F7B22FF">
                  <w:pPr>
                    <w:widowControl/>
                    <w:adjustRightInd w:val="0"/>
                    <w:snapToGrid w:val="0"/>
                    <w:jc w:val="center"/>
                    <w:rPr>
                      <w:b/>
                      <w:color w:val="auto"/>
                      <w:szCs w:val="21"/>
                      <w:highlight w:val="none"/>
                    </w:rPr>
                  </w:pPr>
                </w:p>
              </w:tc>
              <w:tc>
                <w:tcPr>
                  <w:tcW w:w="1166" w:type="dxa"/>
                  <w:vMerge w:val="continue"/>
                  <w:vAlign w:val="center"/>
                </w:tcPr>
                <w:p w14:paraId="097CA371">
                  <w:pPr>
                    <w:widowControl/>
                    <w:adjustRightInd w:val="0"/>
                    <w:snapToGrid w:val="0"/>
                    <w:jc w:val="center"/>
                    <w:rPr>
                      <w:b/>
                      <w:color w:val="auto"/>
                      <w:szCs w:val="21"/>
                      <w:highlight w:val="none"/>
                    </w:rPr>
                  </w:pPr>
                </w:p>
              </w:tc>
              <w:tc>
                <w:tcPr>
                  <w:tcW w:w="1211" w:type="dxa"/>
                  <w:vAlign w:val="center"/>
                </w:tcPr>
                <w:p w14:paraId="118CA99A">
                  <w:pPr>
                    <w:pStyle w:val="14"/>
                    <w:adjustRightInd w:val="0"/>
                    <w:snapToGrid w:val="0"/>
                    <w:jc w:val="center"/>
                    <w:rPr>
                      <w:rFonts w:ascii="Times New Roman" w:hAnsi="Times New Roman"/>
                      <w:b/>
                      <w:color w:val="auto"/>
                      <w:sz w:val="21"/>
                      <w:szCs w:val="21"/>
                      <w:highlight w:val="none"/>
                    </w:rPr>
                  </w:pPr>
                  <w:r>
                    <w:rPr>
                      <w:rFonts w:ascii="Times New Roman" w:hAnsi="Times New Roman"/>
                      <w:b/>
                      <w:color w:val="auto"/>
                      <w:sz w:val="21"/>
                      <w:szCs w:val="21"/>
                      <w:highlight w:val="none"/>
                    </w:rPr>
                    <w:t>X</w:t>
                  </w:r>
                </w:p>
              </w:tc>
              <w:tc>
                <w:tcPr>
                  <w:tcW w:w="1184" w:type="dxa"/>
                  <w:vAlign w:val="center"/>
                </w:tcPr>
                <w:p w14:paraId="289E703B">
                  <w:pPr>
                    <w:pStyle w:val="14"/>
                    <w:adjustRightInd w:val="0"/>
                    <w:snapToGrid w:val="0"/>
                    <w:jc w:val="center"/>
                    <w:rPr>
                      <w:rFonts w:ascii="Times New Roman" w:hAnsi="Times New Roman"/>
                      <w:b/>
                      <w:color w:val="auto"/>
                      <w:sz w:val="21"/>
                      <w:szCs w:val="21"/>
                      <w:highlight w:val="none"/>
                    </w:rPr>
                  </w:pPr>
                  <w:r>
                    <w:rPr>
                      <w:rFonts w:ascii="Times New Roman" w:hAnsi="Times New Roman"/>
                      <w:b/>
                      <w:color w:val="auto"/>
                      <w:sz w:val="21"/>
                      <w:szCs w:val="21"/>
                      <w:highlight w:val="none"/>
                    </w:rPr>
                    <w:t>Y</w:t>
                  </w:r>
                </w:p>
              </w:tc>
              <w:tc>
                <w:tcPr>
                  <w:tcW w:w="782" w:type="dxa"/>
                  <w:vMerge w:val="continue"/>
                  <w:vAlign w:val="center"/>
                </w:tcPr>
                <w:p w14:paraId="580F8C25">
                  <w:pPr>
                    <w:widowControl/>
                    <w:adjustRightInd w:val="0"/>
                    <w:snapToGrid w:val="0"/>
                    <w:jc w:val="center"/>
                    <w:rPr>
                      <w:b/>
                      <w:color w:val="auto"/>
                      <w:szCs w:val="21"/>
                      <w:highlight w:val="none"/>
                    </w:rPr>
                  </w:pPr>
                </w:p>
              </w:tc>
              <w:tc>
                <w:tcPr>
                  <w:tcW w:w="522" w:type="dxa"/>
                  <w:vMerge w:val="continue"/>
                  <w:vAlign w:val="center"/>
                </w:tcPr>
                <w:p w14:paraId="162AAA3C">
                  <w:pPr>
                    <w:widowControl/>
                    <w:adjustRightInd w:val="0"/>
                    <w:snapToGrid w:val="0"/>
                    <w:jc w:val="center"/>
                    <w:rPr>
                      <w:b/>
                      <w:color w:val="auto"/>
                      <w:szCs w:val="21"/>
                      <w:highlight w:val="none"/>
                    </w:rPr>
                  </w:pPr>
                </w:p>
              </w:tc>
              <w:tc>
                <w:tcPr>
                  <w:tcW w:w="652" w:type="dxa"/>
                  <w:vMerge w:val="continue"/>
                  <w:vAlign w:val="center"/>
                </w:tcPr>
                <w:p w14:paraId="44CA0EF7">
                  <w:pPr>
                    <w:widowControl/>
                    <w:adjustRightInd w:val="0"/>
                    <w:snapToGrid w:val="0"/>
                    <w:jc w:val="center"/>
                    <w:rPr>
                      <w:b/>
                      <w:color w:val="auto"/>
                      <w:szCs w:val="21"/>
                      <w:highlight w:val="none"/>
                    </w:rPr>
                  </w:pPr>
                </w:p>
              </w:tc>
              <w:tc>
                <w:tcPr>
                  <w:tcW w:w="1432" w:type="dxa"/>
                  <w:vMerge w:val="continue"/>
                  <w:vAlign w:val="center"/>
                </w:tcPr>
                <w:p w14:paraId="340A13BE">
                  <w:pPr>
                    <w:widowControl/>
                    <w:adjustRightInd w:val="0"/>
                    <w:snapToGrid w:val="0"/>
                    <w:jc w:val="center"/>
                    <w:rPr>
                      <w:b/>
                      <w:color w:val="auto"/>
                      <w:szCs w:val="21"/>
                      <w:highlight w:val="none"/>
                    </w:rPr>
                  </w:pPr>
                </w:p>
              </w:tc>
              <w:tc>
                <w:tcPr>
                  <w:tcW w:w="652" w:type="dxa"/>
                  <w:vMerge w:val="continue"/>
                  <w:vAlign w:val="center"/>
                </w:tcPr>
                <w:p w14:paraId="6E00D750">
                  <w:pPr>
                    <w:widowControl/>
                    <w:adjustRightInd w:val="0"/>
                    <w:snapToGrid w:val="0"/>
                    <w:jc w:val="center"/>
                    <w:rPr>
                      <w:b/>
                      <w:color w:val="auto"/>
                      <w:szCs w:val="21"/>
                      <w:highlight w:val="none"/>
                    </w:rPr>
                  </w:pPr>
                </w:p>
              </w:tc>
              <w:tc>
                <w:tcPr>
                  <w:tcW w:w="880" w:type="dxa"/>
                  <w:vMerge w:val="continue"/>
                  <w:vAlign w:val="center"/>
                </w:tcPr>
                <w:p w14:paraId="68362B0C">
                  <w:pPr>
                    <w:widowControl/>
                    <w:adjustRightInd w:val="0"/>
                    <w:snapToGrid w:val="0"/>
                    <w:jc w:val="center"/>
                    <w:rPr>
                      <w:b/>
                      <w:color w:val="auto"/>
                      <w:szCs w:val="21"/>
                      <w:highlight w:val="none"/>
                    </w:rPr>
                  </w:pPr>
                </w:p>
              </w:tc>
            </w:tr>
            <w:tr w14:paraId="5ED8CA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479" w:type="dxa"/>
                  <w:vAlign w:val="center"/>
                </w:tcPr>
                <w:p w14:paraId="697C5082">
                  <w:pPr>
                    <w:pStyle w:val="14"/>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166" w:type="dxa"/>
                  <w:vAlign w:val="center"/>
                </w:tcPr>
                <w:p w14:paraId="610521AA">
                  <w:pPr>
                    <w:pStyle w:val="14"/>
                    <w:adjustRightInd w:val="0"/>
                    <w:snapToGrid w:val="0"/>
                    <w:jc w:val="center"/>
                    <w:rPr>
                      <w:rFonts w:ascii="Times New Roman" w:hAnsi="Times New Roman"/>
                      <w:color w:val="auto"/>
                      <w:sz w:val="21"/>
                      <w:szCs w:val="21"/>
                      <w:highlight w:val="none"/>
                      <w:lang w:val="en-US" w:eastAsia="zh-Hans"/>
                    </w:rPr>
                  </w:pPr>
                  <w:r>
                    <w:rPr>
                      <w:rFonts w:hint="eastAsia" w:ascii="Times New Roman" w:hAnsi="Times New Roman"/>
                      <w:color w:val="auto"/>
                      <w:sz w:val="21"/>
                      <w:szCs w:val="21"/>
                      <w:highlight w:val="none"/>
                      <w:lang w:val="en-US" w:eastAsia="zh-Hans"/>
                    </w:rPr>
                    <w:t>苏通花园</w:t>
                  </w:r>
                </w:p>
              </w:tc>
              <w:tc>
                <w:tcPr>
                  <w:tcW w:w="1211" w:type="dxa"/>
                  <w:vAlign w:val="center"/>
                </w:tcPr>
                <w:p w14:paraId="7C867EEB">
                  <w:pPr>
                    <w:pStyle w:val="14"/>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121.070017</w:t>
                  </w:r>
                </w:p>
              </w:tc>
              <w:tc>
                <w:tcPr>
                  <w:tcW w:w="1184" w:type="dxa"/>
                  <w:vAlign w:val="center"/>
                </w:tcPr>
                <w:p w14:paraId="4AD22B0F">
                  <w:pPr>
                    <w:pStyle w:val="14"/>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31.505095</w:t>
                  </w:r>
                </w:p>
              </w:tc>
              <w:tc>
                <w:tcPr>
                  <w:tcW w:w="782" w:type="dxa"/>
                  <w:vAlign w:val="center"/>
                </w:tcPr>
                <w:p w14:paraId="78A83A02">
                  <w:pPr>
                    <w:pStyle w:val="14"/>
                    <w:adjustRightInd w:val="0"/>
                    <w:snapToGrid w:val="0"/>
                    <w:jc w:val="center"/>
                    <w:rPr>
                      <w:rFonts w:ascii="Times New Roman" w:hAnsi="Times New Roman"/>
                      <w:color w:val="auto"/>
                      <w:sz w:val="21"/>
                      <w:szCs w:val="21"/>
                      <w:highlight w:val="none"/>
                    </w:rPr>
                  </w:pPr>
                  <w:r>
                    <w:rPr>
                      <w:rFonts w:ascii="Times New Roman" w:hAnsi="宋体"/>
                      <w:color w:val="auto"/>
                      <w:sz w:val="21"/>
                      <w:szCs w:val="21"/>
                      <w:highlight w:val="none"/>
                    </w:rPr>
                    <w:t>居住区</w:t>
                  </w:r>
                </w:p>
              </w:tc>
              <w:tc>
                <w:tcPr>
                  <w:tcW w:w="522" w:type="dxa"/>
                  <w:vAlign w:val="center"/>
                </w:tcPr>
                <w:p w14:paraId="4AC44334">
                  <w:pPr>
                    <w:adjustRightInd w:val="0"/>
                    <w:snapToGrid w:val="0"/>
                    <w:jc w:val="center"/>
                    <w:rPr>
                      <w:color w:val="auto"/>
                      <w:szCs w:val="21"/>
                      <w:highlight w:val="none"/>
                    </w:rPr>
                  </w:pPr>
                  <w:r>
                    <w:rPr>
                      <w:rFonts w:hAnsi="宋体"/>
                      <w:color w:val="auto"/>
                      <w:szCs w:val="21"/>
                      <w:highlight w:val="none"/>
                    </w:rPr>
                    <w:t>人群</w:t>
                  </w:r>
                </w:p>
              </w:tc>
              <w:tc>
                <w:tcPr>
                  <w:tcW w:w="652" w:type="dxa"/>
                  <w:vAlign w:val="center"/>
                </w:tcPr>
                <w:p w14:paraId="411176AD">
                  <w:pPr>
                    <w:adjustRightInd w:val="0"/>
                    <w:snapToGrid w:val="0"/>
                    <w:jc w:val="center"/>
                    <w:rPr>
                      <w:color w:val="auto"/>
                      <w:szCs w:val="21"/>
                      <w:highlight w:val="none"/>
                    </w:rPr>
                  </w:pPr>
                  <w:r>
                    <w:rPr>
                      <w:rFonts w:hAnsi="宋体"/>
                      <w:color w:val="auto"/>
                      <w:szCs w:val="21"/>
                      <w:highlight w:val="none"/>
                    </w:rPr>
                    <w:t>二类区</w:t>
                  </w:r>
                </w:p>
              </w:tc>
              <w:tc>
                <w:tcPr>
                  <w:tcW w:w="1432" w:type="dxa"/>
                  <w:vAlign w:val="center"/>
                </w:tcPr>
                <w:p w14:paraId="467C6A29">
                  <w:pPr>
                    <w:adjustRightInd w:val="0"/>
                    <w:snapToGrid w:val="0"/>
                    <w:jc w:val="center"/>
                    <w:rPr>
                      <w:color w:val="auto"/>
                      <w:szCs w:val="21"/>
                      <w:highlight w:val="none"/>
                    </w:rPr>
                  </w:pPr>
                  <w:r>
                    <w:rPr>
                      <w:rFonts w:hAnsi="宋体"/>
                      <w:color w:val="auto"/>
                      <w:szCs w:val="21"/>
                      <w:highlight w:val="none"/>
                    </w:rPr>
                    <w:t>约</w:t>
                  </w:r>
                  <w:r>
                    <w:rPr>
                      <w:color w:val="auto"/>
                      <w:szCs w:val="21"/>
                      <w:highlight w:val="none"/>
                    </w:rPr>
                    <w:t>50</w:t>
                  </w:r>
                  <w:r>
                    <w:rPr>
                      <w:rFonts w:hAnsi="宋体"/>
                      <w:color w:val="auto"/>
                      <w:szCs w:val="21"/>
                      <w:highlight w:val="none"/>
                    </w:rPr>
                    <w:t>户，</w:t>
                  </w:r>
                  <w:r>
                    <w:rPr>
                      <w:color w:val="auto"/>
                      <w:szCs w:val="21"/>
                      <w:highlight w:val="none"/>
                    </w:rPr>
                    <w:t>150</w:t>
                  </w:r>
                  <w:r>
                    <w:rPr>
                      <w:rFonts w:hAnsi="宋体"/>
                      <w:color w:val="auto"/>
                      <w:szCs w:val="21"/>
                      <w:highlight w:val="none"/>
                    </w:rPr>
                    <w:t>人</w:t>
                  </w:r>
                </w:p>
              </w:tc>
              <w:tc>
                <w:tcPr>
                  <w:tcW w:w="652" w:type="dxa"/>
                  <w:vAlign w:val="center"/>
                </w:tcPr>
                <w:p w14:paraId="4B53ADF9">
                  <w:pPr>
                    <w:pStyle w:val="14"/>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N</w:t>
                  </w:r>
                </w:p>
              </w:tc>
              <w:tc>
                <w:tcPr>
                  <w:tcW w:w="880" w:type="dxa"/>
                  <w:vAlign w:val="center"/>
                </w:tcPr>
                <w:p w14:paraId="26503999">
                  <w:pPr>
                    <w:pStyle w:val="14"/>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410</w:t>
                  </w:r>
                </w:p>
              </w:tc>
            </w:tr>
          </w:tbl>
          <w:p w14:paraId="054282F0">
            <w:pPr>
              <w:adjustRightInd w:val="0"/>
              <w:snapToGrid w:val="0"/>
              <w:ind w:firstLine="201" w:firstLineChars="200"/>
              <w:rPr>
                <w:b/>
                <w:bCs/>
                <w:color w:val="auto"/>
                <w:sz w:val="10"/>
                <w:szCs w:val="10"/>
                <w:highlight w:val="none"/>
              </w:rPr>
            </w:pPr>
          </w:p>
          <w:p w14:paraId="1B71CCED">
            <w:pPr>
              <w:numPr>
                <w:ilvl w:val="0"/>
                <w:numId w:val="10"/>
              </w:numPr>
              <w:adjustRightInd w:val="0"/>
              <w:snapToGrid w:val="0"/>
              <w:spacing w:line="360" w:lineRule="auto"/>
              <w:ind w:firstLine="482" w:firstLineChars="200"/>
              <w:rPr>
                <w:rFonts w:hAnsi="宋体"/>
                <w:b/>
                <w:bCs/>
                <w:color w:val="auto"/>
                <w:sz w:val="24"/>
                <w:highlight w:val="none"/>
              </w:rPr>
            </w:pPr>
            <w:r>
              <w:rPr>
                <w:rFonts w:hAnsi="宋体"/>
                <w:b/>
                <w:bCs/>
                <w:color w:val="auto"/>
                <w:sz w:val="24"/>
                <w:highlight w:val="none"/>
              </w:rPr>
              <w:t>声环境</w:t>
            </w:r>
          </w:p>
          <w:p w14:paraId="46B5A939">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项目周边</w:t>
            </w:r>
            <w:r>
              <w:rPr>
                <w:color w:val="auto"/>
                <w:kern w:val="0"/>
                <w:sz w:val="24"/>
                <w:highlight w:val="none"/>
              </w:rPr>
              <w:t>50</w:t>
            </w:r>
            <w:r>
              <w:rPr>
                <w:rFonts w:hint="eastAsia"/>
                <w:color w:val="auto"/>
                <w:kern w:val="0"/>
                <w:sz w:val="24"/>
                <w:highlight w:val="none"/>
              </w:rPr>
              <w:t>米范围内没有声环境敏感目标。</w:t>
            </w:r>
          </w:p>
          <w:p w14:paraId="1721E98D">
            <w:pPr>
              <w:numPr>
                <w:ilvl w:val="0"/>
                <w:numId w:val="10"/>
              </w:numPr>
              <w:adjustRightInd w:val="0"/>
              <w:snapToGrid w:val="0"/>
              <w:spacing w:line="360" w:lineRule="auto"/>
              <w:ind w:firstLine="482" w:firstLineChars="200"/>
              <w:rPr>
                <w:rFonts w:hAnsi="宋体"/>
                <w:b/>
                <w:bCs/>
                <w:color w:val="auto"/>
                <w:sz w:val="24"/>
                <w:highlight w:val="none"/>
              </w:rPr>
            </w:pPr>
            <w:r>
              <w:rPr>
                <w:rFonts w:hint="eastAsia" w:hAnsi="宋体"/>
                <w:b/>
                <w:bCs/>
                <w:color w:val="auto"/>
                <w:sz w:val="24"/>
                <w:highlight w:val="none"/>
                <w:lang w:val="en-US" w:eastAsia="zh-Hans"/>
              </w:rPr>
              <w:t>地表水</w:t>
            </w:r>
          </w:p>
          <w:p w14:paraId="3D348EC9">
            <w:pPr>
              <w:adjustRightInd w:val="0"/>
              <w:snapToGrid w:val="0"/>
              <w:spacing w:line="360" w:lineRule="auto"/>
              <w:ind w:firstLine="480" w:firstLineChars="200"/>
              <w:rPr>
                <w:color w:val="auto"/>
                <w:kern w:val="0"/>
                <w:sz w:val="24"/>
              </w:rPr>
            </w:pPr>
            <w:r>
              <w:rPr>
                <w:rFonts w:hint="eastAsia"/>
                <w:color w:val="auto"/>
                <w:kern w:val="0"/>
                <w:sz w:val="24"/>
              </w:rPr>
              <w:t>本项目废水接入海门东洲水处理有限公司集中处理，污水厂尾水受纳水体</w:t>
            </w:r>
            <w:r>
              <w:rPr>
                <w:rFonts w:hint="eastAsia"/>
                <w:color w:val="auto"/>
                <w:kern w:val="0"/>
                <w:sz w:val="24"/>
                <w:lang w:val="en-US" w:eastAsia="zh-Hans"/>
              </w:rPr>
              <w:t>长江</w:t>
            </w:r>
            <w:r>
              <w:rPr>
                <w:rFonts w:hint="eastAsia"/>
                <w:color w:val="auto"/>
                <w:kern w:val="0"/>
                <w:sz w:val="24"/>
              </w:rPr>
              <w:t>，因此本项目地表水环境保护敏感目标为</w:t>
            </w:r>
            <w:r>
              <w:rPr>
                <w:rFonts w:hint="eastAsia"/>
                <w:color w:val="auto"/>
                <w:kern w:val="0"/>
                <w:sz w:val="24"/>
                <w:lang w:val="en-US" w:eastAsia="zh-Hans"/>
              </w:rPr>
              <w:t>长江</w:t>
            </w:r>
            <w:r>
              <w:rPr>
                <w:rFonts w:hint="eastAsia"/>
                <w:color w:val="auto"/>
                <w:kern w:val="0"/>
                <w:sz w:val="24"/>
              </w:rPr>
              <w:t>。</w:t>
            </w:r>
          </w:p>
          <w:p w14:paraId="6E355E9E">
            <w:pPr>
              <w:autoSpaceDE w:val="0"/>
              <w:autoSpaceDN w:val="0"/>
              <w:adjustRightInd w:val="0"/>
              <w:snapToGrid w:val="0"/>
              <w:jc w:val="center"/>
              <w:rPr>
                <w:b/>
                <w:color w:val="auto"/>
                <w:sz w:val="24"/>
              </w:rPr>
            </w:pPr>
            <w:r>
              <w:rPr>
                <w:b/>
                <w:color w:val="auto"/>
                <w:sz w:val="24"/>
              </w:rPr>
              <w:t>表3-</w:t>
            </w:r>
            <w:r>
              <w:rPr>
                <w:rFonts w:hint="default"/>
                <w:b/>
                <w:color w:val="auto"/>
                <w:sz w:val="24"/>
              </w:rPr>
              <w:t>5</w:t>
            </w:r>
            <w:r>
              <w:rPr>
                <w:b/>
                <w:color w:val="auto"/>
                <w:sz w:val="24"/>
              </w:rPr>
              <w:t xml:space="preserve">  水环境保护目标一览表</w:t>
            </w:r>
          </w:p>
          <w:tbl>
            <w:tblPr>
              <w:tblStyle w:val="24"/>
              <w:tblW w:w="90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7"/>
              <w:gridCol w:w="939"/>
              <w:gridCol w:w="2100"/>
              <w:gridCol w:w="600"/>
              <w:gridCol w:w="870"/>
              <w:gridCol w:w="735"/>
              <w:gridCol w:w="495"/>
              <w:gridCol w:w="600"/>
              <w:gridCol w:w="825"/>
              <w:gridCol w:w="750"/>
              <w:gridCol w:w="820"/>
            </w:tblGrid>
            <w:tr w14:paraId="75038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37" w:type="dxa"/>
                  <w:vMerge w:val="restart"/>
                  <w:tcBorders>
                    <w:tl2br w:val="nil"/>
                    <w:tr2bl w:val="nil"/>
                  </w:tcBorders>
                  <w:noWrap w:val="0"/>
                  <w:tcMar>
                    <w:top w:w="0" w:type="dxa"/>
                    <w:left w:w="0" w:type="dxa"/>
                    <w:bottom w:w="0" w:type="dxa"/>
                    <w:right w:w="0" w:type="dxa"/>
                  </w:tcMar>
                  <w:vAlign w:val="center"/>
                </w:tcPr>
                <w:p w14:paraId="73595D3A">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序号</w:t>
                  </w:r>
                </w:p>
              </w:tc>
              <w:tc>
                <w:tcPr>
                  <w:tcW w:w="939" w:type="dxa"/>
                  <w:vMerge w:val="restart"/>
                  <w:tcBorders>
                    <w:tl2br w:val="nil"/>
                    <w:tr2bl w:val="nil"/>
                  </w:tcBorders>
                  <w:noWrap w:val="0"/>
                  <w:tcMar>
                    <w:top w:w="0" w:type="dxa"/>
                    <w:left w:w="0" w:type="dxa"/>
                    <w:bottom w:w="0" w:type="dxa"/>
                    <w:right w:w="0" w:type="dxa"/>
                  </w:tcMar>
                  <w:vAlign w:val="center"/>
                </w:tcPr>
                <w:p w14:paraId="610C4253">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保护对象</w:t>
                  </w:r>
                </w:p>
              </w:tc>
              <w:tc>
                <w:tcPr>
                  <w:tcW w:w="2100" w:type="dxa"/>
                  <w:vMerge w:val="restart"/>
                  <w:tcBorders>
                    <w:tl2br w:val="nil"/>
                    <w:tr2bl w:val="nil"/>
                  </w:tcBorders>
                  <w:noWrap w:val="0"/>
                  <w:tcMar>
                    <w:top w:w="0" w:type="dxa"/>
                    <w:left w:w="0" w:type="dxa"/>
                    <w:bottom w:w="0" w:type="dxa"/>
                    <w:right w:w="0" w:type="dxa"/>
                  </w:tcMar>
                  <w:vAlign w:val="center"/>
                </w:tcPr>
                <w:p w14:paraId="00A9296F">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保护要求</w:t>
                  </w:r>
                </w:p>
              </w:tc>
              <w:tc>
                <w:tcPr>
                  <w:tcW w:w="2700" w:type="dxa"/>
                  <w:gridSpan w:val="4"/>
                  <w:tcBorders>
                    <w:tl2br w:val="nil"/>
                    <w:tr2bl w:val="nil"/>
                  </w:tcBorders>
                  <w:noWrap w:val="0"/>
                  <w:tcMar>
                    <w:top w:w="0" w:type="dxa"/>
                    <w:left w:w="0" w:type="dxa"/>
                    <w:bottom w:w="0" w:type="dxa"/>
                    <w:right w:w="0" w:type="dxa"/>
                  </w:tcMar>
                  <w:vAlign w:val="center"/>
                </w:tcPr>
                <w:p w14:paraId="670ADFB2">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相对厂界</w:t>
                  </w:r>
                </w:p>
              </w:tc>
              <w:tc>
                <w:tcPr>
                  <w:tcW w:w="2175" w:type="dxa"/>
                  <w:gridSpan w:val="3"/>
                  <w:tcBorders>
                    <w:tl2br w:val="nil"/>
                    <w:tr2bl w:val="nil"/>
                  </w:tcBorders>
                  <w:noWrap w:val="0"/>
                  <w:tcMar>
                    <w:top w:w="0" w:type="dxa"/>
                    <w:left w:w="0" w:type="dxa"/>
                    <w:bottom w:w="0" w:type="dxa"/>
                    <w:right w:w="0" w:type="dxa"/>
                  </w:tcMar>
                  <w:vAlign w:val="center"/>
                </w:tcPr>
                <w:p w14:paraId="6E9AB00C">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相对排放口</w:t>
                  </w:r>
                </w:p>
              </w:tc>
              <w:tc>
                <w:tcPr>
                  <w:tcW w:w="820" w:type="dxa"/>
                  <w:vMerge w:val="restart"/>
                  <w:tcBorders>
                    <w:tl2br w:val="nil"/>
                    <w:tr2bl w:val="nil"/>
                  </w:tcBorders>
                  <w:noWrap w:val="0"/>
                  <w:tcMar>
                    <w:top w:w="0" w:type="dxa"/>
                    <w:left w:w="0" w:type="dxa"/>
                    <w:bottom w:w="0" w:type="dxa"/>
                    <w:right w:w="0" w:type="dxa"/>
                  </w:tcMar>
                  <w:vAlign w:val="center"/>
                </w:tcPr>
                <w:p w14:paraId="6603BBDA">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与本项目的水力联系</w:t>
                  </w:r>
                </w:p>
              </w:tc>
            </w:tr>
            <w:tr w14:paraId="4AE658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37" w:type="dxa"/>
                  <w:vMerge w:val="continue"/>
                  <w:tcBorders>
                    <w:tl2br w:val="nil"/>
                    <w:tr2bl w:val="nil"/>
                  </w:tcBorders>
                  <w:noWrap w:val="0"/>
                  <w:tcMar>
                    <w:top w:w="0" w:type="dxa"/>
                    <w:left w:w="0" w:type="dxa"/>
                    <w:bottom w:w="0" w:type="dxa"/>
                    <w:right w:w="0" w:type="dxa"/>
                  </w:tcMar>
                  <w:vAlign w:val="center"/>
                </w:tcPr>
                <w:p w14:paraId="6B3F4272">
                  <w:pPr>
                    <w:pStyle w:val="5"/>
                    <w:spacing w:before="0" w:after="0" w:line="240" w:lineRule="auto"/>
                    <w:ind w:right="0"/>
                    <w:jc w:val="center"/>
                    <w:rPr>
                      <w:snapToGrid w:val="0"/>
                      <w:color w:val="auto"/>
                      <w:spacing w:val="-8"/>
                      <w:sz w:val="21"/>
                      <w:szCs w:val="21"/>
                      <w:lang w:val="en-US" w:eastAsia="zh-CN"/>
                    </w:rPr>
                  </w:pPr>
                </w:p>
              </w:tc>
              <w:tc>
                <w:tcPr>
                  <w:tcW w:w="939" w:type="dxa"/>
                  <w:vMerge w:val="continue"/>
                  <w:tcBorders>
                    <w:tl2br w:val="nil"/>
                    <w:tr2bl w:val="nil"/>
                  </w:tcBorders>
                  <w:noWrap w:val="0"/>
                  <w:tcMar>
                    <w:top w:w="0" w:type="dxa"/>
                    <w:left w:w="0" w:type="dxa"/>
                    <w:bottom w:w="0" w:type="dxa"/>
                    <w:right w:w="0" w:type="dxa"/>
                  </w:tcMar>
                  <w:vAlign w:val="center"/>
                </w:tcPr>
                <w:p w14:paraId="58B1A0A6">
                  <w:pPr>
                    <w:pStyle w:val="5"/>
                    <w:spacing w:before="0" w:after="0" w:line="240" w:lineRule="auto"/>
                    <w:ind w:right="0"/>
                    <w:jc w:val="center"/>
                    <w:rPr>
                      <w:snapToGrid w:val="0"/>
                      <w:color w:val="auto"/>
                      <w:spacing w:val="-8"/>
                      <w:sz w:val="21"/>
                      <w:szCs w:val="21"/>
                      <w:lang w:val="en-US" w:eastAsia="zh-CN"/>
                    </w:rPr>
                  </w:pPr>
                </w:p>
              </w:tc>
              <w:tc>
                <w:tcPr>
                  <w:tcW w:w="2100" w:type="dxa"/>
                  <w:vMerge w:val="continue"/>
                  <w:tcBorders>
                    <w:tl2br w:val="nil"/>
                    <w:tr2bl w:val="nil"/>
                  </w:tcBorders>
                  <w:noWrap w:val="0"/>
                  <w:tcMar>
                    <w:top w:w="0" w:type="dxa"/>
                    <w:left w:w="0" w:type="dxa"/>
                    <w:bottom w:w="0" w:type="dxa"/>
                    <w:right w:w="0" w:type="dxa"/>
                  </w:tcMar>
                  <w:vAlign w:val="center"/>
                </w:tcPr>
                <w:p w14:paraId="3B160520">
                  <w:pPr>
                    <w:pStyle w:val="5"/>
                    <w:spacing w:before="0" w:after="0" w:line="240" w:lineRule="auto"/>
                    <w:ind w:right="0"/>
                    <w:jc w:val="center"/>
                    <w:rPr>
                      <w:snapToGrid w:val="0"/>
                      <w:color w:val="auto"/>
                      <w:spacing w:val="-8"/>
                      <w:sz w:val="21"/>
                      <w:szCs w:val="21"/>
                      <w:lang w:val="en-US" w:eastAsia="zh-CN"/>
                    </w:rPr>
                  </w:pPr>
                </w:p>
              </w:tc>
              <w:tc>
                <w:tcPr>
                  <w:tcW w:w="600" w:type="dxa"/>
                  <w:vMerge w:val="restart"/>
                  <w:tcBorders>
                    <w:tl2br w:val="nil"/>
                    <w:tr2bl w:val="nil"/>
                  </w:tcBorders>
                  <w:noWrap w:val="0"/>
                  <w:tcMar>
                    <w:top w:w="0" w:type="dxa"/>
                    <w:left w:w="0" w:type="dxa"/>
                    <w:bottom w:w="0" w:type="dxa"/>
                    <w:right w:w="0" w:type="dxa"/>
                  </w:tcMar>
                  <w:vAlign w:val="center"/>
                </w:tcPr>
                <w:p w14:paraId="4CAD5291">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距离</w:t>
                  </w:r>
                </w:p>
              </w:tc>
              <w:tc>
                <w:tcPr>
                  <w:tcW w:w="1605" w:type="dxa"/>
                  <w:gridSpan w:val="2"/>
                  <w:tcBorders>
                    <w:tl2br w:val="nil"/>
                    <w:tr2bl w:val="nil"/>
                  </w:tcBorders>
                  <w:noWrap w:val="0"/>
                  <w:tcMar>
                    <w:top w:w="0" w:type="dxa"/>
                    <w:left w:w="0" w:type="dxa"/>
                    <w:bottom w:w="0" w:type="dxa"/>
                    <w:right w:w="0" w:type="dxa"/>
                  </w:tcMar>
                  <w:vAlign w:val="center"/>
                </w:tcPr>
                <w:p w14:paraId="3D4B575F">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坐标</w:t>
                  </w:r>
                </w:p>
              </w:tc>
              <w:tc>
                <w:tcPr>
                  <w:tcW w:w="495" w:type="dxa"/>
                  <w:vMerge w:val="restart"/>
                  <w:tcBorders>
                    <w:tl2br w:val="nil"/>
                    <w:tr2bl w:val="nil"/>
                  </w:tcBorders>
                  <w:noWrap w:val="0"/>
                  <w:tcMar>
                    <w:top w:w="0" w:type="dxa"/>
                    <w:left w:w="0" w:type="dxa"/>
                    <w:bottom w:w="0" w:type="dxa"/>
                    <w:right w:w="0" w:type="dxa"/>
                  </w:tcMar>
                  <w:vAlign w:val="center"/>
                </w:tcPr>
                <w:p w14:paraId="64FCC8C1">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高差</w:t>
                  </w:r>
                </w:p>
              </w:tc>
              <w:tc>
                <w:tcPr>
                  <w:tcW w:w="600" w:type="dxa"/>
                  <w:vMerge w:val="restart"/>
                  <w:tcBorders>
                    <w:tl2br w:val="nil"/>
                    <w:tr2bl w:val="nil"/>
                  </w:tcBorders>
                  <w:noWrap w:val="0"/>
                  <w:tcMar>
                    <w:top w:w="0" w:type="dxa"/>
                    <w:left w:w="0" w:type="dxa"/>
                    <w:bottom w:w="0" w:type="dxa"/>
                    <w:right w:w="0" w:type="dxa"/>
                  </w:tcMar>
                  <w:vAlign w:val="center"/>
                </w:tcPr>
                <w:p w14:paraId="4DC99ACB">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距离</w:t>
                  </w:r>
                </w:p>
              </w:tc>
              <w:tc>
                <w:tcPr>
                  <w:tcW w:w="1575" w:type="dxa"/>
                  <w:gridSpan w:val="2"/>
                  <w:tcBorders>
                    <w:tl2br w:val="nil"/>
                    <w:tr2bl w:val="nil"/>
                  </w:tcBorders>
                  <w:noWrap w:val="0"/>
                  <w:tcMar>
                    <w:top w:w="0" w:type="dxa"/>
                    <w:left w:w="0" w:type="dxa"/>
                    <w:bottom w:w="0" w:type="dxa"/>
                    <w:right w:w="0" w:type="dxa"/>
                  </w:tcMar>
                  <w:vAlign w:val="center"/>
                </w:tcPr>
                <w:p w14:paraId="59ED4A38">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坐标</w:t>
                  </w:r>
                </w:p>
              </w:tc>
              <w:tc>
                <w:tcPr>
                  <w:tcW w:w="820" w:type="dxa"/>
                  <w:vMerge w:val="continue"/>
                  <w:tcBorders>
                    <w:tl2br w:val="nil"/>
                    <w:tr2bl w:val="nil"/>
                  </w:tcBorders>
                  <w:noWrap w:val="0"/>
                  <w:tcMar>
                    <w:top w:w="0" w:type="dxa"/>
                    <w:left w:w="0" w:type="dxa"/>
                    <w:bottom w:w="0" w:type="dxa"/>
                    <w:right w:w="0" w:type="dxa"/>
                  </w:tcMar>
                  <w:vAlign w:val="center"/>
                </w:tcPr>
                <w:p w14:paraId="0B76D746">
                  <w:pPr>
                    <w:pStyle w:val="5"/>
                    <w:spacing w:before="0" w:after="0" w:line="240" w:lineRule="auto"/>
                    <w:ind w:right="0"/>
                    <w:jc w:val="center"/>
                    <w:rPr>
                      <w:snapToGrid w:val="0"/>
                      <w:color w:val="auto"/>
                      <w:spacing w:val="-8"/>
                      <w:sz w:val="21"/>
                      <w:szCs w:val="21"/>
                      <w:lang w:val="en-US" w:eastAsia="zh-CN"/>
                    </w:rPr>
                  </w:pPr>
                </w:p>
              </w:tc>
            </w:tr>
            <w:tr w14:paraId="4C3DFE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37" w:type="dxa"/>
                  <w:vMerge w:val="continue"/>
                  <w:tcBorders>
                    <w:tl2br w:val="nil"/>
                    <w:tr2bl w:val="nil"/>
                  </w:tcBorders>
                  <w:noWrap w:val="0"/>
                  <w:tcMar>
                    <w:top w:w="0" w:type="dxa"/>
                    <w:left w:w="0" w:type="dxa"/>
                    <w:bottom w:w="0" w:type="dxa"/>
                    <w:right w:w="0" w:type="dxa"/>
                  </w:tcMar>
                  <w:vAlign w:val="center"/>
                </w:tcPr>
                <w:p w14:paraId="4D4A4B89">
                  <w:pPr>
                    <w:pStyle w:val="5"/>
                    <w:spacing w:before="0" w:after="0" w:line="240" w:lineRule="auto"/>
                    <w:ind w:right="0"/>
                    <w:jc w:val="center"/>
                    <w:rPr>
                      <w:snapToGrid w:val="0"/>
                      <w:color w:val="auto"/>
                      <w:spacing w:val="-8"/>
                      <w:sz w:val="21"/>
                      <w:szCs w:val="21"/>
                      <w:lang w:val="en-US" w:eastAsia="zh-CN"/>
                    </w:rPr>
                  </w:pPr>
                </w:p>
              </w:tc>
              <w:tc>
                <w:tcPr>
                  <w:tcW w:w="939" w:type="dxa"/>
                  <w:vMerge w:val="continue"/>
                  <w:tcBorders>
                    <w:tl2br w:val="nil"/>
                    <w:tr2bl w:val="nil"/>
                  </w:tcBorders>
                  <w:noWrap w:val="0"/>
                  <w:tcMar>
                    <w:top w:w="0" w:type="dxa"/>
                    <w:left w:w="0" w:type="dxa"/>
                    <w:bottom w:w="0" w:type="dxa"/>
                    <w:right w:w="0" w:type="dxa"/>
                  </w:tcMar>
                  <w:vAlign w:val="center"/>
                </w:tcPr>
                <w:p w14:paraId="28E7D6FA">
                  <w:pPr>
                    <w:pStyle w:val="5"/>
                    <w:spacing w:before="0" w:after="0" w:line="240" w:lineRule="auto"/>
                    <w:ind w:right="0"/>
                    <w:jc w:val="center"/>
                    <w:rPr>
                      <w:snapToGrid w:val="0"/>
                      <w:color w:val="auto"/>
                      <w:spacing w:val="-8"/>
                      <w:sz w:val="21"/>
                      <w:szCs w:val="21"/>
                      <w:lang w:val="en-US" w:eastAsia="zh-CN"/>
                    </w:rPr>
                  </w:pPr>
                </w:p>
              </w:tc>
              <w:tc>
                <w:tcPr>
                  <w:tcW w:w="2100" w:type="dxa"/>
                  <w:vMerge w:val="continue"/>
                  <w:tcBorders>
                    <w:tl2br w:val="nil"/>
                    <w:tr2bl w:val="nil"/>
                  </w:tcBorders>
                  <w:noWrap w:val="0"/>
                  <w:tcMar>
                    <w:top w:w="0" w:type="dxa"/>
                    <w:left w:w="0" w:type="dxa"/>
                    <w:bottom w:w="0" w:type="dxa"/>
                    <w:right w:w="0" w:type="dxa"/>
                  </w:tcMar>
                  <w:vAlign w:val="center"/>
                </w:tcPr>
                <w:p w14:paraId="3136AD53">
                  <w:pPr>
                    <w:pStyle w:val="5"/>
                    <w:spacing w:before="0" w:after="0" w:line="240" w:lineRule="auto"/>
                    <w:ind w:right="0"/>
                    <w:jc w:val="center"/>
                    <w:rPr>
                      <w:snapToGrid w:val="0"/>
                      <w:color w:val="auto"/>
                      <w:spacing w:val="-8"/>
                      <w:sz w:val="21"/>
                      <w:szCs w:val="21"/>
                      <w:lang w:val="en-US" w:eastAsia="zh-CN"/>
                    </w:rPr>
                  </w:pPr>
                </w:p>
              </w:tc>
              <w:tc>
                <w:tcPr>
                  <w:tcW w:w="600" w:type="dxa"/>
                  <w:vMerge w:val="continue"/>
                  <w:tcBorders>
                    <w:tl2br w:val="nil"/>
                    <w:tr2bl w:val="nil"/>
                  </w:tcBorders>
                  <w:noWrap w:val="0"/>
                  <w:tcMar>
                    <w:top w:w="0" w:type="dxa"/>
                    <w:left w:w="0" w:type="dxa"/>
                    <w:bottom w:w="0" w:type="dxa"/>
                    <w:right w:w="0" w:type="dxa"/>
                  </w:tcMar>
                  <w:vAlign w:val="center"/>
                </w:tcPr>
                <w:p w14:paraId="1C6CA022">
                  <w:pPr>
                    <w:pStyle w:val="5"/>
                    <w:spacing w:before="0" w:after="0" w:line="240" w:lineRule="auto"/>
                    <w:ind w:right="0"/>
                    <w:jc w:val="center"/>
                    <w:rPr>
                      <w:b/>
                      <w:bCs/>
                      <w:snapToGrid w:val="0"/>
                      <w:color w:val="auto"/>
                      <w:spacing w:val="-8"/>
                      <w:sz w:val="21"/>
                      <w:szCs w:val="21"/>
                      <w:lang w:val="en-US" w:eastAsia="zh-CN"/>
                    </w:rPr>
                  </w:pPr>
                </w:p>
              </w:tc>
              <w:tc>
                <w:tcPr>
                  <w:tcW w:w="870" w:type="dxa"/>
                  <w:tcBorders>
                    <w:tl2br w:val="nil"/>
                    <w:tr2bl w:val="nil"/>
                  </w:tcBorders>
                  <w:noWrap w:val="0"/>
                  <w:tcMar>
                    <w:top w:w="0" w:type="dxa"/>
                    <w:left w:w="0" w:type="dxa"/>
                    <w:bottom w:w="0" w:type="dxa"/>
                    <w:right w:w="0" w:type="dxa"/>
                  </w:tcMar>
                  <w:vAlign w:val="center"/>
                </w:tcPr>
                <w:p w14:paraId="0F2C8CFC">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X</w:t>
                  </w:r>
                </w:p>
              </w:tc>
              <w:tc>
                <w:tcPr>
                  <w:tcW w:w="735" w:type="dxa"/>
                  <w:tcBorders>
                    <w:tl2br w:val="nil"/>
                    <w:tr2bl w:val="nil"/>
                  </w:tcBorders>
                  <w:noWrap w:val="0"/>
                  <w:tcMar>
                    <w:top w:w="0" w:type="dxa"/>
                    <w:left w:w="0" w:type="dxa"/>
                    <w:bottom w:w="0" w:type="dxa"/>
                    <w:right w:w="0" w:type="dxa"/>
                  </w:tcMar>
                  <w:vAlign w:val="center"/>
                </w:tcPr>
                <w:p w14:paraId="387220E9">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Y</w:t>
                  </w:r>
                </w:p>
              </w:tc>
              <w:tc>
                <w:tcPr>
                  <w:tcW w:w="495" w:type="dxa"/>
                  <w:vMerge w:val="continue"/>
                  <w:tcBorders>
                    <w:tl2br w:val="nil"/>
                    <w:tr2bl w:val="nil"/>
                  </w:tcBorders>
                  <w:noWrap w:val="0"/>
                  <w:tcMar>
                    <w:top w:w="0" w:type="dxa"/>
                    <w:left w:w="0" w:type="dxa"/>
                    <w:bottom w:w="0" w:type="dxa"/>
                    <w:right w:w="0" w:type="dxa"/>
                  </w:tcMar>
                  <w:vAlign w:val="center"/>
                </w:tcPr>
                <w:p w14:paraId="0B2E3CD3">
                  <w:pPr>
                    <w:pStyle w:val="5"/>
                    <w:spacing w:before="0" w:after="0" w:line="240" w:lineRule="auto"/>
                    <w:ind w:right="0"/>
                    <w:jc w:val="center"/>
                    <w:rPr>
                      <w:b/>
                      <w:bCs/>
                      <w:snapToGrid w:val="0"/>
                      <w:color w:val="auto"/>
                      <w:spacing w:val="-8"/>
                      <w:sz w:val="21"/>
                      <w:szCs w:val="21"/>
                      <w:lang w:val="en-US" w:eastAsia="zh-CN"/>
                    </w:rPr>
                  </w:pPr>
                </w:p>
              </w:tc>
              <w:tc>
                <w:tcPr>
                  <w:tcW w:w="600" w:type="dxa"/>
                  <w:vMerge w:val="continue"/>
                  <w:tcBorders>
                    <w:tl2br w:val="nil"/>
                    <w:tr2bl w:val="nil"/>
                  </w:tcBorders>
                  <w:noWrap w:val="0"/>
                  <w:tcMar>
                    <w:top w:w="0" w:type="dxa"/>
                    <w:left w:w="0" w:type="dxa"/>
                    <w:bottom w:w="0" w:type="dxa"/>
                    <w:right w:w="0" w:type="dxa"/>
                  </w:tcMar>
                  <w:vAlign w:val="center"/>
                </w:tcPr>
                <w:p w14:paraId="6A1F369B">
                  <w:pPr>
                    <w:pStyle w:val="5"/>
                    <w:spacing w:before="0" w:after="0" w:line="240" w:lineRule="auto"/>
                    <w:ind w:right="0"/>
                    <w:jc w:val="center"/>
                    <w:rPr>
                      <w:b/>
                      <w:bCs/>
                      <w:snapToGrid w:val="0"/>
                      <w:color w:val="auto"/>
                      <w:spacing w:val="-8"/>
                      <w:sz w:val="21"/>
                      <w:szCs w:val="21"/>
                      <w:lang w:val="en-US" w:eastAsia="zh-CN"/>
                    </w:rPr>
                  </w:pPr>
                </w:p>
              </w:tc>
              <w:tc>
                <w:tcPr>
                  <w:tcW w:w="825" w:type="dxa"/>
                  <w:tcBorders>
                    <w:tl2br w:val="nil"/>
                    <w:tr2bl w:val="nil"/>
                  </w:tcBorders>
                  <w:noWrap w:val="0"/>
                  <w:tcMar>
                    <w:top w:w="0" w:type="dxa"/>
                    <w:left w:w="0" w:type="dxa"/>
                    <w:bottom w:w="0" w:type="dxa"/>
                    <w:right w:w="0" w:type="dxa"/>
                  </w:tcMar>
                  <w:vAlign w:val="center"/>
                </w:tcPr>
                <w:p w14:paraId="6272B8F5">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X</w:t>
                  </w:r>
                </w:p>
              </w:tc>
              <w:tc>
                <w:tcPr>
                  <w:tcW w:w="750" w:type="dxa"/>
                  <w:tcBorders>
                    <w:tl2br w:val="nil"/>
                    <w:tr2bl w:val="nil"/>
                  </w:tcBorders>
                  <w:noWrap w:val="0"/>
                  <w:tcMar>
                    <w:top w:w="0" w:type="dxa"/>
                    <w:left w:w="0" w:type="dxa"/>
                    <w:bottom w:w="0" w:type="dxa"/>
                    <w:right w:w="0" w:type="dxa"/>
                  </w:tcMar>
                  <w:vAlign w:val="center"/>
                </w:tcPr>
                <w:p w14:paraId="604680F7">
                  <w:pPr>
                    <w:pStyle w:val="5"/>
                    <w:spacing w:before="0" w:after="0" w:line="240" w:lineRule="auto"/>
                    <w:ind w:right="0"/>
                    <w:jc w:val="center"/>
                    <w:rPr>
                      <w:b/>
                      <w:bCs/>
                      <w:snapToGrid w:val="0"/>
                      <w:color w:val="auto"/>
                      <w:spacing w:val="-8"/>
                      <w:sz w:val="21"/>
                      <w:szCs w:val="21"/>
                      <w:lang w:val="en-US" w:eastAsia="zh-CN"/>
                    </w:rPr>
                  </w:pPr>
                  <w:r>
                    <w:rPr>
                      <w:b/>
                      <w:bCs/>
                      <w:snapToGrid w:val="0"/>
                      <w:color w:val="auto"/>
                      <w:spacing w:val="-8"/>
                      <w:sz w:val="21"/>
                      <w:szCs w:val="21"/>
                      <w:lang w:val="en-US" w:eastAsia="zh-CN"/>
                    </w:rPr>
                    <w:t>Y</w:t>
                  </w:r>
                </w:p>
              </w:tc>
              <w:tc>
                <w:tcPr>
                  <w:tcW w:w="820" w:type="dxa"/>
                  <w:vMerge w:val="continue"/>
                  <w:tcBorders>
                    <w:tl2br w:val="nil"/>
                    <w:tr2bl w:val="nil"/>
                  </w:tcBorders>
                  <w:noWrap w:val="0"/>
                  <w:tcMar>
                    <w:top w:w="0" w:type="dxa"/>
                    <w:left w:w="0" w:type="dxa"/>
                    <w:bottom w:w="0" w:type="dxa"/>
                    <w:right w:w="0" w:type="dxa"/>
                  </w:tcMar>
                  <w:vAlign w:val="center"/>
                </w:tcPr>
                <w:p w14:paraId="04C9F19A">
                  <w:pPr>
                    <w:pStyle w:val="5"/>
                    <w:spacing w:before="0" w:after="0" w:line="240" w:lineRule="auto"/>
                    <w:ind w:right="0"/>
                    <w:jc w:val="center"/>
                    <w:rPr>
                      <w:snapToGrid w:val="0"/>
                      <w:color w:val="auto"/>
                      <w:spacing w:val="-8"/>
                      <w:sz w:val="21"/>
                      <w:szCs w:val="21"/>
                      <w:lang w:val="en-US" w:eastAsia="zh-CN"/>
                    </w:rPr>
                  </w:pPr>
                </w:p>
              </w:tc>
            </w:tr>
            <w:tr w14:paraId="56FEE8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37" w:type="dxa"/>
                  <w:tcBorders>
                    <w:tl2br w:val="nil"/>
                    <w:tr2bl w:val="nil"/>
                  </w:tcBorders>
                  <w:noWrap w:val="0"/>
                  <w:tcMar>
                    <w:top w:w="0" w:type="dxa"/>
                    <w:left w:w="0" w:type="dxa"/>
                    <w:bottom w:w="0" w:type="dxa"/>
                    <w:right w:w="0" w:type="dxa"/>
                  </w:tcMar>
                  <w:vAlign w:val="center"/>
                </w:tcPr>
                <w:p w14:paraId="74DA58EB">
                  <w:pPr>
                    <w:pStyle w:val="5"/>
                    <w:spacing w:before="0" w:after="0" w:line="240" w:lineRule="auto"/>
                    <w:ind w:right="0"/>
                    <w:jc w:val="center"/>
                    <w:rPr>
                      <w:snapToGrid w:val="0"/>
                      <w:color w:val="auto"/>
                      <w:spacing w:val="-8"/>
                      <w:sz w:val="21"/>
                      <w:szCs w:val="21"/>
                      <w:lang w:val="en-US" w:eastAsia="zh-CN"/>
                    </w:rPr>
                  </w:pPr>
                  <w:r>
                    <w:rPr>
                      <w:snapToGrid w:val="0"/>
                      <w:color w:val="auto"/>
                      <w:spacing w:val="-8"/>
                      <w:sz w:val="21"/>
                      <w:szCs w:val="21"/>
                      <w:lang w:val="en-US" w:eastAsia="zh-CN"/>
                    </w:rPr>
                    <w:t>1</w:t>
                  </w:r>
                </w:p>
              </w:tc>
              <w:tc>
                <w:tcPr>
                  <w:tcW w:w="939" w:type="dxa"/>
                  <w:tcBorders>
                    <w:tl2br w:val="nil"/>
                    <w:tr2bl w:val="nil"/>
                  </w:tcBorders>
                  <w:noWrap w:val="0"/>
                  <w:tcMar>
                    <w:top w:w="0" w:type="dxa"/>
                    <w:left w:w="0" w:type="dxa"/>
                    <w:bottom w:w="0" w:type="dxa"/>
                    <w:right w:w="0" w:type="dxa"/>
                  </w:tcMar>
                  <w:vAlign w:val="center"/>
                </w:tcPr>
                <w:p w14:paraId="02870073">
                  <w:pPr>
                    <w:pStyle w:val="5"/>
                    <w:spacing w:before="0" w:after="0" w:line="240" w:lineRule="auto"/>
                    <w:ind w:right="0"/>
                    <w:jc w:val="center"/>
                    <w:rPr>
                      <w:rFonts w:hint="eastAsia" w:eastAsia="宋体"/>
                      <w:snapToGrid w:val="0"/>
                      <w:color w:val="auto"/>
                      <w:spacing w:val="-8"/>
                      <w:sz w:val="21"/>
                      <w:szCs w:val="21"/>
                      <w:lang w:val="en-US" w:eastAsia="zh-Hans"/>
                    </w:rPr>
                  </w:pPr>
                  <w:r>
                    <w:rPr>
                      <w:rFonts w:hint="eastAsia"/>
                      <w:snapToGrid w:val="0"/>
                      <w:color w:val="auto"/>
                      <w:spacing w:val="-8"/>
                      <w:sz w:val="21"/>
                      <w:szCs w:val="21"/>
                      <w:lang w:val="en-US" w:eastAsia="zh-Hans"/>
                    </w:rPr>
                    <w:t>长江</w:t>
                  </w:r>
                </w:p>
              </w:tc>
              <w:tc>
                <w:tcPr>
                  <w:tcW w:w="2100" w:type="dxa"/>
                  <w:tcBorders>
                    <w:tl2br w:val="nil"/>
                    <w:tr2bl w:val="nil"/>
                  </w:tcBorders>
                  <w:noWrap w:val="0"/>
                  <w:tcMar>
                    <w:top w:w="0" w:type="dxa"/>
                    <w:left w:w="0" w:type="dxa"/>
                    <w:bottom w:w="0" w:type="dxa"/>
                    <w:right w:w="0" w:type="dxa"/>
                  </w:tcMar>
                  <w:vAlign w:val="center"/>
                </w:tcPr>
                <w:p w14:paraId="4A2F7A58">
                  <w:pPr>
                    <w:pStyle w:val="5"/>
                    <w:spacing w:before="0" w:after="0" w:line="240" w:lineRule="auto"/>
                    <w:ind w:right="0"/>
                    <w:jc w:val="center"/>
                    <w:rPr>
                      <w:snapToGrid w:val="0"/>
                      <w:color w:val="auto"/>
                      <w:spacing w:val="-8"/>
                      <w:sz w:val="21"/>
                      <w:szCs w:val="21"/>
                      <w:lang w:val="en-US" w:eastAsia="zh-CN"/>
                    </w:rPr>
                  </w:pPr>
                  <w:r>
                    <w:rPr>
                      <w:snapToGrid w:val="0"/>
                      <w:color w:val="auto"/>
                      <w:spacing w:val="-8"/>
                      <w:sz w:val="21"/>
                      <w:szCs w:val="21"/>
                      <w:lang w:val="en-US" w:eastAsia="zh-CN"/>
                    </w:rPr>
                    <w:t>《地表水环境质量标准》（GB3838-2002）中的</w:t>
                  </w:r>
                  <w:r>
                    <w:rPr>
                      <w:rFonts w:hint="eastAsia"/>
                      <w:snapToGrid w:val="0"/>
                      <w:color w:val="auto"/>
                      <w:spacing w:val="-8"/>
                      <w:sz w:val="21"/>
                      <w:szCs w:val="21"/>
                      <w:lang w:val="en-US" w:eastAsia="zh-Hans"/>
                    </w:rPr>
                    <w:t>Ⅲ</w:t>
                  </w:r>
                  <w:r>
                    <w:rPr>
                      <w:snapToGrid w:val="0"/>
                      <w:color w:val="auto"/>
                      <w:spacing w:val="-8"/>
                      <w:sz w:val="21"/>
                      <w:szCs w:val="21"/>
                      <w:lang w:val="en-US" w:eastAsia="zh-CN"/>
                    </w:rPr>
                    <w:t>类</w:t>
                  </w:r>
                </w:p>
              </w:tc>
              <w:tc>
                <w:tcPr>
                  <w:tcW w:w="600" w:type="dxa"/>
                  <w:tcBorders>
                    <w:tl2br w:val="nil"/>
                    <w:tr2bl w:val="nil"/>
                  </w:tcBorders>
                  <w:noWrap w:val="0"/>
                  <w:tcMar>
                    <w:top w:w="0" w:type="dxa"/>
                    <w:left w:w="0" w:type="dxa"/>
                    <w:bottom w:w="0" w:type="dxa"/>
                    <w:right w:w="0" w:type="dxa"/>
                  </w:tcMar>
                  <w:vAlign w:val="center"/>
                </w:tcPr>
                <w:p w14:paraId="27ADB547">
                  <w:pPr>
                    <w:pStyle w:val="5"/>
                    <w:spacing w:before="0" w:after="0" w:line="240" w:lineRule="auto"/>
                    <w:ind w:right="0"/>
                    <w:jc w:val="center"/>
                    <w:rPr>
                      <w:snapToGrid w:val="0"/>
                      <w:color w:val="auto"/>
                      <w:spacing w:val="-8"/>
                      <w:sz w:val="21"/>
                      <w:szCs w:val="21"/>
                      <w:lang w:val="en-US" w:eastAsia="zh-CN"/>
                    </w:rPr>
                  </w:pPr>
                  <w:r>
                    <w:rPr>
                      <w:rFonts w:hint="default"/>
                      <w:snapToGrid w:val="0"/>
                      <w:color w:val="auto"/>
                      <w:spacing w:val="-8"/>
                      <w:sz w:val="21"/>
                      <w:szCs w:val="21"/>
                      <w:lang w:eastAsia="zh-CN"/>
                    </w:rPr>
                    <w:t>5</w:t>
                  </w:r>
                  <w:r>
                    <w:rPr>
                      <w:rFonts w:hint="eastAsia"/>
                      <w:snapToGrid w:val="0"/>
                      <w:color w:val="auto"/>
                      <w:spacing w:val="-8"/>
                      <w:sz w:val="21"/>
                      <w:szCs w:val="21"/>
                      <w:lang w:eastAsia="zh-Hans"/>
                    </w:rPr>
                    <w:t>.</w:t>
                  </w:r>
                  <w:r>
                    <w:rPr>
                      <w:rFonts w:hint="default"/>
                      <w:snapToGrid w:val="0"/>
                      <w:color w:val="auto"/>
                      <w:spacing w:val="-8"/>
                      <w:sz w:val="21"/>
                      <w:szCs w:val="21"/>
                      <w:lang w:eastAsia="zh-Hans"/>
                    </w:rPr>
                    <w:t>1</w:t>
                  </w:r>
                  <w:r>
                    <w:rPr>
                      <w:snapToGrid w:val="0"/>
                      <w:color w:val="auto"/>
                      <w:spacing w:val="-8"/>
                      <w:sz w:val="21"/>
                      <w:szCs w:val="21"/>
                      <w:lang w:val="en-US" w:eastAsia="zh-CN"/>
                    </w:rPr>
                    <w:t>km</w:t>
                  </w:r>
                </w:p>
              </w:tc>
              <w:tc>
                <w:tcPr>
                  <w:tcW w:w="870" w:type="dxa"/>
                  <w:tcBorders>
                    <w:tl2br w:val="nil"/>
                    <w:tr2bl w:val="nil"/>
                  </w:tcBorders>
                  <w:noWrap w:val="0"/>
                  <w:tcMar>
                    <w:top w:w="0" w:type="dxa"/>
                    <w:left w:w="0" w:type="dxa"/>
                    <w:bottom w:w="0" w:type="dxa"/>
                    <w:right w:w="0" w:type="dxa"/>
                  </w:tcMar>
                  <w:vAlign w:val="center"/>
                </w:tcPr>
                <w:p w14:paraId="08067FB6">
                  <w:pPr>
                    <w:pStyle w:val="5"/>
                    <w:spacing w:before="0" w:after="0" w:line="240" w:lineRule="auto"/>
                    <w:ind w:right="0"/>
                    <w:jc w:val="center"/>
                    <w:rPr>
                      <w:rFonts w:hint="eastAsia"/>
                      <w:snapToGrid w:val="0"/>
                      <w:color w:val="auto"/>
                      <w:spacing w:val="-8"/>
                      <w:sz w:val="21"/>
                      <w:szCs w:val="21"/>
                      <w:lang w:val="en-US" w:eastAsia="zh-CN"/>
                    </w:rPr>
                  </w:pPr>
                  <w:r>
                    <w:rPr>
                      <w:rFonts w:hint="eastAsia"/>
                      <w:snapToGrid w:val="0"/>
                      <w:color w:val="auto"/>
                      <w:spacing w:val="-8"/>
                      <w:sz w:val="21"/>
                      <w:szCs w:val="21"/>
                      <w:lang w:val="en-US" w:eastAsia="zh-CN"/>
                    </w:rPr>
                    <w:t>121.1170</w:t>
                  </w:r>
                </w:p>
              </w:tc>
              <w:tc>
                <w:tcPr>
                  <w:tcW w:w="735" w:type="dxa"/>
                  <w:tcBorders>
                    <w:tl2br w:val="nil"/>
                    <w:tr2bl w:val="nil"/>
                  </w:tcBorders>
                  <w:noWrap w:val="0"/>
                  <w:tcMar>
                    <w:top w:w="0" w:type="dxa"/>
                    <w:left w:w="0" w:type="dxa"/>
                    <w:bottom w:w="0" w:type="dxa"/>
                    <w:right w:w="0" w:type="dxa"/>
                  </w:tcMar>
                  <w:vAlign w:val="center"/>
                </w:tcPr>
                <w:p w14:paraId="3956A901">
                  <w:pPr>
                    <w:pStyle w:val="5"/>
                    <w:spacing w:before="0" w:after="0" w:line="240" w:lineRule="auto"/>
                    <w:ind w:right="0"/>
                    <w:jc w:val="center"/>
                    <w:rPr>
                      <w:rFonts w:hint="eastAsia"/>
                      <w:snapToGrid w:val="0"/>
                      <w:color w:val="auto"/>
                      <w:spacing w:val="-8"/>
                      <w:sz w:val="21"/>
                      <w:szCs w:val="21"/>
                      <w:lang w:val="en-US" w:eastAsia="zh-CN"/>
                    </w:rPr>
                  </w:pPr>
                  <w:r>
                    <w:rPr>
                      <w:rFonts w:hint="eastAsia"/>
                      <w:snapToGrid w:val="0"/>
                      <w:color w:val="auto"/>
                      <w:spacing w:val="-8"/>
                      <w:sz w:val="21"/>
                      <w:szCs w:val="21"/>
                      <w:lang w:val="en-US" w:eastAsia="zh-CN"/>
                    </w:rPr>
                    <w:t>31.8430</w:t>
                  </w:r>
                </w:p>
              </w:tc>
              <w:tc>
                <w:tcPr>
                  <w:tcW w:w="495" w:type="dxa"/>
                  <w:tcBorders>
                    <w:tl2br w:val="nil"/>
                    <w:tr2bl w:val="nil"/>
                  </w:tcBorders>
                  <w:noWrap w:val="0"/>
                  <w:tcMar>
                    <w:top w:w="0" w:type="dxa"/>
                    <w:left w:w="0" w:type="dxa"/>
                    <w:bottom w:w="0" w:type="dxa"/>
                    <w:right w:w="0" w:type="dxa"/>
                  </w:tcMar>
                  <w:vAlign w:val="center"/>
                </w:tcPr>
                <w:p w14:paraId="16227F47">
                  <w:pPr>
                    <w:pStyle w:val="5"/>
                    <w:spacing w:before="0" w:after="0" w:line="240" w:lineRule="auto"/>
                    <w:ind w:right="0"/>
                    <w:jc w:val="center"/>
                    <w:rPr>
                      <w:snapToGrid w:val="0"/>
                      <w:color w:val="auto"/>
                      <w:spacing w:val="-8"/>
                      <w:sz w:val="21"/>
                      <w:szCs w:val="21"/>
                      <w:lang w:val="en-US" w:eastAsia="zh-CN"/>
                    </w:rPr>
                  </w:pPr>
                  <w:r>
                    <w:rPr>
                      <w:rFonts w:hint="eastAsia"/>
                      <w:snapToGrid w:val="0"/>
                      <w:color w:val="auto"/>
                      <w:spacing w:val="-8"/>
                      <w:sz w:val="21"/>
                      <w:szCs w:val="21"/>
                      <w:lang w:val="en-US" w:eastAsia="zh-CN"/>
                    </w:rPr>
                    <w:t>0</w:t>
                  </w:r>
                </w:p>
              </w:tc>
              <w:tc>
                <w:tcPr>
                  <w:tcW w:w="600" w:type="dxa"/>
                  <w:tcBorders>
                    <w:tl2br w:val="nil"/>
                    <w:tr2bl w:val="nil"/>
                  </w:tcBorders>
                  <w:noWrap w:val="0"/>
                  <w:tcMar>
                    <w:top w:w="0" w:type="dxa"/>
                    <w:left w:w="0" w:type="dxa"/>
                    <w:bottom w:w="0" w:type="dxa"/>
                    <w:right w:w="0" w:type="dxa"/>
                  </w:tcMar>
                  <w:vAlign w:val="center"/>
                </w:tcPr>
                <w:p w14:paraId="32D4241F">
                  <w:pPr>
                    <w:pStyle w:val="5"/>
                    <w:spacing w:before="0" w:after="0" w:line="240" w:lineRule="auto"/>
                    <w:ind w:right="0"/>
                    <w:jc w:val="center"/>
                    <w:rPr>
                      <w:snapToGrid w:val="0"/>
                      <w:color w:val="auto"/>
                      <w:spacing w:val="-8"/>
                      <w:sz w:val="21"/>
                      <w:szCs w:val="21"/>
                      <w:lang w:val="en-US" w:eastAsia="zh-CN"/>
                    </w:rPr>
                  </w:pPr>
                  <w:r>
                    <w:rPr>
                      <w:rFonts w:hint="default"/>
                      <w:snapToGrid w:val="0"/>
                      <w:color w:val="auto"/>
                      <w:spacing w:val="-8"/>
                      <w:sz w:val="21"/>
                      <w:szCs w:val="21"/>
                      <w:lang w:eastAsia="zh-CN"/>
                    </w:rPr>
                    <w:t>5</w:t>
                  </w:r>
                  <w:r>
                    <w:rPr>
                      <w:snapToGrid w:val="0"/>
                      <w:color w:val="auto"/>
                      <w:spacing w:val="-8"/>
                      <w:sz w:val="21"/>
                      <w:szCs w:val="21"/>
                      <w:lang w:val="en-US" w:eastAsia="zh-CN"/>
                    </w:rPr>
                    <w:t>km</w:t>
                  </w:r>
                </w:p>
              </w:tc>
              <w:tc>
                <w:tcPr>
                  <w:tcW w:w="825" w:type="dxa"/>
                  <w:tcBorders>
                    <w:tl2br w:val="nil"/>
                    <w:tr2bl w:val="nil"/>
                  </w:tcBorders>
                  <w:noWrap w:val="0"/>
                  <w:tcMar>
                    <w:top w:w="0" w:type="dxa"/>
                    <w:left w:w="0" w:type="dxa"/>
                    <w:bottom w:w="0" w:type="dxa"/>
                    <w:right w:w="0" w:type="dxa"/>
                  </w:tcMar>
                  <w:vAlign w:val="center"/>
                </w:tcPr>
                <w:p w14:paraId="74E0E3F5">
                  <w:pPr>
                    <w:pStyle w:val="5"/>
                    <w:spacing w:before="0" w:after="0" w:line="240" w:lineRule="auto"/>
                    <w:ind w:right="0"/>
                    <w:jc w:val="center"/>
                    <w:rPr>
                      <w:rFonts w:hint="eastAsia"/>
                      <w:snapToGrid w:val="0"/>
                      <w:color w:val="auto"/>
                      <w:spacing w:val="-8"/>
                      <w:sz w:val="21"/>
                      <w:szCs w:val="21"/>
                      <w:lang w:val="en-US" w:eastAsia="zh-CN"/>
                    </w:rPr>
                  </w:pPr>
                  <w:r>
                    <w:rPr>
                      <w:rFonts w:hint="eastAsia"/>
                      <w:snapToGrid w:val="0"/>
                      <w:color w:val="auto"/>
                      <w:spacing w:val="-8"/>
                      <w:sz w:val="21"/>
                      <w:szCs w:val="21"/>
                      <w:lang w:val="en-US" w:eastAsia="zh-CN"/>
                    </w:rPr>
                    <w:t>12</w:t>
                  </w:r>
                  <w:r>
                    <w:rPr>
                      <w:rFonts w:hint="default"/>
                      <w:snapToGrid w:val="0"/>
                      <w:color w:val="auto"/>
                      <w:spacing w:val="-8"/>
                      <w:sz w:val="21"/>
                      <w:szCs w:val="21"/>
                      <w:lang w:eastAsia="zh-CN"/>
                    </w:rPr>
                    <w:t>1</w:t>
                  </w:r>
                  <w:r>
                    <w:rPr>
                      <w:rFonts w:hint="eastAsia"/>
                      <w:snapToGrid w:val="0"/>
                      <w:color w:val="auto"/>
                      <w:spacing w:val="-8"/>
                      <w:sz w:val="21"/>
                      <w:szCs w:val="21"/>
                      <w:lang w:val="en-US" w:eastAsia="zh-CN"/>
                    </w:rPr>
                    <w:t>.</w:t>
                  </w:r>
                  <w:r>
                    <w:rPr>
                      <w:rFonts w:hint="default"/>
                      <w:snapToGrid w:val="0"/>
                      <w:color w:val="auto"/>
                      <w:spacing w:val="-8"/>
                      <w:sz w:val="21"/>
                      <w:szCs w:val="21"/>
                      <w:lang w:eastAsia="zh-CN"/>
                    </w:rPr>
                    <w:t>1163</w:t>
                  </w:r>
                </w:p>
              </w:tc>
              <w:tc>
                <w:tcPr>
                  <w:tcW w:w="750" w:type="dxa"/>
                  <w:tcBorders>
                    <w:tl2br w:val="nil"/>
                    <w:tr2bl w:val="nil"/>
                  </w:tcBorders>
                  <w:noWrap w:val="0"/>
                  <w:tcMar>
                    <w:top w:w="0" w:type="dxa"/>
                    <w:left w:w="0" w:type="dxa"/>
                    <w:bottom w:w="0" w:type="dxa"/>
                    <w:right w:w="0" w:type="dxa"/>
                  </w:tcMar>
                  <w:vAlign w:val="center"/>
                </w:tcPr>
                <w:p w14:paraId="766C6147">
                  <w:pPr>
                    <w:pStyle w:val="5"/>
                    <w:spacing w:before="0" w:after="0" w:line="240" w:lineRule="auto"/>
                    <w:ind w:right="0"/>
                    <w:jc w:val="center"/>
                    <w:rPr>
                      <w:rFonts w:hint="eastAsia"/>
                      <w:snapToGrid w:val="0"/>
                      <w:color w:val="auto"/>
                      <w:spacing w:val="-8"/>
                      <w:sz w:val="21"/>
                      <w:szCs w:val="21"/>
                      <w:lang w:val="en-US" w:eastAsia="zh-CN"/>
                    </w:rPr>
                  </w:pPr>
                  <w:r>
                    <w:rPr>
                      <w:rFonts w:hint="eastAsia"/>
                      <w:snapToGrid w:val="0"/>
                      <w:color w:val="auto"/>
                      <w:spacing w:val="-8"/>
                      <w:sz w:val="21"/>
                      <w:szCs w:val="21"/>
                      <w:lang w:val="en-US" w:eastAsia="zh-CN"/>
                    </w:rPr>
                    <w:t>31.</w:t>
                  </w:r>
                  <w:r>
                    <w:rPr>
                      <w:rFonts w:hint="default"/>
                      <w:snapToGrid w:val="0"/>
                      <w:color w:val="auto"/>
                      <w:spacing w:val="-8"/>
                      <w:sz w:val="21"/>
                      <w:szCs w:val="21"/>
                      <w:lang w:eastAsia="zh-CN"/>
                    </w:rPr>
                    <w:t>8420</w:t>
                  </w:r>
                </w:p>
              </w:tc>
              <w:tc>
                <w:tcPr>
                  <w:tcW w:w="820" w:type="dxa"/>
                  <w:tcBorders>
                    <w:tl2br w:val="nil"/>
                    <w:tr2bl w:val="nil"/>
                  </w:tcBorders>
                  <w:noWrap w:val="0"/>
                  <w:tcMar>
                    <w:top w:w="0" w:type="dxa"/>
                    <w:left w:w="0" w:type="dxa"/>
                    <w:bottom w:w="0" w:type="dxa"/>
                    <w:right w:w="0" w:type="dxa"/>
                  </w:tcMar>
                  <w:vAlign w:val="center"/>
                </w:tcPr>
                <w:p w14:paraId="7AE3E70B">
                  <w:pPr>
                    <w:pStyle w:val="5"/>
                    <w:spacing w:before="0" w:after="0" w:line="240" w:lineRule="auto"/>
                    <w:ind w:right="0"/>
                    <w:jc w:val="center"/>
                    <w:rPr>
                      <w:snapToGrid w:val="0"/>
                      <w:color w:val="auto"/>
                      <w:spacing w:val="-8"/>
                      <w:sz w:val="21"/>
                      <w:szCs w:val="21"/>
                      <w:lang w:val="en-US" w:eastAsia="zh-CN"/>
                    </w:rPr>
                  </w:pPr>
                  <w:r>
                    <w:rPr>
                      <w:snapToGrid w:val="0"/>
                      <w:color w:val="auto"/>
                      <w:spacing w:val="-8"/>
                      <w:sz w:val="21"/>
                      <w:szCs w:val="21"/>
                      <w:lang w:val="en-US" w:eastAsia="zh-CN"/>
                    </w:rPr>
                    <w:t>纳污水体</w:t>
                  </w:r>
                </w:p>
              </w:tc>
            </w:tr>
          </w:tbl>
          <w:p w14:paraId="21F2FADC">
            <w:pPr>
              <w:keepNext w:val="0"/>
              <w:keepLines w:val="0"/>
              <w:pageBreakBefore w:val="0"/>
              <w:widowControl w:val="0"/>
              <w:numPr>
                <w:ilvl w:val="0"/>
                <w:numId w:val="10"/>
              </w:numPr>
              <w:kinsoku/>
              <w:wordWrap/>
              <w:overflowPunct/>
              <w:topLinePunct w:val="0"/>
              <w:autoSpaceDE/>
              <w:autoSpaceDN/>
              <w:bidi w:val="0"/>
              <w:adjustRightInd w:val="0"/>
              <w:snapToGrid w:val="0"/>
              <w:spacing w:before="157" w:beforeLines="50" w:line="360" w:lineRule="auto"/>
              <w:ind w:left="0" w:leftChars="0" w:right="0" w:rightChars="0" w:firstLine="482" w:firstLineChars="200"/>
              <w:jc w:val="both"/>
              <w:textAlignment w:val="auto"/>
              <w:outlineLvl w:val="9"/>
              <w:rPr>
                <w:rFonts w:hAnsi="宋体"/>
                <w:b/>
                <w:bCs/>
                <w:color w:val="auto"/>
                <w:sz w:val="24"/>
                <w:highlight w:val="none"/>
              </w:rPr>
            </w:pPr>
            <w:r>
              <w:rPr>
                <w:rFonts w:hAnsi="宋体"/>
                <w:b/>
                <w:bCs/>
                <w:color w:val="auto"/>
                <w:sz w:val="24"/>
                <w:highlight w:val="none"/>
              </w:rPr>
              <w:t>地下水环境</w:t>
            </w:r>
          </w:p>
          <w:p w14:paraId="68187463">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厂界外</w:t>
            </w:r>
            <w:r>
              <w:rPr>
                <w:snapToGrid w:val="0"/>
                <w:color w:val="auto"/>
                <w:kern w:val="0"/>
                <w:sz w:val="24"/>
                <w:highlight w:val="none"/>
              </w:rPr>
              <w:t>500</w:t>
            </w:r>
            <w:r>
              <w:rPr>
                <w:rFonts w:hAnsi="宋体"/>
                <w:snapToGrid w:val="0"/>
                <w:color w:val="auto"/>
                <w:kern w:val="0"/>
                <w:sz w:val="24"/>
                <w:highlight w:val="none"/>
              </w:rPr>
              <w:t>米范围内无地下水集中式饮用水水源和热水、矿泉水、温泉等特殊地下水资源</w:t>
            </w:r>
            <w:r>
              <w:rPr>
                <w:rFonts w:hint="eastAsia" w:hAnsi="宋体"/>
                <w:snapToGrid w:val="0"/>
                <w:color w:val="auto"/>
                <w:kern w:val="0"/>
                <w:sz w:val="24"/>
                <w:highlight w:val="none"/>
              </w:rPr>
              <w:t>。</w:t>
            </w:r>
          </w:p>
          <w:p w14:paraId="751C8C1B">
            <w:pPr>
              <w:numPr>
                <w:ilvl w:val="0"/>
                <w:numId w:val="10"/>
              </w:numPr>
              <w:adjustRightInd w:val="0"/>
              <w:snapToGrid w:val="0"/>
              <w:spacing w:line="360" w:lineRule="auto"/>
              <w:ind w:firstLine="482" w:firstLineChars="200"/>
              <w:rPr>
                <w:rFonts w:hAnsi="宋体"/>
                <w:b/>
                <w:bCs/>
                <w:color w:val="auto"/>
                <w:sz w:val="24"/>
                <w:highlight w:val="none"/>
              </w:rPr>
            </w:pPr>
            <w:r>
              <w:rPr>
                <w:rFonts w:hint="eastAsia" w:hAnsi="宋体"/>
                <w:b/>
                <w:bCs/>
                <w:color w:val="auto"/>
                <w:sz w:val="24"/>
                <w:highlight w:val="none"/>
                <w:lang w:eastAsia="zh-Hans"/>
              </w:rPr>
              <w:t>生态</w:t>
            </w:r>
            <w:r>
              <w:rPr>
                <w:rFonts w:hAnsi="宋体"/>
                <w:b/>
                <w:bCs/>
                <w:color w:val="auto"/>
                <w:sz w:val="24"/>
                <w:highlight w:val="none"/>
              </w:rPr>
              <w:t>环境</w:t>
            </w:r>
          </w:p>
          <w:p w14:paraId="3617A2F0">
            <w:pPr>
              <w:adjustRightInd w:val="0"/>
              <w:snapToGrid w:val="0"/>
              <w:spacing w:line="360" w:lineRule="auto"/>
              <w:ind w:firstLine="480" w:firstLineChars="200"/>
              <w:rPr>
                <w:rFonts w:hAnsi="宋体"/>
                <w:snapToGrid w:val="0"/>
                <w:color w:val="auto"/>
                <w:kern w:val="0"/>
                <w:sz w:val="24"/>
                <w:highlight w:val="none"/>
              </w:rPr>
            </w:pPr>
            <w:r>
              <w:rPr>
                <w:snapToGrid w:val="0"/>
                <w:color w:val="auto"/>
                <w:kern w:val="0"/>
                <w:sz w:val="24"/>
                <w:highlight w:val="none"/>
              </w:rPr>
              <w:t>建设项目</w:t>
            </w:r>
            <w:r>
              <w:rPr>
                <w:rFonts w:hint="eastAsia"/>
                <w:snapToGrid w:val="0"/>
                <w:color w:val="auto"/>
                <w:kern w:val="0"/>
                <w:sz w:val="24"/>
                <w:highlight w:val="none"/>
                <w:lang w:eastAsia="zh-Hans"/>
              </w:rPr>
              <w:t>位于海门经济技术开发区内</w:t>
            </w:r>
            <w:r>
              <w:rPr>
                <w:snapToGrid w:val="0"/>
                <w:color w:val="auto"/>
                <w:kern w:val="0"/>
                <w:sz w:val="24"/>
                <w:highlight w:val="none"/>
              </w:rPr>
              <w:t>，用地范围内无生态环境保护目标。</w:t>
            </w:r>
          </w:p>
          <w:p w14:paraId="432D664F">
            <w:pPr>
              <w:adjustRightInd w:val="0"/>
              <w:snapToGrid w:val="0"/>
              <w:spacing w:line="360" w:lineRule="auto"/>
              <w:ind w:firstLine="480" w:firstLineChars="200"/>
              <w:rPr>
                <w:rFonts w:hAnsi="宋体"/>
                <w:snapToGrid w:val="0"/>
                <w:color w:val="auto"/>
                <w:kern w:val="0"/>
                <w:sz w:val="24"/>
                <w:highlight w:val="none"/>
              </w:rPr>
            </w:pPr>
          </w:p>
          <w:p w14:paraId="575C5F35">
            <w:pPr>
              <w:adjustRightInd w:val="0"/>
              <w:snapToGrid w:val="0"/>
              <w:spacing w:line="360" w:lineRule="auto"/>
              <w:ind w:firstLine="480" w:firstLineChars="200"/>
              <w:rPr>
                <w:rFonts w:hAnsi="宋体"/>
                <w:snapToGrid w:val="0"/>
                <w:color w:val="auto"/>
                <w:kern w:val="0"/>
                <w:sz w:val="24"/>
                <w:highlight w:val="none"/>
              </w:rPr>
            </w:pPr>
          </w:p>
          <w:p w14:paraId="39896396">
            <w:pPr>
              <w:adjustRightInd w:val="0"/>
              <w:snapToGrid w:val="0"/>
              <w:spacing w:line="360" w:lineRule="auto"/>
              <w:ind w:firstLine="480" w:firstLineChars="200"/>
              <w:rPr>
                <w:rFonts w:hAnsi="宋体"/>
                <w:snapToGrid w:val="0"/>
                <w:color w:val="auto"/>
                <w:kern w:val="0"/>
                <w:sz w:val="24"/>
                <w:highlight w:val="none"/>
              </w:rPr>
            </w:pPr>
          </w:p>
          <w:p w14:paraId="1084A86C">
            <w:pPr>
              <w:adjustRightInd w:val="0"/>
              <w:snapToGrid w:val="0"/>
              <w:spacing w:line="360" w:lineRule="auto"/>
              <w:ind w:firstLine="480" w:firstLineChars="200"/>
              <w:rPr>
                <w:rFonts w:hAnsi="宋体"/>
                <w:snapToGrid w:val="0"/>
                <w:color w:val="auto"/>
                <w:kern w:val="0"/>
                <w:sz w:val="24"/>
                <w:highlight w:val="none"/>
              </w:rPr>
            </w:pPr>
          </w:p>
          <w:p w14:paraId="6CA454F9">
            <w:pPr>
              <w:adjustRightInd w:val="0"/>
              <w:snapToGrid w:val="0"/>
              <w:spacing w:line="360" w:lineRule="auto"/>
              <w:ind w:firstLine="480" w:firstLineChars="200"/>
              <w:rPr>
                <w:rFonts w:hAnsi="宋体"/>
                <w:snapToGrid w:val="0"/>
                <w:color w:val="auto"/>
                <w:kern w:val="0"/>
                <w:sz w:val="24"/>
                <w:highlight w:val="none"/>
              </w:rPr>
            </w:pPr>
          </w:p>
          <w:p w14:paraId="01531D57">
            <w:pPr>
              <w:adjustRightInd w:val="0"/>
              <w:snapToGrid w:val="0"/>
              <w:spacing w:line="360" w:lineRule="auto"/>
              <w:ind w:firstLine="480" w:firstLineChars="200"/>
              <w:rPr>
                <w:rFonts w:hAnsi="宋体"/>
                <w:snapToGrid w:val="0"/>
                <w:color w:val="auto"/>
                <w:kern w:val="0"/>
                <w:sz w:val="24"/>
                <w:highlight w:val="none"/>
              </w:rPr>
            </w:pPr>
          </w:p>
          <w:p w14:paraId="23B1677C">
            <w:pPr>
              <w:adjustRightInd w:val="0"/>
              <w:snapToGrid w:val="0"/>
              <w:spacing w:line="360" w:lineRule="auto"/>
              <w:ind w:firstLine="480" w:firstLineChars="200"/>
              <w:rPr>
                <w:rFonts w:hAnsi="宋体"/>
                <w:snapToGrid w:val="0"/>
                <w:color w:val="auto"/>
                <w:kern w:val="0"/>
                <w:sz w:val="24"/>
                <w:highlight w:val="none"/>
              </w:rPr>
            </w:pPr>
          </w:p>
          <w:p w14:paraId="3C4560C3">
            <w:pPr>
              <w:adjustRightInd w:val="0"/>
              <w:snapToGrid w:val="0"/>
              <w:spacing w:line="360" w:lineRule="auto"/>
              <w:ind w:firstLine="480" w:firstLineChars="200"/>
              <w:rPr>
                <w:rFonts w:hAnsi="宋体"/>
                <w:snapToGrid w:val="0"/>
                <w:color w:val="auto"/>
                <w:kern w:val="0"/>
                <w:sz w:val="24"/>
                <w:highlight w:val="none"/>
              </w:rPr>
            </w:pPr>
          </w:p>
          <w:p w14:paraId="74F3093B">
            <w:pPr>
              <w:adjustRightInd w:val="0"/>
              <w:snapToGrid w:val="0"/>
              <w:spacing w:line="360" w:lineRule="auto"/>
              <w:ind w:firstLine="420" w:firstLineChars="200"/>
              <w:rPr>
                <w:rFonts w:hAnsi="宋体"/>
                <w:snapToGrid w:val="0"/>
                <w:color w:val="auto"/>
                <w:kern w:val="0"/>
                <w:szCs w:val="21"/>
                <w:highlight w:val="none"/>
              </w:rPr>
            </w:pPr>
          </w:p>
          <w:p w14:paraId="00503D5D">
            <w:pPr>
              <w:adjustRightInd w:val="0"/>
              <w:snapToGrid w:val="0"/>
              <w:spacing w:line="360" w:lineRule="auto"/>
              <w:rPr>
                <w:snapToGrid w:val="0"/>
                <w:color w:val="auto"/>
                <w:kern w:val="0"/>
                <w:szCs w:val="21"/>
                <w:highlight w:val="none"/>
              </w:rPr>
            </w:pPr>
          </w:p>
        </w:tc>
      </w:tr>
      <w:tr w14:paraId="14A9F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40" w:hRule="atLeast"/>
          <w:jc w:val="center"/>
        </w:trPr>
        <w:tc>
          <w:tcPr>
            <w:tcW w:w="395" w:type="pct"/>
            <w:tcMar>
              <w:left w:w="28" w:type="dxa"/>
              <w:right w:w="28" w:type="dxa"/>
            </w:tcMar>
            <w:vAlign w:val="center"/>
          </w:tcPr>
          <w:p w14:paraId="2808217F">
            <w:pPr>
              <w:adjustRightInd w:val="0"/>
              <w:snapToGrid w:val="0"/>
              <w:jc w:val="center"/>
              <w:rPr>
                <w:color w:val="auto"/>
                <w:kern w:val="0"/>
                <w:szCs w:val="21"/>
                <w:highlight w:val="none"/>
              </w:rPr>
            </w:pPr>
            <w:r>
              <w:rPr>
                <w:rFonts w:hAnsi="宋体"/>
                <w:color w:val="auto"/>
                <w:kern w:val="0"/>
                <w:sz w:val="24"/>
                <w:highlight w:val="none"/>
              </w:rPr>
              <w:t>污染物排放控制标准</w:t>
            </w:r>
          </w:p>
        </w:tc>
        <w:tc>
          <w:tcPr>
            <w:tcW w:w="4604" w:type="pct"/>
            <w:vAlign w:val="center"/>
          </w:tcPr>
          <w:p w14:paraId="449C6954">
            <w:pPr>
              <w:widowControl/>
              <w:spacing w:line="360" w:lineRule="auto"/>
              <w:jc w:val="left"/>
              <w:rPr>
                <w:color w:val="auto"/>
                <w:highlight w:val="none"/>
              </w:rPr>
            </w:pPr>
            <w:r>
              <w:rPr>
                <w:rFonts w:hint="eastAsia" w:ascii="宋体" w:hAnsi="宋体" w:cs="宋体"/>
                <w:b/>
                <w:bCs/>
                <w:color w:val="auto"/>
                <w:kern w:val="0"/>
                <w:sz w:val="24"/>
                <w:highlight w:val="none"/>
                <w:lang w:bidi="ar"/>
              </w:rPr>
              <w:t>一、环境质量标准</w:t>
            </w:r>
          </w:p>
          <w:p w14:paraId="238A050A">
            <w:pPr>
              <w:adjustRightInd w:val="0"/>
              <w:snapToGrid w:val="0"/>
              <w:spacing w:line="360" w:lineRule="auto"/>
              <w:ind w:firstLine="482" w:firstLineChars="200"/>
              <w:rPr>
                <w:b/>
                <w:bCs/>
                <w:color w:val="auto"/>
                <w:sz w:val="24"/>
                <w:highlight w:val="none"/>
              </w:rPr>
            </w:pPr>
            <w:r>
              <w:rPr>
                <w:rFonts w:hint="eastAsia"/>
                <w:b/>
                <w:bCs/>
                <w:color w:val="auto"/>
                <w:sz w:val="24"/>
                <w:highlight w:val="none"/>
              </w:rPr>
              <w:t>1、</w:t>
            </w:r>
            <w:r>
              <w:rPr>
                <w:b/>
                <w:bCs/>
                <w:color w:val="auto"/>
                <w:sz w:val="24"/>
                <w:highlight w:val="none"/>
              </w:rPr>
              <w:t>大气环境</w:t>
            </w:r>
          </w:p>
          <w:p w14:paraId="6042F05C">
            <w:pPr>
              <w:spacing w:line="360" w:lineRule="auto"/>
              <w:ind w:firstLine="480" w:firstLineChars="200"/>
              <w:rPr>
                <w:color w:val="auto"/>
                <w:sz w:val="24"/>
                <w:highlight w:val="none"/>
              </w:rPr>
            </w:pPr>
            <w:r>
              <w:rPr>
                <w:snapToGrid w:val="0"/>
                <w:color w:val="auto"/>
                <w:kern w:val="0"/>
                <w:sz w:val="24"/>
                <w:highlight w:val="none"/>
              </w:rPr>
              <w:t>根据《市政府办公室关于转发市环保局无锡市环境空气质量功能区划的通知》（锡政办[2011]300号），</w:t>
            </w:r>
            <w:r>
              <w:rPr>
                <w:color w:val="auto"/>
                <w:sz w:val="24"/>
                <w:highlight w:val="none"/>
              </w:rPr>
              <w:t>本项目所在地空气质量功能区为二类区。SO</w:t>
            </w:r>
            <w:r>
              <w:rPr>
                <w:color w:val="auto"/>
                <w:sz w:val="24"/>
                <w:highlight w:val="none"/>
                <w:vertAlign w:val="subscript"/>
              </w:rPr>
              <w:t>2</w:t>
            </w:r>
            <w:r>
              <w:rPr>
                <w:color w:val="auto"/>
                <w:sz w:val="24"/>
                <w:highlight w:val="none"/>
              </w:rPr>
              <w:t>、NO</w:t>
            </w:r>
            <w:r>
              <w:rPr>
                <w:color w:val="auto"/>
                <w:sz w:val="24"/>
                <w:highlight w:val="none"/>
                <w:vertAlign w:val="subscript"/>
              </w:rPr>
              <w:t>2</w:t>
            </w:r>
            <w:r>
              <w:rPr>
                <w:color w:val="auto"/>
                <w:sz w:val="24"/>
                <w:highlight w:val="none"/>
              </w:rPr>
              <w:t>、PM</w:t>
            </w:r>
            <w:r>
              <w:rPr>
                <w:color w:val="auto"/>
                <w:sz w:val="24"/>
                <w:highlight w:val="none"/>
                <w:vertAlign w:val="subscript"/>
              </w:rPr>
              <w:t>10</w:t>
            </w:r>
            <w:r>
              <w:rPr>
                <w:color w:val="auto"/>
                <w:sz w:val="24"/>
                <w:highlight w:val="none"/>
              </w:rPr>
              <w:t>、PM</w:t>
            </w:r>
            <w:r>
              <w:rPr>
                <w:color w:val="auto"/>
                <w:sz w:val="24"/>
                <w:highlight w:val="none"/>
                <w:vertAlign w:val="subscript"/>
              </w:rPr>
              <w:t>2.5</w:t>
            </w:r>
            <w:r>
              <w:rPr>
                <w:color w:val="auto"/>
                <w:sz w:val="24"/>
                <w:highlight w:val="none"/>
              </w:rPr>
              <w:t>、O</w:t>
            </w:r>
            <w:r>
              <w:rPr>
                <w:color w:val="auto"/>
                <w:sz w:val="24"/>
                <w:highlight w:val="none"/>
                <w:vertAlign w:val="subscript"/>
              </w:rPr>
              <w:t>3</w:t>
            </w:r>
            <w:r>
              <w:rPr>
                <w:color w:val="auto"/>
                <w:sz w:val="24"/>
                <w:highlight w:val="none"/>
              </w:rPr>
              <w:t>、CO执行《环境空气质量标准》（GB3095-2012）中二级标准，VOCs</w:t>
            </w:r>
            <w:r>
              <w:rPr>
                <w:rFonts w:hint="eastAsia"/>
                <w:color w:val="auto"/>
                <w:sz w:val="24"/>
                <w:highlight w:val="none"/>
                <w:lang w:eastAsia="zh-Hans"/>
              </w:rPr>
              <w:t>、</w:t>
            </w:r>
            <w:r>
              <w:rPr>
                <w:rFonts w:hint="eastAsia"/>
                <w:color w:val="auto"/>
                <w:sz w:val="24"/>
                <w:highlight w:val="none"/>
                <w:lang w:val="en-US" w:eastAsia="zh-Hans"/>
              </w:rPr>
              <w:t>二甲苯</w:t>
            </w:r>
            <w:r>
              <w:rPr>
                <w:color w:val="auto"/>
                <w:sz w:val="24"/>
                <w:highlight w:val="none"/>
              </w:rPr>
              <w:t>参照执行《环境影响评价技术导则 大气环境》（HJ2.2-2018）附录D</w:t>
            </w:r>
            <w:r>
              <w:rPr>
                <w:rFonts w:hint="eastAsia"/>
                <w:color w:val="auto"/>
                <w:sz w:val="24"/>
                <w:highlight w:val="none"/>
                <w:lang w:val="en-US" w:eastAsia="zh-Hans"/>
              </w:rPr>
              <w:t>相关标准，非甲烷总烃执行《大气污染物综合排放标准详解》中关于非甲烷总烃的推荐值</w:t>
            </w:r>
            <w:r>
              <w:rPr>
                <w:color w:val="auto"/>
                <w:sz w:val="24"/>
                <w:highlight w:val="none"/>
              </w:rPr>
              <w:t>。具体数值见表</w:t>
            </w:r>
            <w:r>
              <w:rPr>
                <w:rFonts w:hint="eastAsia"/>
                <w:color w:val="auto"/>
                <w:sz w:val="24"/>
                <w:highlight w:val="none"/>
              </w:rPr>
              <w:t>3</w:t>
            </w:r>
            <w:r>
              <w:rPr>
                <w:color w:val="auto"/>
                <w:sz w:val="24"/>
                <w:highlight w:val="none"/>
              </w:rPr>
              <w:t>-6。</w:t>
            </w:r>
          </w:p>
          <w:p w14:paraId="17B71A52">
            <w:pPr>
              <w:jc w:val="center"/>
              <w:rPr>
                <w:b/>
                <w:bCs/>
                <w:color w:val="auto"/>
                <w:sz w:val="24"/>
                <w:highlight w:val="none"/>
              </w:rPr>
            </w:pPr>
            <w:r>
              <w:rPr>
                <w:b/>
                <w:bCs/>
                <w:color w:val="auto"/>
                <w:sz w:val="24"/>
                <w:highlight w:val="none"/>
              </w:rPr>
              <w:t>表</w:t>
            </w:r>
            <w:r>
              <w:rPr>
                <w:rFonts w:hint="eastAsia"/>
                <w:b/>
                <w:bCs/>
                <w:color w:val="auto"/>
                <w:sz w:val="24"/>
                <w:highlight w:val="none"/>
              </w:rPr>
              <w:t>3</w:t>
            </w:r>
            <w:r>
              <w:rPr>
                <w:b/>
                <w:bCs/>
                <w:color w:val="auto"/>
                <w:sz w:val="24"/>
                <w:highlight w:val="none"/>
              </w:rPr>
              <w:t>-6  环境空气质量标准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2622"/>
              <w:gridCol w:w="1685"/>
              <w:gridCol w:w="936"/>
              <w:gridCol w:w="1868"/>
            </w:tblGrid>
            <w:tr w14:paraId="55BC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noWrap w:val="0"/>
                  <w:vAlign w:val="center"/>
                </w:tcPr>
                <w:p w14:paraId="354EA640">
                  <w:pPr>
                    <w:adjustRightInd w:val="0"/>
                    <w:snapToGrid w:val="0"/>
                    <w:jc w:val="center"/>
                    <w:rPr>
                      <w:b/>
                      <w:bCs/>
                      <w:color w:val="auto"/>
                      <w:highlight w:val="none"/>
                    </w:rPr>
                  </w:pPr>
                  <w:r>
                    <w:rPr>
                      <w:b/>
                      <w:bCs/>
                      <w:color w:val="auto"/>
                      <w:highlight w:val="none"/>
                    </w:rPr>
                    <w:t>污染物名称</w:t>
                  </w:r>
                </w:p>
              </w:tc>
              <w:tc>
                <w:tcPr>
                  <w:tcW w:w="2622" w:type="dxa"/>
                  <w:noWrap w:val="0"/>
                  <w:vAlign w:val="center"/>
                </w:tcPr>
                <w:p w14:paraId="0F0BE372">
                  <w:pPr>
                    <w:adjustRightInd w:val="0"/>
                    <w:snapToGrid w:val="0"/>
                    <w:jc w:val="center"/>
                    <w:rPr>
                      <w:b/>
                      <w:bCs/>
                      <w:color w:val="auto"/>
                      <w:highlight w:val="none"/>
                    </w:rPr>
                  </w:pPr>
                  <w:r>
                    <w:rPr>
                      <w:b/>
                      <w:bCs/>
                      <w:color w:val="auto"/>
                      <w:highlight w:val="none"/>
                    </w:rPr>
                    <w:t>取值标准</w:t>
                  </w:r>
                </w:p>
              </w:tc>
              <w:tc>
                <w:tcPr>
                  <w:tcW w:w="1685" w:type="dxa"/>
                  <w:noWrap w:val="0"/>
                  <w:vAlign w:val="center"/>
                </w:tcPr>
                <w:p w14:paraId="18FCB3A9">
                  <w:pPr>
                    <w:adjustRightInd w:val="0"/>
                    <w:snapToGrid w:val="0"/>
                    <w:jc w:val="center"/>
                    <w:rPr>
                      <w:b/>
                      <w:bCs/>
                      <w:color w:val="auto"/>
                      <w:highlight w:val="none"/>
                    </w:rPr>
                  </w:pPr>
                  <w:r>
                    <w:rPr>
                      <w:b/>
                      <w:bCs/>
                      <w:color w:val="auto"/>
                      <w:highlight w:val="none"/>
                    </w:rPr>
                    <w:t>浓度限值</w:t>
                  </w:r>
                </w:p>
              </w:tc>
              <w:tc>
                <w:tcPr>
                  <w:tcW w:w="936" w:type="dxa"/>
                  <w:noWrap w:val="0"/>
                  <w:vAlign w:val="center"/>
                </w:tcPr>
                <w:p w14:paraId="70D5C80C">
                  <w:pPr>
                    <w:adjustRightInd w:val="0"/>
                    <w:snapToGrid w:val="0"/>
                    <w:jc w:val="center"/>
                    <w:rPr>
                      <w:b/>
                      <w:bCs/>
                      <w:color w:val="auto"/>
                      <w:highlight w:val="none"/>
                    </w:rPr>
                  </w:pPr>
                  <w:r>
                    <w:rPr>
                      <w:b/>
                      <w:bCs/>
                      <w:color w:val="auto"/>
                      <w:highlight w:val="none"/>
                    </w:rPr>
                    <w:t>单位</w:t>
                  </w:r>
                </w:p>
              </w:tc>
              <w:tc>
                <w:tcPr>
                  <w:tcW w:w="1868" w:type="dxa"/>
                  <w:noWrap w:val="0"/>
                  <w:vAlign w:val="center"/>
                </w:tcPr>
                <w:p w14:paraId="201FBB71">
                  <w:pPr>
                    <w:adjustRightInd w:val="0"/>
                    <w:snapToGrid w:val="0"/>
                    <w:jc w:val="center"/>
                    <w:rPr>
                      <w:b/>
                      <w:bCs/>
                      <w:color w:val="auto"/>
                      <w:highlight w:val="none"/>
                    </w:rPr>
                  </w:pPr>
                  <w:r>
                    <w:rPr>
                      <w:b/>
                      <w:bCs/>
                      <w:color w:val="auto"/>
                      <w:highlight w:val="none"/>
                    </w:rPr>
                    <w:t>标准来源</w:t>
                  </w:r>
                </w:p>
              </w:tc>
            </w:tr>
            <w:tr w14:paraId="2A219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6837BB09">
                  <w:pPr>
                    <w:adjustRightInd w:val="0"/>
                    <w:snapToGrid w:val="0"/>
                    <w:jc w:val="center"/>
                    <w:rPr>
                      <w:color w:val="auto"/>
                      <w:highlight w:val="none"/>
                    </w:rPr>
                  </w:pPr>
                  <w:r>
                    <w:rPr>
                      <w:color w:val="auto"/>
                      <w:highlight w:val="none"/>
                    </w:rPr>
                    <w:t>SO</w:t>
                  </w:r>
                  <w:r>
                    <w:rPr>
                      <w:color w:val="auto"/>
                      <w:highlight w:val="none"/>
                      <w:vertAlign w:val="subscript"/>
                    </w:rPr>
                    <w:t>2</w:t>
                  </w:r>
                </w:p>
              </w:tc>
              <w:tc>
                <w:tcPr>
                  <w:tcW w:w="2622" w:type="dxa"/>
                  <w:noWrap w:val="0"/>
                  <w:vAlign w:val="center"/>
                </w:tcPr>
                <w:p w14:paraId="475619F7">
                  <w:pPr>
                    <w:adjustRightInd w:val="0"/>
                    <w:snapToGrid w:val="0"/>
                    <w:jc w:val="center"/>
                    <w:rPr>
                      <w:color w:val="auto"/>
                      <w:highlight w:val="none"/>
                    </w:rPr>
                  </w:pPr>
                  <w:r>
                    <w:rPr>
                      <w:color w:val="auto"/>
                      <w:highlight w:val="none"/>
                    </w:rPr>
                    <w:t>年平均</w:t>
                  </w:r>
                </w:p>
              </w:tc>
              <w:tc>
                <w:tcPr>
                  <w:tcW w:w="1685" w:type="dxa"/>
                  <w:noWrap w:val="0"/>
                  <w:vAlign w:val="center"/>
                </w:tcPr>
                <w:p w14:paraId="391E0731">
                  <w:pPr>
                    <w:jc w:val="center"/>
                    <w:rPr>
                      <w:color w:val="auto"/>
                      <w:highlight w:val="none"/>
                    </w:rPr>
                  </w:pPr>
                  <w:r>
                    <w:rPr>
                      <w:color w:val="auto"/>
                      <w:highlight w:val="none"/>
                    </w:rPr>
                    <w:t>60</w:t>
                  </w:r>
                </w:p>
              </w:tc>
              <w:tc>
                <w:tcPr>
                  <w:tcW w:w="936" w:type="dxa"/>
                  <w:vMerge w:val="restart"/>
                  <w:noWrap w:val="0"/>
                  <w:vAlign w:val="center"/>
                </w:tcPr>
                <w:p w14:paraId="398EAEBD">
                  <w:pPr>
                    <w:adjustRightInd w:val="0"/>
                    <w:snapToGrid w:val="0"/>
                    <w:jc w:val="center"/>
                    <w:rPr>
                      <w:color w:val="auto"/>
                      <w:szCs w:val="22"/>
                      <w:highlight w:val="none"/>
                    </w:rPr>
                  </w:pPr>
                  <w:r>
                    <w:rPr>
                      <w:color w:val="auto"/>
                      <w:highlight w:val="none"/>
                    </w:rPr>
                    <w:t>μg/Nm</w:t>
                  </w:r>
                  <w:r>
                    <w:rPr>
                      <w:color w:val="auto"/>
                      <w:highlight w:val="none"/>
                      <w:vertAlign w:val="superscript"/>
                    </w:rPr>
                    <w:t>3</w:t>
                  </w:r>
                </w:p>
              </w:tc>
              <w:tc>
                <w:tcPr>
                  <w:tcW w:w="1868" w:type="dxa"/>
                  <w:vMerge w:val="restart"/>
                  <w:noWrap w:val="0"/>
                  <w:vAlign w:val="center"/>
                </w:tcPr>
                <w:p w14:paraId="74809D29">
                  <w:pPr>
                    <w:adjustRightInd w:val="0"/>
                    <w:snapToGrid w:val="0"/>
                    <w:jc w:val="center"/>
                    <w:rPr>
                      <w:color w:val="auto"/>
                      <w:highlight w:val="none"/>
                    </w:rPr>
                  </w:pPr>
                  <w:r>
                    <w:rPr>
                      <w:color w:val="auto"/>
                      <w:highlight w:val="none"/>
                    </w:rPr>
                    <w:t>《环境空气质量标准》（GB3095-2012）</w:t>
                  </w:r>
                </w:p>
              </w:tc>
            </w:tr>
            <w:tr w14:paraId="7E913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73287FAB">
                  <w:pPr>
                    <w:adjustRightInd w:val="0"/>
                    <w:snapToGrid w:val="0"/>
                    <w:jc w:val="center"/>
                    <w:rPr>
                      <w:color w:val="auto"/>
                      <w:highlight w:val="none"/>
                    </w:rPr>
                  </w:pPr>
                </w:p>
              </w:tc>
              <w:tc>
                <w:tcPr>
                  <w:tcW w:w="2622" w:type="dxa"/>
                  <w:noWrap w:val="0"/>
                  <w:vAlign w:val="center"/>
                </w:tcPr>
                <w:p w14:paraId="72B68CC2">
                  <w:pPr>
                    <w:adjustRightInd w:val="0"/>
                    <w:snapToGrid w:val="0"/>
                    <w:jc w:val="center"/>
                    <w:rPr>
                      <w:color w:val="auto"/>
                      <w:highlight w:val="none"/>
                    </w:rPr>
                  </w:pPr>
                  <w:r>
                    <w:rPr>
                      <w:color w:val="auto"/>
                      <w:highlight w:val="none"/>
                    </w:rPr>
                    <w:t>24小时平均</w:t>
                  </w:r>
                </w:p>
              </w:tc>
              <w:tc>
                <w:tcPr>
                  <w:tcW w:w="1685" w:type="dxa"/>
                  <w:noWrap w:val="0"/>
                  <w:vAlign w:val="center"/>
                </w:tcPr>
                <w:p w14:paraId="4D4C0903">
                  <w:pPr>
                    <w:jc w:val="center"/>
                    <w:rPr>
                      <w:color w:val="auto"/>
                      <w:highlight w:val="none"/>
                    </w:rPr>
                  </w:pPr>
                  <w:r>
                    <w:rPr>
                      <w:color w:val="auto"/>
                      <w:highlight w:val="none"/>
                    </w:rPr>
                    <w:t>150</w:t>
                  </w:r>
                </w:p>
              </w:tc>
              <w:tc>
                <w:tcPr>
                  <w:tcW w:w="936" w:type="dxa"/>
                  <w:vMerge w:val="continue"/>
                  <w:noWrap w:val="0"/>
                  <w:vAlign w:val="center"/>
                </w:tcPr>
                <w:p w14:paraId="3ADD5861">
                  <w:pPr>
                    <w:adjustRightInd w:val="0"/>
                    <w:snapToGrid w:val="0"/>
                    <w:jc w:val="center"/>
                    <w:rPr>
                      <w:color w:val="auto"/>
                      <w:highlight w:val="none"/>
                    </w:rPr>
                  </w:pPr>
                </w:p>
              </w:tc>
              <w:tc>
                <w:tcPr>
                  <w:tcW w:w="1868" w:type="dxa"/>
                  <w:vMerge w:val="continue"/>
                  <w:noWrap w:val="0"/>
                  <w:vAlign w:val="center"/>
                </w:tcPr>
                <w:p w14:paraId="6C6B2402">
                  <w:pPr>
                    <w:adjustRightInd w:val="0"/>
                    <w:snapToGrid w:val="0"/>
                    <w:jc w:val="center"/>
                    <w:rPr>
                      <w:color w:val="auto"/>
                      <w:highlight w:val="none"/>
                    </w:rPr>
                  </w:pPr>
                </w:p>
              </w:tc>
            </w:tr>
            <w:tr w14:paraId="2A625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2B562376">
                  <w:pPr>
                    <w:adjustRightInd w:val="0"/>
                    <w:snapToGrid w:val="0"/>
                    <w:jc w:val="center"/>
                    <w:rPr>
                      <w:color w:val="auto"/>
                      <w:highlight w:val="none"/>
                    </w:rPr>
                  </w:pPr>
                </w:p>
              </w:tc>
              <w:tc>
                <w:tcPr>
                  <w:tcW w:w="2622" w:type="dxa"/>
                  <w:noWrap w:val="0"/>
                  <w:vAlign w:val="center"/>
                </w:tcPr>
                <w:p w14:paraId="40477095">
                  <w:pPr>
                    <w:adjustRightInd w:val="0"/>
                    <w:snapToGrid w:val="0"/>
                    <w:jc w:val="center"/>
                    <w:rPr>
                      <w:color w:val="auto"/>
                      <w:highlight w:val="none"/>
                    </w:rPr>
                  </w:pPr>
                  <w:r>
                    <w:rPr>
                      <w:color w:val="auto"/>
                      <w:highlight w:val="none"/>
                    </w:rPr>
                    <w:t>1小时平均</w:t>
                  </w:r>
                </w:p>
              </w:tc>
              <w:tc>
                <w:tcPr>
                  <w:tcW w:w="1685" w:type="dxa"/>
                  <w:noWrap w:val="0"/>
                  <w:vAlign w:val="center"/>
                </w:tcPr>
                <w:p w14:paraId="78407E91">
                  <w:pPr>
                    <w:jc w:val="center"/>
                    <w:rPr>
                      <w:color w:val="auto"/>
                      <w:highlight w:val="none"/>
                    </w:rPr>
                  </w:pPr>
                  <w:r>
                    <w:rPr>
                      <w:color w:val="auto"/>
                      <w:highlight w:val="none"/>
                    </w:rPr>
                    <w:t>500</w:t>
                  </w:r>
                </w:p>
              </w:tc>
              <w:tc>
                <w:tcPr>
                  <w:tcW w:w="936" w:type="dxa"/>
                  <w:vMerge w:val="continue"/>
                  <w:noWrap w:val="0"/>
                  <w:vAlign w:val="center"/>
                </w:tcPr>
                <w:p w14:paraId="5DA3CB04">
                  <w:pPr>
                    <w:adjustRightInd w:val="0"/>
                    <w:snapToGrid w:val="0"/>
                    <w:jc w:val="center"/>
                    <w:rPr>
                      <w:color w:val="auto"/>
                      <w:highlight w:val="none"/>
                    </w:rPr>
                  </w:pPr>
                </w:p>
              </w:tc>
              <w:tc>
                <w:tcPr>
                  <w:tcW w:w="1868" w:type="dxa"/>
                  <w:vMerge w:val="continue"/>
                  <w:noWrap w:val="0"/>
                  <w:vAlign w:val="center"/>
                </w:tcPr>
                <w:p w14:paraId="64E6580D">
                  <w:pPr>
                    <w:adjustRightInd w:val="0"/>
                    <w:snapToGrid w:val="0"/>
                    <w:jc w:val="center"/>
                    <w:rPr>
                      <w:color w:val="auto"/>
                      <w:highlight w:val="none"/>
                    </w:rPr>
                  </w:pPr>
                </w:p>
              </w:tc>
            </w:tr>
            <w:tr w14:paraId="4013B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1F651855">
                  <w:pPr>
                    <w:adjustRightInd w:val="0"/>
                    <w:snapToGrid w:val="0"/>
                    <w:jc w:val="center"/>
                    <w:rPr>
                      <w:color w:val="auto"/>
                      <w:highlight w:val="none"/>
                    </w:rPr>
                  </w:pPr>
                  <w:r>
                    <w:rPr>
                      <w:color w:val="auto"/>
                      <w:highlight w:val="none"/>
                    </w:rPr>
                    <w:t>NO</w:t>
                  </w:r>
                  <w:r>
                    <w:rPr>
                      <w:color w:val="auto"/>
                      <w:highlight w:val="none"/>
                      <w:vertAlign w:val="subscript"/>
                    </w:rPr>
                    <w:t>2</w:t>
                  </w:r>
                </w:p>
              </w:tc>
              <w:tc>
                <w:tcPr>
                  <w:tcW w:w="2622" w:type="dxa"/>
                  <w:noWrap w:val="0"/>
                  <w:vAlign w:val="center"/>
                </w:tcPr>
                <w:p w14:paraId="27D8F24F">
                  <w:pPr>
                    <w:adjustRightInd w:val="0"/>
                    <w:snapToGrid w:val="0"/>
                    <w:jc w:val="center"/>
                    <w:rPr>
                      <w:color w:val="auto"/>
                      <w:highlight w:val="none"/>
                    </w:rPr>
                  </w:pPr>
                  <w:r>
                    <w:rPr>
                      <w:color w:val="auto"/>
                      <w:highlight w:val="none"/>
                    </w:rPr>
                    <w:t>年平均</w:t>
                  </w:r>
                </w:p>
              </w:tc>
              <w:tc>
                <w:tcPr>
                  <w:tcW w:w="1685" w:type="dxa"/>
                  <w:noWrap w:val="0"/>
                  <w:vAlign w:val="center"/>
                </w:tcPr>
                <w:p w14:paraId="64CEB3B3">
                  <w:pPr>
                    <w:jc w:val="center"/>
                    <w:rPr>
                      <w:color w:val="auto"/>
                      <w:highlight w:val="none"/>
                    </w:rPr>
                  </w:pPr>
                  <w:r>
                    <w:rPr>
                      <w:color w:val="auto"/>
                      <w:highlight w:val="none"/>
                    </w:rPr>
                    <w:t>40</w:t>
                  </w:r>
                </w:p>
              </w:tc>
              <w:tc>
                <w:tcPr>
                  <w:tcW w:w="936" w:type="dxa"/>
                  <w:vMerge w:val="continue"/>
                  <w:noWrap w:val="0"/>
                  <w:vAlign w:val="center"/>
                </w:tcPr>
                <w:p w14:paraId="71A6E384">
                  <w:pPr>
                    <w:adjustRightInd w:val="0"/>
                    <w:snapToGrid w:val="0"/>
                    <w:jc w:val="center"/>
                    <w:rPr>
                      <w:color w:val="auto"/>
                      <w:highlight w:val="none"/>
                    </w:rPr>
                  </w:pPr>
                </w:p>
              </w:tc>
              <w:tc>
                <w:tcPr>
                  <w:tcW w:w="1868" w:type="dxa"/>
                  <w:vMerge w:val="continue"/>
                  <w:noWrap w:val="0"/>
                  <w:vAlign w:val="center"/>
                </w:tcPr>
                <w:p w14:paraId="0616FE10">
                  <w:pPr>
                    <w:adjustRightInd w:val="0"/>
                    <w:snapToGrid w:val="0"/>
                    <w:jc w:val="center"/>
                    <w:rPr>
                      <w:color w:val="auto"/>
                      <w:highlight w:val="none"/>
                    </w:rPr>
                  </w:pPr>
                </w:p>
              </w:tc>
            </w:tr>
            <w:tr w14:paraId="0ED92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0004D9C0">
                  <w:pPr>
                    <w:adjustRightInd w:val="0"/>
                    <w:snapToGrid w:val="0"/>
                    <w:jc w:val="center"/>
                    <w:rPr>
                      <w:color w:val="auto"/>
                      <w:highlight w:val="none"/>
                    </w:rPr>
                  </w:pPr>
                </w:p>
              </w:tc>
              <w:tc>
                <w:tcPr>
                  <w:tcW w:w="2622" w:type="dxa"/>
                  <w:noWrap w:val="0"/>
                  <w:vAlign w:val="center"/>
                </w:tcPr>
                <w:p w14:paraId="54A8F472">
                  <w:pPr>
                    <w:adjustRightInd w:val="0"/>
                    <w:snapToGrid w:val="0"/>
                    <w:jc w:val="center"/>
                    <w:rPr>
                      <w:color w:val="auto"/>
                      <w:highlight w:val="none"/>
                    </w:rPr>
                  </w:pPr>
                  <w:r>
                    <w:rPr>
                      <w:color w:val="auto"/>
                      <w:highlight w:val="none"/>
                    </w:rPr>
                    <w:t>24小时平均</w:t>
                  </w:r>
                </w:p>
              </w:tc>
              <w:tc>
                <w:tcPr>
                  <w:tcW w:w="1685" w:type="dxa"/>
                  <w:noWrap w:val="0"/>
                  <w:vAlign w:val="center"/>
                </w:tcPr>
                <w:p w14:paraId="37E7DB26">
                  <w:pPr>
                    <w:jc w:val="center"/>
                    <w:rPr>
                      <w:color w:val="auto"/>
                      <w:highlight w:val="none"/>
                    </w:rPr>
                  </w:pPr>
                  <w:r>
                    <w:rPr>
                      <w:color w:val="auto"/>
                      <w:highlight w:val="none"/>
                    </w:rPr>
                    <w:t>80</w:t>
                  </w:r>
                </w:p>
              </w:tc>
              <w:tc>
                <w:tcPr>
                  <w:tcW w:w="936" w:type="dxa"/>
                  <w:vMerge w:val="continue"/>
                  <w:noWrap w:val="0"/>
                  <w:vAlign w:val="center"/>
                </w:tcPr>
                <w:p w14:paraId="7AC7AB1D">
                  <w:pPr>
                    <w:adjustRightInd w:val="0"/>
                    <w:snapToGrid w:val="0"/>
                    <w:jc w:val="center"/>
                    <w:rPr>
                      <w:color w:val="auto"/>
                      <w:highlight w:val="none"/>
                    </w:rPr>
                  </w:pPr>
                </w:p>
              </w:tc>
              <w:tc>
                <w:tcPr>
                  <w:tcW w:w="1868" w:type="dxa"/>
                  <w:vMerge w:val="continue"/>
                  <w:noWrap w:val="0"/>
                  <w:vAlign w:val="center"/>
                </w:tcPr>
                <w:p w14:paraId="234F9BDF">
                  <w:pPr>
                    <w:adjustRightInd w:val="0"/>
                    <w:snapToGrid w:val="0"/>
                    <w:jc w:val="center"/>
                    <w:rPr>
                      <w:color w:val="auto"/>
                      <w:highlight w:val="none"/>
                    </w:rPr>
                  </w:pPr>
                </w:p>
              </w:tc>
            </w:tr>
            <w:tr w14:paraId="4B96A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6534E06B">
                  <w:pPr>
                    <w:adjustRightInd w:val="0"/>
                    <w:snapToGrid w:val="0"/>
                    <w:jc w:val="center"/>
                    <w:rPr>
                      <w:color w:val="auto"/>
                      <w:highlight w:val="none"/>
                    </w:rPr>
                  </w:pPr>
                </w:p>
              </w:tc>
              <w:tc>
                <w:tcPr>
                  <w:tcW w:w="2622" w:type="dxa"/>
                  <w:noWrap w:val="0"/>
                  <w:vAlign w:val="center"/>
                </w:tcPr>
                <w:p w14:paraId="67DF5E0A">
                  <w:pPr>
                    <w:adjustRightInd w:val="0"/>
                    <w:snapToGrid w:val="0"/>
                    <w:jc w:val="center"/>
                    <w:rPr>
                      <w:color w:val="auto"/>
                      <w:highlight w:val="none"/>
                    </w:rPr>
                  </w:pPr>
                  <w:r>
                    <w:rPr>
                      <w:color w:val="auto"/>
                      <w:highlight w:val="none"/>
                    </w:rPr>
                    <w:t>1小时平均</w:t>
                  </w:r>
                </w:p>
              </w:tc>
              <w:tc>
                <w:tcPr>
                  <w:tcW w:w="1685" w:type="dxa"/>
                  <w:noWrap w:val="0"/>
                  <w:vAlign w:val="center"/>
                </w:tcPr>
                <w:p w14:paraId="05ABD8F8">
                  <w:pPr>
                    <w:jc w:val="center"/>
                    <w:rPr>
                      <w:color w:val="auto"/>
                      <w:highlight w:val="none"/>
                    </w:rPr>
                  </w:pPr>
                  <w:r>
                    <w:rPr>
                      <w:color w:val="auto"/>
                      <w:highlight w:val="none"/>
                    </w:rPr>
                    <w:t>200</w:t>
                  </w:r>
                </w:p>
              </w:tc>
              <w:tc>
                <w:tcPr>
                  <w:tcW w:w="936" w:type="dxa"/>
                  <w:vMerge w:val="continue"/>
                  <w:noWrap w:val="0"/>
                  <w:vAlign w:val="center"/>
                </w:tcPr>
                <w:p w14:paraId="6AA54754">
                  <w:pPr>
                    <w:adjustRightInd w:val="0"/>
                    <w:snapToGrid w:val="0"/>
                    <w:jc w:val="center"/>
                    <w:rPr>
                      <w:color w:val="auto"/>
                      <w:highlight w:val="none"/>
                    </w:rPr>
                  </w:pPr>
                </w:p>
              </w:tc>
              <w:tc>
                <w:tcPr>
                  <w:tcW w:w="1868" w:type="dxa"/>
                  <w:vMerge w:val="continue"/>
                  <w:noWrap w:val="0"/>
                  <w:vAlign w:val="center"/>
                </w:tcPr>
                <w:p w14:paraId="56CB6003">
                  <w:pPr>
                    <w:adjustRightInd w:val="0"/>
                    <w:snapToGrid w:val="0"/>
                    <w:jc w:val="center"/>
                    <w:rPr>
                      <w:color w:val="auto"/>
                      <w:highlight w:val="none"/>
                    </w:rPr>
                  </w:pPr>
                </w:p>
              </w:tc>
            </w:tr>
            <w:tr w14:paraId="3763C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56B22955">
                  <w:pPr>
                    <w:adjustRightInd w:val="0"/>
                    <w:snapToGrid w:val="0"/>
                    <w:jc w:val="center"/>
                    <w:rPr>
                      <w:color w:val="auto"/>
                      <w:highlight w:val="none"/>
                    </w:rPr>
                  </w:pPr>
                  <w:r>
                    <w:rPr>
                      <w:rFonts w:hint="eastAsia"/>
                      <w:color w:val="auto"/>
                      <w:highlight w:val="none"/>
                    </w:rPr>
                    <w:t>TSP</w:t>
                  </w:r>
                </w:p>
              </w:tc>
              <w:tc>
                <w:tcPr>
                  <w:tcW w:w="2622" w:type="dxa"/>
                  <w:noWrap w:val="0"/>
                  <w:vAlign w:val="center"/>
                </w:tcPr>
                <w:p w14:paraId="07400ABB">
                  <w:pPr>
                    <w:adjustRightInd w:val="0"/>
                    <w:snapToGrid w:val="0"/>
                    <w:jc w:val="center"/>
                    <w:rPr>
                      <w:color w:val="auto"/>
                      <w:highlight w:val="none"/>
                    </w:rPr>
                  </w:pPr>
                  <w:r>
                    <w:rPr>
                      <w:color w:val="auto"/>
                      <w:highlight w:val="none"/>
                    </w:rPr>
                    <w:t>年平均</w:t>
                  </w:r>
                </w:p>
              </w:tc>
              <w:tc>
                <w:tcPr>
                  <w:tcW w:w="1685" w:type="dxa"/>
                  <w:noWrap w:val="0"/>
                  <w:vAlign w:val="center"/>
                </w:tcPr>
                <w:p w14:paraId="315D9DC3">
                  <w:pPr>
                    <w:jc w:val="center"/>
                    <w:rPr>
                      <w:color w:val="auto"/>
                      <w:highlight w:val="none"/>
                    </w:rPr>
                  </w:pPr>
                  <w:r>
                    <w:rPr>
                      <w:rFonts w:hint="eastAsia"/>
                      <w:color w:val="auto"/>
                      <w:highlight w:val="none"/>
                    </w:rPr>
                    <w:t>200</w:t>
                  </w:r>
                </w:p>
              </w:tc>
              <w:tc>
                <w:tcPr>
                  <w:tcW w:w="936" w:type="dxa"/>
                  <w:vMerge w:val="continue"/>
                  <w:noWrap w:val="0"/>
                  <w:vAlign w:val="center"/>
                </w:tcPr>
                <w:p w14:paraId="462A5B4A">
                  <w:pPr>
                    <w:adjustRightInd w:val="0"/>
                    <w:snapToGrid w:val="0"/>
                    <w:jc w:val="center"/>
                    <w:rPr>
                      <w:color w:val="auto"/>
                      <w:highlight w:val="none"/>
                    </w:rPr>
                  </w:pPr>
                </w:p>
              </w:tc>
              <w:tc>
                <w:tcPr>
                  <w:tcW w:w="1868" w:type="dxa"/>
                  <w:vMerge w:val="continue"/>
                  <w:noWrap w:val="0"/>
                  <w:vAlign w:val="center"/>
                </w:tcPr>
                <w:p w14:paraId="494EAB09">
                  <w:pPr>
                    <w:adjustRightInd w:val="0"/>
                    <w:snapToGrid w:val="0"/>
                    <w:jc w:val="center"/>
                    <w:rPr>
                      <w:color w:val="auto"/>
                      <w:highlight w:val="none"/>
                    </w:rPr>
                  </w:pPr>
                </w:p>
              </w:tc>
            </w:tr>
            <w:tr w14:paraId="7CCB9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564DB0CD">
                  <w:pPr>
                    <w:adjustRightInd w:val="0"/>
                    <w:snapToGrid w:val="0"/>
                    <w:jc w:val="center"/>
                    <w:rPr>
                      <w:color w:val="auto"/>
                      <w:highlight w:val="none"/>
                    </w:rPr>
                  </w:pPr>
                </w:p>
              </w:tc>
              <w:tc>
                <w:tcPr>
                  <w:tcW w:w="2622" w:type="dxa"/>
                  <w:noWrap w:val="0"/>
                  <w:vAlign w:val="center"/>
                </w:tcPr>
                <w:p w14:paraId="1AA0287E">
                  <w:pPr>
                    <w:adjustRightInd w:val="0"/>
                    <w:snapToGrid w:val="0"/>
                    <w:jc w:val="center"/>
                    <w:rPr>
                      <w:color w:val="auto"/>
                      <w:highlight w:val="none"/>
                    </w:rPr>
                  </w:pPr>
                  <w:r>
                    <w:rPr>
                      <w:color w:val="auto"/>
                      <w:highlight w:val="none"/>
                    </w:rPr>
                    <w:t>24小时平均</w:t>
                  </w:r>
                </w:p>
              </w:tc>
              <w:tc>
                <w:tcPr>
                  <w:tcW w:w="1685" w:type="dxa"/>
                  <w:noWrap w:val="0"/>
                  <w:vAlign w:val="center"/>
                </w:tcPr>
                <w:p w14:paraId="570FC9A8">
                  <w:pPr>
                    <w:jc w:val="center"/>
                    <w:rPr>
                      <w:color w:val="auto"/>
                      <w:highlight w:val="none"/>
                    </w:rPr>
                  </w:pPr>
                  <w:r>
                    <w:rPr>
                      <w:rFonts w:hint="eastAsia"/>
                      <w:color w:val="auto"/>
                      <w:highlight w:val="none"/>
                    </w:rPr>
                    <w:t>300</w:t>
                  </w:r>
                </w:p>
              </w:tc>
              <w:tc>
                <w:tcPr>
                  <w:tcW w:w="936" w:type="dxa"/>
                  <w:vMerge w:val="continue"/>
                  <w:noWrap w:val="0"/>
                  <w:vAlign w:val="center"/>
                </w:tcPr>
                <w:p w14:paraId="6A57942E">
                  <w:pPr>
                    <w:adjustRightInd w:val="0"/>
                    <w:snapToGrid w:val="0"/>
                    <w:jc w:val="center"/>
                    <w:rPr>
                      <w:color w:val="auto"/>
                      <w:highlight w:val="none"/>
                    </w:rPr>
                  </w:pPr>
                </w:p>
              </w:tc>
              <w:tc>
                <w:tcPr>
                  <w:tcW w:w="1868" w:type="dxa"/>
                  <w:vMerge w:val="continue"/>
                  <w:noWrap w:val="0"/>
                  <w:vAlign w:val="center"/>
                </w:tcPr>
                <w:p w14:paraId="29325767">
                  <w:pPr>
                    <w:adjustRightInd w:val="0"/>
                    <w:snapToGrid w:val="0"/>
                    <w:jc w:val="center"/>
                    <w:rPr>
                      <w:color w:val="auto"/>
                      <w:highlight w:val="none"/>
                    </w:rPr>
                  </w:pPr>
                </w:p>
              </w:tc>
            </w:tr>
            <w:tr w14:paraId="7A134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089DCD4A">
                  <w:pPr>
                    <w:adjustRightInd w:val="0"/>
                    <w:snapToGrid w:val="0"/>
                    <w:jc w:val="center"/>
                    <w:rPr>
                      <w:color w:val="auto"/>
                      <w:highlight w:val="none"/>
                    </w:rPr>
                  </w:pPr>
                  <w:r>
                    <w:rPr>
                      <w:color w:val="auto"/>
                      <w:highlight w:val="none"/>
                    </w:rPr>
                    <w:t>PM</w:t>
                  </w:r>
                  <w:r>
                    <w:rPr>
                      <w:color w:val="auto"/>
                      <w:highlight w:val="none"/>
                      <w:vertAlign w:val="subscript"/>
                    </w:rPr>
                    <w:t>10</w:t>
                  </w:r>
                </w:p>
              </w:tc>
              <w:tc>
                <w:tcPr>
                  <w:tcW w:w="2622" w:type="dxa"/>
                  <w:noWrap w:val="0"/>
                  <w:vAlign w:val="center"/>
                </w:tcPr>
                <w:p w14:paraId="5AD771D9">
                  <w:pPr>
                    <w:adjustRightInd w:val="0"/>
                    <w:snapToGrid w:val="0"/>
                    <w:jc w:val="center"/>
                    <w:rPr>
                      <w:color w:val="auto"/>
                      <w:highlight w:val="none"/>
                    </w:rPr>
                  </w:pPr>
                  <w:r>
                    <w:rPr>
                      <w:color w:val="auto"/>
                      <w:highlight w:val="none"/>
                    </w:rPr>
                    <w:t>年平均</w:t>
                  </w:r>
                </w:p>
              </w:tc>
              <w:tc>
                <w:tcPr>
                  <w:tcW w:w="1685" w:type="dxa"/>
                  <w:noWrap w:val="0"/>
                  <w:vAlign w:val="center"/>
                </w:tcPr>
                <w:p w14:paraId="2F34A655">
                  <w:pPr>
                    <w:jc w:val="center"/>
                    <w:rPr>
                      <w:color w:val="auto"/>
                      <w:highlight w:val="none"/>
                    </w:rPr>
                  </w:pPr>
                  <w:r>
                    <w:rPr>
                      <w:color w:val="auto"/>
                      <w:highlight w:val="none"/>
                    </w:rPr>
                    <w:t>70</w:t>
                  </w:r>
                </w:p>
              </w:tc>
              <w:tc>
                <w:tcPr>
                  <w:tcW w:w="936" w:type="dxa"/>
                  <w:vMerge w:val="continue"/>
                  <w:noWrap w:val="0"/>
                  <w:vAlign w:val="center"/>
                </w:tcPr>
                <w:p w14:paraId="480C4E4C">
                  <w:pPr>
                    <w:adjustRightInd w:val="0"/>
                    <w:snapToGrid w:val="0"/>
                    <w:jc w:val="center"/>
                    <w:rPr>
                      <w:color w:val="auto"/>
                      <w:highlight w:val="none"/>
                    </w:rPr>
                  </w:pPr>
                </w:p>
              </w:tc>
              <w:tc>
                <w:tcPr>
                  <w:tcW w:w="1868" w:type="dxa"/>
                  <w:vMerge w:val="continue"/>
                  <w:noWrap w:val="0"/>
                  <w:vAlign w:val="center"/>
                </w:tcPr>
                <w:p w14:paraId="194FA582">
                  <w:pPr>
                    <w:adjustRightInd w:val="0"/>
                    <w:snapToGrid w:val="0"/>
                    <w:jc w:val="center"/>
                    <w:rPr>
                      <w:color w:val="auto"/>
                      <w:highlight w:val="none"/>
                    </w:rPr>
                  </w:pPr>
                </w:p>
              </w:tc>
            </w:tr>
            <w:tr w14:paraId="763B5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754F5E56">
                  <w:pPr>
                    <w:adjustRightInd w:val="0"/>
                    <w:snapToGrid w:val="0"/>
                    <w:jc w:val="center"/>
                    <w:rPr>
                      <w:color w:val="auto"/>
                      <w:highlight w:val="none"/>
                    </w:rPr>
                  </w:pPr>
                </w:p>
              </w:tc>
              <w:tc>
                <w:tcPr>
                  <w:tcW w:w="2622" w:type="dxa"/>
                  <w:noWrap w:val="0"/>
                  <w:vAlign w:val="center"/>
                </w:tcPr>
                <w:p w14:paraId="7DBE76E8">
                  <w:pPr>
                    <w:adjustRightInd w:val="0"/>
                    <w:snapToGrid w:val="0"/>
                    <w:jc w:val="center"/>
                    <w:rPr>
                      <w:color w:val="auto"/>
                      <w:highlight w:val="none"/>
                    </w:rPr>
                  </w:pPr>
                  <w:r>
                    <w:rPr>
                      <w:color w:val="auto"/>
                      <w:highlight w:val="none"/>
                    </w:rPr>
                    <w:t>24小时平均</w:t>
                  </w:r>
                </w:p>
              </w:tc>
              <w:tc>
                <w:tcPr>
                  <w:tcW w:w="1685" w:type="dxa"/>
                  <w:noWrap w:val="0"/>
                  <w:vAlign w:val="center"/>
                </w:tcPr>
                <w:p w14:paraId="6CBA014E">
                  <w:pPr>
                    <w:jc w:val="center"/>
                    <w:rPr>
                      <w:color w:val="auto"/>
                      <w:highlight w:val="none"/>
                    </w:rPr>
                  </w:pPr>
                  <w:r>
                    <w:rPr>
                      <w:color w:val="auto"/>
                      <w:highlight w:val="none"/>
                    </w:rPr>
                    <w:t>150</w:t>
                  </w:r>
                </w:p>
              </w:tc>
              <w:tc>
                <w:tcPr>
                  <w:tcW w:w="936" w:type="dxa"/>
                  <w:vMerge w:val="continue"/>
                  <w:noWrap w:val="0"/>
                  <w:vAlign w:val="center"/>
                </w:tcPr>
                <w:p w14:paraId="2100BFDE">
                  <w:pPr>
                    <w:adjustRightInd w:val="0"/>
                    <w:snapToGrid w:val="0"/>
                    <w:jc w:val="center"/>
                    <w:rPr>
                      <w:color w:val="auto"/>
                      <w:highlight w:val="none"/>
                    </w:rPr>
                  </w:pPr>
                </w:p>
              </w:tc>
              <w:tc>
                <w:tcPr>
                  <w:tcW w:w="1868" w:type="dxa"/>
                  <w:vMerge w:val="continue"/>
                  <w:noWrap w:val="0"/>
                  <w:vAlign w:val="center"/>
                </w:tcPr>
                <w:p w14:paraId="4351902A">
                  <w:pPr>
                    <w:adjustRightInd w:val="0"/>
                    <w:snapToGrid w:val="0"/>
                    <w:jc w:val="center"/>
                    <w:rPr>
                      <w:color w:val="auto"/>
                      <w:highlight w:val="none"/>
                    </w:rPr>
                  </w:pPr>
                </w:p>
              </w:tc>
            </w:tr>
            <w:tr w14:paraId="560F6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00EAC83E">
                  <w:pPr>
                    <w:pStyle w:val="60"/>
                    <w:spacing w:before="24" w:after="24"/>
                    <w:rPr>
                      <w:rFonts w:ascii="Times New Roman"/>
                      <w:snapToGrid w:val="0"/>
                      <w:color w:val="auto"/>
                      <w:highlight w:val="none"/>
                      <w:lang w:val="en-US" w:eastAsia="zh-CN"/>
                    </w:rPr>
                  </w:pPr>
                  <w:r>
                    <w:rPr>
                      <w:rFonts w:ascii="Times New Roman"/>
                      <w:snapToGrid w:val="0"/>
                      <w:color w:val="auto"/>
                      <w:highlight w:val="none"/>
                      <w:lang w:val="en-US" w:eastAsia="zh-CN"/>
                    </w:rPr>
                    <w:t>PM</w:t>
                  </w:r>
                  <w:r>
                    <w:rPr>
                      <w:rFonts w:ascii="Times New Roman"/>
                      <w:snapToGrid w:val="0"/>
                      <w:color w:val="auto"/>
                      <w:highlight w:val="none"/>
                      <w:vertAlign w:val="subscript"/>
                      <w:lang w:val="en-US" w:eastAsia="zh-CN"/>
                    </w:rPr>
                    <w:t>2.5</w:t>
                  </w:r>
                </w:p>
              </w:tc>
              <w:tc>
                <w:tcPr>
                  <w:tcW w:w="2622" w:type="dxa"/>
                  <w:noWrap w:val="0"/>
                  <w:vAlign w:val="center"/>
                </w:tcPr>
                <w:p w14:paraId="2986BF8A">
                  <w:pPr>
                    <w:widowControl/>
                    <w:adjustRightInd w:val="0"/>
                    <w:snapToGrid w:val="0"/>
                    <w:jc w:val="center"/>
                    <w:rPr>
                      <w:color w:val="auto"/>
                      <w:highlight w:val="none"/>
                    </w:rPr>
                  </w:pPr>
                  <w:r>
                    <w:rPr>
                      <w:bCs/>
                      <w:color w:val="auto"/>
                      <w:kern w:val="0"/>
                      <w:szCs w:val="21"/>
                      <w:highlight w:val="none"/>
                    </w:rPr>
                    <w:t>年平均</w:t>
                  </w:r>
                </w:p>
              </w:tc>
              <w:tc>
                <w:tcPr>
                  <w:tcW w:w="1685" w:type="dxa"/>
                  <w:noWrap w:val="0"/>
                  <w:vAlign w:val="center"/>
                </w:tcPr>
                <w:p w14:paraId="58DB177A">
                  <w:pPr>
                    <w:jc w:val="center"/>
                    <w:rPr>
                      <w:color w:val="auto"/>
                      <w:highlight w:val="none"/>
                    </w:rPr>
                  </w:pPr>
                  <w:r>
                    <w:rPr>
                      <w:bCs/>
                      <w:color w:val="auto"/>
                      <w:szCs w:val="21"/>
                      <w:highlight w:val="none"/>
                    </w:rPr>
                    <w:t>35</w:t>
                  </w:r>
                </w:p>
              </w:tc>
              <w:tc>
                <w:tcPr>
                  <w:tcW w:w="936" w:type="dxa"/>
                  <w:vMerge w:val="continue"/>
                  <w:noWrap w:val="0"/>
                  <w:vAlign w:val="center"/>
                </w:tcPr>
                <w:p w14:paraId="66A65BE7">
                  <w:pPr>
                    <w:adjustRightInd w:val="0"/>
                    <w:snapToGrid w:val="0"/>
                    <w:jc w:val="center"/>
                    <w:rPr>
                      <w:color w:val="auto"/>
                      <w:highlight w:val="none"/>
                    </w:rPr>
                  </w:pPr>
                </w:p>
              </w:tc>
              <w:tc>
                <w:tcPr>
                  <w:tcW w:w="1868" w:type="dxa"/>
                  <w:vMerge w:val="continue"/>
                  <w:noWrap w:val="0"/>
                  <w:vAlign w:val="center"/>
                </w:tcPr>
                <w:p w14:paraId="37844DB4">
                  <w:pPr>
                    <w:adjustRightInd w:val="0"/>
                    <w:snapToGrid w:val="0"/>
                    <w:jc w:val="center"/>
                    <w:rPr>
                      <w:color w:val="auto"/>
                      <w:highlight w:val="none"/>
                    </w:rPr>
                  </w:pPr>
                </w:p>
              </w:tc>
            </w:tr>
            <w:tr w14:paraId="6EDC7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73DBE7EA">
                  <w:pPr>
                    <w:pStyle w:val="60"/>
                    <w:spacing w:before="24" w:after="24"/>
                    <w:rPr>
                      <w:rFonts w:ascii="Times New Roman"/>
                      <w:snapToGrid w:val="0"/>
                      <w:color w:val="auto"/>
                      <w:highlight w:val="none"/>
                      <w:lang w:val="en-US" w:eastAsia="zh-CN"/>
                    </w:rPr>
                  </w:pPr>
                </w:p>
              </w:tc>
              <w:tc>
                <w:tcPr>
                  <w:tcW w:w="2622" w:type="dxa"/>
                  <w:noWrap w:val="0"/>
                  <w:vAlign w:val="center"/>
                </w:tcPr>
                <w:p w14:paraId="3452EAE7">
                  <w:pPr>
                    <w:widowControl/>
                    <w:adjustRightInd w:val="0"/>
                    <w:snapToGrid w:val="0"/>
                    <w:jc w:val="center"/>
                    <w:rPr>
                      <w:color w:val="auto"/>
                      <w:highlight w:val="none"/>
                    </w:rPr>
                  </w:pPr>
                  <w:r>
                    <w:rPr>
                      <w:bCs/>
                      <w:color w:val="auto"/>
                      <w:kern w:val="0"/>
                      <w:szCs w:val="21"/>
                      <w:highlight w:val="none"/>
                    </w:rPr>
                    <w:t>24小时平均</w:t>
                  </w:r>
                </w:p>
              </w:tc>
              <w:tc>
                <w:tcPr>
                  <w:tcW w:w="1685" w:type="dxa"/>
                  <w:noWrap w:val="0"/>
                  <w:vAlign w:val="center"/>
                </w:tcPr>
                <w:p w14:paraId="44157DCE">
                  <w:pPr>
                    <w:jc w:val="center"/>
                    <w:rPr>
                      <w:color w:val="auto"/>
                      <w:highlight w:val="none"/>
                    </w:rPr>
                  </w:pPr>
                  <w:r>
                    <w:rPr>
                      <w:bCs/>
                      <w:color w:val="auto"/>
                      <w:szCs w:val="21"/>
                      <w:highlight w:val="none"/>
                    </w:rPr>
                    <w:t>75</w:t>
                  </w:r>
                </w:p>
              </w:tc>
              <w:tc>
                <w:tcPr>
                  <w:tcW w:w="936" w:type="dxa"/>
                  <w:vMerge w:val="continue"/>
                  <w:noWrap w:val="0"/>
                  <w:vAlign w:val="center"/>
                </w:tcPr>
                <w:p w14:paraId="7154FC37">
                  <w:pPr>
                    <w:adjustRightInd w:val="0"/>
                    <w:snapToGrid w:val="0"/>
                    <w:jc w:val="center"/>
                    <w:rPr>
                      <w:color w:val="auto"/>
                      <w:highlight w:val="none"/>
                    </w:rPr>
                  </w:pPr>
                </w:p>
              </w:tc>
              <w:tc>
                <w:tcPr>
                  <w:tcW w:w="1868" w:type="dxa"/>
                  <w:vMerge w:val="continue"/>
                  <w:noWrap w:val="0"/>
                  <w:vAlign w:val="center"/>
                </w:tcPr>
                <w:p w14:paraId="03640B2F">
                  <w:pPr>
                    <w:adjustRightInd w:val="0"/>
                    <w:snapToGrid w:val="0"/>
                    <w:jc w:val="center"/>
                    <w:rPr>
                      <w:color w:val="auto"/>
                      <w:highlight w:val="none"/>
                    </w:rPr>
                  </w:pPr>
                </w:p>
              </w:tc>
            </w:tr>
            <w:tr w14:paraId="4CDB8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3BFE5F00">
                  <w:pPr>
                    <w:widowControl/>
                    <w:adjustRightInd w:val="0"/>
                    <w:snapToGrid w:val="0"/>
                    <w:jc w:val="center"/>
                    <w:rPr>
                      <w:color w:val="auto"/>
                      <w:highlight w:val="none"/>
                    </w:rPr>
                  </w:pPr>
                  <w:r>
                    <w:rPr>
                      <w:bCs/>
                      <w:color w:val="auto"/>
                      <w:szCs w:val="21"/>
                      <w:highlight w:val="none"/>
                    </w:rPr>
                    <w:t>O</w:t>
                  </w:r>
                  <w:r>
                    <w:rPr>
                      <w:bCs/>
                      <w:color w:val="auto"/>
                      <w:szCs w:val="21"/>
                      <w:highlight w:val="none"/>
                      <w:vertAlign w:val="subscript"/>
                    </w:rPr>
                    <w:t>3</w:t>
                  </w:r>
                </w:p>
              </w:tc>
              <w:tc>
                <w:tcPr>
                  <w:tcW w:w="2622" w:type="dxa"/>
                  <w:noWrap w:val="0"/>
                  <w:vAlign w:val="center"/>
                </w:tcPr>
                <w:p w14:paraId="1F578E86">
                  <w:pPr>
                    <w:widowControl/>
                    <w:adjustRightInd w:val="0"/>
                    <w:snapToGrid w:val="0"/>
                    <w:jc w:val="center"/>
                    <w:rPr>
                      <w:color w:val="auto"/>
                      <w:highlight w:val="none"/>
                    </w:rPr>
                  </w:pPr>
                  <w:r>
                    <w:rPr>
                      <w:bCs/>
                      <w:color w:val="auto"/>
                      <w:kern w:val="0"/>
                      <w:szCs w:val="21"/>
                      <w:highlight w:val="none"/>
                    </w:rPr>
                    <w:t>日最大8小时平均</w:t>
                  </w:r>
                </w:p>
              </w:tc>
              <w:tc>
                <w:tcPr>
                  <w:tcW w:w="1685" w:type="dxa"/>
                  <w:noWrap w:val="0"/>
                  <w:vAlign w:val="center"/>
                </w:tcPr>
                <w:p w14:paraId="1569482D">
                  <w:pPr>
                    <w:jc w:val="center"/>
                    <w:rPr>
                      <w:color w:val="auto"/>
                      <w:highlight w:val="none"/>
                    </w:rPr>
                  </w:pPr>
                  <w:r>
                    <w:rPr>
                      <w:color w:val="auto"/>
                      <w:highlight w:val="none"/>
                    </w:rPr>
                    <w:t>160</w:t>
                  </w:r>
                </w:p>
              </w:tc>
              <w:tc>
                <w:tcPr>
                  <w:tcW w:w="936" w:type="dxa"/>
                  <w:vMerge w:val="continue"/>
                  <w:noWrap w:val="0"/>
                  <w:vAlign w:val="center"/>
                </w:tcPr>
                <w:p w14:paraId="7A6C6C94">
                  <w:pPr>
                    <w:adjustRightInd w:val="0"/>
                    <w:snapToGrid w:val="0"/>
                    <w:jc w:val="center"/>
                    <w:rPr>
                      <w:color w:val="auto"/>
                      <w:highlight w:val="none"/>
                    </w:rPr>
                  </w:pPr>
                </w:p>
              </w:tc>
              <w:tc>
                <w:tcPr>
                  <w:tcW w:w="1868" w:type="dxa"/>
                  <w:vMerge w:val="continue"/>
                  <w:noWrap w:val="0"/>
                  <w:vAlign w:val="center"/>
                </w:tcPr>
                <w:p w14:paraId="2A87BFC1">
                  <w:pPr>
                    <w:adjustRightInd w:val="0"/>
                    <w:snapToGrid w:val="0"/>
                    <w:jc w:val="center"/>
                    <w:rPr>
                      <w:color w:val="auto"/>
                      <w:highlight w:val="none"/>
                    </w:rPr>
                  </w:pPr>
                </w:p>
              </w:tc>
            </w:tr>
            <w:tr w14:paraId="38550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2C4ABF86">
                  <w:pPr>
                    <w:widowControl/>
                    <w:adjustRightInd w:val="0"/>
                    <w:snapToGrid w:val="0"/>
                    <w:jc w:val="center"/>
                    <w:rPr>
                      <w:bCs/>
                      <w:color w:val="auto"/>
                      <w:szCs w:val="21"/>
                      <w:highlight w:val="none"/>
                    </w:rPr>
                  </w:pPr>
                </w:p>
              </w:tc>
              <w:tc>
                <w:tcPr>
                  <w:tcW w:w="2622" w:type="dxa"/>
                  <w:noWrap w:val="0"/>
                  <w:vAlign w:val="center"/>
                </w:tcPr>
                <w:p w14:paraId="401923C7">
                  <w:pPr>
                    <w:widowControl/>
                    <w:adjustRightInd w:val="0"/>
                    <w:snapToGrid w:val="0"/>
                    <w:jc w:val="center"/>
                    <w:rPr>
                      <w:bCs/>
                      <w:color w:val="auto"/>
                      <w:kern w:val="0"/>
                      <w:szCs w:val="21"/>
                      <w:highlight w:val="none"/>
                    </w:rPr>
                  </w:pPr>
                  <w:r>
                    <w:rPr>
                      <w:bCs/>
                      <w:color w:val="auto"/>
                      <w:kern w:val="0"/>
                      <w:szCs w:val="21"/>
                      <w:highlight w:val="none"/>
                    </w:rPr>
                    <w:t>1小时平均</w:t>
                  </w:r>
                </w:p>
              </w:tc>
              <w:tc>
                <w:tcPr>
                  <w:tcW w:w="1685" w:type="dxa"/>
                  <w:noWrap w:val="0"/>
                  <w:vAlign w:val="center"/>
                </w:tcPr>
                <w:p w14:paraId="0B9EB003">
                  <w:pPr>
                    <w:jc w:val="center"/>
                    <w:rPr>
                      <w:bCs/>
                      <w:color w:val="auto"/>
                      <w:szCs w:val="21"/>
                      <w:highlight w:val="none"/>
                    </w:rPr>
                  </w:pPr>
                  <w:r>
                    <w:rPr>
                      <w:bCs/>
                      <w:color w:val="auto"/>
                      <w:szCs w:val="21"/>
                      <w:highlight w:val="none"/>
                    </w:rPr>
                    <w:t>200</w:t>
                  </w:r>
                </w:p>
              </w:tc>
              <w:tc>
                <w:tcPr>
                  <w:tcW w:w="936" w:type="dxa"/>
                  <w:vMerge w:val="continue"/>
                  <w:noWrap w:val="0"/>
                  <w:vAlign w:val="center"/>
                </w:tcPr>
                <w:p w14:paraId="5DEEFF84">
                  <w:pPr>
                    <w:adjustRightInd w:val="0"/>
                    <w:snapToGrid w:val="0"/>
                    <w:jc w:val="center"/>
                    <w:rPr>
                      <w:color w:val="auto"/>
                      <w:highlight w:val="none"/>
                    </w:rPr>
                  </w:pPr>
                </w:p>
              </w:tc>
              <w:tc>
                <w:tcPr>
                  <w:tcW w:w="1868" w:type="dxa"/>
                  <w:vMerge w:val="continue"/>
                  <w:noWrap w:val="0"/>
                  <w:vAlign w:val="center"/>
                </w:tcPr>
                <w:p w14:paraId="2012E7CE">
                  <w:pPr>
                    <w:adjustRightInd w:val="0"/>
                    <w:snapToGrid w:val="0"/>
                    <w:jc w:val="center"/>
                    <w:rPr>
                      <w:color w:val="auto"/>
                      <w:highlight w:val="none"/>
                    </w:rPr>
                  </w:pPr>
                </w:p>
              </w:tc>
            </w:tr>
            <w:tr w14:paraId="137A3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386A4B8D">
                  <w:pPr>
                    <w:widowControl/>
                    <w:adjustRightInd w:val="0"/>
                    <w:snapToGrid w:val="0"/>
                    <w:jc w:val="center"/>
                    <w:rPr>
                      <w:color w:val="auto"/>
                      <w:highlight w:val="none"/>
                    </w:rPr>
                  </w:pPr>
                  <w:r>
                    <w:rPr>
                      <w:bCs/>
                      <w:color w:val="auto"/>
                      <w:szCs w:val="21"/>
                      <w:highlight w:val="none"/>
                    </w:rPr>
                    <w:t>CO</w:t>
                  </w:r>
                </w:p>
              </w:tc>
              <w:tc>
                <w:tcPr>
                  <w:tcW w:w="2622" w:type="dxa"/>
                  <w:noWrap w:val="0"/>
                  <w:vAlign w:val="center"/>
                </w:tcPr>
                <w:p w14:paraId="64183F48">
                  <w:pPr>
                    <w:widowControl/>
                    <w:adjustRightInd w:val="0"/>
                    <w:snapToGrid w:val="0"/>
                    <w:jc w:val="center"/>
                    <w:rPr>
                      <w:color w:val="auto"/>
                      <w:highlight w:val="none"/>
                    </w:rPr>
                  </w:pPr>
                  <w:r>
                    <w:rPr>
                      <w:bCs/>
                      <w:color w:val="auto"/>
                      <w:kern w:val="0"/>
                      <w:szCs w:val="21"/>
                      <w:highlight w:val="none"/>
                    </w:rPr>
                    <w:t>24小时平均</w:t>
                  </w:r>
                </w:p>
              </w:tc>
              <w:tc>
                <w:tcPr>
                  <w:tcW w:w="1685" w:type="dxa"/>
                  <w:noWrap w:val="0"/>
                  <w:vAlign w:val="center"/>
                </w:tcPr>
                <w:p w14:paraId="0DD9E93C">
                  <w:pPr>
                    <w:jc w:val="center"/>
                    <w:rPr>
                      <w:color w:val="auto"/>
                      <w:highlight w:val="none"/>
                    </w:rPr>
                  </w:pPr>
                  <w:r>
                    <w:rPr>
                      <w:bCs/>
                      <w:color w:val="auto"/>
                      <w:szCs w:val="21"/>
                      <w:highlight w:val="none"/>
                    </w:rPr>
                    <w:t>4</w:t>
                  </w:r>
                </w:p>
              </w:tc>
              <w:tc>
                <w:tcPr>
                  <w:tcW w:w="936" w:type="dxa"/>
                  <w:vMerge w:val="restart"/>
                  <w:noWrap w:val="0"/>
                  <w:vAlign w:val="center"/>
                </w:tcPr>
                <w:p w14:paraId="3777B2E9">
                  <w:pPr>
                    <w:adjustRightInd w:val="0"/>
                    <w:snapToGrid w:val="0"/>
                    <w:jc w:val="center"/>
                    <w:rPr>
                      <w:color w:val="auto"/>
                      <w:szCs w:val="22"/>
                      <w:highlight w:val="none"/>
                    </w:rPr>
                  </w:pPr>
                  <w:r>
                    <w:rPr>
                      <w:rFonts w:hint="eastAsia"/>
                      <w:color w:val="auto"/>
                      <w:highlight w:val="none"/>
                    </w:rPr>
                    <w:t>m</w:t>
                  </w:r>
                  <w:r>
                    <w:rPr>
                      <w:color w:val="auto"/>
                      <w:highlight w:val="none"/>
                    </w:rPr>
                    <w:t>g/Nm</w:t>
                  </w:r>
                  <w:r>
                    <w:rPr>
                      <w:color w:val="auto"/>
                      <w:highlight w:val="none"/>
                      <w:vertAlign w:val="superscript"/>
                    </w:rPr>
                    <w:t>3</w:t>
                  </w:r>
                </w:p>
              </w:tc>
              <w:tc>
                <w:tcPr>
                  <w:tcW w:w="1868" w:type="dxa"/>
                  <w:vMerge w:val="continue"/>
                  <w:noWrap w:val="0"/>
                  <w:vAlign w:val="top"/>
                </w:tcPr>
                <w:p w14:paraId="2E53444B">
                  <w:pPr>
                    <w:adjustRightInd w:val="0"/>
                    <w:snapToGrid w:val="0"/>
                    <w:jc w:val="center"/>
                    <w:rPr>
                      <w:color w:val="auto"/>
                      <w:highlight w:val="none"/>
                    </w:rPr>
                  </w:pPr>
                </w:p>
              </w:tc>
            </w:tr>
            <w:tr w14:paraId="78D20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3F20DCF7">
                  <w:pPr>
                    <w:widowControl/>
                    <w:adjustRightInd w:val="0"/>
                    <w:snapToGrid w:val="0"/>
                    <w:jc w:val="center"/>
                    <w:rPr>
                      <w:bCs/>
                      <w:color w:val="auto"/>
                      <w:szCs w:val="21"/>
                      <w:highlight w:val="none"/>
                    </w:rPr>
                  </w:pPr>
                </w:p>
              </w:tc>
              <w:tc>
                <w:tcPr>
                  <w:tcW w:w="2622" w:type="dxa"/>
                  <w:noWrap w:val="0"/>
                  <w:vAlign w:val="center"/>
                </w:tcPr>
                <w:p w14:paraId="02F3EDED">
                  <w:pPr>
                    <w:widowControl/>
                    <w:adjustRightInd w:val="0"/>
                    <w:snapToGrid w:val="0"/>
                    <w:jc w:val="center"/>
                    <w:rPr>
                      <w:bCs/>
                      <w:color w:val="auto"/>
                      <w:kern w:val="0"/>
                      <w:szCs w:val="21"/>
                      <w:highlight w:val="none"/>
                    </w:rPr>
                  </w:pPr>
                  <w:r>
                    <w:rPr>
                      <w:bCs/>
                      <w:color w:val="auto"/>
                      <w:kern w:val="0"/>
                      <w:szCs w:val="21"/>
                      <w:highlight w:val="none"/>
                    </w:rPr>
                    <w:t>1小时平均</w:t>
                  </w:r>
                </w:p>
              </w:tc>
              <w:tc>
                <w:tcPr>
                  <w:tcW w:w="1685" w:type="dxa"/>
                  <w:noWrap w:val="0"/>
                  <w:vAlign w:val="center"/>
                </w:tcPr>
                <w:p w14:paraId="206B8180">
                  <w:pPr>
                    <w:jc w:val="center"/>
                    <w:rPr>
                      <w:bCs/>
                      <w:color w:val="auto"/>
                      <w:szCs w:val="21"/>
                      <w:highlight w:val="none"/>
                    </w:rPr>
                  </w:pPr>
                  <w:r>
                    <w:rPr>
                      <w:bCs/>
                      <w:color w:val="auto"/>
                      <w:szCs w:val="21"/>
                      <w:highlight w:val="none"/>
                    </w:rPr>
                    <w:t>10</w:t>
                  </w:r>
                </w:p>
              </w:tc>
              <w:tc>
                <w:tcPr>
                  <w:tcW w:w="936" w:type="dxa"/>
                  <w:vMerge w:val="continue"/>
                  <w:noWrap w:val="0"/>
                  <w:vAlign w:val="center"/>
                </w:tcPr>
                <w:p w14:paraId="452F4B61">
                  <w:pPr>
                    <w:adjustRightInd w:val="0"/>
                    <w:snapToGrid w:val="0"/>
                    <w:jc w:val="center"/>
                    <w:rPr>
                      <w:color w:val="auto"/>
                      <w:highlight w:val="none"/>
                    </w:rPr>
                  </w:pPr>
                </w:p>
              </w:tc>
              <w:tc>
                <w:tcPr>
                  <w:tcW w:w="1868" w:type="dxa"/>
                  <w:vMerge w:val="continue"/>
                  <w:noWrap w:val="0"/>
                  <w:vAlign w:val="top"/>
                </w:tcPr>
                <w:p w14:paraId="5BA49C0C">
                  <w:pPr>
                    <w:adjustRightInd w:val="0"/>
                    <w:snapToGrid w:val="0"/>
                    <w:jc w:val="center"/>
                    <w:rPr>
                      <w:color w:val="auto"/>
                      <w:highlight w:val="none"/>
                    </w:rPr>
                  </w:pPr>
                </w:p>
              </w:tc>
            </w:tr>
            <w:tr w14:paraId="51380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restart"/>
                  <w:noWrap w:val="0"/>
                  <w:vAlign w:val="center"/>
                </w:tcPr>
                <w:p w14:paraId="03FFB320">
                  <w:pPr>
                    <w:adjustRightInd w:val="0"/>
                    <w:snapToGrid w:val="0"/>
                    <w:jc w:val="center"/>
                    <w:rPr>
                      <w:rFonts w:hint="eastAsia"/>
                      <w:bCs/>
                      <w:color w:val="auto"/>
                      <w:szCs w:val="21"/>
                      <w:highlight w:val="none"/>
                    </w:rPr>
                  </w:pPr>
                  <w:r>
                    <w:rPr>
                      <w:rFonts w:hint="eastAsia"/>
                      <w:color w:val="auto"/>
                      <w:highlight w:val="none"/>
                    </w:rPr>
                    <w:t>TVOC</w:t>
                  </w:r>
                </w:p>
              </w:tc>
              <w:tc>
                <w:tcPr>
                  <w:tcW w:w="2622" w:type="dxa"/>
                  <w:noWrap w:val="0"/>
                  <w:vAlign w:val="center"/>
                </w:tcPr>
                <w:p w14:paraId="40A2CCD4">
                  <w:pPr>
                    <w:adjustRightInd w:val="0"/>
                    <w:snapToGrid w:val="0"/>
                    <w:jc w:val="center"/>
                    <w:rPr>
                      <w:bCs/>
                      <w:color w:val="auto"/>
                      <w:kern w:val="0"/>
                      <w:szCs w:val="21"/>
                      <w:highlight w:val="none"/>
                    </w:rPr>
                  </w:pPr>
                  <w:r>
                    <w:rPr>
                      <w:color w:val="auto"/>
                      <w:kern w:val="0"/>
                      <w:szCs w:val="21"/>
                      <w:highlight w:val="none"/>
                    </w:rPr>
                    <w:t>1小时平均</w:t>
                  </w:r>
                </w:p>
              </w:tc>
              <w:tc>
                <w:tcPr>
                  <w:tcW w:w="1685" w:type="dxa"/>
                  <w:noWrap w:val="0"/>
                  <w:vAlign w:val="center"/>
                </w:tcPr>
                <w:p w14:paraId="1474C16F">
                  <w:pPr>
                    <w:adjustRightInd w:val="0"/>
                    <w:snapToGrid w:val="0"/>
                    <w:jc w:val="center"/>
                    <w:rPr>
                      <w:bCs/>
                      <w:color w:val="auto"/>
                      <w:szCs w:val="21"/>
                      <w:highlight w:val="none"/>
                    </w:rPr>
                  </w:pPr>
                  <w:r>
                    <w:rPr>
                      <w:color w:val="auto"/>
                      <w:kern w:val="0"/>
                      <w:szCs w:val="21"/>
                      <w:highlight w:val="none"/>
                    </w:rPr>
                    <w:t>1</w:t>
                  </w:r>
                  <w:r>
                    <w:rPr>
                      <w:rFonts w:hint="eastAsia"/>
                      <w:color w:val="auto"/>
                      <w:kern w:val="0"/>
                      <w:szCs w:val="21"/>
                      <w:highlight w:val="none"/>
                    </w:rPr>
                    <w:t>200*</w:t>
                  </w:r>
                </w:p>
              </w:tc>
              <w:tc>
                <w:tcPr>
                  <w:tcW w:w="936" w:type="dxa"/>
                  <w:vMerge w:val="restart"/>
                  <w:noWrap w:val="0"/>
                  <w:vAlign w:val="center"/>
                </w:tcPr>
                <w:p w14:paraId="548FED40">
                  <w:pPr>
                    <w:adjustRightInd w:val="0"/>
                    <w:snapToGrid w:val="0"/>
                    <w:jc w:val="center"/>
                    <w:rPr>
                      <w:color w:val="auto"/>
                      <w:highlight w:val="none"/>
                    </w:rPr>
                  </w:pPr>
                  <w:r>
                    <w:rPr>
                      <w:color w:val="auto"/>
                      <w:highlight w:val="none"/>
                    </w:rPr>
                    <w:t>μg/Nm</w:t>
                  </w:r>
                  <w:r>
                    <w:rPr>
                      <w:color w:val="auto"/>
                      <w:highlight w:val="none"/>
                      <w:vertAlign w:val="superscript"/>
                    </w:rPr>
                    <w:t>3</w:t>
                  </w:r>
                </w:p>
              </w:tc>
              <w:tc>
                <w:tcPr>
                  <w:tcW w:w="1868" w:type="dxa"/>
                  <w:vMerge w:val="restart"/>
                  <w:noWrap w:val="0"/>
                  <w:vAlign w:val="top"/>
                </w:tcPr>
                <w:p w14:paraId="7B015CC7">
                  <w:pPr>
                    <w:adjustRightInd w:val="0"/>
                    <w:snapToGrid w:val="0"/>
                    <w:jc w:val="center"/>
                    <w:rPr>
                      <w:color w:val="auto"/>
                      <w:highlight w:val="none"/>
                    </w:rPr>
                  </w:pPr>
                  <w:r>
                    <w:rPr>
                      <w:color w:val="auto"/>
                      <w:highlight w:val="none"/>
                    </w:rPr>
                    <w:t>《环境影响评价技术导则 大气环境》（HJ2.2 2018）附录D浓度限值</w:t>
                  </w:r>
                </w:p>
              </w:tc>
            </w:tr>
            <w:tr w14:paraId="7F731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Merge w:val="continue"/>
                  <w:noWrap w:val="0"/>
                  <w:vAlign w:val="center"/>
                </w:tcPr>
                <w:p w14:paraId="715D78D4">
                  <w:pPr>
                    <w:adjustRightInd w:val="0"/>
                    <w:snapToGrid w:val="0"/>
                    <w:jc w:val="center"/>
                    <w:rPr>
                      <w:rFonts w:hint="eastAsia"/>
                      <w:color w:val="auto"/>
                      <w:highlight w:val="none"/>
                    </w:rPr>
                  </w:pPr>
                </w:p>
              </w:tc>
              <w:tc>
                <w:tcPr>
                  <w:tcW w:w="2622" w:type="dxa"/>
                  <w:noWrap w:val="0"/>
                  <w:vAlign w:val="center"/>
                </w:tcPr>
                <w:p w14:paraId="05FF9396">
                  <w:pPr>
                    <w:adjustRightInd w:val="0"/>
                    <w:snapToGrid w:val="0"/>
                    <w:jc w:val="center"/>
                    <w:rPr>
                      <w:color w:val="auto"/>
                      <w:highlight w:val="none"/>
                    </w:rPr>
                  </w:pPr>
                  <w:r>
                    <w:rPr>
                      <w:color w:val="auto"/>
                      <w:kern w:val="0"/>
                      <w:szCs w:val="21"/>
                      <w:highlight w:val="none"/>
                    </w:rPr>
                    <w:t>8小时平均</w:t>
                  </w:r>
                </w:p>
              </w:tc>
              <w:tc>
                <w:tcPr>
                  <w:tcW w:w="1685" w:type="dxa"/>
                  <w:noWrap w:val="0"/>
                  <w:vAlign w:val="center"/>
                </w:tcPr>
                <w:p w14:paraId="574B775D">
                  <w:pPr>
                    <w:adjustRightInd w:val="0"/>
                    <w:snapToGrid w:val="0"/>
                    <w:jc w:val="center"/>
                    <w:rPr>
                      <w:color w:val="auto"/>
                      <w:highlight w:val="none"/>
                    </w:rPr>
                  </w:pPr>
                  <w:r>
                    <w:rPr>
                      <w:rFonts w:hint="eastAsia"/>
                      <w:color w:val="auto"/>
                      <w:kern w:val="0"/>
                      <w:szCs w:val="21"/>
                      <w:highlight w:val="none"/>
                    </w:rPr>
                    <w:t>600</w:t>
                  </w:r>
                </w:p>
              </w:tc>
              <w:tc>
                <w:tcPr>
                  <w:tcW w:w="936" w:type="dxa"/>
                  <w:vMerge w:val="continue"/>
                  <w:noWrap w:val="0"/>
                  <w:vAlign w:val="top"/>
                </w:tcPr>
                <w:p w14:paraId="4C1608D8">
                  <w:pPr>
                    <w:adjustRightInd w:val="0"/>
                    <w:snapToGrid w:val="0"/>
                    <w:jc w:val="center"/>
                    <w:rPr>
                      <w:color w:val="auto"/>
                      <w:highlight w:val="none"/>
                    </w:rPr>
                  </w:pPr>
                </w:p>
              </w:tc>
              <w:tc>
                <w:tcPr>
                  <w:tcW w:w="1868" w:type="dxa"/>
                  <w:vMerge w:val="continue"/>
                  <w:noWrap w:val="0"/>
                  <w:vAlign w:val="top"/>
                </w:tcPr>
                <w:p w14:paraId="2F3D589D">
                  <w:pPr>
                    <w:adjustRightInd w:val="0"/>
                    <w:snapToGrid w:val="0"/>
                    <w:jc w:val="center"/>
                    <w:rPr>
                      <w:color w:val="auto"/>
                      <w:highlight w:val="none"/>
                    </w:rPr>
                  </w:pPr>
                </w:p>
              </w:tc>
            </w:tr>
            <w:tr w14:paraId="5B87F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noWrap w:val="0"/>
                  <w:vAlign w:val="center"/>
                </w:tcPr>
                <w:p w14:paraId="6D576AFC">
                  <w:pPr>
                    <w:adjustRightInd w:val="0"/>
                    <w:snapToGrid w:val="0"/>
                    <w:jc w:val="center"/>
                    <w:rPr>
                      <w:rFonts w:hint="eastAsia" w:eastAsia="宋体"/>
                      <w:color w:val="auto"/>
                      <w:highlight w:val="none"/>
                      <w:lang w:val="en-US" w:eastAsia="zh-Hans"/>
                    </w:rPr>
                  </w:pPr>
                  <w:r>
                    <w:rPr>
                      <w:rFonts w:hint="eastAsia"/>
                      <w:color w:val="auto"/>
                      <w:highlight w:val="none"/>
                      <w:lang w:val="en-US" w:eastAsia="zh-Hans"/>
                    </w:rPr>
                    <w:t>二甲苯</w:t>
                  </w:r>
                </w:p>
              </w:tc>
              <w:tc>
                <w:tcPr>
                  <w:tcW w:w="2622" w:type="dxa"/>
                  <w:noWrap w:val="0"/>
                  <w:vAlign w:val="center"/>
                </w:tcPr>
                <w:p w14:paraId="06065AC9">
                  <w:pPr>
                    <w:adjustRightInd w:val="0"/>
                    <w:snapToGrid w:val="0"/>
                    <w:jc w:val="center"/>
                    <w:rPr>
                      <w:color w:val="auto"/>
                      <w:kern w:val="0"/>
                      <w:szCs w:val="21"/>
                      <w:highlight w:val="none"/>
                    </w:rPr>
                  </w:pPr>
                  <w:r>
                    <w:rPr>
                      <w:color w:val="auto"/>
                      <w:kern w:val="0"/>
                      <w:szCs w:val="21"/>
                      <w:highlight w:val="none"/>
                    </w:rPr>
                    <w:t>1小时平均</w:t>
                  </w:r>
                </w:p>
              </w:tc>
              <w:tc>
                <w:tcPr>
                  <w:tcW w:w="1685" w:type="dxa"/>
                  <w:noWrap w:val="0"/>
                  <w:vAlign w:val="center"/>
                </w:tcPr>
                <w:p w14:paraId="4BEBC2FB">
                  <w:pPr>
                    <w:adjustRightInd w:val="0"/>
                    <w:snapToGrid w:val="0"/>
                    <w:jc w:val="center"/>
                    <w:rPr>
                      <w:rFonts w:hint="eastAsia"/>
                      <w:color w:val="auto"/>
                      <w:kern w:val="0"/>
                      <w:szCs w:val="21"/>
                      <w:highlight w:val="none"/>
                    </w:rPr>
                  </w:pPr>
                  <w:r>
                    <w:rPr>
                      <w:rFonts w:hint="default"/>
                      <w:color w:val="auto"/>
                      <w:kern w:val="0"/>
                      <w:szCs w:val="21"/>
                      <w:highlight w:val="none"/>
                    </w:rPr>
                    <w:t>200</w:t>
                  </w:r>
                </w:p>
              </w:tc>
              <w:tc>
                <w:tcPr>
                  <w:tcW w:w="936" w:type="dxa"/>
                  <w:vMerge w:val="continue"/>
                  <w:noWrap w:val="0"/>
                  <w:vAlign w:val="top"/>
                </w:tcPr>
                <w:p w14:paraId="6CE6AEA2">
                  <w:pPr>
                    <w:adjustRightInd w:val="0"/>
                    <w:snapToGrid w:val="0"/>
                    <w:jc w:val="center"/>
                    <w:rPr>
                      <w:color w:val="auto"/>
                      <w:highlight w:val="none"/>
                    </w:rPr>
                  </w:pPr>
                </w:p>
              </w:tc>
              <w:tc>
                <w:tcPr>
                  <w:tcW w:w="1868" w:type="dxa"/>
                  <w:vMerge w:val="continue"/>
                  <w:noWrap w:val="0"/>
                  <w:vAlign w:val="top"/>
                </w:tcPr>
                <w:p w14:paraId="29127103">
                  <w:pPr>
                    <w:adjustRightInd w:val="0"/>
                    <w:snapToGrid w:val="0"/>
                    <w:jc w:val="center"/>
                    <w:rPr>
                      <w:color w:val="auto"/>
                      <w:highlight w:val="none"/>
                    </w:rPr>
                  </w:pPr>
                </w:p>
              </w:tc>
            </w:tr>
            <w:tr w14:paraId="1C86B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noWrap w:val="0"/>
                  <w:vAlign w:val="center"/>
                </w:tcPr>
                <w:p w14:paraId="56FCC50B">
                  <w:pPr>
                    <w:pageBreakBefore w:val="0"/>
                    <w:widowControl/>
                    <w:wordWrap/>
                    <w:bidi w:val="0"/>
                    <w:adjustRightInd w:val="0"/>
                    <w:snapToGrid w:val="0"/>
                    <w:jc w:val="center"/>
                    <w:rPr>
                      <w:rFonts w:hint="eastAsia"/>
                      <w:color w:val="auto"/>
                      <w:highlight w:val="none"/>
                      <w:lang w:val="en-US" w:eastAsia="zh-Hans"/>
                    </w:rPr>
                  </w:pPr>
                  <w:r>
                    <w:rPr>
                      <w:rFonts w:hint="default" w:ascii="Times New Roman" w:hAnsi="Times New Roman" w:cs="Times New Roman"/>
                      <w:bCs/>
                      <w:color w:val="auto"/>
                      <w:highlight w:val="none"/>
                    </w:rPr>
                    <w:t>非甲烷总烃</w:t>
                  </w:r>
                </w:p>
              </w:tc>
              <w:tc>
                <w:tcPr>
                  <w:tcW w:w="2622" w:type="dxa"/>
                  <w:noWrap w:val="0"/>
                  <w:vAlign w:val="center"/>
                </w:tcPr>
                <w:p w14:paraId="5C8167FE">
                  <w:pPr>
                    <w:pageBreakBefore w:val="0"/>
                    <w:wordWrap/>
                    <w:bidi w:val="0"/>
                    <w:adjustRightInd w:val="0"/>
                    <w:snapToGrid w:val="0"/>
                    <w:jc w:val="center"/>
                    <w:rPr>
                      <w:color w:val="auto"/>
                      <w:kern w:val="0"/>
                      <w:szCs w:val="21"/>
                      <w:highlight w:val="none"/>
                    </w:rPr>
                  </w:pPr>
                  <w:r>
                    <w:rPr>
                      <w:rFonts w:hint="default" w:ascii="Times New Roman" w:hAnsi="Times New Roman" w:cs="Times New Roman"/>
                      <w:color w:val="auto"/>
                      <w:kern w:val="0"/>
                      <w:highlight w:val="none"/>
                    </w:rPr>
                    <w:t>1小时平均</w:t>
                  </w:r>
                </w:p>
              </w:tc>
              <w:tc>
                <w:tcPr>
                  <w:tcW w:w="1685" w:type="dxa"/>
                  <w:noWrap w:val="0"/>
                  <w:vAlign w:val="center"/>
                </w:tcPr>
                <w:p w14:paraId="4F5C0630">
                  <w:pPr>
                    <w:pageBreakBefore w:val="0"/>
                    <w:wordWrap/>
                    <w:bidi w:val="0"/>
                    <w:adjustRightInd w:val="0"/>
                    <w:snapToGrid w:val="0"/>
                    <w:jc w:val="center"/>
                    <w:rPr>
                      <w:rFonts w:hint="default"/>
                      <w:color w:val="auto"/>
                      <w:kern w:val="0"/>
                      <w:szCs w:val="21"/>
                      <w:highlight w:val="none"/>
                    </w:rPr>
                  </w:pPr>
                  <w:r>
                    <w:rPr>
                      <w:rFonts w:hint="default" w:ascii="Times New Roman" w:hAnsi="Times New Roman" w:cs="Times New Roman"/>
                      <w:color w:val="auto"/>
                      <w:kern w:val="0"/>
                      <w:highlight w:val="none"/>
                    </w:rPr>
                    <w:t>2.0</w:t>
                  </w:r>
                </w:p>
              </w:tc>
              <w:tc>
                <w:tcPr>
                  <w:tcW w:w="936" w:type="dxa"/>
                  <w:noWrap w:val="0"/>
                  <w:vAlign w:val="center"/>
                </w:tcPr>
                <w:p w14:paraId="632630DC">
                  <w:pPr>
                    <w:adjustRightInd w:val="0"/>
                    <w:snapToGrid w:val="0"/>
                    <w:jc w:val="center"/>
                    <w:rPr>
                      <w:color w:val="auto"/>
                      <w:highlight w:val="none"/>
                    </w:rPr>
                  </w:pPr>
                  <w:r>
                    <w:rPr>
                      <w:rFonts w:hint="eastAsia"/>
                      <w:color w:val="auto"/>
                      <w:highlight w:val="none"/>
                    </w:rPr>
                    <w:t>m</w:t>
                  </w:r>
                  <w:r>
                    <w:rPr>
                      <w:color w:val="auto"/>
                      <w:highlight w:val="none"/>
                    </w:rPr>
                    <w:t>g/Nm</w:t>
                  </w:r>
                  <w:r>
                    <w:rPr>
                      <w:color w:val="auto"/>
                      <w:highlight w:val="none"/>
                      <w:vertAlign w:val="superscript"/>
                    </w:rPr>
                    <w:t>3</w:t>
                  </w:r>
                </w:p>
              </w:tc>
              <w:tc>
                <w:tcPr>
                  <w:tcW w:w="1868" w:type="dxa"/>
                  <w:noWrap w:val="0"/>
                  <w:vAlign w:val="center"/>
                </w:tcPr>
                <w:p w14:paraId="611AF8C0">
                  <w:pPr>
                    <w:adjustRightInd w:val="0"/>
                    <w:snapToGrid w:val="0"/>
                    <w:jc w:val="center"/>
                    <w:rPr>
                      <w:color w:val="auto"/>
                      <w:highlight w:val="none"/>
                    </w:rPr>
                  </w:pPr>
                  <w:r>
                    <w:rPr>
                      <w:rFonts w:hint="eastAsia"/>
                      <w:color w:val="auto"/>
                      <w:highlight w:val="none"/>
                    </w:rPr>
                    <w:t>《大气污染物综合排放标准详解》中关于非甲烷总烃的推荐值</w:t>
                  </w:r>
                </w:p>
              </w:tc>
            </w:tr>
          </w:tbl>
          <w:p w14:paraId="1C2ABE64">
            <w:pPr>
              <w:adjustRightInd w:val="0"/>
              <w:snapToGrid w:val="0"/>
              <w:ind w:firstLine="400" w:firstLineChars="200"/>
              <w:rPr>
                <w:color w:val="auto"/>
                <w:sz w:val="20"/>
                <w:highlight w:val="none"/>
              </w:rPr>
            </w:pPr>
            <w:r>
              <w:rPr>
                <w:color w:val="auto"/>
                <w:sz w:val="20"/>
                <w:highlight w:val="none"/>
              </w:rPr>
              <w:t>注：根据《环境影响评价技术导则 大气环境》（HJ2.2 2018），对仅有8小时平均浓度、24小时平均浓度限值的，可分别按2倍、3倍折算为1小时平均浓度限值。</w:t>
            </w:r>
          </w:p>
          <w:p w14:paraId="2FD98725">
            <w:pPr>
              <w:adjustRightInd w:val="0"/>
              <w:snapToGrid w:val="0"/>
              <w:spacing w:before="120" w:beforeLines="50" w:line="360" w:lineRule="auto"/>
              <w:ind w:firstLine="482" w:firstLineChars="200"/>
              <w:rPr>
                <w:b/>
                <w:bCs/>
                <w:color w:val="auto"/>
                <w:sz w:val="24"/>
                <w:highlight w:val="none"/>
              </w:rPr>
            </w:pPr>
            <w:r>
              <w:rPr>
                <w:b/>
                <w:bCs/>
                <w:color w:val="auto"/>
                <w:sz w:val="24"/>
                <w:highlight w:val="none"/>
              </w:rPr>
              <w:t>2、地表水环境</w:t>
            </w:r>
          </w:p>
          <w:p w14:paraId="757ADAA7">
            <w:pPr>
              <w:adjustRightInd w:val="0"/>
              <w:snapToGrid w:val="0"/>
              <w:spacing w:line="360" w:lineRule="auto"/>
              <w:ind w:firstLine="480" w:firstLineChars="200"/>
              <w:rPr>
                <w:bCs/>
                <w:color w:val="auto"/>
                <w:sz w:val="24"/>
                <w:highlight w:val="none"/>
              </w:rPr>
            </w:pPr>
            <w:r>
              <w:rPr>
                <w:color w:val="auto"/>
                <w:sz w:val="24"/>
                <w:highlight w:val="none"/>
              </w:rPr>
              <w:t>本项目生活污水</w:t>
            </w:r>
            <w:r>
              <w:rPr>
                <w:rFonts w:hint="eastAsia"/>
                <w:color w:val="auto"/>
                <w:sz w:val="24"/>
                <w:highlight w:val="none"/>
                <w:lang w:val="en-US" w:eastAsia="zh-Hans"/>
              </w:rPr>
              <w:t>经化粪池与处理后与纯水制备弃水、冷却塔强排水、初期雨水一并</w:t>
            </w:r>
            <w:r>
              <w:rPr>
                <w:color w:val="auto"/>
                <w:sz w:val="24"/>
                <w:highlight w:val="none"/>
              </w:rPr>
              <w:t>经</w:t>
            </w:r>
            <w:r>
              <w:rPr>
                <w:rFonts w:hint="eastAsia"/>
                <w:bCs/>
                <w:color w:val="auto"/>
                <w:sz w:val="24"/>
                <w:highlight w:val="none"/>
              </w:rPr>
              <w:t>海门市东洲水处理有限公司</w:t>
            </w:r>
            <w:r>
              <w:rPr>
                <w:color w:val="auto"/>
                <w:sz w:val="24"/>
                <w:highlight w:val="none"/>
              </w:rPr>
              <w:t>处理后排入</w:t>
            </w:r>
            <w:r>
              <w:rPr>
                <w:rFonts w:hint="eastAsia"/>
                <w:color w:val="auto"/>
                <w:sz w:val="24"/>
                <w:highlight w:val="none"/>
                <w:lang w:val="en-US" w:eastAsia="zh-Hans"/>
              </w:rPr>
              <w:t>长江</w:t>
            </w:r>
            <w:r>
              <w:rPr>
                <w:color w:val="auto"/>
                <w:sz w:val="24"/>
                <w:highlight w:val="none"/>
              </w:rPr>
              <w:t>，根据《江苏省地表水（环境）功能区划》（江苏省水利厅、江苏省环保厅，2003年3月）</w:t>
            </w:r>
            <w:r>
              <w:rPr>
                <w:rFonts w:hint="eastAsia"/>
                <w:color w:val="auto"/>
                <w:sz w:val="24"/>
                <w:highlight w:val="none"/>
                <w:lang w:val="en-US" w:eastAsia="zh-Hans"/>
              </w:rPr>
              <w:t>长江执行</w:t>
            </w:r>
            <w:r>
              <w:rPr>
                <w:color w:val="auto"/>
                <w:sz w:val="24"/>
                <w:highlight w:val="none"/>
              </w:rPr>
              <w:t>《地表水环境质量标准》（GB3838-2002）中</w:t>
            </w:r>
            <w:r>
              <w:rPr>
                <w:rFonts w:hint="eastAsia"/>
                <w:color w:val="auto"/>
                <w:sz w:val="24"/>
                <w:highlight w:val="none"/>
                <w:lang w:val="en-US" w:eastAsia="zh-Hans"/>
              </w:rPr>
              <w:t>Ⅲ类水质标准</w:t>
            </w:r>
            <w:r>
              <w:rPr>
                <w:bCs/>
                <w:color w:val="auto"/>
                <w:sz w:val="24"/>
                <w:highlight w:val="none"/>
              </w:rPr>
              <w:t>，具体标准值见表</w:t>
            </w:r>
            <w:r>
              <w:rPr>
                <w:rFonts w:hint="eastAsia"/>
                <w:bCs/>
                <w:color w:val="auto"/>
                <w:sz w:val="24"/>
                <w:highlight w:val="none"/>
              </w:rPr>
              <w:t>3</w:t>
            </w:r>
            <w:r>
              <w:rPr>
                <w:bCs/>
                <w:color w:val="auto"/>
                <w:sz w:val="24"/>
                <w:highlight w:val="none"/>
              </w:rPr>
              <w:t>-7。</w:t>
            </w:r>
          </w:p>
          <w:p w14:paraId="7E541C1C">
            <w:pPr>
              <w:adjustRightInd w:val="0"/>
              <w:snapToGrid w:val="0"/>
              <w:jc w:val="center"/>
              <w:rPr>
                <w:b/>
                <w:color w:val="auto"/>
                <w:sz w:val="24"/>
                <w:highlight w:val="none"/>
              </w:rPr>
            </w:pPr>
            <w:r>
              <w:rPr>
                <w:b/>
                <w:color w:val="auto"/>
                <w:sz w:val="24"/>
                <w:highlight w:val="none"/>
              </w:rPr>
              <w:t>表</w:t>
            </w:r>
            <w:r>
              <w:rPr>
                <w:rFonts w:hint="eastAsia"/>
                <w:b/>
                <w:color w:val="auto"/>
                <w:sz w:val="24"/>
                <w:highlight w:val="none"/>
              </w:rPr>
              <w:t>3</w:t>
            </w:r>
            <w:r>
              <w:rPr>
                <w:b/>
                <w:color w:val="auto"/>
                <w:sz w:val="24"/>
                <w:highlight w:val="none"/>
              </w:rPr>
              <w:t>-</w:t>
            </w:r>
            <w:r>
              <w:rPr>
                <w:rFonts w:hint="default"/>
                <w:b/>
                <w:color w:val="auto"/>
                <w:sz w:val="24"/>
                <w:highlight w:val="none"/>
              </w:rPr>
              <w:t>7</w:t>
            </w:r>
            <w:r>
              <w:rPr>
                <w:b/>
                <w:color w:val="auto"/>
                <w:sz w:val="24"/>
                <w:highlight w:val="none"/>
              </w:rPr>
              <w:t xml:space="preserve"> 地表水环境质量标准  单位：除pH外为mg/L</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4"/>
              <w:gridCol w:w="1196"/>
              <w:gridCol w:w="1178"/>
              <w:gridCol w:w="1112"/>
              <w:gridCol w:w="1009"/>
              <w:gridCol w:w="946"/>
              <w:gridCol w:w="1002"/>
            </w:tblGrid>
            <w:tr w14:paraId="2118A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446" w:type="pct"/>
                  <w:noWrap w:val="0"/>
                  <w:vAlign w:val="center"/>
                </w:tcPr>
                <w:p w14:paraId="40CF854F">
                  <w:pPr>
                    <w:jc w:val="center"/>
                    <w:rPr>
                      <w:color w:val="auto"/>
                      <w:szCs w:val="21"/>
                      <w:highlight w:val="none"/>
                    </w:rPr>
                  </w:pPr>
                  <w:r>
                    <w:rPr>
                      <w:b/>
                      <w:color w:val="auto"/>
                      <w:szCs w:val="21"/>
                      <w:highlight w:val="none"/>
                    </w:rPr>
                    <w:t>类别</w:t>
                  </w:r>
                </w:p>
              </w:tc>
              <w:tc>
                <w:tcPr>
                  <w:tcW w:w="659" w:type="pct"/>
                  <w:noWrap w:val="0"/>
                  <w:vAlign w:val="center"/>
                </w:tcPr>
                <w:p w14:paraId="0FDF106F">
                  <w:pPr>
                    <w:jc w:val="center"/>
                    <w:rPr>
                      <w:b/>
                      <w:color w:val="auto"/>
                      <w:szCs w:val="21"/>
                      <w:highlight w:val="none"/>
                    </w:rPr>
                  </w:pPr>
                  <w:r>
                    <w:rPr>
                      <w:b/>
                      <w:color w:val="auto"/>
                      <w:szCs w:val="21"/>
                      <w:highlight w:val="none"/>
                    </w:rPr>
                    <w:t>pH</w:t>
                  </w:r>
                </w:p>
              </w:tc>
              <w:tc>
                <w:tcPr>
                  <w:tcW w:w="649" w:type="pct"/>
                  <w:noWrap w:val="0"/>
                  <w:vAlign w:val="center"/>
                </w:tcPr>
                <w:p w14:paraId="38F450F0">
                  <w:pPr>
                    <w:jc w:val="center"/>
                    <w:rPr>
                      <w:b/>
                      <w:color w:val="auto"/>
                      <w:szCs w:val="21"/>
                      <w:highlight w:val="none"/>
                    </w:rPr>
                  </w:pPr>
                  <w:r>
                    <w:rPr>
                      <w:b/>
                      <w:snapToGrid w:val="0"/>
                      <w:color w:val="auto"/>
                      <w:szCs w:val="21"/>
                      <w:highlight w:val="none"/>
                    </w:rPr>
                    <w:t>COD</w:t>
                  </w:r>
                  <w:r>
                    <w:rPr>
                      <w:b/>
                      <w:snapToGrid w:val="0"/>
                      <w:color w:val="auto"/>
                      <w:szCs w:val="21"/>
                      <w:highlight w:val="none"/>
                      <w:vertAlign w:val="subscript"/>
                    </w:rPr>
                    <w:t>Cr</w:t>
                  </w:r>
                </w:p>
              </w:tc>
              <w:tc>
                <w:tcPr>
                  <w:tcW w:w="613" w:type="pct"/>
                  <w:noWrap w:val="0"/>
                  <w:vAlign w:val="center"/>
                </w:tcPr>
                <w:p w14:paraId="64657F55">
                  <w:pPr>
                    <w:jc w:val="center"/>
                    <w:rPr>
                      <w:b/>
                      <w:color w:val="auto"/>
                      <w:szCs w:val="21"/>
                      <w:highlight w:val="none"/>
                    </w:rPr>
                  </w:pPr>
                  <w:r>
                    <w:rPr>
                      <w:b/>
                      <w:snapToGrid w:val="0"/>
                      <w:color w:val="auto"/>
                      <w:szCs w:val="21"/>
                      <w:highlight w:val="none"/>
                    </w:rPr>
                    <w:t>NH</w:t>
                  </w:r>
                  <w:r>
                    <w:rPr>
                      <w:b/>
                      <w:snapToGrid w:val="0"/>
                      <w:color w:val="auto"/>
                      <w:szCs w:val="21"/>
                      <w:highlight w:val="none"/>
                      <w:vertAlign w:val="subscript"/>
                    </w:rPr>
                    <w:t>3</w:t>
                  </w:r>
                  <w:r>
                    <w:rPr>
                      <w:b/>
                      <w:snapToGrid w:val="0"/>
                      <w:color w:val="auto"/>
                      <w:szCs w:val="21"/>
                      <w:highlight w:val="none"/>
                    </w:rPr>
                    <w:t>-N</w:t>
                  </w:r>
                </w:p>
              </w:tc>
              <w:tc>
                <w:tcPr>
                  <w:tcW w:w="556" w:type="pct"/>
                  <w:noWrap w:val="0"/>
                  <w:vAlign w:val="center"/>
                </w:tcPr>
                <w:p w14:paraId="61731B5F">
                  <w:pPr>
                    <w:jc w:val="center"/>
                    <w:rPr>
                      <w:b/>
                      <w:color w:val="auto"/>
                      <w:szCs w:val="21"/>
                      <w:highlight w:val="none"/>
                    </w:rPr>
                  </w:pPr>
                  <w:r>
                    <w:rPr>
                      <w:b/>
                      <w:color w:val="auto"/>
                      <w:szCs w:val="21"/>
                      <w:highlight w:val="none"/>
                    </w:rPr>
                    <w:t>TN</w:t>
                  </w:r>
                </w:p>
              </w:tc>
              <w:tc>
                <w:tcPr>
                  <w:tcW w:w="521" w:type="pct"/>
                  <w:noWrap w:val="0"/>
                  <w:vAlign w:val="center"/>
                </w:tcPr>
                <w:p w14:paraId="7443B0F1">
                  <w:pPr>
                    <w:jc w:val="center"/>
                    <w:rPr>
                      <w:b/>
                      <w:color w:val="auto"/>
                      <w:szCs w:val="21"/>
                      <w:highlight w:val="none"/>
                    </w:rPr>
                  </w:pPr>
                  <w:r>
                    <w:rPr>
                      <w:b/>
                      <w:snapToGrid w:val="0"/>
                      <w:color w:val="auto"/>
                      <w:szCs w:val="21"/>
                      <w:highlight w:val="none"/>
                    </w:rPr>
                    <w:t>TP</w:t>
                  </w:r>
                </w:p>
              </w:tc>
              <w:tc>
                <w:tcPr>
                  <w:tcW w:w="552" w:type="pct"/>
                  <w:noWrap w:val="0"/>
                  <w:vAlign w:val="center"/>
                </w:tcPr>
                <w:p w14:paraId="151BBB9B">
                  <w:pPr>
                    <w:jc w:val="center"/>
                    <w:rPr>
                      <w:b/>
                      <w:color w:val="auto"/>
                      <w:szCs w:val="21"/>
                      <w:highlight w:val="none"/>
                      <w:vertAlign w:val="subscript"/>
                    </w:rPr>
                  </w:pPr>
                  <w:r>
                    <w:rPr>
                      <w:b/>
                      <w:snapToGrid w:val="0"/>
                      <w:color w:val="auto"/>
                      <w:szCs w:val="21"/>
                      <w:highlight w:val="none"/>
                    </w:rPr>
                    <w:t>DO</w:t>
                  </w:r>
                </w:p>
              </w:tc>
            </w:tr>
            <w:tr w14:paraId="5E1C9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446" w:type="pct"/>
                  <w:noWrap w:val="0"/>
                  <w:vAlign w:val="center"/>
                </w:tcPr>
                <w:p w14:paraId="37F623C2">
                  <w:pPr>
                    <w:jc w:val="center"/>
                    <w:rPr>
                      <w:color w:val="auto"/>
                      <w:szCs w:val="21"/>
                      <w:highlight w:val="none"/>
                    </w:rPr>
                  </w:pPr>
                  <w:r>
                    <w:rPr>
                      <w:rFonts w:hint="eastAsia"/>
                      <w:color w:val="auto"/>
                      <w:szCs w:val="21"/>
                      <w:highlight w:val="none"/>
                      <w:lang w:val="en-US" w:eastAsia="zh-Hans"/>
                    </w:rPr>
                    <w:t>Ⅲ</w:t>
                  </w:r>
                  <w:r>
                    <w:rPr>
                      <w:color w:val="auto"/>
                      <w:szCs w:val="21"/>
                      <w:highlight w:val="none"/>
                    </w:rPr>
                    <w:t>类功能水域标准</w:t>
                  </w:r>
                </w:p>
              </w:tc>
              <w:tc>
                <w:tcPr>
                  <w:tcW w:w="659" w:type="pct"/>
                  <w:noWrap w:val="0"/>
                  <w:vAlign w:val="center"/>
                </w:tcPr>
                <w:p w14:paraId="270E4A95">
                  <w:pPr>
                    <w:jc w:val="center"/>
                    <w:rPr>
                      <w:color w:val="auto"/>
                      <w:szCs w:val="21"/>
                      <w:highlight w:val="none"/>
                    </w:rPr>
                  </w:pPr>
                  <w:r>
                    <w:rPr>
                      <w:color w:val="auto"/>
                      <w:szCs w:val="21"/>
                      <w:highlight w:val="none"/>
                    </w:rPr>
                    <w:t>6～9</w:t>
                  </w:r>
                </w:p>
              </w:tc>
              <w:tc>
                <w:tcPr>
                  <w:tcW w:w="649" w:type="pct"/>
                  <w:noWrap w:val="0"/>
                  <w:vAlign w:val="center"/>
                </w:tcPr>
                <w:p w14:paraId="26C214D4">
                  <w:pPr>
                    <w:jc w:val="center"/>
                    <w:rPr>
                      <w:color w:val="auto"/>
                      <w:szCs w:val="21"/>
                      <w:highlight w:val="none"/>
                    </w:rPr>
                  </w:pPr>
                  <w:r>
                    <w:rPr>
                      <w:color w:val="auto"/>
                      <w:szCs w:val="21"/>
                      <w:highlight w:val="none"/>
                    </w:rPr>
                    <w:t>≤20</w:t>
                  </w:r>
                </w:p>
              </w:tc>
              <w:tc>
                <w:tcPr>
                  <w:tcW w:w="613" w:type="pct"/>
                  <w:noWrap w:val="0"/>
                  <w:vAlign w:val="center"/>
                </w:tcPr>
                <w:p w14:paraId="4001100A">
                  <w:pPr>
                    <w:jc w:val="center"/>
                    <w:rPr>
                      <w:color w:val="auto"/>
                      <w:szCs w:val="21"/>
                      <w:highlight w:val="none"/>
                    </w:rPr>
                  </w:pPr>
                  <w:r>
                    <w:rPr>
                      <w:color w:val="auto"/>
                      <w:szCs w:val="21"/>
                      <w:highlight w:val="none"/>
                    </w:rPr>
                    <w:t>≤1.0</w:t>
                  </w:r>
                </w:p>
              </w:tc>
              <w:tc>
                <w:tcPr>
                  <w:tcW w:w="556" w:type="pct"/>
                  <w:noWrap w:val="0"/>
                  <w:vAlign w:val="center"/>
                </w:tcPr>
                <w:p w14:paraId="462DA661">
                  <w:pPr>
                    <w:jc w:val="center"/>
                    <w:rPr>
                      <w:color w:val="auto"/>
                      <w:szCs w:val="21"/>
                      <w:highlight w:val="none"/>
                    </w:rPr>
                  </w:pPr>
                  <w:r>
                    <w:rPr>
                      <w:color w:val="auto"/>
                      <w:szCs w:val="21"/>
                      <w:highlight w:val="none"/>
                    </w:rPr>
                    <w:t>≤1.0</w:t>
                  </w:r>
                </w:p>
              </w:tc>
              <w:tc>
                <w:tcPr>
                  <w:tcW w:w="521" w:type="pct"/>
                  <w:noWrap w:val="0"/>
                  <w:vAlign w:val="center"/>
                </w:tcPr>
                <w:p w14:paraId="440197F0">
                  <w:pPr>
                    <w:jc w:val="center"/>
                    <w:rPr>
                      <w:color w:val="auto"/>
                      <w:szCs w:val="21"/>
                      <w:highlight w:val="none"/>
                    </w:rPr>
                  </w:pPr>
                  <w:r>
                    <w:rPr>
                      <w:color w:val="auto"/>
                      <w:szCs w:val="21"/>
                      <w:highlight w:val="none"/>
                    </w:rPr>
                    <w:t>≤0.2</w:t>
                  </w:r>
                </w:p>
              </w:tc>
              <w:tc>
                <w:tcPr>
                  <w:tcW w:w="552" w:type="pct"/>
                  <w:noWrap w:val="0"/>
                  <w:vAlign w:val="center"/>
                </w:tcPr>
                <w:p w14:paraId="5049EC86">
                  <w:pPr>
                    <w:jc w:val="center"/>
                    <w:rPr>
                      <w:color w:val="auto"/>
                      <w:szCs w:val="21"/>
                      <w:highlight w:val="none"/>
                    </w:rPr>
                  </w:pPr>
                  <w:r>
                    <w:rPr>
                      <w:color w:val="auto"/>
                      <w:szCs w:val="21"/>
                      <w:highlight w:val="none"/>
                    </w:rPr>
                    <w:t>≥5</w:t>
                  </w:r>
                </w:p>
              </w:tc>
            </w:tr>
          </w:tbl>
          <w:p w14:paraId="7D87BF22">
            <w:pPr>
              <w:adjustRightInd w:val="0"/>
              <w:snapToGrid w:val="0"/>
              <w:spacing w:before="120" w:beforeLines="50" w:line="360" w:lineRule="auto"/>
              <w:ind w:firstLine="482" w:firstLineChars="200"/>
              <w:rPr>
                <w:b/>
                <w:bCs/>
                <w:color w:val="auto"/>
                <w:sz w:val="24"/>
                <w:highlight w:val="none"/>
              </w:rPr>
            </w:pPr>
            <w:r>
              <w:rPr>
                <w:b/>
                <w:bCs/>
                <w:color w:val="auto"/>
                <w:sz w:val="24"/>
                <w:highlight w:val="none"/>
              </w:rPr>
              <w:t>3、声环境</w:t>
            </w:r>
          </w:p>
          <w:p w14:paraId="242FB959">
            <w:pPr>
              <w:spacing w:line="360" w:lineRule="auto"/>
              <w:ind w:firstLine="480" w:firstLineChars="200"/>
              <w:rPr>
                <w:color w:val="auto"/>
                <w:sz w:val="24"/>
                <w:highlight w:val="none"/>
              </w:rPr>
            </w:pPr>
            <w:r>
              <w:rPr>
                <w:rFonts w:hint="eastAsia"/>
                <w:color w:val="auto"/>
                <w:sz w:val="24"/>
                <w:highlight w:val="none"/>
                <w:lang w:val="en-US" w:eastAsia="zh-Hans"/>
              </w:rPr>
              <w:t>本</w:t>
            </w:r>
            <w:r>
              <w:rPr>
                <w:color w:val="auto"/>
                <w:sz w:val="24"/>
                <w:highlight w:val="none"/>
              </w:rPr>
              <w:t>项目所在地环境噪声执行《声环境质量标准》(GB 3096-2008)3类声环境功能区环境噪声限值，具体标准见表</w:t>
            </w:r>
            <w:r>
              <w:rPr>
                <w:rFonts w:hint="eastAsia"/>
                <w:color w:val="auto"/>
                <w:sz w:val="24"/>
                <w:highlight w:val="none"/>
              </w:rPr>
              <w:t>3</w:t>
            </w:r>
            <w:r>
              <w:rPr>
                <w:color w:val="auto"/>
                <w:sz w:val="24"/>
                <w:highlight w:val="none"/>
              </w:rPr>
              <w:t>-</w:t>
            </w:r>
            <w:r>
              <w:rPr>
                <w:rFonts w:hint="default"/>
                <w:color w:val="auto"/>
                <w:sz w:val="24"/>
                <w:highlight w:val="none"/>
              </w:rPr>
              <w:t>8</w:t>
            </w:r>
            <w:r>
              <w:rPr>
                <w:color w:val="auto"/>
                <w:sz w:val="24"/>
                <w:highlight w:val="none"/>
              </w:rPr>
              <w:t>。</w:t>
            </w:r>
          </w:p>
          <w:p w14:paraId="3F8AEA26">
            <w:pPr>
              <w:jc w:val="center"/>
              <w:rPr>
                <w:b/>
                <w:color w:val="auto"/>
                <w:sz w:val="24"/>
                <w:highlight w:val="none"/>
              </w:rPr>
            </w:pPr>
            <w:r>
              <w:rPr>
                <w:b/>
                <w:color w:val="auto"/>
                <w:sz w:val="24"/>
                <w:highlight w:val="none"/>
              </w:rPr>
              <w:t>表</w:t>
            </w:r>
            <w:r>
              <w:rPr>
                <w:rFonts w:hint="eastAsia"/>
                <w:b/>
                <w:color w:val="auto"/>
                <w:sz w:val="24"/>
                <w:highlight w:val="none"/>
              </w:rPr>
              <w:t>3-</w:t>
            </w:r>
            <w:r>
              <w:rPr>
                <w:rFonts w:hint="default"/>
                <w:b/>
                <w:color w:val="auto"/>
                <w:sz w:val="24"/>
                <w:highlight w:val="none"/>
              </w:rPr>
              <w:t>8</w:t>
            </w:r>
            <w:r>
              <w:rPr>
                <w:rFonts w:hint="eastAsia"/>
                <w:b/>
                <w:color w:val="auto"/>
                <w:sz w:val="24"/>
                <w:highlight w:val="none"/>
              </w:rPr>
              <w:t xml:space="preserve"> </w:t>
            </w:r>
            <w:r>
              <w:rPr>
                <w:b/>
                <w:color w:val="auto"/>
                <w:sz w:val="24"/>
                <w:highlight w:val="none"/>
              </w:rPr>
              <w:t xml:space="preserve"> 声环境质量标准值  单位：dB(A)</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2"/>
              <w:gridCol w:w="3287"/>
              <w:gridCol w:w="3500"/>
            </w:tblGrid>
            <w:tr w14:paraId="767E1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8" w:type="pct"/>
                  <w:noWrap w:val="0"/>
                  <w:vAlign w:val="center"/>
                </w:tcPr>
                <w:p w14:paraId="52ED7531">
                  <w:pPr>
                    <w:jc w:val="center"/>
                    <w:rPr>
                      <w:b/>
                      <w:color w:val="auto"/>
                      <w:szCs w:val="21"/>
                      <w:highlight w:val="none"/>
                    </w:rPr>
                  </w:pPr>
                  <w:r>
                    <w:rPr>
                      <w:b/>
                      <w:color w:val="auto"/>
                      <w:szCs w:val="21"/>
                      <w:highlight w:val="none"/>
                    </w:rPr>
                    <w:t>类别</w:t>
                  </w:r>
                </w:p>
              </w:tc>
              <w:tc>
                <w:tcPr>
                  <w:tcW w:w="1812" w:type="pct"/>
                  <w:noWrap w:val="0"/>
                  <w:vAlign w:val="center"/>
                </w:tcPr>
                <w:p w14:paraId="1F153672">
                  <w:pPr>
                    <w:jc w:val="center"/>
                    <w:rPr>
                      <w:b/>
                      <w:color w:val="auto"/>
                      <w:szCs w:val="21"/>
                      <w:highlight w:val="none"/>
                    </w:rPr>
                  </w:pPr>
                  <w:r>
                    <w:rPr>
                      <w:b/>
                      <w:color w:val="auto"/>
                      <w:szCs w:val="21"/>
                      <w:highlight w:val="none"/>
                    </w:rPr>
                    <w:t>昼间</w:t>
                  </w:r>
                </w:p>
              </w:tc>
              <w:tc>
                <w:tcPr>
                  <w:tcW w:w="1929" w:type="pct"/>
                  <w:noWrap w:val="0"/>
                  <w:vAlign w:val="center"/>
                </w:tcPr>
                <w:p w14:paraId="1029E6DB">
                  <w:pPr>
                    <w:jc w:val="center"/>
                    <w:rPr>
                      <w:b/>
                      <w:color w:val="auto"/>
                      <w:szCs w:val="21"/>
                      <w:highlight w:val="none"/>
                    </w:rPr>
                  </w:pPr>
                  <w:r>
                    <w:rPr>
                      <w:b/>
                      <w:color w:val="auto"/>
                      <w:szCs w:val="21"/>
                      <w:highlight w:val="none"/>
                    </w:rPr>
                    <w:t>夜间</w:t>
                  </w:r>
                </w:p>
              </w:tc>
            </w:tr>
            <w:tr w14:paraId="2C50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8" w:type="pct"/>
                  <w:noWrap w:val="0"/>
                  <w:vAlign w:val="center"/>
                </w:tcPr>
                <w:p w14:paraId="7C9BD323">
                  <w:pPr>
                    <w:jc w:val="center"/>
                    <w:rPr>
                      <w:color w:val="auto"/>
                      <w:szCs w:val="21"/>
                      <w:highlight w:val="none"/>
                    </w:rPr>
                  </w:pPr>
                  <w:r>
                    <w:rPr>
                      <w:color w:val="auto"/>
                      <w:szCs w:val="21"/>
                      <w:highlight w:val="none"/>
                    </w:rPr>
                    <w:t>3类</w:t>
                  </w:r>
                </w:p>
              </w:tc>
              <w:tc>
                <w:tcPr>
                  <w:tcW w:w="1812" w:type="pct"/>
                  <w:noWrap w:val="0"/>
                  <w:vAlign w:val="center"/>
                </w:tcPr>
                <w:p w14:paraId="77AB71D7">
                  <w:pPr>
                    <w:jc w:val="center"/>
                    <w:rPr>
                      <w:color w:val="auto"/>
                      <w:szCs w:val="21"/>
                      <w:highlight w:val="none"/>
                    </w:rPr>
                  </w:pPr>
                  <w:r>
                    <w:rPr>
                      <w:color w:val="auto"/>
                      <w:szCs w:val="21"/>
                      <w:highlight w:val="none"/>
                    </w:rPr>
                    <w:t>65</w:t>
                  </w:r>
                </w:p>
              </w:tc>
              <w:tc>
                <w:tcPr>
                  <w:tcW w:w="1929" w:type="pct"/>
                  <w:noWrap w:val="0"/>
                  <w:vAlign w:val="center"/>
                </w:tcPr>
                <w:p w14:paraId="627401D7">
                  <w:pPr>
                    <w:jc w:val="center"/>
                    <w:rPr>
                      <w:color w:val="auto"/>
                      <w:szCs w:val="21"/>
                      <w:highlight w:val="none"/>
                    </w:rPr>
                  </w:pPr>
                  <w:r>
                    <w:rPr>
                      <w:color w:val="auto"/>
                      <w:szCs w:val="21"/>
                      <w:highlight w:val="none"/>
                    </w:rPr>
                    <w:t>55</w:t>
                  </w:r>
                </w:p>
              </w:tc>
            </w:tr>
          </w:tbl>
          <w:p w14:paraId="4D39F6ED">
            <w:pPr>
              <w:tabs>
                <w:tab w:val="left" w:pos="5142"/>
              </w:tabs>
              <w:adjustRightInd w:val="0"/>
              <w:snapToGrid w:val="0"/>
              <w:spacing w:before="120" w:beforeLines="50" w:line="360" w:lineRule="auto"/>
              <w:rPr>
                <w:b/>
                <w:snapToGrid w:val="0"/>
                <w:color w:val="auto"/>
                <w:kern w:val="0"/>
                <w:sz w:val="24"/>
                <w:highlight w:val="none"/>
              </w:rPr>
            </w:pPr>
            <w:r>
              <w:rPr>
                <w:rFonts w:hint="eastAsia"/>
                <w:b/>
                <w:snapToGrid w:val="0"/>
                <w:color w:val="auto"/>
                <w:kern w:val="0"/>
                <w:sz w:val="24"/>
                <w:highlight w:val="none"/>
              </w:rPr>
              <w:t>二、污染物排放标准</w:t>
            </w:r>
          </w:p>
          <w:p w14:paraId="3852B7CF">
            <w:pPr>
              <w:keepNext w:val="0"/>
              <w:keepLines w:val="0"/>
              <w:pageBreakBefore w:val="0"/>
              <w:widowControl w:val="0"/>
              <w:tabs>
                <w:tab w:val="left" w:pos="5142"/>
              </w:tabs>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b/>
                <w:snapToGrid w:val="0"/>
                <w:color w:val="auto"/>
                <w:kern w:val="0"/>
                <w:sz w:val="24"/>
                <w:highlight w:val="none"/>
              </w:rPr>
            </w:pPr>
            <w:r>
              <w:rPr>
                <w:b/>
                <w:snapToGrid w:val="0"/>
                <w:color w:val="auto"/>
                <w:kern w:val="0"/>
                <w:sz w:val="24"/>
                <w:highlight w:val="none"/>
              </w:rPr>
              <w:t>1、大气污染物排放标准</w:t>
            </w:r>
          </w:p>
          <w:p w14:paraId="3F9F4007">
            <w:pPr>
              <w:pStyle w:val="67"/>
              <w:snapToGrid w:val="0"/>
              <w:spacing w:line="360" w:lineRule="auto"/>
              <w:ind w:firstLine="480" w:firstLineChars="200"/>
              <w:jc w:val="both"/>
              <w:rPr>
                <w:rFonts w:ascii="Times New Roman"/>
                <w:snapToGrid w:val="0"/>
                <w:color w:val="auto"/>
                <w:kern w:val="2"/>
                <w:highlight w:val="none"/>
              </w:rPr>
            </w:pPr>
            <w:r>
              <w:rPr>
                <w:rFonts w:ascii="Times New Roman"/>
                <w:color w:val="auto"/>
                <w:kern w:val="2"/>
                <w:highlight w:val="none"/>
              </w:rPr>
              <w:t>建设项目废气主要是电阻焊工序产生的焊接烟尘和点</w:t>
            </w:r>
            <w:r>
              <w:rPr>
                <w:rFonts w:hint="eastAsia" w:ascii="Times New Roman"/>
                <w:color w:val="auto"/>
                <w:kern w:val="2"/>
                <w:highlight w:val="none"/>
              </w:rPr>
              <w:t>聚酯树脂胶</w:t>
            </w:r>
            <w:r>
              <w:rPr>
                <w:rFonts w:ascii="Times New Roman"/>
                <w:color w:val="auto"/>
                <w:kern w:val="2"/>
                <w:highlight w:val="none"/>
              </w:rPr>
              <w:t>、固化</w:t>
            </w:r>
            <w:r>
              <w:rPr>
                <w:rFonts w:hint="eastAsia" w:ascii="Times New Roman"/>
                <w:color w:val="auto"/>
                <w:kern w:val="2"/>
                <w:highlight w:val="none"/>
              </w:rPr>
              <w:t>、滴浸渍树脂胶、浸涂树脂粉、固化</w:t>
            </w:r>
            <w:r>
              <w:rPr>
                <w:rFonts w:ascii="Times New Roman"/>
                <w:color w:val="auto"/>
                <w:kern w:val="2"/>
                <w:highlight w:val="none"/>
              </w:rPr>
              <w:t>等工序产生的有机废气。颗粒物</w:t>
            </w:r>
            <w:r>
              <w:rPr>
                <w:rFonts w:hint="eastAsia" w:ascii="Times New Roman"/>
                <w:color w:val="auto"/>
                <w:kern w:val="2"/>
                <w:highlight w:val="none"/>
              </w:rPr>
              <w:t>、VOCs</w:t>
            </w:r>
            <w:r>
              <w:rPr>
                <w:rFonts w:hint="eastAsia" w:ascii="Times New Roman"/>
                <w:color w:val="auto"/>
                <w:kern w:val="2"/>
                <w:highlight w:val="none"/>
                <w:lang w:eastAsia="zh-Hans"/>
              </w:rPr>
              <w:t>、二甲苯</w:t>
            </w:r>
            <w:r>
              <w:rPr>
                <w:rFonts w:hint="eastAsia" w:ascii="Times New Roman"/>
                <w:color w:val="auto"/>
                <w:kern w:val="2"/>
                <w:highlight w:val="none"/>
              </w:rPr>
              <w:t>执行《大气污染物综合排放标准》DB32/4041-2021表1、表3中相关标准。厂内VOCs无组织排放监控点浓度应满足《大气污染物综合排放标准》DB32/4041-2021表2标准。</w:t>
            </w:r>
            <w:r>
              <w:rPr>
                <w:rFonts w:ascii="Times New Roman"/>
                <w:snapToGrid w:val="0"/>
                <w:color w:val="auto"/>
                <w:kern w:val="2"/>
                <w:highlight w:val="none"/>
              </w:rPr>
              <w:t>具体标准限值见表3-9</w:t>
            </w:r>
            <w:r>
              <w:rPr>
                <w:rFonts w:hint="eastAsia" w:ascii="Times New Roman"/>
                <w:snapToGrid w:val="0"/>
                <w:color w:val="auto"/>
                <w:kern w:val="2"/>
                <w:highlight w:val="none"/>
              </w:rPr>
              <w:t>、表3-</w:t>
            </w:r>
            <w:r>
              <w:rPr>
                <w:rFonts w:hint="default" w:ascii="Times New Roman"/>
                <w:snapToGrid w:val="0"/>
                <w:color w:val="auto"/>
                <w:kern w:val="2"/>
                <w:highlight w:val="none"/>
              </w:rPr>
              <w:t>10</w:t>
            </w:r>
            <w:r>
              <w:rPr>
                <w:rFonts w:ascii="Times New Roman"/>
                <w:snapToGrid w:val="0"/>
                <w:color w:val="auto"/>
                <w:kern w:val="2"/>
                <w:highlight w:val="none"/>
              </w:rPr>
              <w:t>。</w:t>
            </w:r>
          </w:p>
          <w:p w14:paraId="380D8E4C">
            <w:pPr>
              <w:pStyle w:val="67"/>
              <w:snapToGrid w:val="0"/>
              <w:jc w:val="center"/>
              <w:rPr>
                <w:rFonts w:ascii="Times New Roman"/>
                <w:b/>
                <w:snapToGrid w:val="0"/>
                <w:color w:val="auto"/>
                <w:kern w:val="2"/>
                <w:highlight w:val="none"/>
              </w:rPr>
            </w:pPr>
            <w:r>
              <w:rPr>
                <w:rFonts w:ascii="Times New Roman"/>
                <w:b/>
                <w:snapToGrid w:val="0"/>
                <w:color w:val="auto"/>
                <w:kern w:val="2"/>
                <w:highlight w:val="none"/>
              </w:rPr>
              <w:t>表</w:t>
            </w:r>
            <w:r>
              <w:rPr>
                <w:rFonts w:ascii="Times New Roman"/>
                <w:b/>
                <w:bCs/>
                <w:snapToGrid w:val="0"/>
                <w:color w:val="auto"/>
                <w:kern w:val="2"/>
                <w:highlight w:val="none"/>
              </w:rPr>
              <w:t>3-</w:t>
            </w:r>
            <w:r>
              <w:rPr>
                <w:rFonts w:hint="default" w:ascii="Times New Roman"/>
                <w:b/>
                <w:bCs/>
                <w:snapToGrid w:val="0"/>
                <w:color w:val="auto"/>
                <w:kern w:val="2"/>
                <w:highlight w:val="none"/>
              </w:rPr>
              <w:t>9</w:t>
            </w:r>
            <w:r>
              <w:rPr>
                <w:rFonts w:ascii="Times New Roman"/>
                <w:b/>
                <w:bCs/>
                <w:snapToGrid w:val="0"/>
                <w:color w:val="auto"/>
                <w:kern w:val="2"/>
                <w:highlight w:val="none"/>
              </w:rPr>
              <w:t xml:space="preserve">  </w:t>
            </w:r>
            <w:r>
              <w:rPr>
                <w:rFonts w:ascii="Times New Roman"/>
                <w:b/>
                <w:snapToGrid w:val="0"/>
                <w:color w:val="auto"/>
                <w:kern w:val="2"/>
                <w:highlight w:val="none"/>
              </w:rPr>
              <w:t>大气污染物排放执行标准限值一览表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025"/>
              <w:gridCol w:w="838"/>
              <w:gridCol w:w="854"/>
              <w:gridCol w:w="1705"/>
              <w:gridCol w:w="3960"/>
            </w:tblGrid>
            <w:tr w14:paraId="0050F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7" w:type="pct"/>
                  <w:tcMar>
                    <w:left w:w="0" w:type="dxa"/>
                    <w:right w:w="0" w:type="dxa"/>
                  </w:tcMar>
                  <w:vAlign w:val="center"/>
                </w:tcPr>
                <w:p w14:paraId="7582343D">
                  <w:pPr>
                    <w:spacing w:line="0" w:lineRule="atLeast"/>
                    <w:jc w:val="center"/>
                    <w:rPr>
                      <w:b/>
                      <w:color w:val="auto"/>
                      <w:szCs w:val="21"/>
                      <w:highlight w:val="none"/>
                    </w:rPr>
                  </w:pPr>
                  <w:r>
                    <w:rPr>
                      <w:b/>
                      <w:color w:val="auto"/>
                      <w:szCs w:val="21"/>
                      <w:highlight w:val="none"/>
                    </w:rPr>
                    <w:t>污染物名称</w:t>
                  </w:r>
                </w:p>
              </w:tc>
              <w:tc>
                <w:tcPr>
                  <w:tcW w:w="565" w:type="pct"/>
                  <w:tcMar>
                    <w:left w:w="0" w:type="dxa"/>
                    <w:right w:w="0" w:type="dxa"/>
                  </w:tcMar>
                  <w:vAlign w:val="center"/>
                </w:tcPr>
                <w:p w14:paraId="3F8A86A2">
                  <w:pPr>
                    <w:spacing w:line="0" w:lineRule="atLeast"/>
                    <w:jc w:val="center"/>
                    <w:rPr>
                      <w:b/>
                      <w:color w:val="auto"/>
                      <w:szCs w:val="21"/>
                      <w:highlight w:val="none"/>
                    </w:rPr>
                  </w:pPr>
                  <w:r>
                    <w:rPr>
                      <w:b/>
                      <w:color w:val="auto"/>
                      <w:szCs w:val="21"/>
                      <w:highlight w:val="none"/>
                    </w:rPr>
                    <w:t>浓度限值（mg/m</w:t>
                  </w:r>
                  <w:r>
                    <w:rPr>
                      <w:b/>
                      <w:color w:val="auto"/>
                      <w:szCs w:val="21"/>
                      <w:highlight w:val="none"/>
                      <w:vertAlign w:val="superscript"/>
                    </w:rPr>
                    <w:t>3</w:t>
                  </w:r>
                  <w:r>
                    <w:rPr>
                      <w:b/>
                      <w:color w:val="auto"/>
                      <w:szCs w:val="21"/>
                      <w:highlight w:val="none"/>
                    </w:rPr>
                    <w:t>）</w:t>
                  </w:r>
                </w:p>
              </w:tc>
              <w:tc>
                <w:tcPr>
                  <w:tcW w:w="462" w:type="pct"/>
                  <w:tcMar>
                    <w:left w:w="0" w:type="dxa"/>
                    <w:right w:w="0" w:type="dxa"/>
                  </w:tcMar>
                  <w:vAlign w:val="center"/>
                </w:tcPr>
                <w:p w14:paraId="326C221C">
                  <w:pPr>
                    <w:spacing w:line="0" w:lineRule="atLeast"/>
                    <w:jc w:val="center"/>
                    <w:rPr>
                      <w:b/>
                      <w:color w:val="auto"/>
                      <w:szCs w:val="21"/>
                      <w:highlight w:val="none"/>
                    </w:rPr>
                  </w:pPr>
                  <w:r>
                    <w:rPr>
                      <w:b/>
                      <w:color w:val="auto"/>
                      <w:szCs w:val="21"/>
                      <w:highlight w:val="none"/>
                    </w:rPr>
                    <w:t>排放速率（kg/h）</w:t>
                  </w:r>
                </w:p>
              </w:tc>
              <w:tc>
                <w:tcPr>
                  <w:tcW w:w="471" w:type="pct"/>
                  <w:tcMar>
                    <w:left w:w="0" w:type="dxa"/>
                    <w:right w:w="0" w:type="dxa"/>
                  </w:tcMar>
                  <w:vAlign w:val="center"/>
                </w:tcPr>
                <w:p w14:paraId="4D0A134A">
                  <w:pPr>
                    <w:spacing w:line="0" w:lineRule="atLeast"/>
                    <w:jc w:val="center"/>
                    <w:rPr>
                      <w:b/>
                      <w:color w:val="auto"/>
                      <w:szCs w:val="21"/>
                      <w:highlight w:val="none"/>
                    </w:rPr>
                  </w:pPr>
                  <w:r>
                    <w:rPr>
                      <w:b/>
                      <w:color w:val="auto"/>
                      <w:szCs w:val="21"/>
                      <w:highlight w:val="none"/>
                    </w:rPr>
                    <w:t>排气筒高度（m）</w:t>
                  </w:r>
                </w:p>
              </w:tc>
              <w:tc>
                <w:tcPr>
                  <w:tcW w:w="940" w:type="pct"/>
                  <w:tcMar>
                    <w:left w:w="0" w:type="dxa"/>
                    <w:right w:w="0" w:type="dxa"/>
                  </w:tcMar>
                  <w:vAlign w:val="center"/>
                </w:tcPr>
                <w:p w14:paraId="54A2DEDD">
                  <w:pPr>
                    <w:spacing w:line="0" w:lineRule="atLeast"/>
                    <w:jc w:val="center"/>
                    <w:rPr>
                      <w:b/>
                      <w:color w:val="auto"/>
                      <w:szCs w:val="21"/>
                      <w:highlight w:val="none"/>
                    </w:rPr>
                  </w:pPr>
                  <w:r>
                    <w:rPr>
                      <w:b/>
                      <w:color w:val="auto"/>
                      <w:szCs w:val="21"/>
                      <w:highlight w:val="none"/>
                    </w:rPr>
                    <w:t>无组织排放监控浓度限值</w:t>
                  </w:r>
                  <w:r>
                    <w:rPr>
                      <w:b/>
                      <w:bCs/>
                      <w:snapToGrid w:val="0"/>
                      <w:color w:val="auto"/>
                      <w:szCs w:val="21"/>
                      <w:highlight w:val="none"/>
                    </w:rPr>
                    <w:t>(</w:t>
                  </w:r>
                  <w:r>
                    <w:rPr>
                      <w:b/>
                      <w:bCs/>
                      <w:color w:val="auto"/>
                      <w:szCs w:val="21"/>
                      <w:highlight w:val="none"/>
                    </w:rPr>
                    <w:t>mg/m</w:t>
                  </w:r>
                  <w:r>
                    <w:rPr>
                      <w:b/>
                      <w:bCs/>
                      <w:color w:val="auto"/>
                      <w:szCs w:val="21"/>
                      <w:highlight w:val="none"/>
                      <w:vertAlign w:val="superscript"/>
                    </w:rPr>
                    <w:t>3</w:t>
                  </w:r>
                  <w:r>
                    <w:rPr>
                      <w:b/>
                      <w:bCs/>
                      <w:color w:val="auto"/>
                      <w:szCs w:val="21"/>
                      <w:highlight w:val="none"/>
                    </w:rPr>
                    <w:t>)</w:t>
                  </w:r>
                </w:p>
              </w:tc>
              <w:tc>
                <w:tcPr>
                  <w:tcW w:w="2183" w:type="pct"/>
                  <w:tcMar>
                    <w:left w:w="0" w:type="dxa"/>
                    <w:right w:w="0" w:type="dxa"/>
                  </w:tcMar>
                  <w:vAlign w:val="center"/>
                </w:tcPr>
                <w:p w14:paraId="6AE05AF2">
                  <w:pPr>
                    <w:spacing w:line="0" w:lineRule="atLeast"/>
                    <w:jc w:val="center"/>
                    <w:rPr>
                      <w:b/>
                      <w:color w:val="auto"/>
                      <w:szCs w:val="21"/>
                      <w:highlight w:val="none"/>
                    </w:rPr>
                  </w:pPr>
                  <w:r>
                    <w:rPr>
                      <w:b/>
                      <w:color w:val="auto"/>
                      <w:szCs w:val="21"/>
                      <w:highlight w:val="none"/>
                    </w:rPr>
                    <w:t>标准来源</w:t>
                  </w:r>
                </w:p>
              </w:tc>
            </w:tr>
            <w:tr w14:paraId="05316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7" w:type="pct"/>
                  <w:tcMar>
                    <w:left w:w="0" w:type="dxa"/>
                    <w:right w:w="0" w:type="dxa"/>
                  </w:tcMar>
                  <w:vAlign w:val="center"/>
                </w:tcPr>
                <w:p w14:paraId="2ACE42D5">
                  <w:pPr>
                    <w:spacing w:line="0" w:lineRule="atLeast"/>
                    <w:jc w:val="center"/>
                    <w:rPr>
                      <w:b/>
                      <w:color w:val="auto"/>
                      <w:szCs w:val="21"/>
                      <w:highlight w:val="none"/>
                    </w:rPr>
                  </w:pPr>
                  <w:r>
                    <w:rPr>
                      <w:color w:val="auto"/>
                      <w:szCs w:val="21"/>
                      <w:highlight w:val="none"/>
                    </w:rPr>
                    <w:t>颗粒物</w:t>
                  </w:r>
                </w:p>
              </w:tc>
              <w:tc>
                <w:tcPr>
                  <w:tcW w:w="565" w:type="pct"/>
                  <w:tcMar>
                    <w:left w:w="0" w:type="dxa"/>
                    <w:right w:w="0" w:type="dxa"/>
                  </w:tcMar>
                  <w:vAlign w:val="center"/>
                </w:tcPr>
                <w:p w14:paraId="62F97689">
                  <w:pPr>
                    <w:jc w:val="center"/>
                    <w:rPr>
                      <w:b/>
                      <w:color w:val="auto"/>
                      <w:szCs w:val="21"/>
                      <w:highlight w:val="none"/>
                    </w:rPr>
                  </w:pPr>
                  <w:r>
                    <w:rPr>
                      <w:rFonts w:hint="eastAsia"/>
                      <w:color w:val="auto"/>
                      <w:szCs w:val="21"/>
                      <w:highlight w:val="none"/>
                    </w:rPr>
                    <w:t>20</w:t>
                  </w:r>
                </w:p>
              </w:tc>
              <w:tc>
                <w:tcPr>
                  <w:tcW w:w="462" w:type="pct"/>
                  <w:tcMar>
                    <w:left w:w="0" w:type="dxa"/>
                    <w:right w:w="0" w:type="dxa"/>
                  </w:tcMar>
                  <w:vAlign w:val="center"/>
                </w:tcPr>
                <w:p w14:paraId="5919DF1B">
                  <w:pPr>
                    <w:jc w:val="center"/>
                    <w:rPr>
                      <w:b/>
                      <w:color w:val="auto"/>
                      <w:szCs w:val="21"/>
                      <w:highlight w:val="none"/>
                    </w:rPr>
                  </w:pPr>
                  <w:r>
                    <w:rPr>
                      <w:rFonts w:hint="eastAsia"/>
                      <w:color w:val="auto"/>
                      <w:szCs w:val="21"/>
                      <w:highlight w:val="none"/>
                    </w:rPr>
                    <w:t>1</w:t>
                  </w:r>
                </w:p>
              </w:tc>
              <w:tc>
                <w:tcPr>
                  <w:tcW w:w="471" w:type="pct"/>
                  <w:tcMar>
                    <w:left w:w="0" w:type="dxa"/>
                    <w:right w:w="0" w:type="dxa"/>
                  </w:tcMar>
                  <w:vAlign w:val="center"/>
                </w:tcPr>
                <w:p w14:paraId="2CDFBEB4">
                  <w:pPr>
                    <w:jc w:val="center"/>
                    <w:rPr>
                      <w:b/>
                      <w:color w:val="auto"/>
                      <w:szCs w:val="21"/>
                      <w:highlight w:val="none"/>
                    </w:rPr>
                  </w:pPr>
                  <w:r>
                    <w:rPr>
                      <w:rFonts w:hint="eastAsia"/>
                      <w:color w:val="auto"/>
                      <w:szCs w:val="21"/>
                      <w:highlight w:val="none"/>
                    </w:rPr>
                    <w:t>15</w:t>
                  </w:r>
                </w:p>
              </w:tc>
              <w:tc>
                <w:tcPr>
                  <w:tcW w:w="940" w:type="pct"/>
                  <w:tcMar>
                    <w:left w:w="0" w:type="dxa"/>
                    <w:right w:w="0" w:type="dxa"/>
                  </w:tcMar>
                  <w:vAlign w:val="center"/>
                </w:tcPr>
                <w:p w14:paraId="1DE2449B">
                  <w:pPr>
                    <w:jc w:val="center"/>
                    <w:rPr>
                      <w:b/>
                      <w:bCs/>
                      <w:color w:val="auto"/>
                      <w:spacing w:val="-20"/>
                      <w:szCs w:val="21"/>
                      <w:highlight w:val="none"/>
                    </w:rPr>
                  </w:pPr>
                  <w:r>
                    <w:rPr>
                      <w:rFonts w:hint="eastAsia"/>
                      <w:color w:val="auto"/>
                      <w:szCs w:val="21"/>
                      <w:highlight w:val="none"/>
                    </w:rPr>
                    <w:t>0.5</w:t>
                  </w:r>
                </w:p>
              </w:tc>
              <w:tc>
                <w:tcPr>
                  <w:tcW w:w="2183" w:type="pct"/>
                  <w:vMerge w:val="restart"/>
                  <w:tcMar>
                    <w:left w:w="0" w:type="dxa"/>
                    <w:right w:w="0" w:type="dxa"/>
                  </w:tcMar>
                  <w:vAlign w:val="center"/>
                </w:tcPr>
                <w:p w14:paraId="38D91878">
                  <w:pPr>
                    <w:spacing w:line="0" w:lineRule="atLeast"/>
                    <w:jc w:val="center"/>
                    <w:rPr>
                      <w:b/>
                      <w:color w:val="auto"/>
                      <w:szCs w:val="21"/>
                      <w:highlight w:val="none"/>
                    </w:rPr>
                  </w:pPr>
                  <w:r>
                    <w:rPr>
                      <w:rFonts w:hint="eastAsia"/>
                      <w:color w:val="auto"/>
                      <w:szCs w:val="21"/>
                      <w:highlight w:val="none"/>
                    </w:rPr>
                    <w:t>《大气污染物综合排放标准》DB32/4041-2021表1、表3中相关标准</w:t>
                  </w:r>
                </w:p>
              </w:tc>
            </w:tr>
            <w:tr w14:paraId="4D6CF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7" w:type="pct"/>
                  <w:tcMar>
                    <w:left w:w="0" w:type="dxa"/>
                    <w:right w:w="0" w:type="dxa"/>
                  </w:tcMar>
                  <w:vAlign w:val="center"/>
                </w:tcPr>
                <w:p w14:paraId="252896B9">
                  <w:pPr>
                    <w:spacing w:line="0" w:lineRule="atLeast"/>
                    <w:jc w:val="center"/>
                    <w:rPr>
                      <w:color w:val="auto"/>
                      <w:szCs w:val="21"/>
                      <w:highlight w:val="none"/>
                    </w:rPr>
                  </w:pPr>
                  <w:r>
                    <w:rPr>
                      <w:rFonts w:hint="eastAsia"/>
                      <w:color w:val="auto"/>
                      <w:szCs w:val="21"/>
                      <w:highlight w:val="none"/>
                    </w:rPr>
                    <w:t>NMHC</w:t>
                  </w:r>
                </w:p>
              </w:tc>
              <w:tc>
                <w:tcPr>
                  <w:tcW w:w="565" w:type="pct"/>
                  <w:tcMar>
                    <w:left w:w="0" w:type="dxa"/>
                    <w:right w:w="0" w:type="dxa"/>
                  </w:tcMar>
                  <w:vAlign w:val="center"/>
                </w:tcPr>
                <w:p w14:paraId="2E05C7EB">
                  <w:pPr>
                    <w:spacing w:line="0" w:lineRule="atLeast"/>
                    <w:jc w:val="center"/>
                    <w:rPr>
                      <w:color w:val="auto"/>
                      <w:szCs w:val="21"/>
                      <w:highlight w:val="none"/>
                    </w:rPr>
                  </w:pPr>
                  <w:r>
                    <w:rPr>
                      <w:rFonts w:hint="eastAsia"/>
                      <w:color w:val="auto"/>
                      <w:szCs w:val="21"/>
                      <w:highlight w:val="none"/>
                    </w:rPr>
                    <w:t>60</w:t>
                  </w:r>
                </w:p>
              </w:tc>
              <w:tc>
                <w:tcPr>
                  <w:tcW w:w="462" w:type="pct"/>
                  <w:tcMar>
                    <w:left w:w="0" w:type="dxa"/>
                    <w:right w:w="0" w:type="dxa"/>
                  </w:tcMar>
                  <w:vAlign w:val="center"/>
                </w:tcPr>
                <w:p w14:paraId="17FB1019">
                  <w:pPr>
                    <w:spacing w:line="0" w:lineRule="atLeast"/>
                    <w:jc w:val="center"/>
                    <w:rPr>
                      <w:color w:val="auto"/>
                      <w:szCs w:val="21"/>
                      <w:highlight w:val="none"/>
                    </w:rPr>
                  </w:pPr>
                  <w:r>
                    <w:rPr>
                      <w:rFonts w:hint="eastAsia"/>
                      <w:color w:val="auto"/>
                      <w:szCs w:val="21"/>
                      <w:highlight w:val="none"/>
                    </w:rPr>
                    <w:t>3</w:t>
                  </w:r>
                </w:p>
              </w:tc>
              <w:tc>
                <w:tcPr>
                  <w:tcW w:w="471" w:type="pct"/>
                  <w:tcMar>
                    <w:left w:w="0" w:type="dxa"/>
                    <w:right w:w="0" w:type="dxa"/>
                  </w:tcMar>
                  <w:vAlign w:val="center"/>
                </w:tcPr>
                <w:p w14:paraId="1380C745">
                  <w:pPr>
                    <w:spacing w:line="0" w:lineRule="atLeast"/>
                    <w:jc w:val="center"/>
                    <w:rPr>
                      <w:color w:val="auto"/>
                      <w:szCs w:val="21"/>
                      <w:highlight w:val="none"/>
                    </w:rPr>
                  </w:pPr>
                  <w:r>
                    <w:rPr>
                      <w:color w:val="auto"/>
                      <w:szCs w:val="21"/>
                      <w:highlight w:val="none"/>
                    </w:rPr>
                    <w:t>15</w:t>
                  </w:r>
                </w:p>
              </w:tc>
              <w:tc>
                <w:tcPr>
                  <w:tcW w:w="940" w:type="pct"/>
                  <w:tcMar>
                    <w:left w:w="0" w:type="dxa"/>
                    <w:right w:w="0" w:type="dxa"/>
                  </w:tcMar>
                  <w:vAlign w:val="center"/>
                </w:tcPr>
                <w:p w14:paraId="5C4E21EB">
                  <w:pPr>
                    <w:jc w:val="center"/>
                    <w:rPr>
                      <w:color w:val="auto"/>
                      <w:szCs w:val="21"/>
                      <w:highlight w:val="none"/>
                    </w:rPr>
                  </w:pPr>
                  <w:r>
                    <w:rPr>
                      <w:rFonts w:hint="eastAsia"/>
                      <w:color w:val="auto"/>
                      <w:szCs w:val="21"/>
                      <w:highlight w:val="none"/>
                    </w:rPr>
                    <w:t>4</w:t>
                  </w:r>
                </w:p>
              </w:tc>
              <w:tc>
                <w:tcPr>
                  <w:tcW w:w="2183" w:type="pct"/>
                  <w:vMerge w:val="continue"/>
                  <w:tcMar>
                    <w:left w:w="0" w:type="dxa"/>
                    <w:right w:w="0" w:type="dxa"/>
                  </w:tcMar>
                  <w:vAlign w:val="center"/>
                </w:tcPr>
                <w:p w14:paraId="155E5505">
                  <w:pPr>
                    <w:spacing w:line="0" w:lineRule="atLeast"/>
                    <w:jc w:val="center"/>
                    <w:rPr>
                      <w:bCs/>
                      <w:snapToGrid w:val="0"/>
                      <w:color w:val="auto"/>
                      <w:kern w:val="0"/>
                      <w:szCs w:val="21"/>
                      <w:highlight w:val="none"/>
                    </w:rPr>
                  </w:pPr>
                </w:p>
              </w:tc>
            </w:tr>
            <w:tr w14:paraId="063B5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7" w:type="pct"/>
                  <w:tcMar>
                    <w:left w:w="0" w:type="dxa"/>
                    <w:right w:w="0" w:type="dxa"/>
                  </w:tcMar>
                  <w:vAlign w:val="center"/>
                </w:tcPr>
                <w:p w14:paraId="2939AEB1">
                  <w:pPr>
                    <w:spacing w:line="0" w:lineRule="atLeast"/>
                    <w:rPr>
                      <w:color w:val="auto"/>
                      <w:szCs w:val="21"/>
                      <w:highlight w:val="none"/>
                      <w:lang w:eastAsia="zh-Hans"/>
                    </w:rPr>
                  </w:pPr>
                  <w:r>
                    <w:rPr>
                      <w:rFonts w:hint="eastAsia"/>
                      <w:color w:val="auto"/>
                      <w:szCs w:val="21"/>
                      <w:highlight w:val="none"/>
                      <w:lang w:eastAsia="zh-Hans"/>
                    </w:rPr>
                    <w:t>二甲苯</w:t>
                  </w:r>
                </w:p>
              </w:tc>
              <w:tc>
                <w:tcPr>
                  <w:tcW w:w="565" w:type="pct"/>
                  <w:tcMar>
                    <w:left w:w="0" w:type="dxa"/>
                    <w:right w:w="0" w:type="dxa"/>
                  </w:tcMar>
                  <w:vAlign w:val="center"/>
                </w:tcPr>
                <w:p w14:paraId="327F4028">
                  <w:pPr>
                    <w:spacing w:line="0" w:lineRule="atLeast"/>
                    <w:jc w:val="center"/>
                    <w:rPr>
                      <w:color w:val="auto"/>
                      <w:szCs w:val="21"/>
                      <w:highlight w:val="none"/>
                    </w:rPr>
                  </w:pPr>
                  <w:r>
                    <w:rPr>
                      <w:color w:val="auto"/>
                      <w:szCs w:val="21"/>
                      <w:highlight w:val="none"/>
                    </w:rPr>
                    <w:t>10</w:t>
                  </w:r>
                </w:p>
              </w:tc>
              <w:tc>
                <w:tcPr>
                  <w:tcW w:w="462" w:type="pct"/>
                  <w:tcMar>
                    <w:left w:w="0" w:type="dxa"/>
                    <w:right w:w="0" w:type="dxa"/>
                  </w:tcMar>
                  <w:vAlign w:val="center"/>
                </w:tcPr>
                <w:p w14:paraId="22C98BB9">
                  <w:pPr>
                    <w:spacing w:line="0" w:lineRule="atLeast"/>
                    <w:jc w:val="center"/>
                    <w:rPr>
                      <w:color w:val="auto"/>
                      <w:szCs w:val="21"/>
                      <w:highlight w:val="none"/>
                    </w:rPr>
                  </w:pPr>
                  <w:r>
                    <w:rPr>
                      <w:color w:val="auto"/>
                      <w:szCs w:val="21"/>
                      <w:highlight w:val="none"/>
                    </w:rPr>
                    <w:t>0.72</w:t>
                  </w:r>
                </w:p>
              </w:tc>
              <w:tc>
                <w:tcPr>
                  <w:tcW w:w="471" w:type="pct"/>
                  <w:tcMar>
                    <w:left w:w="0" w:type="dxa"/>
                    <w:right w:w="0" w:type="dxa"/>
                  </w:tcMar>
                  <w:vAlign w:val="center"/>
                </w:tcPr>
                <w:p w14:paraId="22406895">
                  <w:pPr>
                    <w:spacing w:line="0" w:lineRule="atLeast"/>
                    <w:jc w:val="center"/>
                    <w:rPr>
                      <w:color w:val="auto"/>
                      <w:szCs w:val="21"/>
                      <w:highlight w:val="none"/>
                    </w:rPr>
                  </w:pPr>
                  <w:r>
                    <w:rPr>
                      <w:color w:val="auto"/>
                      <w:szCs w:val="21"/>
                      <w:highlight w:val="none"/>
                    </w:rPr>
                    <w:t>15</w:t>
                  </w:r>
                </w:p>
              </w:tc>
              <w:tc>
                <w:tcPr>
                  <w:tcW w:w="940" w:type="pct"/>
                  <w:tcMar>
                    <w:left w:w="0" w:type="dxa"/>
                    <w:right w:w="0" w:type="dxa"/>
                  </w:tcMar>
                  <w:vAlign w:val="center"/>
                </w:tcPr>
                <w:p w14:paraId="736501E4">
                  <w:pPr>
                    <w:jc w:val="center"/>
                    <w:rPr>
                      <w:color w:val="auto"/>
                      <w:szCs w:val="21"/>
                      <w:highlight w:val="none"/>
                    </w:rPr>
                  </w:pPr>
                  <w:r>
                    <w:rPr>
                      <w:color w:val="auto"/>
                      <w:szCs w:val="21"/>
                      <w:highlight w:val="none"/>
                    </w:rPr>
                    <w:t>0.2</w:t>
                  </w:r>
                </w:p>
              </w:tc>
              <w:tc>
                <w:tcPr>
                  <w:tcW w:w="2183" w:type="pct"/>
                  <w:vMerge w:val="continue"/>
                  <w:tcMar>
                    <w:left w:w="0" w:type="dxa"/>
                    <w:right w:w="0" w:type="dxa"/>
                  </w:tcMar>
                  <w:vAlign w:val="center"/>
                </w:tcPr>
                <w:p w14:paraId="6EB9152D">
                  <w:pPr>
                    <w:spacing w:line="0" w:lineRule="atLeast"/>
                    <w:jc w:val="center"/>
                    <w:rPr>
                      <w:bCs/>
                      <w:snapToGrid w:val="0"/>
                      <w:color w:val="auto"/>
                      <w:kern w:val="0"/>
                      <w:szCs w:val="21"/>
                      <w:highlight w:val="none"/>
                    </w:rPr>
                  </w:pPr>
                </w:p>
              </w:tc>
            </w:tr>
          </w:tbl>
          <w:p w14:paraId="74E25A18">
            <w:pPr>
              <w:pStyle w:val="9"/>
              <w:adjustRightInd w:val="0"/>
              <w:snapToGrid w:val="0"/>
              <w:spacing w:before="120" w:beforeLines="50"/>
              <w:ind w:firstLine="0" w:firstLineChars="0"/>
              <w:jc w:val="center"/>
              <w:rPr>
                <w:b/>
                <w:color w:val="auto"/>
                <w:sz w:val="24"/>
                <w:highlight w:val="none"/>
              </w:rPr>
            </w:pPr>
            <w:r>
              <w:rPr>
                <w:b/>
                <w:color w:val="auto"/>
                <w:sz w:val="24"/>
                <w:highlight w:val="none"/>
              </w:rPr>
              <w:t>表</w:t>
            </w:r>
            <w:r>
              <w:rPr>
                <w:rFonts w:hint="eastAsia"/>
                <w:b/>
                <w:color w:val="auto"/>
                <w:sz w:val="24"/>
                <w:highlight w:val="none"/>
                <w:lang w:val="en-US"/>
              </w:rPr>
              <w:t>3</w:t>
            </w:r>
            <w:r>
              <w:rPr>
                <w:b/>
                <w:color w:val="auto"/>
                <w:sz w:val="24"/>
                <w:highlight w:val="none"/>
              </w:rPr>
              <w:t>-</w:t>
            </w:r>
            <w:r>
              <w:rPr>
                <w:rFonts w:hint="default"/>
                <w:b/>
                <w:color w:val="auto"/>
                <w:sz w:val="24"/>
                <w:highlight w:val="none"/>
              </w:rPr>
              <w:t>10</w:t>
            </w:r>
            <w:r>
              <w:rPr>
                <w:b/>
                <w:color w:val="auto"/>
                <w:sz w:val="24"/>
                <w:highlight w:val="none"/>
              </w:rPr>
              <w:t xml:space="preserve">  厂区内非甲烷总烃无组织排放限值</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657"/>
              <w:gridCol w:w="1651"/>
              <w:gridCol w:w="1599"/>
              <w:gridCol w:w="3108"/>
            </w:tblGrid>
            <w:tr w14:paraId="44F90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Align w:val="center"/>
                </w:tcPr>
                <w:p w14:paraId="048F7E87">
                  <w:pPr>
                    <w:autoSpaceDE w:val="0"/>
                    <w:autoSpaceDN w:val="0"/>
                    <w:adjustRightInd w:val="0"/>
                    <w:snapToGrid w:val="0"/>
                    <w:jc w:val="center"/>
                    <w:rPr>
                      <w:b/>
                      <w:bCs/>
                      <w:color w:val="auto"/>
                      <w:szCs w:val="21"/>
                      <w:highlight w:val="none"/>
                    </w:rPr>
                  </w:pPr>
                  <w:r>
                    <w:rPr>
                      <w:b/>
                      <w:bCs/>
                      <w:color w:val="auto"/>
                      <w:szCs w:val="21"/>
                      <w:highlight w:val="none"/>
                    </w:rPr>
                    <w:t>污染物</w:t>
                  </w:r>
                </w:p>
              </w:tc>
              <w:tc>
                <w:tcPr>
                  <w:tcW w:w="913" w:type="pct"/>
                  <w:vAlign w:val="center"/>
                </w:tcPr>
                <w:p w14:paraId="0047FE64">
                  <w:pPr>
                    <w:adjustRightInd w:val="0"/>
                    <w:snapToGrid w:val="0"/>
                    <w:jc w:val="center"/>
                    <w:rPr>
                      <w:b/>
                      <w:color w:val="auto"/>
                      <w:spacing w:val="-20"/>
                      <w:szCs w:val="21"/>
                      <w:highlight w:val="none"/>
                    </w:rPr>
                  </w:pPr>
                  <w:r>
                    <w:rPr>
                      <w:b/>
                      <w:color w:val="auto"/>
                      <w:spacing w:val="-20"/>
                      <w:szCs w:val="21"/>
                      <w:highlight w:val="none"/>
                    </w:rPr>
                    <w:t>特别排放限值</w:t>
                  </w:r>
                  <w:r>
                    <w:rPr>
                      <w:b/>
                      <w:color w:val="auto"/>
                      <w:szCs w:val="21"/>
                      <w:highlight w:val="none"/>
                    </w:rPr>
                    <w:t>(mg/m</w:t>
                  </w:r>
                  <w:r>
                    <w:rPr>
                      <w:b/>
                      <w:color w:val="auto"/>
                      <w:szCs w:val="21"/>
                      <w:highlight w:val="none"/>
                      <w:vertAlign w:val="superscript"/>
                    </w:rPr>
                    <w:t>3</w:t>
                  </w:r>
                  <w:r>
                    <w:rPr>
                      <w:b/>
                      <w:color w:val="auto"/>
                      <w:szCs w:val="21"/>
                      <w:highlight w:val="none"/>
                    </w:rPr>
                    <w:t>)</w:t>
                  </w:r>
                </w:p>
              </w:tc>
              <w:tc>
                <w:tcPr>
                  <w:tcW w:w="910" w:type="pct"/>
                  <w:vAlign w:val="center"/>
                </w:tcPr>
                <w:p w14:paraId="5DF10BF1">
                  <w:pPr>
                    <w:adjustRightInd w:val="0"/>
                    <w:snapToGrid w:val="0"/>
                    <w:jc w:val="center"/>
                    <w:rPr>
                      <w:b/>
                      <w:color w:val="auto"/>
                      <w:szCs w:val="21"/>
                      <w:highlight w:val="none"/>
                    </w:rPr>
                  </w:pPr>
                  <w:r>
                    <w:rPr>
                      <w:b/>
                      <w:color w:val="auto"/>
                      <w:szCs w:val="21"/>
                      <w:highlight w:val="none"/>
                    </w:rPr>
                    <w:t>限值含义</w:t>
                  </w:r>
                </w:p>
              </w:tc>
              <w:tc>
                <w:tcPr>
                  <w:tcW w:w="881" w:type="pct"/>
                  <w:vAlign w:val="center"/>
                </w:tcPr>
                <w:p w14:paraId="7FCAD784">
                  <w:pPr>
                    <w:adjustRightInd w:val="0"/>
                    <w:snapToGrid w:val="0"/>
                    <w:jc w:val="center"/>
                    <w:rPr>
                      <w:b/>
                      <w:color w:val="auto"/>
                      <w:szCs w:val="21"/>
                      <w:highlight w:val="none"/>
                    </w:rPr>
                  </w:pPr>
                  <w:r>
                    <w:rPr>
                      <w:b/>
                      <w:color w:val="auto"/>
                      <w:szCs w:val="21"/>
                      <w:highlight w:val="none"/>
                    </w:rPr>
                    <w:t>无组织排放监控位置</w:t>
                  </w:r>
                </w:p>
              </w:tc>
              <w:tc>
                <w:tcPr>
                  <w:tcW w:w="1712" w:type="pct"/>
                  <w:vAlign w:val="center"/>
                </w:tcPr>
                <w:p w14:paraId="734615E3">
                  <w:pPr>
                    <w:adjustRightInd w:val="0"/>
                    <w:snapToGrid w:val="0"/>
                    <w:jc w:val="center"/>
                    <w:rPr>
                      <w:b/>
                      <w:color w:val="auto"/>
                      <w:szCs w:val="21"/>
                      <w:highlight w:val="none"/>
                    </w:rPr>
                  </w:pPr>
                  <w:r>
                    <w:rPr>
                      <w:b/>
                      <w:color w:val="auto"/>
                      <w:szCs w:val="21"/>
                      <w:highlight w:val="none"/>
                    </w:rPr>
                    <w:t>采用标准</w:t>
                  </w:r>
                </w:p>
              </w:tc>
            </w:tr>
            <w:tr w14:paraId="009ED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restart"/>
                  <w:vAlign w:val="center"/>
                </w:tcPr>
                <w:p w14:paraId="70E80387">
                  <w:pPr>
                    <w:autoSpaceDE w:val="0"/>
                    <w:autoSpaceDN w:val="0"/>
                    <w:adjustRightInd w:val="0"/>
                    <w:snapToGrid w:val="0"/>
                    <w:jc w:val="center"/>
                    <w:rPr>
                      <w:bCs/>
                      <w:color w:val="auto"/>
                      <w:szCs w:val="21"/>
                      <w:highlight w:val="none"/>
                    </w:rPr>
                  </w:pPr>
                  <w:r>
                    <w:rPr>
                      <w:bCs/>
                      <w:color w:val="auto"/>
                      <w:szCs w:val="21"/>
                      <w:highlight w:val="none"/>
                    </w:rPr>
                    <w:t>NMHC</w:t>
                  </w:r>
                </w:p>
              </w:tc>
              <w:tc>
                <w:tcPr>
                  <w:tcW w:w="913" w:type="pct"/>
                  <w:vAlign w:val="center"/>
                </w:tcPr>
                <w:p w14:paraId="2DD16C78">
                  <w:pPr>
                    <w:pStyle w:val="21"/>
                    <w:adjustRightInd w:val="0"/>
                    <w:snapToGrid w:val="0"/>
                    <w:ind w:left="0"/>
                    <w:jc w:val="center"/>
                    <w:rPr>
                      <w:color w:val="auto"/>
                      <w:szCs w:val="21"/>
                      <w:highlight w:val="none"/>
                    </w:rPr>
                  </w:pPr>
                  <w:r>
                    <w:rPr>
                      <w:color w:val="auto"/>
                      <w:szCs w:val="21"/>
                      <w:highlight w:val="none"/>
                    </w:rPr>
                    <w:t>6</w:t>
                  </w:r>
                </w:p>
              </w:tc>
              <w:tc>
                <w:tcPr>
                  <w:tcW w:w="910" w:type="pct"/>
                  <w:vAlign w:val="center"/>
                </w:tcPr>
                <w:p w14:paraId="0AAE1C4A">
                  <w:pPr>
                    <w:pStyle w:val="95"/>
                    <w:snapToGrid w:val="0"/>
                    <w:rPr>
                      <w:rFonts w:hint="default" w:ascii="Times New Roman" w:hAnsi="Times New Roman" w:eastAsia="宋体"/>
                      <w:bCs/>
                      <w:color w:val="auto"/>
                      <w:sz w:val="21"/>
                      <w:szCs w:val="21"/>
                      <w:highlight w:val="none"/>
                    </w:rPr>
                  </w:pPr>
                  <w:r>
                    <w:rPr>
                      <w:rFonts w:hint="default" w:ascii="Times New Roman" w:hAnsi="Times New Roman" w:eastAsia="宋体"/>
                      <w:bCs/>
                      <w:color w:val="auto"/>
                      <w:sz w:val="21"/>
                      <w:szCs w:val="21"/>
                      <w:highlight w:val="none"/>
                    </w:rPr>
                    <w:t>监控点1h平均浓度值</w:t>
                  </w:r>
                </w:p>
              </w:tc>
              <w:tc>
                <w:tcPr>
                  <w:tcW w:w="881" w:type="pct"/>
                  <w:vMerge w:val="restart"/>
                  <w:vAlign w:val="center"/>
                </w:tcPr>
                <w:p w14:paraId="41EAA85B">
                  <w:pPr>
                    <w:pStyle w:val="95"/>
                    <w:snapToGrid w:val="0"/>
                    <w:rPr>
                      <w:rFonts w:hint="default" w:ascii="Times New Roman" w:hAnsi="Times New Roman" w:eastAsia="宋体"/>
                      <w:bCs/>
                      <w:color w:val="auto"/>
                      <w:sz w:val="21"/>
                      <w:szCs w:val="21"/>
                      <w:highlight w:val="none"/>
                    </w:rPr>
                  </w:pPr>
                  <w:r>
                    <w:rPr>
                      <w:rFonts w:hint="default" w:ascii="Times New Roman" w:hAnsi="Times New Roman" w:eastAsia="宋体"/>
                      <w:bCs/>
                      <w:color w:val="auto"/>
                      <w:sz w:val="21"/>
                      <w:szCs w:val="21"/>
                      <w:highlight w:val="none"/>
                    </w:rPr>
                    <w:t>在厂房外设置监控点</w:t>
                  </w:r>
                </w:p>
              </w:tc>
              <w:tc>
                <w:tcPr>
                  <w:tcW w:w="1712" w:type="pct"/>
                  <w:vMerge w:val="restart"/>
                  <w:vAlign w:val="center"/>
                </w:tcPr>
                <w:p w14:paraId="04D3B488">
                  <w:pPr>
                    <w:pStyle w:val="95"/>
                    <w:snapToGrid w:val="0"/>
                    <w:rPr>
                      <w:rFonts w:hint="default" w:ascii="Times New Roman" w:hAnsi="Times New Roman" w:eastAsia="宋体"/>
                      <w:bCs/>
                      <w:color w:val="auto"/>
                      <w:sz w:val="21"/>
                      <w:szCs w:val="21"/>
                      <w:highlight w:val="none"/>
                    </w:rPr>
                  </w:pPr>
                  <w:r>
                    <w:rPr>
                      <w:rFonts w:hint="default" w:ascii="Times New Roman" w:hAnsi="Times New Roman" w:eastAsia="宋体"/>
                      <w:bCs/>
                      <w:color w:val="auto"/>
                      <w:sz w:val="21"/>
                      <w:szCs w:val="21"/>
                      <w:highlight w:val="none"/>
                    </w:rPr>
                    <w:t>《大气污染物综合排放标准》DB32/4041-2021表2标准</w:t>
                  </w:r>
                </w:p>
              </w:tc>
            </w:tr>
            <w:tr w14:paraId="4647D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vAlign w:val="center"/>
                </w:tcPr>
                <w:p w14:paraId="5AC80500">
                  <w:pPr>
                    <w:autoSpaceDE w:val="0"/>
                    <w:autoSpaceDN w:val="0"/>
                    <w:adjustRightInd w:val="0"/>
                    <w:snapToGrid w:val="0"/>
                    <w:jc w:val="center"/>
                    <w:rPr>
                      <w:bCs/>
                      <w:color w:val="auto"/>
                      <w:szCs w:val="21"/>
                      <w:highlight w:val="none"/>
                    </w:rPr>
                  </w:pPr>
                </w:p>
              </w:tc>
              <w:tc>
                <w:tcPr>
                  <w:tcW w:w="913" w:type="pct"/>
                  <w:vAlign w:val="center"/>
                </w:tcPr>
                <w:p w14:paraId="13E27DD7">
                  <w:pPr>
                    <w:pStyle w:val="21"/>
                    <w:adjustRightInd w:val="0"/>
                    <w:snapToGrid w:val="0"/>
                    <w:ind w:left="0"/>
                    <w:jc w:val="center"/>
                    <w:rPr>
                      <w:color w:val="auto"/>
                      <w:szCs w:val="21"/>
                      <w:highlight w:val="none"/>
                    </w:rPr>
                  </w:pPr>
                  <w:r>
                    <w:rPr>
                      <w:color w:val="auto"/>
                      <w:szCs w:val="21"/>
                      <w:highlight w:val="none"/>
                    </w:rPr>
                    <w:t>20</w:t>
                  </w:r>
                </w:p>
              </w:tc>
              <w:tc>
                <w:tcPr>
                  <w:tcW w:w="910" w:type="pct"/>
                  <w:vAlign w:val="center"/>
                </w:tcPr>
                <w:p w14:paraId="0B3CE8A0">
                  <w:pPr>
                    <w:pStyle w:val="95"/>
                    <w:snapToGrid w:val="0"/>
                    <w:rPr>
                      <w:rFonts w:hint="default" w:ascii="Times New Roman" w:hAnsi="Times New Roman" w:eastAsia="宋体"/>
                      <w:bCs/>
                      <w:color w:val="auto"/>
                      <w:sz w:val="21"/>
                      <w:szCs w:val="21"/>
                      <w:highlight w:val="none"/>
                    </w:rPr>
                  </w:pPr>
                  <w:r>
                    <w:rPr>
                      <w:rFonts w:hint="default" w:ascii="Times New Roman" w:hAnsi="Times New Roman" w:eastAsia="宋体"/>
                      <w:bCs/>
                      <w:color w:val="auto"/>
                      <w:sz w:val="21"/>
                      <w:szCs w:val="21"/>
                      <w:highlight w:val="none"/>
                    </w:rPr>
                    <w:t>监控点处任意一次浓度值</w:t>
                  </w:r>
                </w:p>
              </w:tc>
              <w:tc>
                <w:tcPr>
                  <w:tcW w:w="881" w:type="pct"/>
                  <w:vMerge w:val="continue"/>
                  <w:vAlign w:val="center"/>
                </w:tcPr>
                <w:p w14:paraId="605D4BB0">
                  <w:pPr>
                    <w:pStyle w:val="95"/>
                    <w:snapToGrid w:val="0"/>
                    <w:rPr>
                      <w:rFonts w:hint="default" w:ascii="Times New Roman" w:hAnsi="Times New Roman" w:eastAsia="宋体"/>
                      <w:bCs/>
                      <w:color w:val="auto"/>
                      <w:sz w:val="21"/>
                      <w:szCs w:val="21"/>
                      <w:highlight w:val="none"/>
                    </w:rPr>
                  </w:pPr>
                </w:p>
              </w:tc>
              <w:tc>
                <w:tcPr>
                  <w:tcW w:w="1712" w:type="pct"/>
                  <w:vMerge w:val="continue"/>
                  <w:vAlign w:val="center"/>
                </w:tcPr>
                <w:p w14:paraId="404A686C">
                  <w:pPr>
                    <w:pStyle w:val="95"/>
                    <w:snapToGrid w:val="0"/>
                    <w:rPr>
                      <w:rFonts w:hint="default" w:ascii="Times New Roman" w:hAnsi="Times New Roman" w:eastAsia="宋体"/>
                      <w:bCs/>
                      <w:color w:val="auto"/>
                      <w:sz w:val="21"/>
                      <w:szCs w:val="21"/>
                      <w:highlight w:val="none"/>
                    </w:rPr>
                  </w:pPr>
                </w:p>
              </w:tc>
            </w:tr>
          </w:tbl>
          <w:p w14:paraId="332A226B">
            <w:pPr>
              <w:tabs>
                <w:tab w:val="left" w:pos="6303"/>
              </w:tabs>
              <w:adjustRightInd w:val="0"/>
              <w:snapToGrid w:val="0"/>
              <w:spacing w:line="360" w:lineRule="auto"/>
              <w:ind w:firstLine="482" w:firstLineChars="200"/>
              <w:rPr>
                <w:b/>
                <w:bCs/>
                <w:snapToGrid w:val="0"/>
                <w:color w:val="auto"/>
                <w:kern w:val="0"/>
                <w:sz w:val="24"/>
                <w:highlight w:val="none"/>
              </w:rPr>
            </w:pPr>
            <w:r>
              <w:rPr>
                <w:b/>
                <w:bCs/>
                <w:snapToGrid w:val="0"/>
                <w:color w:val="auto"/>
                <w:kern w:val="0"/>
                <w:sz w:val="24"/>
                <w:highlight w:val="none"/>
              </w:rPr>
              <w:t>2</w:t>
            </w:r>
            <w:r>
              <w:rPr>
                <w:rFonts w:hAnsi="宋体"/>
                <w:b/>
                <w:bCs/>
                <w:snapToGrid w:val="0"/>
                <w:color w:val="auto"/>
                <w:kern w:val="0"/>
                <w:sz w:val="24"/>
                <w:highlight w:val="none"/>
              </w:rPr>
              <w:t>、废水排放标准</w:t>
            </w:r>
            <w:r>
              <w:rPr>
                <w:rFonts w:hint="eastAsia" w:hAnsi="宋体"/>
                <w:b/>
                <w:bCs/>
                <w:snapToGrid w:val="0"/>
                <w:color w:val="auto"/>
                <w:kern w:val="0"/>
                <w:sz w:val="24"/>
                <w:highlight w:val="none"/>
              </w:rPr>
              <w:tab/>
            </w:r>
          </w:p>
          <w:p w14:paraId="7077DB4C">
            <w:pPr>
              <w:pStyle w:val="9"/>
              <w:adjustRightInd w:val="0"/>
              <w:snapToGrid w:val="0"/>
              <w:spacing w:line="360" w:lineRule="auto"/>
              <w:ind w:firstLine="480"/>
              <w:rPr>
                <w:rFonts w:hAnsi="宋体"/>
                <w:b/>
                <w:bCs/>
                <w:color w:val="auto"/>
                <w:sz w:val="24"/>
                <w:highlight w:val="none"/>
              </w:rPr>
            </w:pPr>
            <w:r>
              <w:rPr>
                <w:rFonts w:hAnsi="宋体"/>
                <w:bCs/>
                <w:snapToGrid w:val="0"/>
                <w:color w:val="auto"/>
                <w:kern w:val="0"/>
                <w:sz w:val="24"/>
                <w:szCs w:val="24"/>
                <w:highlight w:val="none"/>
                <w:lang w:val="en-US"/>
              </w:rPr>
              <w:t>项目污水纳入</w:t>
            </w:r>
            <w:r>
              <w:rPr>
                <w:rFonts w:hAnsi="宋体"/>
                <w:snapToGrid w:val="0"/>
                <w:color w:val="auto"/>
                <w:kern w:val="0"/>
                <w:sz w:val="24"/>
                <w:szCs w:val="24"/>
                <w:highlight w:val="none"/>
              </w:rPr>
              <w:t>海门市东洲水处理有限公司</w:t>
            </w:r>
            <w:r>
              <w:rPr>
                <w:rFonts w:hAnsi="宋体"/>
                <w:bCs/>
                <w:snapToGrid w:val="0"/>
                <w:color w:val="auto"/>
                <w:kern w:val="0"/>
                <w:sz w:val="24"/>
                <w:szCs w:val="24"/>
                <w:highlight w:val="none"/>
                <w:lang w:val="en-US"/>
              </w:rPr>
              <w:t>集中处理，尾水排入长江。污水处理厂接管执行</w:t>
            </w:r>
            <w:r>
              <w:rPr>
                <w:rFonts w:hAnsi="宋体"/>
                <w:snapToGrid w:val="0"/>
                <w:color w:val="auto"/>
                <w:kern w:val="0"/>
                <w:sz w:val="24"/>
                <w:szCs w:val="24"/>
                <w:highlight w:val="none"/>
                <w:lang w:val="en-US"/>
              </w:rPr>
              <w:t>《污水综合排放标准》（GB8978-1996）表4中的三级标准、《污水排入城镇下水道水质标准》（GB/T31962-2015）表1中B等级标准，接管</w:t>
            </w:r>
            <w:r>
              <w:rPr>
                <w:rFonts w:hAnsi="宋体"/>
                <w:snapToGrid w:val="0"/>
                <w:color w:val="auto"/>
                <w:kern w:val="0"/>
                <w:sz w:val="24"/>
                <w:szCs w:val="24"/>
                <w:highlight w:val="none"/>
              </w:rPr>
              <w:t>海门市东洲水处理有限公司</w:t>
            </w:r>
            <w:r>
              <w:rPr>
                <w:rFonts w:hAnsi="宋体"/>
                <w:snapToGrid w:val="0"/>
                <w:color w:val="auto"/>
                <w:kern w:val="0"/>
                <w:sz w:val="24"/>
                <w:szCs w:val="24"/>
                <w:highlight w:val="none"/>
                <w:lang w:val="en-US"/>
              </w:rPr>
              <w:t>，处理尾水达《城镇污水处理厂污染物排放标准》（GB18918-2002）中一级A标准，排入</w:t>
            </w:r>
            <w:r>
              <w:rPr>
                <w:rFonts w:hint="eastAsia" w:hAnsi="宋体"/>
                <w:snapToGrid w:val="0"/>
                <w:color w:val="auto"/>
                <w:kern w:val="0"/>
                <w:sz w:val="24"/>
                <w:szCs w:val="24"/>
                <w:highlight w:val="none"/>
                <w:lang w:val="en-US"/>
              </w:rPr>
              <w:t>长江</w:t>
            </w:r>
            <w:r>
              <w:rPr>
                <w:rFonts w:hAnsi="宋体"/>
                <w:snapToGrid w:val="0"/>
                <w:color w:val="auto"/>
                <w:kern w:val="0"/>
                <w:sz w:val="24"/>
                <w:szCs w:val="24"/>
                <w:highlight w:val="none"/>
                <w:lang w:val="en-US"/>
              </w:rPr>
              <w:t>。具体数值见表</w:t>
            </w:r>
            <w:r>
              <w:rPr>
                <w:rFonts w:hint="eastAsia"/>
                <w:snapToGrid w:val="0"/>
                <w:color w:val="auto"/>
                <w:kern w:val="0"/>
                <w:sz w:val="24"/>
                <w:szCs w:val="24"/>
                <w:highlight w:val="none"/>
                <w:lang w:val="en-US"/>
              </w:rPr>
              <w:t>3</w:t>
            </w:r>
            <w:r>
              <w:rPr>
                <w:snapToGrid w:val="0"/>
                <w:color w:val="auto"/>
                <w:kern w:val="0"/>
                <w:sz w:val="24"/>
                <w:szCs w:val="24"/>
                <w:highlight w:val="none"/>
                <w:lang w:val="en-US"/>
              </w:rPr>
              <w:t>-</w:t>
            </w:r>
            <w:r>
              <w:rPr>
                <w:rFonts w:hint="default"/>
                <w:snapToGrid w:val="0"/>
                <w:color w:val="auto"/>
                <w:kern w:val="0"/>
                <w:sz w:val="24"/>
                <w:szCs w:val="24"/>
                <w:highlight w:val="none"/>
              </w:rPr>
              <w:t>11</w:t>
            </w:r>
            <w:r>
              <w:rPr>
                <w:rFonts w:hAnsi="宋体"/>
                <w:snapToGrid w:val="0"/>
                <w:color w:val="auto"/>
                <w:kern w:val="0"/>
                <w:sz w:val="24"/>
                <w:szCs w:val="24"/>
                <w:highlight w:val="none"/>
                <w:lang w:val="en-US"/>
              </w:rPr>
              <w:t>。</w:t>
            </w:r>
          </w:p>
          <w:p w14:paraId="03A01C3E">
            <w:pPr>
              <w:adjustRightInd w:val="0"/>
              <w:snapToGrid w:val="0"/>
              <w:jc w:val="center"/>
              <w:rPr>
                <w:color w:val="auto"/>
                <w:sz w:val="24"/>
                <w:highlight w:val="none"/>
              </w:rPr>
            </w:pPr>
            <w:r>
              <w:rPr>
                <w:rFonts w:hAnsi="宋体"/>
                <w:b/>
                <w:bCs/>
                <w:color w:val="auto"/>
                <w:sz w:val="24"/>
                <w:highlight w:val="none"/>
              </w:rPr>
              <w:t>表</w:t>
            </w:r>
            <w:r>
              <w:rPr>
                <w:rFonts w:hint="eastAsia"/>
                <w:b/>
                <w:bCs/>
                <w:color w:val="auto"/>
                <w:sz w:val="24"/>
                <w:highlight w:val="none"/>
              </w:rPr>
              <w:t>3</w:t>
            </w:r>
            <w:r>
              <w:rPr>
                <w:b/>
                <w:bCs/>
                <w:color w:val="auto"/>
                <w:sz w:val="24"/>
                <w:highlight w:val="none"/>
              </w:rPr>
              <w:t xml:space="preserve">-11 </w:t>
            </w:r>
            <w:r>
              <w:rPr>
                <w:rFonts w:hAnsi="宋体"/>
                <w:b/>
                <w:bCs/>
                <w:color w:val="auto"/>
                <w:sz w:val="24"/>
                <w:highlight w:val="none"/>
              </w:rPr>
              <w:t>污水排放标准</w:t>
            </w:r>
            <w:r>
              <w:rPr>
                <w:b/>
                <w:bCs/>
                <w:color w:val="auto"/>
                <w:sz w:val="24"/>
                <w:highlight w:val="none"/>
              </w:rPr>
              <w:t xml:space="preserve">  </w:t>
            </w:r>
            <w:r>
              <w:rPr>
                <w:rFonts w:hAnsi="宋体"/>
                <w:b/>
                <w:bCs/>
                <w:color w:val="auto"/>
                <w:sz w:val="24"/>
                <w:highlight w:val="none"/>
              </w:rPr>
              <w:t>单位：</w:t>
            </w:r>
            <w:r>
              <w:rPr>
                <w:b/>
                <w:bCs/>
                <w:color w:val="auto"/>
                <w:sz w:val="24"/>
                <w:highlight w:val="none"/>
              </w:rPr>
              <w:t>mg/L</w:t>
            </w:r>
            <w:r>
              <w:rPr>
                <w:rFonts w:hint="eastAsia"/>
                <w:b/>
                <w:bCs/>
                <w:color w:val="auto"/>
                <w:sz w:val="24"/>
                <w:highlight w:val="none"/>
              </w:rPr>
              <w:t>、</w:t>
            </w:r>
            <w:r>
              <w:rPr>
                <w:b/>
                <w:bCs/>
                <w:color w:val="auto"/>
                <w:sz w:val="24"/>
                <w:highlight w:val="none"/>
              </w:rPr>
              <w:t>pH</w:t>
            </w:r>
            <w:r>
              <w:rPr>
                <w:rFonts w:hAnsi="宋体"/>
                <w:b/>
                <w:bCs/>
                <w:color w:val="auto"/>
                <w:sz w:val="24"/>
                <w:highlight w:val="none"/>
              </w:rPr>
              <w:t>除外</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04"/>
              <w:gridCol w:w="1448"/>
              <w:gridCol w:w="2039"/>
              <w:gridCol w:w="4176"/>
            </w:tblGrid>
            <w:tr w14:paraId="206F6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Align w:val="center"/>
                </w:tcPr>
                <w:p w14:paraId="0AB7EFF0">
                  <w:pPr>
                    <w:adjustRightInd w:val="0"/>
                    <w:snapToGrid w:val="0"/>
                    <w:jc w:val="center"/>
                    <w:rPr>
                      <w:b/>
                      <w:bCs/>
                      <w:color w:val="auto"/>
                      <w:szCs w:val="21"/>
                      <w:highlight w:val="none"/>
                    </w:rPr>
                  </w:pPr>
                  <w:r>
                    <w:rPr>
                      <w:rFonts w:hAnsi="宋体"/>
                      <w:b/>
                      <w:bCs/>
                      <w:color w:val="auto"/>
                      <w:szCs w:val="21"/>
                      <w:highlight w:val="none"/>
                    </w:rPr>
                    <w:t>类别</w:t>
                  </w:r>
                </w:p>
              </w:tc>
              <w:tc>
                <w:tcPr>
                  <w:tcW w:w="798" w:type="pct"/>
                  <w:vAlign w:val="center"/>
                </w:tcPr>
                <w:p w14:paraId="73E6B476">
                  <w:pPr>
                    <w:adjustRightInd w:val="0"/>
                    <w:snapToGrid w:val="0"/>
                    <w:jc w:val="center"/>
                    <w:rPr>
                      <w:b/>
                      <w:bCs/>
                      <w:color w:val="auto"/>
                      <w:szCs w:val="21"/>
                      <w:highlight w:val="none"/>
                    </w:rPr>
                  </w:pPr>
                  <w:r>
                    <w:rPr>
                      <w:rFonts w:hAnsi="宋体"/>
                      <w:b/>
                      <w:bCs/>
                      <w:color w:val="auto"/>
                      <w:szCs w:val="21"/>
                      <w:highlight w:val="none"/>
                    </w:rPr>
                    <w:t>项目</w:t>
                  </w:r>
                </w:p>
              </w:tc>
              <w:tc>
                <w:tcPr>
                  <w:tcW w:w="1124" w:type="pct"/>
                  <w:vAlign w:val="center"/>
                </w:tcPr>
                <w:p w14:paraId="30E72B3D">
                  <w:pPr>
                    <w:adjustRightInd w:val="0"/>
                    <w:snapToGrid w:val="0"/>
                    <w:jc w:val="center"/>
                    <w:rPr>
                      <w:b/>
                      <w:bCs/>
                      <w:color w:val="auto"/>
                      <w:szCs w:val="21"/>
                      <w:highlight w:val="none"/>
                    </w:rPr>
                  </w:pPr>
                  <w:r>
                    <w:rPr>
                      <w:rFonts w:hAnsi="宋体"/>
                      <w:b/>
                      <w:bCs/>
                      <w:color w:val="auto"/>
                      <w:szCs w:val="21"/>
                      <w:highlight w:val="none"/>
                    </w:rPr>
                    <w:t>浓度限值</w:t>
                  </w:r>
                </w:p>
              </w:tc>
              <w:tc>
                <w:tcPr>
                  <w:tcW w:w="2302" w:type="pct"/>
                  <w:vAlign w:val="center"/>
                </w:tcPr>
                <w:p w14:paraId="3665A876">
                  <w:pPr>
                    <w:adjustRightInd w:val="0"/>
                    <w:snapToGrid w:val="0"/>
                    <w:jc w:val="center"/>
                    <w:rPr>
                      <w:b/>
                      <w:bCs/>
                      <w:color w:val="auto"/>
                      <w:szCs w:val="21"/>
                      <w:highlight w:val="none"/>
                    </w:rPr>
                  </w:pPr>
                  <w:r>
                    <w:rPr>
                      <w:rFonts w:hAnsi="宋体"/>
                      <w:b/>
                      <w:bCs/>
                      <w:color w:val="auto"/>
                      <w:szCs w:val="21"/>
                      <w:highlight w:val="none"/>
                    </w:rPr>
                    <w:t>标准来源</w:t>
                  </w:r>
                </w:p>
              </w:tc>
            </w:tr>
            <w:tr w14:paraId="03A96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restart"/>
                  <w:vAlign w:val="center"/>
                </w:tcPr>
                <w:p w14:paraId="7DEDD014">
                  <w:pPr>
                    <w:adjustRightInd w:val="0"/>
                    <w:snapToGrid w:val="0"/>
                    <w:jc w:val="center"/>
                    <w:rPr>
                      <w:color w:val="auto"/>
                      <w:szCs w:val="21"/>
                      <w:highlight w:val="none"/>
                    </w:rPr>
                  </w:pPr>
                  <w:r>
                    <w:rPr>
                      <w:rFonts w:hAnsi="宋体"/>
                      <w:color w:val="auto"/>
                      <w:szCs w:val="21"/>
                      <w:highlight w:val="none"/>
                    </w:rPr>
                    <w:t>接管标准</w:t>
                  </w:r>
                </w:p>
              </w:tc>
              <w:tc>
                <w:tcPr>
                  <w:tcW w:w="798" w:type="pct"/>
                  <w:vAlign w:val="center"/>
                </w:tcPr>
                <w:p w14:paraId="05AEF892">
                  <w:pPr>
                    <w:adjustRightInd w:val="0"/>
                    <w:snapToGrid w:val="0"/>
                    <w:jc w:val="center"/>
                    <w:rPr>
                      <w:color w:val="auto"/>
                      <w:szCs w:val="21"/>
                      <w:highlight w:val="none"/>
                    </w:rPr>
                  </w:pPr>
                  <w:r>
                    <w:rPr>
                      <w:color w:val="auto"/>
                      <w:szCs w:val="21"/>
                      <w:highlight w:val="none"/>
                    </w:rPr>
                    <w:t>pH</w:t>
                  </w:r>
                </w:p>
              </w:tc>
              <w:tc>
                <w:tcPr>
                  <w:tcW w:w="1124" w:type="pct"/>
                  <w:vAlign w:val="center"/>
                </w:tcPr>
                <w:p w14:paraId="77580091">
                  <w:pPr>
                    <w:adjustRightInd w:val="0"/>
                    <w:snapToGrid w:val="0"/>
                    <w:jc w:val="center"/>
                    <w:rPr>
                      <w:color w:val="auto"/>
                      <w:szCs w:val="21"/>
                      <w:highlight w:val="none"/>
                    </w:rPr>
                  </w:pPr>
                  <w:r>
                    <w:rPr>
                      <w:color w:val="auto"/>
                      <w:szCs w:val="21"/>
                      <w:highlight w:val="none"/>
                    </w:rPr>
                    <w:t>6</w:t>
                  </w:r>
                  <w:r>
                    <w:rPr>
                      <w:rFonts w:hAnsi="宋体"/>
                      <w:color w:val="auto"/>
                      <w:szCs w:val="21"/>
                      <w:highlight w:val="none"/>
                    </w:rPr>
                    <w:t>～</w:t>
                  </w:r>
                  <w:r>
                    <w:rPr>
                      <w:color w:val="auto"/>
                      <w:szCs w:val="21"/>
                      <w:highlight w:val="none"/>
                    </w:rPr>
                    <w:t>9</w:t>
                  </w:r>
                </w:p>
              </w:tc>
              <w:tc>
                <w:tcPr>
                  <w:tcW w:w="2302" w:type="pct"/>
                  <w:vMerge w:val="restart"/>
                  <w:vAlign w:val="center"/>
                </w:tcPr>
                <w:p w14:paraId="2360FB49">
                  <w:pPr>
                    <w:adjustRightInd w:val="0"/>
                    <w:snapToGrid w:val="0"/>
                    <w:jc w:val="center"/>
                    <w:rPr>
                      <w:color w:val="auto"/>
                      <w:szCs w:val="21"/>
                      <w:highlight w:val="none"/>
                    </w:rPr>
                  </w:pPr>
                  <w:r>
                    <w:rPr>
                      <w:rFonts w:hAnsi="宋体"/>
                      <w:color w:val="auto"/>
                      <w:szCs w:val="21"/>
                      <w:highlight w:val="none"/>
                    </w:rPr>
                    <w:t>《污水综合排放标准》（</w:t>
                  </w:r>
                  <w:r>
                    <w:rPr>
                      <w:color w:val="auto"/>
                      <w:szCs w:val="21"/>
                      <w:highlight w:val="none"/>
                    </w:rPr>
                    <w:t>GB8978—1996</w:t>
                  </w:r>
                  <w:r>
                    <w:rPr>
                      <w:rFonts w:hAnsi="宋体"/>
                      <w:color w:val="auto"/>
                      <w:szCs w:val="21"/>
                      <w:highlight w:val="none"/>
                    </w:rPr>
                    <w:t>）表</w:t>
                  </w:r>
                  <w:r>
                    <w:rPr>
                      <w:color w:val="auto"/>
                      <w:szCs w:val="21"/>
                      <w:highlight w:val="none"/>
                    </w:rPr>
                    <w:t>4</w:t>
                  </w:r>
                  <w:r>
                    <w:rPr>
                      <w:rFonts w:hAnsi="宋体"/>
                      <w:color w:val="auto"/>
                      <w:szCs w:val="21"/>
                      <w:highlight w:val="none"/>
                    </w:rPr>
                    <w:t>中三级标准</w:t>
                  </w:r>
                </w:p>
              </w:tc>
            </w:tr>
            <w:tr w14:paraId="0B4EB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33E1D89E">
                  <w:pPr>
                    <w:adjustRightInd w:val="0"/>
                    <w:snapToGrid w:val="0"/>
                    <w:jc w:val="center"/>
                    <w:rPr>
                      <w:color w:val="auto"/>
                      <w:szCs w:val="21"/>
                      <w:highlight w:val="none"/>
                    </w:rPr>
                  </w:pPr>
                </w:p>
              </w:tc>
              <w:tc>
                <w:tcPr>
                  <w:tcW w:w="798" w:type="pct"/>
                  <w:vAlign w:val="center"/>
                </w:tcPr>
                <w:p w14:paraId="220B328C">
                  <w:pPr>
                    <w:adjustRightInd w:val="0"/>
                    <w:snapToGrid w:val="0"/>
                    <w:jc w:val="center"/>
                    <w:rPr>
                      <w:color w:val="auto"/>
                      <w:szCs w:val="21"/>
                      <w:highlight w:val="none"/>
                    </w:rPr>
                  </w:pPr>
                  <w:r>
                    <w:rPr>
                      <w:color w:val="auto"/>
                      <w:szCs w:val="21"/>
                      <w:highlight w:val="none"/>
                    </w:rPr>
                    <w:t>COD</w:t>
                  </w:r>
                </w:p>
              </w:tc>
              <w:tc>
                <w:tcPr>
                  <w:tcW w:w="1124" w:type="pct"/>
                  <w:vAlign w:val="center"/>
                </w:tcPr>
                <w:p w14:paraId="114FE70E">
                  <w:pPr>
                    <w:adjustRightInd w:val="0"/>
                    <w:snapToGrid w:val="0"/>
                    <w:jc w:val="center"/>
                    <w:rPr>
                      <w:color w:val="auto"/>
                      <w:szCs w:val="21"/>
                      <w:highlight w:val="none"/>
                    </w:rPr>
                  </w:pPr>
                  <w:r>
                    <w:rPr>
                      <w:color w:val="auto"/>
                      <w:szCs w:val="21"/>
                      <w:highlight w:val="none"/>
                    </w:rPr>
                    <w:t>500</w:t>
                  </w:r>
                </w:p>
              </w:tc>
              <w:tc>
                <w:tcPr>
                  <w:tcW w:w="2302" w:type="pct"/>
                  <w:vMerge w:val="continue"/>
                  <w:vAlign w:val="center"/>
                </w:tcPr>
                <w:p w14:paraId="7EE2DC56">
                  <w:pPr>
                    <w:adjustRightInd w:val="0"/>
                    <w:snapToGrid w:val="0"/>
                    <w:jc w:val="center"/>
                    <w:rPr>
                      <w:color w:val="auto"/>
                      <w:szCs w:val="21"/>
                      <w:highlight w:val="none"/>
                    </w:rPr>
                  </w:pPr>
                </w:p>
              </w:tc>
            </w:tr>
            <w:tr w14:paraId="03846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3CFA9EBA">
                  <w:pPr>
                    <w:adjustRightInd w:val="0"/>
                    <w:snapToGrid w:val="0"/>
                    <w:jc w:val="center"/>
                    <w:rPr>
                      <w:color w:val="auto"/>
                      <w:szCs w:val="21"/>
                      <w:highlight w:val="none"/>
                    </w:rPr>
                  </w:pPr>
                </w:p>
              </w:tc>
              <w:tc>
                <w:tcPr>
                  <w:tcW w:w="798" w:type="pct"/>
                  <w:vAlign w:val="center"/>
                </w:tcPr>
                <w:p w14:paraId="07A1FDAD">
                  <w:pPr>
                    <w:adjustRightInd w:val="0"/>
                    <w:snapToGrid w:val="0"/>
                    <w:jc w:val="center"/>
                    <w:rPr>
                      <w:color w:val="auto"/>
                      <w:szCs w:val="21"/>
                      <w:highlight w:val="none"/>
                    </w:rPr>
                  </w:pPr>
                  <w:r>
                    <w:rPr>
                      <w:color w:val="auto"/>
                      <w:szCs w:val="21"/>
                      <w:highlight w:val="none"/>
                    </w:rPr>
                    <w:t>SS</w:t>
                  </w:r>
                </w:p>
              </w:tc>
              <w:tc>
                <w:tcPr>
                  <w:tcW w:w="1124" w:type="pct"/>
                  <w:vAlign w:val="center"/>
                </w:tcPr>
                <w:p w14:paraId="278B0174">
                  <w:pPr>
                    <w:adjustRightInd w:val="0"/>
                    <w:snapToGrid w:val="0"/>
                    <w:jc w:val="center"/>
                    <w:rPr>
                      <w:color w:val="auto"/>
                      <w:szCs w:val="21"/>
                      <w:highlight w:val="none"/>
                    </w:rPr>
                  </w:pPr>
                  <w:r>
                    <w:rPr>
                      <w:color w:val="auto"/>
                      <w:szCs w:val="21"/>
                      <w:highlight w:val="none"/>
                    </w:rPr>
                    <w:t>400</w:t>
                  </w:r>
                </w:p>
              </w:tc>
              <w:tc>
                <w:tcPr>
                  <w:tcW w:w="2302" w:type="pct"/>
                  <w:vMerge w:val="continue"/>
                  <w:vAlign w:val="center"/>
                </w:tcPr>
                <w:p w14:paraId="3546EAB9">
                  <w:pPr>
                    <w:adjustRightInd w:val="0"/>
                    <w:snapToGrid w:val="0"/>
                    <w:jc w:val="center"/>
                    <w:rPr>
                      <w:color w:val="auto"/>
                      <w:szCs w:val="21"/>
                      <w:highlight w:val="none"/>
                    </w:rPr>
                  </w:pPr>
                </w:p>
              </w:tc>
            </w:tr>
            <w:tr w14:paraId="45329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41964513">
                  <w:pPr>
                    <w:adjustRightInd w:val="0"/>
                    <w:snapToGrid w:val="0"/>
                    <w:jc w:val="center"/>
                    <w:rPr>
                      <w:color w:val="auto"/>
                      <w:szCs w:val="21"/>
                      <w:highlight w:val="none"/>
                    </w:rPr>
                  </w:pPr>
                </w:p>
              </w:tc>
              <w:tc>
                <w:tcPr>
                  <w:tcW w:w="798" w:type="pct"/>
                  <w:vAlign w:val="center"/>
                </w:tcPr>
                <w:p w14:paraId="4203B640">
                  <w:pPr>
                    <w:adjustRightInd w:val="0"/>
                    <w:snapToGrid w:val="0"/>
                    <w:jc w:val="center"/>
                    <w:rPr>
                      <w:color w:val="auto"/>
                      <w:szCs w:val="21"/>
                      <w:highlight w:val="none"/>
                    </w:rPr>
                  </w:pPr>
                  <w:r>
                    <w:rPr>
                      <w:rFonts w:hAnsi="宋体"/>
                      <w:color w:val="auto"/>
                      <w:szCs w:val="21"/>
                      <w:highlight w:val="none"/>
                    </w:rPr>
                    <w:t>氨氮</w:t>
                  </w:r>
                </w:p>
              </w:tc>
              <w:tc>
                <w:tcPr>
                  <w:tcW w:w="1124" w:type="pct"/>
                  <w:vAlign w:val="center"/>
                </w:tcPr>
                <w:p w14:paraId="325E7F73">
                  <w:pPr>
                    <w:adjustRightInd w:val="0"/>
                    <w:snapToGrid w:val="0"/>
                    <w:jc w:val="center"/>
                    <w:rPr>
                      <w:color w:val="auto"/>
                      <w:szCs w:val="21"/>
                      <w:highlight w:val="none"/>
                    </w:rPr>
                  </w:pPr>
                  <w:r>
                    <w:rPr>
                      <w:color w:val="auto"/>
                      <w:szCs w:val="21"/>
                      <w:highlight w:val="none"/>
                    </w:rPr>
                    <w:t>45</w:t>
                  </w:r>
                </w:p>
              </w:tc>
              <w:tc>
                <w:tcPr>
                  <w:tcW w:w="2302" w:type="pct"/>
                  <w:vMerge w:val="restart"/>
                  <w:vAlign w:val="center"/>
                </w:tcPr>
                <w:p w14:paraId="464B579B">
                  <w:pPr>
                    <w:adjustRightInd w:val="0"/>
                    <w:snapToGrid w:val="0"/>
                    <w:jc w:val="center"/>
                    <w:rPr>
                      <w:color w:val="auto"/>
                      <w:szCs w:val="21"/>
                      <w:highlight w:val="none"/>
                    </w:rPr>
                  </w:pPr>
                  <w:r>
                    <w:rPr>
                      <w:rFonts w:hAnsi="宋体"/>
                      <w:color w:val="auto"/>
                      <w:szCs w:val="21"/>
                      <w:highlight w:val="none"/>
                    </w:rPr>
                    <w:t>《污水排入城镇下水道水质标准》（</w:t>
                  </w:r>
                  <w:r>
                    <w:rPr>
                      <w:color w:val="auto"/>
                      <w:szCs w:val="21"/>
                      <w:highlight w:val="none"/>
                    </w:rPr>
                    <w:t>GB/T 31962-2015</w:t>
                  </w:r>
                  <w:r>
                    <w:rPr>
                      <w:rFonts w:hAnsi="宋体"/>
                      <w:color w:val="auto"/>
                      <w:szCs w:val="21"/>
                      <w:highlight w:val="none"/>
                    </w:rPr>
                    <w:t>）中表</w:t>
                  </w:r>
                  <w:r>
                    <w:rPr>
                      <w:color w:val="auto"/>
                      <w:szCs w:val="21"/>
                      <w:highlight w:val="none"/>
                    </w:rPr>
                    <w:t>1</w:t>
                  </w:r>
                  <w:r>
                    <w:rPr>
                      <w:rFonts w:hAnsi="宋体"/>
                      <w:color w:val="auto"/>
                      <w:szCs w:val="21"/>
                      <w:highlight w:val="none"/>
                    </w:rPr>
                    <w:t>中</w:t>
                  </w:r>
                  <w:r>
                    <w:rPr>
                      <w:color w:val="auto"/>
                      <w:szCs w:val="21"/>
                      <w:highlight w:val="none"/>
                    </w:rPr>
                    <w:t>B</w:t>
                  </w:r>
                  <w:r>
                    <w:rPr>
                      <w:rFonts w:hAnsi="宋体"/>
                      <w:color w:val="auto"/>
                      <w:szCs w:val="21"/>
                      <w:highlight w:val="none"/>
                    </w:rPr>
                    <w:t>级标准</w:t>
                  </w:r>
                </w:p>
              </w:tc>
            </w:tr>
            <w:tr w14:paraId="0F66C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27B09A4F">
                  <w:pPr>
                    <w:adjustRightInd w:val="0"/>
                    <w:snapToGrid w:val="0"/>
                    <w:jc w:val="center"/>
                    <w:rPr>
                      <w:color w:val="auto"/>
                      <w:szCs w:val="21"/>
                      <w:highlight w:val="none"/>
                    </w:rPr>
                  </w:pPr>
                </w:p>
              </w:tc>
              <w:tc>
                <w:tcPr>
                  <w:tcW w:w="798" w:type="pct"/>
                  <w:vAlign w:val="center"/>
                </w:tcPr>
                <w:p w14:paraId="09106AA6">
                  <w:pPr>
                    <w:adjustRightInd w:val="0"/>
                    <w:snapToGrid w:val="0"/>
                    <w:jc w:val="center"/>
                    <w:rPr>
                      <w:color w:val="auto"/>
                      <w:szCs w:val="21"/>
                      <w:highlight w:val="none"/>
                    </w:rPr>
                  </w:pPr>
                  <w:r>
                    <w:rPr>
                      <w:color w:val="auto"/>
                      <w:szCs w:val="21"/>
                      <w:highlight w:val="none"/>
                    </w:rPr>
                    <w:t>TP</w:t>
                  </w:r>
                </w:p>
              </w:tc>
              <w:tc>
                <w:tcPr>
                  <w:tcW w:w="1124" w:type="pct"/>
                  <w:vAlign w:val="center"/>
                </w:tcPr>
                <w:p w14:paraId="210945C1">
                  <w:pPr>
                    <w:adjustRightInd w:val="0"/>
                    <w:snapToGrid w:val="0"/>
                    <w:jc w:val="center"/>
                    <w:rPr>
                      <w:color w:val="auto"/>
                      <w:szCs w:val="21"/>
                      <w:highlight w:val="none"/>
                    </w:rPr>
                  </w:pPr>
                  <w:r>
                    <w:rPr>
                      <w:color w:val="auto"/>
                      <w:szCs w:val="21"/>
                      <w:highlight w:val="none"/>
                    </w:rPr>
                    <w:t>8</w:t>
                  </w:r>
                </w:p>
              </w:tc>
              <w:tc>
                <w:tcPr>
                  <w:tcW w:w="2302" w:type="pct"/>
                  <w:vMerge w:val="continue"/>
                  <w:vAlign w:val="center"/>
                </w:tcPr>
                <w:p w14:paraId="69769B1F">
                  <w:pPr>
                    <w:adjustRightInd w:val="0"/>
                    <w:snapToGrid w:val="0"/>
                    <w:jc w:val="center"/>
                    <w:rPr>
                      <w:color w:val="auto"/>
                      <w:szCs w:val="21"/>
                      <w:highlight w:val="none"/>
                    </w:rPr>
                  </w:pPr>
                </w:p>
              </w:tc>
            </w:tr>
            <w:tr w14:paraId="4DFC4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179926E1">
                  <w:pPr>
                    <w:adjustRightInd w:val="0"/>
                    <w:snapToGrid w:val="0"/>
                    <w:jc w:val="center"/>
                    <w:rPr>
                      <w:color w:val="auto"/>
                      <w:szCs w:val="21"/>
                      <w:highlight w:val="none"/>
                    </w:rPr>
                  </w:pPr>
                </w:p>
              </w:tc>
              <w:tc>
                <w:tcPr>
                  <w:tcW w:w="798" w:type="pct"/>
                  <w:vAlign w:val="center"/>
                </w:tcPr>
                <w:p w14:paraId="729B18F3">
                  <w:pPr>
                    <w:adjustRightInd w:val="0"/>
                    <w:snapToGrid w:val="0"/>
                    <w:jc w:val="center"/>
                    <w:rPr>
                      <w:color w:val="auto"/>
                      <w:szCs w:val="21"/>
                      <w:highlight w:val="none"/>
                    </w:rPr>
                  </w:pPr>
                  <w:r>
                    <w:rPr>
                      <w:color w:val="auto"/>
                      <w:szCs w:val="21"/>
                      <w:highlight w:val="none"/>
                    </w:rPr>
                    <w:t>TN</w:t>
                  </w:r>
                </w:p>
              </w:tc>
              <w:tc>
                <w:tcPr>
                  <w:tcW w:w="1124" w:type="pct"/>
                  <w:vAlign w:val="center"/>
                </w:tcPr>
                <w:p w14:paraId="46F949F0">
                  <w:pPr>
                    <w:adjustRightInd w:val="0"/>
                    <w:snapToGrid w:val="0"/>
                    <w:jc w:val="center"/>
                    <w:rPr>
                      <w:color w:val="auto"/>
                      <w:szCs w:val="21"/>
                      <w:highlight w:val="none"/>
                    </w:rPr>
                  </w:pPr>
                  <w:r>
                    <w:rPr>
                      <w:color w:val="auto"/>
                      <w:szCs w:val="21"/>
                      <w:highlight w:val="none"/>
                    </w:rPr>
                    <w:t>70</w:t>
                  </w:r>
                </w:p>
              </w:tc>
              <w:tc>
                <w:tcPr>
                  <w:tcW w:w="2302" w:type="pct"/>
                  <w:vMerge w:val="continue"/>
                  <w:vAlign w:val="center"/>
                </w:tcPr>
                <w:p w14:paraId="1BF8DFCE">
                  <w:pPr>
                    <w:adjustRightInd w:val="0"/>
                    <w:snapToGrid w:val="0"/>
                    <w:jc w:val="center"/>
                    <w:rPr>
                      <w:color w:val="auto"/>
                      <w:szCs w:val="21"/>
                      <w:highlight w:val="none"/>
                    </w:rPr>
                  </w:pPr>
                </w:p>
              </w:tc>
            </w:tr>
            <w:tr w14:paraId="6350E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restart"/>
                  <w:vAlign w:val="center"/>
                </w:tcPr>
                <w:p w14:paraId="12F0EF4C">
                  <w:pPr>
                    <w:pStyle w:val="45"/>
                    <w:adjustRightInd w:val="0"/>
                    <w:snapToGrid w:val="0"/>
                    <w:rPr>
                      <w:rFonts w:ascii="Times New Roman" w:hAnsi="Times New Roman" w:eastAsia="宋体"/>
                      <w:color w:val="auto"/>
                      <w:sz w:val="21"/>
                      <w:szCs w:val="21"/>
                      <w:highlight w:val="none"/>
                      <w:lang w:val="en-US"/>
                    </w:rPr>
                  </w:pPr>
                  <w:r>
                    <w:rPr>
                      <w:rFonts w:ascii="Times New Roman" w:hAnsi="宋体" w:eastAsia="宋体"/>
                      <w:color w:val="auto"/>
                      <w:sz w:val="21"/>
                      <w:szCs w:val="21"/>
                      <w:highlight w:val="none"/>
                      <w:lang w:val="en-US"/>
                    </w:rPr>
                    <w:t>污水处理厂尾水排放标准</w:t>
                  </w:r>
                </w:p>
              </w:tc>
              <w:tc>
                <w:tcPr>
                  <w:tcW w:w="798" w:type="pct"/>
                  <w:vAlign w:val="center"/>
                </w:tcPr>
                <w:p w14:paraId="1D520499">
                  <w:pPr>
                    <w:adjustRightInd w:val="0"/>
                    <w:snapToGrid w:val="0"/>
                    <w:jc w:val="center"/>
                    <w:rPr>
                      <w:color w:val="auto"/>
                      <w:szCs w:val="21"/>
                      <w:highlight w:val="none"/>
                    </w:rPr>
                  </w:pPr>
                  <w:r>
                    <w:rPr>
                      <w:color w:val="auto"/>
                      <w:szCs w:val="21"/>
                      <w:highlight w:val="none"/>
                    </w:rPr>
                    <w:t>pH</w:t>
                  </w:r>
                </w:p>
              </w:tc>
              <w:tc>
                <w:tcPr>
                  <w:tcW w:w="1124" w:type="pct"/>
                  <w:vAlign w:val="center"/>
                </w:tcPr>
                <w:p w14:paraId="38534F0C">
                  <w:pPr>
                    <w:pStyle w:val="45"/>
                    <w:adjustRightInd w:val="0"/>
                    <w:snapToGrid w:val="0"/>
                    <w:rPr>
                      <w:rFonts w:ascii="Times New Roman" w:hAnsi="Times New Roman" w:eastAsia="宋体"/>
                      <w:color w:val="auto"/>
                      <w:sz w:val="21"/>
                      <w:szCs w:val="21"/>
                      <w:highlight w:val="none"/>
                      <w:lang w:val="en-US"/>
                    </w:rPr>
                  </w:pPr>
                  <w:r>
                    <w:rPr>
                      <w:rFonts w:ascii="Times New Roman" w:hAnsi="Times New Roman" w:eastAsia="宋体"/>
                      <w:color w:val="auto"/>
                      <w:sz w:val="21"/>
                      <w:szCs w:val="21"/>
                      <w:highlight w:val="none"/>
                      <w:lang w:val="en-US"/>
                    </w:rPr>
                    <w:t>6</w:t>
                  </w:r>
                  <w:r>
                    <w:rPr>
                      <w:rFonts w:ascii="Times New Roman" w:hAnsi="宋体" w:eastAsia="宋体"/>
                      <w:color w:val="auto"/>
                      <w:sz w:val="21"/>
                      <w:szCs w:val="21"/>
                      <w:highlight w:val="none"/>
                      <w:lang w:val="en-US"/>
                    </w:rPr>
                    <w:t>～</w:t>
                  </w:r>
                  <w:r>
                    <w:rPr>
                      <w:rFonts w:ascii="Times New Roman" w:hAnsi="Times New Roman" w:eastAsia="宋体"/>
                      <w:color w:val="auto"/>
                      <w:sz w:val="21"/>
                      <w:szCs w:val="21"/>
                      <w:highlight w:val="none"/>
                      <w:lang w:val="en-US"/>
                    </w:rPr>
                    <w:t>9</w:t>
                  </w:r>
                </w:p>
              </w:tc>
              <w:tc>
                <w:tcPr>
                  <w:tcW w:w="2302" w:type="pct"/>
                  <w:vMerge w:val="restart"/>
                  <w:vAlign w:val="center"/>
                </w:tcPr>
                <w:p w14:paraId="62081A3A">
                  <w:pPr>
                    <w:pStyle w:val="45"/>
                    <w:adjustRightInd w:val="0"/>
                    <w:snapToGrid w:val="0"/>
                    <w:rPr>
                      <w:rFonts w:ascii="Times New Roman" w:hAnsi="Times New Roman" w:eastAsia="宋体"/>
                      <w:color w:val="auto"/>
                      <w:kern w:val="2"/>
                      <w:sz w:val="21"/>
                      <w:szCs w:val="21"/>
                      <w:highlight w:val="none"/>
                      <w:lang w:val="en-US"/>
                    </w:rPr>
                  </w:pPr>
                  <w:r>
                    <w:rPr>
                      <w:rFonts w:ascii="Times New Roman" w:hAnsi="宋体" w:eastAsia="宋体"/>
                      <w:color w:val="auto"/>
                      <w:kern w:val="2"/>
                      <w:sz w:val="21"/>
                      <w:szCs w:val="21"/>
                      <w:highlight w:val="none"/>
                      <w:lang w:val="en-US"/>
                    </w:rPr>
                    <w:t>《城镇污水处理厂污染物排放标准》（</w:t>
                  </w:r>
                  <w:r>
                    <w:rPr>
                      <w:rFonts w:ascii="Times New Roman" w:hAnsi="Times New Roman" w:eastAsia="宋体"/>
                      <w:color w:val="auto"/>
                      <w:kern w:val="2"/>
                      <w:sz w:val="21"/>
                      <w:szCs w:val="21"/>
                      <w:highlight w:val="none"/>
                      <w:lang w:val="en-US"/>
                    </w:rPr>
                    <w:t>GB18918-2002</w:t>
                  </w:r>
                  <w:r>
                    <w:rPr>
                      <w:rFonts w:ascii="Times New Roman" w:hAnsi="宋体" w:eastAsia="宋体"/>
                      <w:color w:val="auto"/>
                      <w:kern w:val="2"/>
                      <w:sz w:val="21"/>
                      <w:szCs w:val="21"/>
                      <w:highlight w:val="none"/>
                      <w:lang w:val="en-US"/>
                    </w:rPr>
                    <w:t>）中一级</w:t>
                  </w:r>
                  <w:r>
                    <w:rPr>
                      <w:rFonts w:ascii="Times New Roman" w:hAnsi="Times New Roman" w:eastAsia="宋体"/>
                      <w:color w:val="auto"/>
                      <w:kern w:val="2"/>
                      <w:sz w:val="21"/>
                      <w:szCs w:val="21"/>
                      <w:highlight w:val="none"/>
                      <w:lang w:val="en-US"/>
                    </w:rPr>
                    <w:t>A</w:t>
                  </w:r>
                  <w:r>
                    <w:rPr>
                      <w:rFonts w:ascii="Times New Roman" w:hAnsi="宋体" w:eastAsia="宋体"/>
                      <w:color w:val="auto"/>
                      <w:kern w:val="2"/>
                      <w:sz w:val="21"/>
                      <w:szCs w:val="21"/>
                      <w:highlight w:val="none"/>
                      <w:lang w:val="en-US"/>
                    </w:rPr>
                    <w:t>标准</w:t>
                  </w:r>
                </w:p>
              </w:tc>
            </w:tr>
            <w:tr w14:paraId="27A9E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77C1646E">
                  <w:pPr>
                    <w:adjustRightInd w:val="0"/>
                    <w:snapToGrid w:val="0"/>
                    <w:jc w:val="center"/>
                    <w:rPr>
                      <w:color w:val="auto"/>
                      <w:szCs w:val="21"/>
                      <w:highlight w:val="none"/>
                    </w:rPr>
                  </w:pPr>
                </w:p>
              </w:tc>
              <w:tc>
                <w:tcPr>
                  <w:tcW w:w="798" w:type="pct"/>
                  <w:vAlign w:val="center"/>
                </w:tcPr>
                <w:p w14:paraId="7CB81E7E">
                  <w:pPr>
                    <w:adjustRightInd w:val="0"/>
                    <w:snapToGrid w:val="0"/>
                    <w:jc w:val="center"/>
                    <w:rPr>
                      <w:color w:val="auto"/>
                      <w:szCs w:val="21"/>
                      <w:highlight w:val="none"/>
                    </w:rPr>
                  </w:pPr>
                  <w:r>
                    <w:rPr>
                      <w:color w:val="auto"/>
                      <w:szCs w:val="21"/>
                      <w:highlight w:val="none"/>
                    </w:rPr>
                    <w:t>COD</w:t>
                  </w:r>
                </w:p>
              </w:tc>
              <w:tc>
                <w:tcPr>
                  <w:tcW w:w="1124" w:type="pct"/>
                  <w:vAlign w:val="center"/>
                </w:tcPr>
                <w:p w14:paraId="36EF5003">
                  <w:pPr>
                    <w:adjustRightInd w:val="0"/>
                    <w:snapToGrid w:val="0"/>
                    <w:jc w:val="center"/>
                    <w:rPr>
                      <w:color w:val="auto"/>
                      <w:szCs w:val="21"/>
                      <w:highlight w:val="none"/>
                    </w:rPr>
                  </w:pPr>
                  <w:r>
                    <w:rPr>
                      <w:color w:val="auto"/>
                      <w:szCs w:val="21"/>
                      <w:highlight w:val="none"/>
                    </w:rPr>
                    <w:t>50</w:t>
                  </w:r>
                </w:p>
              </w:tc>
              <w:tc>
                <w:tcPr>
                  <w:tcW w:w="2302" w:type="pct"/>
                  <w:vMerge w:val="continue"/>
                  <w:vAlign w:val="center"/>
                </w:tcPr>
                <w:p w14:paraId="01F808B8">
                  <w:pPr>
                    <w:widowControl/>
                    <w:adjustRightInd w:val="0"/>
                    <w:snapToGrid w:val="0"/>
                    <w:jc w:val="center"/>
                    <w:rPr>
                      <w:color w:val="auto"/>
                      <w:szCs w:val="21"/>
                      <w:highlight w:val="none"/>
                    </w:rPr>
                  </w:pPr>
                </w:p>
              </w:tc>
            </w:tr>
            <w:tr w14:paraId="2652E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06BF9FDB">
                  <w:pPr>
                    <w:adjustRightInd w:val="0"/>
                    <w:snapToGrid w:val="0"/>
                    <w:jc w:val="center"/>
                    <w:rPr>
                      <w:color w:val="auto"/>
                      <w:szCs w:val="21"/>
                      <w:highlight w:val="none"/>
                    </w:rPr>
                  </w:pPr>
                </w:p>
              </w:tc>
              <w:tc>
                <w:tcPr>
                  <w:tcW w:w="798" w:type="pct"/>
                  <w:vAlign w:val="center"/>
                </w:tcPr>
                <w:p w14:paraId="319D6FD1">
                  <w:pPr>
                    <w:adjustRightInd w:val="0"/>
                    <w:snapToGrid w:val="0"/>
                    <w:jc w:val="center"/>
                    <w:rPr>
                      <w:color w:val="auto"/>
                      <w:szCs w:val="21"/>
                      <w:highlight w:val="none"/>
                    </w:rPr>
                  </w:pPr>
                  <w:r>
                    <w:rPr>
                      <w:color w:val="auto"/>
                      <w:szCs w:val="21"/>
                      <w:highlight w:val="none"/>
                    </w:rPr>
                    <w:t>SS</w:t>
                  </w:r>
                </w:p>
              </w:tc>
              <w:tc>
                <w:tcPr>
                  <w:tcW w:w="1124" w:type="pct"/>
                  <w:vAlign w:val="center"/>
                </w:tcPr>
                <w:p w14:paraId="61793C16">
                  <w:pPr>
                    <w:adjustRightInd w:val="0"/>
                    <w:snapToGrid w:val="0"/>
                    <w:jc w:val="center"/>
                    <w:rPr>
                      <w:color w:val="auto"/>
                      <w:szCs w:val="21"/>
                      <w:highlight w:val="none"/>
                    </w:rPr>
                  </w:pPr>
                  <w:r>
                    <w:rPr>
                      <w:color w:val="auto"/>
                      <w:szCs w:val="21"/>
                      <w:highlight w:val="none"/>
                    </w:rPr>
                    <w:t>10</w:t>
                  </w:r>
                </w:p>
              </w:tc>
              <w:tc>
                <w:tcPr>
                  <w:tcW w:w="2302" w:type="pct"/>
                  <w:vMerge w:val="continue"/>
                  <w:vAlign w:val="center"/>
                </w:tcPr>
                <w:p w14:paraId="2EAD6863">
                  <w:pPr>
                    <w:widowControl/>
                    <w:adjustRightInd w:val="0"/>
                    <w:snapToGrid w:val="0"/>
                    <w:jc w:val="center"/>
                    <w:rPr>
                      <w:color w:val="auto"/>
                      <w:szCs w:val="21"/>
                      <w:highlight w:val="none"/>
                    </w:rPr>
                  </w:pPr>
                </w:p>
              </w:tc>
            </w:tr>
            <w:tr w14:paraId="0DD0F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593FCD37">
                  <w:pPr>
                    <w:adjustRightInd w:val="0"/>
                    <w:snapToGrid w:val="0"/>
                    <w:jc w:val="center"/>
                    <w:rPr>
                      <w:color w:val="auto"/>
                      <w:szCs w:val="21"/>
                      <w:highlight w:val="none"/>
                    </w:rPr>
                  </w:pPr>
                </w:p>
              </w:tc>
              <w:tc>
                <w:tcPr>
                  <w:tcW w:w="798" w:type="pct"/>
                  <w:vAlign w:val="center"/>
                </w:tcPr>
                <w:p w14:paraId="647AA37C">
                  <w:pPr>
                    <w:adjustRightInd w:val="0"/>
                    <w:snapToGrid w:val="0"/>
                    <w:jc w:val="center"/>
                    <w:rPr>
                      <w:color w:val="auto"/>
                      <w:szCs w:val="21"/>
                      <w:highlight w:val="none"/>
                    </w:rPr>
                  </w:pPr>
                  <w:r>
                    <w:rPr>
                      <w:rFonts w:hAnsi="宋体"/>
                      <w:color w:val="auto"/>
                      <w:szCs w:val="21"/>
                      <w:highlight w:val="none"/>
                    </w:rPr>
                    <w:t>氨氮</w:t>
                  </w:r>
                </w:p>
              </w:tc>
              <w:tc>
                <w:tcPr>
                  <w:tcW w:w="1124" w:type="pct"/>
                  <w:vAlign w:val="center"/>
                </w:tcPr>
                <w:p w14:paraId="63B6FE8E">
                  <w:pPr>
                    <w:adjustRightInd w:val="0"/>
                    <w:snapToGrid w:val="0"/>
                    <w:jc w:val="center"/>
                    <w:rPr>
                      <w:color w:val="auto"/>
                      <w:szCs w:val="21"/>
                      <w:highlight w:val="none"/>
                    </w:rPr>
                  </w:pPr>
                  <w:r>
                    <w:rPr>
                      <w:color w:val="auto"/>
                      <w:szCs w:val="21"/>
                      <w:highlight w:val="none"/>
                    </w:rPr>
                    <w:t>5</w:t>
                  </w:r>
                  <w:r>
                    <w:rPr>
                      <w:rFonts w:hAnsi="宋体"/>
                      <w:color w:val="auto"/>
                      <w:szCs w:val="21"/>
                      <w:highlight w:val="none"/>
                    </w:rPr>
                    <w:t>（</w:t>
                  </w:r>
                  <w:r>
                    <w:rPr>
                      <w:color w:val="auto"/>
                      <w:szCs w:val="21"/>
                      <w:highlight w:val="none"/>
                    </w:rPr>
                    <w:t>8</w:t>
                  </w:r>
                  <w:r>
                    <w:rPr>
                      <w:rFonts w:hAnsi="宋体"/>
                      <w:color w:val="auto"/>
                      <w:szCs w:val="21"/>
                      <w:highlight w:val="none"/>
                    </w:rPr>
                    <w:t>）</w:t>
                  </w:r>
                  <w:r>
                    <w:rPr>
                      <w:color w:val="auto"/>
                      <w:szCs w:val="21"/>
                      <w:highlight w:val="none"/>
                    </w:rPr>
                    <w:t>*</w:t>
                  </w:r>
                </w:p>
              </w:tc>
              <w:tc>
                <w:tcPr>
                  <w:tcW w:w="2302" w:type="pct"/>
                  <w:vMerge w:val="continue"/>
                  <w:vAlign w:val="center"/>
                </w:tcPr>
                <w:p w14:paraId="2C6B9811">
                  <w:pPr>
                    <w:widowControl/>
                    <w:adjustRightInd w:val="0"/>
                    <w:snapToGrid w:val="0"/>
                    <w:jc w:val="center"/>
                    <w:rPr>
                      <w:color w:val="auto"/>
                      <w:szCs w:val="21"/>
                      <w:highlight w:val="none"/>
                    </w:rPr>
                  </w:pPr>
                </w:p>
              </w:tc>
            </w:tr>
            <w:tr w14:paraId="5B18A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3F74B41E">
                  <w:pPr>
                    <w:adjustRightInd w:val="0"/>
                    <w:snapToGrid w:val="0"/>
                    <w:jc w:val="center"/>
                    <w:rPr>
                      <w:color w:val="auto"/>
                      <w:szCs w:val="21"/>
                      <w:highlight w:val="none"/>
                    </w:rPr>
                  </w:pPr>
                </w:p>
              </w:tc>
              <w:tc>
                <w:tcPr>
                  <w:tcW w:w="798" w:type="pct"/>
                  <w:vAlign w:val="center"/>
                </w:tcPr>
                <w:p w14:paraId="319C4F44">
                  <w:pPr>
                    <w:adjustRightInd w:val="0"/>
                    <w:snapToGrid w:val="0"/>
                    <w:jc w:val="center"/>
                    <w:rPr>
                      <w:color w:val="auto"/>
                      <w:szCs w:val="21"/>
                      <w:highlight w:val="none"/>
                    </w:rPr>
                  </w:pPr>
                  <w:r>
                    <w:rPr>
                      <w:color w:val="auto"/>
                      <w:szCs w:val="21"/>
                      <w:highlight w:val="none"/>
                    </w:rPr>
                    <w:t>TP</w:t>
                  </w:r>
                </w:p>
              </w:tc>
              <w:tc>
                <w:tcPr>
                  <w:tcW w:w="1124" w:type="pct"/>
                  <w:vAlign w:val="center"/>
                </w:tcPr>
                <w:p w14:paraId="456638B8">
                  <w:pPr>
                    <w:adjustRightInd w:val="0"/>
                    <w:snapToGrid w:val="0"/>
                    <w:jc w:val="center"/>
                    <w:rPr>
                      <w:color w:val="auto"/>
                      <w:szCs w:val="21"/>
                      <w:highlight w:val="none"/>
                    </w:rPr>
                  </w:pPr>
                  <w:r>
                    <w:rPr>
                      <w:color w:val="auto"/>
                      <w:szCs w:val="21"/>
                      <w:highlight w:val="none"/>
                    </w:rPr>
                    <w:t>0.5</w:t>
                  </w:r>
                </w:p>
              </w:tc>
              <w:tc>
                <w:tcPr>
                  <w:tcW w:w="2302" w:type="pct"/>
                  <w:vMerge w:val="continue"/>
                  <w:vAlign w:val="center"/>
                </w:tcPr>
                <w:p w14:paraId="4D8571C1">
                  <w:pPr>
                    <w:widowControl/>
                    <w:adjustRightInd w:val="0"/>
                    <w:snapToGrid w:val="0"/>
                    <w:jc w:val="center"/>
                    <w:rPr>
                      <w:color w:val="auto"/>
                      <w:szCs w:val="21"/>
                      <w:highlight w:val="none"/>
                    </w:rPr>
                  </w:pPr>
                </w:p>
              </w:tc>
            </w:tr>
            <w:tr w14:paraId="1B016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4" w:type="pct"/>
                  <w:vMerge w:val="continue"/>
                  <w:vAlign w:val="center"/>
                </w:tcPr>
                <w:p w14:paraId="77A19155">
                  <w:pPr>
                    <w:adjustRightInd w:val="0"/>
                    <w:snapToGrid w:val="0"/>
                    <w:jc w:val="center"/>
                    <w:rPr>
                      <w:color w:val="auto"/>
                      <w:szCs w:val="21"/>
                      <w:highlight w:val="none"/>
                    </w:rPr>
                  </w:pPr>
                </w:p>
              </w:tc>
              <w:tc>
                <w:tcPr>
                  <w:tcW w:w="798" w:type="pct"/>
                  <w:vAlign w:val="center"/>
                </w:tcPr>
                <w:p w14:paraId="4CF97B42">
                  <w:pPr>
                    <w:adjustRightInd w:val="0"/>
                    <w:snapToGrid w:val="0"/>
                    <w:jc w:val="center"/>
                    <w:rPr>
                      <w:color w:val="auto"/>
                      <w:szCs w:val="21"/>
                      <w:highlight w:val="none"/>
                    </w:rPr>
                  </w:pPr>
                  <w:r>
                    <w:rPr>
                      <w:color w:val="auto"/>
                      <w:szCs w:val="21"/>
                      <w:highlight w:val="none"/>
                    </w:rPr>
                    <w:t>TN</w:t>
                  </w:r>
                </w:p>
              </w:tc>
              <w:tc>
                <w:tcPr>
                  <w:tcW w:w="1124" w:type="pct"/>
                  <w:vAlign w:val="center"/>
                </w:tcPr>
                <w:p w14:paraId="48603291">
                  <w:pPr>
                    <w:adjustRightInd w:val="0"/>
                    <w:snapToGrid w:val="0"/>
                    <w:jc w:val="center"/>
                    <w:rPr>
                      <w:color w:val="auto"/>
                      <w:szCs w:val="21"/>
                      <w:highlight w:val="none"/>
                    </w:rPr>
                  </w:pPr>
                  <w:r>
                    <w:rPr>
                      <w:color w:val="auto"/>
                      <w:szCs w:val="21"/>
                      <w:highlight w:val="none"/>
                    </w:rPr>
                    <w:t>15</w:t>
                  </w:r>
                </w:p>
              </w:tc>
              <w:tc>
                <w:tcPr>
                  <w:tcW w:w="2302" w:type="pct"/>
                  <w:vMerge w:val="continue"/>
                  <w:vAlign w:val="center"/>
                </w:tcPr>
                <w:p w14:paraId="537C3BC3">
                  <w:pPr>
                    <w:widowControl/>
                    <w:adjustRightInd w:val="0"/>
                    <w:snapToGrid w:val="0"/>
                    <w:jc w:val="center"/>
                    <w:rPr>
                      <w:color w:val="auto"/>
                      <w:szCs w:val="21"/>
                      <w:highlight w:val="none"/>
                    </w:rPr>
                  </w:pPr>
                </w:p>
              </w:tc>
            </w:tr>
          </w:tbl>
          <w:p w14:paraId="4FD0ACE1">
            <w:pPr>
              <w:pStyle w:val="9"/>
              <w:adjustRightInd w:val="0"/>
              <w:snapToGrid w:val="0"/>
              <w:spacing w:line="360" w:lineRule="auto"/>
              <w:ind w:firstLine="360"/>
              <w:rPr>
                <w:rFonts w:hAnsi="宋体"/>
                <w:bCs/>
                <w:color w:val="auto"/>
                <w:sz w:val="24"/>
                <w:szCs w:val="24"/>
                <w:highlight w:val="none"/>
              </w:rPr>
            </w:pPr>
            <w:r>
              <w:rPr>
                <w:rFonts w:hAnsi="宋体"/>
                <w:color w:val="auto"/>
                <w:sz w:val="18"/>
                <w:szCs w:val="18"/>
                <w:highlight w:val="none"/>
              </w:rPr>
              <w:t>注：</w:t>
            </w:r>
            <w:r>
              <w:rPr>
                <w:color w:val="auto"/>
                <w:sz w:val="18"/>
                <w:szCs w:val="18"/>
                <w:highlight w:val="none"/>
              </w:rPr>
              <w:t>*</w:t>
            </w:r>
            <w:r>
              <w:rPr>
                <w:rFonts w:hAnsi="宋体"/>
                <w:color w:val="auto"/>
                <w:sz w:val="18"/>
                <w:szCs w:val="18"/>
                <w:highlight w:val="none"/>
              </w:rPr>
              <w:t>表示括号外数值为水温＞</w:t>
            </w:r>
            <w:r>
              <w:rPr>
                <w:color w:val="auto"/>
                <w:sz w:val="18"/>
                <w:szCs w:val="18"/>
                <w:highlight w:val="none"/>
              </w:rPr>
              <w:t>12</w:t>
            </w:r>
            <w:r>
              <w:rPr>
                <w:rFonts w:ascii="宋体" w:hAnsi="宋体"/>
                <w:color w:val="auto"/>
                <w:sz w:val="18"/>
                <w:szCs w:val="18"/>
                <w:highlight w:val="none"/>
              </w:rPr>
              <w:t>℃</w:t>
            </w:r>
            <w:r>
              <w:rPr>
                <w:rFonts w:hAnsi="宋体"/>
                <w:color w:val="auto"/>
                <w:sz w:val="18"/>
                <w:szCs w:val="18"/>
                <w:highlight w:val="none"/>
              </w:rPr>
              <w:t>时的控制指标，括号内数值为水温</w:t>
            </w:r>
            <w:r>
              <w:rPr>
                <w:color w:val="auto"/>
                <w:sz w:val="18"/>
                <w:szCs w:val="18"/>
                <w:highlight w:val="none"/>
              </w:rPr>
              <w:t>≤12</w:t>
            </w:r>
            <w:r>
              <w:rPr>
                <w:rFonts w:ascii="宋体" w:hAnsi="宋体"/>
                <w:color w:val="auto"/>
                <w:sz w:val="18"/>
                <w:szCs w:val="18"/>
                <w:highlight w:val="none"/>
              </w:rPr>
              <w:t>℃</w:t>
            </w:r>
            <w:r>
              <w:rPr>
                <w:rFonts w:hAnsi="宋体"/>
                <w:color w:val="auto"/>
                <w:sz w:val="18"/>
                <w:szCs w:val="18"/>
                <w:highlight w:val="none"/>
              </w:rPr>
              <w:t>时的控制指标。</w:t>
            </w:r>
          </w:p>
          <w:p w14:paraId="26C98200">
            <w:pPr>
              <w:tabs>
                <w:tab w:val="left" w:pos="5142"/>
              </w:tabs>
              <w:adjustRightInd w:val="0"/>
              <w:snapToGrid w:val="0"/>
              <w:spacing w:line="360" w:lineRule="auto"/>
              <w:ind w:firstLine="482" w:firstLineChars="200"/>
              <w:rPr>
                <w:b/>
                <w:bCs/>
                <w:snapToGrid w:val="0"/>
                <w:color w:val="auto"/>
                <w:kern w:val="0"/>
                <w:sz w:val="24"/>
                <w:highlight w:val="none"/>
              </w:rPr>
            </w:pPr>
            <w:r>
              <w:rPr>
                <w:b/>
                <w:bCs/>
                <w:snapToGrid w:val="0"/>
                <w:color w:val="auto"/>
                <w:kern w:val="0"/>
                <w:sz w:val="24"/>
                <w:highlight w:val="none"/>
              </w:rPr>
              <w:t>3</w:t>
            </w:r>
            <w:r>
              <w:rPr>
                <w:rFonts w:hAnsi="宋体"/>
                <w:b/>
                <w:bCs/>
                <w:snapToGrid w:val="0"/>
                <w:color w:val="auto"/>
                <w:kern w:val="0"/>
                <w:sz w:val="24"/>
                <w:highlight w:val="none"/>
              </w:rPr>
              <w:t>、厂界噪声排放标准</w:t>
            </w:r>
          </w:p>
          <w:p w14:paraId="6D48BBED">
            <w:pPr>
              <w:tabs>
                <w:tab w:val="left" w:pos="5142"/>
              </w:tabs>
              <w:adjustRightInd w:val="0"/>
              <w:snapToGrid w:val="0"/>
              <w:spacing w:line="360" w:lineRule="auto"/>
              <w:ind w:firstLine="480" w:firstLineChars="200"/>
              <w:rPr>
                <w:bCs/>
                <w:snapToGrid w:val="0"/>
                <w:color w:val="auto"/>
                <w:kern w:val="0"/>
                <w:sz w:val="24"/>
                <w:highlight w:val="none"/>
              </w:rPr>
            </w:pPr>
            <w:r>
              <w:rPr>
                <w:rFonts w:hAnsi="宋体"/>
                <w:snapToGrid w:val="0"/>
                <w:color w:val="auto"/>
                <w:kern w:val="0"/>
                <w:sz w:val="24"/>
                <w:highlight w:val="none"/>
              </w:rPr>
              <w:t>项目营运期厂界噪声</w:t>
            </w:r>
            <w:r>
              <w:rPr>
                <w:rFonts w:hAnsi="宋体"/>
                <w:bCs/>
                <w:snapToGrid w:val="0"/>
                <w:color w:val="auto"/>
                <w:kern w:val="0"/>
                <w:sz w:val="24"/>
                <w:highlight w:val="none"/>
              </w:rPr>
              <w:t>执行</w:t>
            </w:r>
            <w:r>
              <w:rPr>
                <w:rFonts w:hAnsi="宋体"/>
                <w:snapToGrid w:val="0"/>
                <w:color w:val="auto"/>
                <w:kern w:val="0"/>
                <w:sz w:val="24"/>
                <w:highlight w:val="none"/>
              </w:rPr>
              <w:t>《工业企业厂界环境噪声排放标准》（</w:t>
            </w:r>
            <w:r>
              <w:rPr>
                <w:snapToGrid w:val="0"/>
                <w:color w:val="auto"/>
                <w:kern w:val="0"/>
                <w:sz w:val="24"/>
                <w:highlight w:val="none"/>
              </w:rPr>
              <w:t>GB12348-2008</w:t>
            </w:r>
            <w:r>
              <w:rPr>
                <w:rFonts w:hAnsi="宋体"/>
                <w:snapToGrid w:val="0"/>
                <w:color w:val="auto"/>
                <w:kern w:val="0"/>
                <w:sz w:val="24"/>
                <w:highlight w:val="none"/>
              </w:rPr>
              <w:t>）中</w:t>
            </w:r>
            <w:r>
              <w:rPr>
                <w:rFonts w:hint="eastAsia"/>
                <w:snapToGrid w:val="0"/>
                <w:color w:val="auto"/>
                <w:kern w:val="0"/>
                <w:sz w:val="24"/>
                <w:highlight w:val="none"/>
              </w:rPr>
              <w:t>3</w:t>
            </w:r>
            <w:r>
              <w:rPr>
                <w:rFonts w:hAnsi="宋体"/>
                <w:snapToGrid w:val="0"/>
                <w:color w:val="auto"/>
                <w:kern w:val="0"/>
                <w:sz w:val="24"/>
                <w:highlight w:val="none"/>
              </w:rPr>
              <w:t>类标准，</w:t>
            </w:r>
            <w:r>
              <w:rPr>
                <w:rFonts w:hAnsi="宋体"/>
                <w:bCs/>
                <w:snapToGrid w:val="0"/>
                <w:color w:val="auto"/>
                <w:kern w:val="0"/>
                <w:sz w:val="24"/>
                <w:highlight w:val="none"/>
              </w:rPr>
              <w:t>具体见表</w:t>
            </w:r>
            <w:r>
              <w:rPr>
                <w:bCs/>
                <w:snapToGrid w:val="0"/>
                <w:color w:val="auto"/>
                <w:kern w:val="0"/>
                <w:sz w:val="24"/>
                <w:highlight w:val="none"/>
              </w:rPr>
              <w:t>3-</w:t>
            </w:r>
            <w:r>
              <w:rPr>
                <w:rFonts w:hint="default"/>
                <w:bCs/>
                <w:snapToGrid w:val="0"/>
                <w:color w:val="auto"/>
                <w:kern w:val="0"/>
                <w:sz w:val="24"/>
                <w:highlight w:val="none"/>
              </w:rPr>
              <w:t>12</w:t>
            </w:r>
            <w:r>
              <w:rPr>
                <w:rFonts w:hAnsi="宋体"/>
                <w:bCs/>
                <w:snapToGrid w:val="0"/>
                <w:color w:val="auto"/>
                <w:kern w:val="0"/>
                <w:sz w:val="24"/>
                <w:highlight w:val="none"/>
              </w:rPr>
              <w:t>。</w:t>
            </w:r>
          </w:p>
          <w:p w14:paraId="7BA4D1E3">
            <w:pPr>
              <w:adjustRightInd w:val="0"/>
              <w:snapToGrid w:val="0"/>
              <w:jc w:val="center"/>
              <w:rPr>
                <w:b/>
                <w:snapToGrid w:val="0"/>
                <w:color w:val="auto"/>
                <w:kern w:val="0"/>
                <w:sz w:val="24"/>
                <w:highlight w:val="none"/>
              </w:rPr>
            </w:pPr>
            <w:r>
              <w:rPr>
                <w:rFonts w:hAnsi="宋体"/>
                <w:b/>
                <w:bCs/>
                <w:snapToGrid w:val="0"/>
                <w:color w:val="auto"/>
                <w:kern w:val="0"/>
                <w:sz w:val="24"/>
                <w:highlight w:val="none"/>
              </w:rPr>
              <w:t>表</w:t>
            </w:r>
            <w:r>
              <w:rPr>
                <w:b/>
                <w:bCs/>
                <w:snapToGrid w:val="0"/>
                <w:color w:val="auto"/>
                <w:kern w:val="0"/>
                <w:sz w:val="24"/>
                <w:highlight w:val="none"/>
              </w:rPr>
              <w:t>3-</w:t>
            </w:r>
            <w:r>
              <w:rPr>
                <w:rFonts w:hint="default"/>
                <w:b/>
                <w:bCs/>
                <w:snapToGrid w:val="0"/>
                <w:color w:val="auto"/>
                <w:kern w:val="0"/>
                <w:sz w:val="24"/>
                <w:highlight w:val="none"/>
              </w:rPr>
              <w:t>12</w:t>
            </w:r>
            <w:r>
              <w:rPr>
                <w:b/>
                <w:bCs/>
                <w:snapToGrid w:val="0"/>
                <w:color w:val="auto"/>
                <w:kern w:val="0"/>
                <w:sz w:val="24"/>
                <w:highlight w:val="none"/>
              </w:rPr>
              <w:t xml:space="preserve">  </w:t>
            </w:r>
            <w:r>
              <w:rPr>
                <w:rFonts w:hAnsi="宋体"/>
                <w:b/>
                <w:snapToGrid w:val="0"/>
                <w:color w:val="auto"/>
                <w:kern w:val="0"/>
                <w:sz w:val="24"/>
                <w:highlight w:val="none"/>
              </w:rPr>
              <w:t>工业企业厂界环境噪声排放标准值</w:t>
            </w:r>
            <w:r>
              <w:rPr>
                <w:rFonts w:hAnsi="宋体"/>
                <w:b/>
                <w:bCs/>
                <w:snapToGrid w:val="0"/>
                <w:color w:val="auto"/>
                <w:kern w:val="0"/>
                <w:sz w:val="24"/>
                <w:highlight w:val="none"/>
              </w:rPr>
              <w:t>一览表</w:t>
            </w:r>
            <w:r>
              <w:rPr>
                <w:b/>
                <w:snapToGrid w:val="0"/>
                <w:color w:val="auto"/>
                <w:kern w:val="0"/>
                <w:sz w:val="24"/>
                <w:highlight w:val="none"/>
              </w:rPr>
              <w:t xml:space="preserve">  </w:t>
            </w:r>
            <w:r>
              <w:rPr>
                <w:rFonts w:hAnsi="宋体"/>
                <w:b/>
                <w:snapToGrid w:val="0"/>
                <w:color w:val="auto"/>
                <w:kern w:val="0"/>
                <w:sz w:val="24"/>
                <w:highlight w:val="none"/>
              </w:rPr>
              <w:t>单位：</w:t>
            </w:r>
            <w:r>
              <w:rPr>
                <w:b/>
                <w:snapToGrid w:val="0"/>
                <w:color w:val="auto"/>
                <w:kern w:val="0"/>
                <w:sz w:val="24"/>
                <w:highlight w:val="none"/>
              </w:rPr>
              <w:t>dB</w:t>
            </w:r>
            <w:r>
              <w:rPr>
                <w:rFonts w:hAnsi="宋体"/>
                <w:b/>
                <w:snapToGrid w:val="0"/>
                <w:color w:val="auto"/>
                <w:kern w:val="0"/>
                <w:sz w:val="24"/>
                <w:highlight w:val="none"/>
              </w:rPr>
              <w:t>（</w:t>
            </w:r>
            <w:r>
              <w:rPr>
                <w:b/>
                <w:snapToGrid w:val="0"/>
                <w:color w:val="auto"/>
                <w:kern w:val="0"/>
                <w:sz w:val="24"/>
                <w:highlight w:val="none"/>
              </w:rPr>
              <w:t>A</w:t>
            </w:r>
            <w:r>
              <w:rPr>
                <w:rFonts w:hAnsi="宋体"/>
                <w:b/>
                <w:snapToGrid w:val="0"/>
                <w:color w:val="auto"/>
                <w:kern w:val="0"/>
                <w:sz w:val="24"/>
                <w:highlight w:val="none"/>
              </w:rPr>
              <w:t>）</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33"/>
              <w:gridCol w:w="1820"/>
              <w:gridCol w:w="1987"/>
              <w:gridCol w:w="4031"/>
            </w:tblGrid>
            <w:tr w14:paraId="6BD004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680" w:type="pct"/>
                  <w:vAlign w:val="center"/>
                </w:tcPr>
                <w:p w14:paraId="7FA342F5">
                  <w:pPr>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功能区类别</w:t>
                  </w:r>
                </w:p>
              </w:tc>
              <w:tc>
                <w:tcPr>
                  <w:tcW w:w="1003" w:type="pct"/>
                  <w:vAlign w:val="center"/>
                </w:tcPr>
                <w:p w14:paraId="7816B11C">
                  <w:pPr>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昼间（</w:t>
                  </w:r>
                  <w:r>
                    <w:rPr>
                      <w:b/>
                      <w:bCs/>
                      <w:snapToGrid w:val="0"/>
                      <w:color w:val="auto"/>
                      <w:kern w:val="0"/>
                      <w:szCs w:val="21"/>
                      <w:highlight w:val="none"/>
                    </w:rPr>
                    <w:t>6:00</w:t>
                  </w:r>
                  <w:r>
                    <w:rPr>
                      <w:rFonts w:hAnsi="宋体"/>
                      <w:b/>
                      <w:bCs/>
                      <w:snapToGrid w:val="0"/>
                      <w:color w:val="auto"/>
                      <w:kern w:val="0"/>
                      <w:szCs w:val="21"/>
                      <w:highlight w:val="none"/>
                    </w:rPr>
                    <w:t>～</w:t>
                  </w:r>
                  <w:r>
                    <w:rPr>
                      <w:b/>
                      <w:bCs/>
                      <w:snapToGrid w:val="0"/>
                      <w:color w:val="auto"/>
                      <w:kern w:val="0"/>
                      <w:szCs w:val="21"/>
                      <w:highlight w:val="none"/>
                    </w:rPr>
                    <w:t>22:00</w:t>
                  </w:r>
                  <w:r>
                    <w:rPr>
                      <w:rFonts w:hAnsi="宋体"/>
                      <w:b/>
                      <w:bCs/>
                      <w:snapToGrid w:val="0"/>
                      <w:color w:val="auto"/>
                      <w:kern w:val="0"/>
                      <w:szCs w:val="21"/>
                      <w:highlight w:val="none"/>
                    </w:rPr>
                    <w:t>）</w:t>
                  </w:r>
                </w:p>
              </w:tc>
              <w:tc>
                <w:tcPr>
                  <w:tcW w:w="1095" w:type="pct"/>
                  <w:vAlign w:val="center"/>
                </w:tcPr>
                <w:p w14:paraId="66D3E821">
                  <w:pPr>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夜间（</w:t>
                  </w:r>
                  <w:r>
                    <w:rPr>
                      <w:b/>
                      <w:bCs/>
                      <w:snapToGrid w:val="0"/>
                      <w:color w:val="auto"/>
                      <w:kern w:val="0"/>
                      <w:szCs w:val="21"/>
                      <w:highlight w:val="none"/>
                    </w:rPr>
                    <w:t>22:00</w:t>
                  </w:r>
                  <w:r>
                    <w:rPr>
                      <w:rFonts w:hAnsi="宋体"/>
                      <w:b/>
                      <w:bCs/>
                      <w:snapToGrid w:val="0"/>
                      <w:color w:val="auto"/>
                      <w:kern w:val="0"/>
                      <w:szCs w:val="21"/>
                      <w:highlight w:val="none"/>
                    </w:rPr>
                    <w:t>～</w:t>
                  </w:r>
                  <w:r>
                    <w:rPr>
                      <w:b/>
                      <w:bCs/>
                      <w:snapToGrid w:val="0"/>
                      <w:color w:val="auto"/>
                      <w:kern w:val="0"/>
                      <w:szCs w:val="21"/>
                      <w:highlight w:val="none"/>
                    </w:rPr>
                    <w:t>6:00</w:t>
                  </w:r>
                  <w:r>
                    <w:rPr>
                      <w:rFonts w:hAnsi="宋体"/>
                      <w:b/>
                      <w:bCs/>
                      <w:snapToGrid w:val="0"/>
                      <w:color w:val="auto"/>
                      <w:kern w:val="0"/>
                      <w:szCs w:val="21"/>
                      <w:highlight w:val="none"/>
                    </w:rPr>
                    <w:t>）</w:t>
                  </w:r>
                </w:p>
              </w:tc>
              <w:tc>
                <w:tcPr>
                  <w:tcW w:w="2222" w:type="pct"/>
                  <w:vAlign w:val="center"/>
                </w:tcPr>
                <w:p w14:paraId="02321A8F">
                  <w:pPr>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标准来源</w:t>
                  </w:r>
                </w:p>
              </w:tc>
            </w:tr>
            <w:tr w14:paraId="71FF6A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680" w:type="pct"/>
                  <w:vAlign w:val="center"/>
                </w:tcPr>
                <w:p w14:paraId="2F4319B3">
                  <w:pPr>
                    <w:adjustRightInd w:val="0"/>
                    <w:snapToGrid w:val="0"/>
                    <w:jc w:val="center"/>
                    <w:rPr>
                      <w:bCs/>
                      <w:snapToGrid w:val="0"/>
                      <w:color w:val="auto"/>
                      <w:kern w:val="0"/>
                      <w:szCs w:val="21"/>
                      <w:highlight w:val="none"/>
                    </w:rPr>
                  </w:pPr>
                  <w:r>
                    <w:rPr>
                      <w:rFonts w:hint="eastAsia"/>
                      <w:smallCaps/>
                      <w:snapToGrid w:val="0"/>
                      <w:color w:val="auto"/>
                      <w:kern w:val="0"/>
                      <w:szCs w:val="21"/>
                      <w:highlight w:val="none"/>
                    </w:rPr>
                    <w:t>3</w:t>
                  </w:r>
                </w:p>
              </w:tc>
              <w:tc>
                <w:tcPr>
                  <w:tcW w:w="1003" w:type="pct"/>
                  <w:vAlign w:val="center"/>
                </w:tcPr>
                <w:p w14:paraId="7DDBEE27">
                  <w:pPr>
                    <w:adjustRightInd w:val="0"/>
                    <w:snapToGrid w:val="0"/>
                    <w:jc w:val="center"/>
                    <w:rPr>
                      <w:bCs/>
                      <w:snapToGrid w:val="0"/>
                      <w:color w:val="auto"/>
                      <w:kern w:val="0"/>
                      <w:szCs w:val="21"/>
                      <w:highlight w:val="none"/>
                    </w:rPr>
                  </w:pPr>
                  <w:r>
                    <w:rPr>
                      <w:rFonts w:hint="eastAsia"/>
                      <w:smallCaps/>
                      <w:snapToGrid w:val="0"/>
                      <w:color w:val="auto"/>
                      <w:kern w:val="0"/>
                      <w:szCs w:val="21"/>
                      <w:highlight w:val="none"/>
                    </w:rPr>
                    <w:t>65</w:t>
                  </w:r>
                </w:p>
              </w:tc>
              <w:tc>
                <w:tcPr>
                  <w:tcW w:w="1095" w:type="pct"/>
                  <w:vAlign w:val="center"/>
                </w:tcPr>
                <w:p w14:paraId="32A4CD05">
                  <w:pPr>
                    <w:adjustRightInd w:val="0"/>
                    <w:snapToGrid w:val="0"/>
                    <w:jc w:val="center"/>
                    <w:rPr>
                      <w:bCs/>
                      <w:snapToGrid w:val="0"/>
                      <w:color w:val="auto"/>
                      <w:kern w:val="0"/>
                      <w:szCs w:val="21"/>
                      <w:highlight w:val="none"/>
                    </w:rPr>
                  </w:pPr>
                  <w:r>
                    <w:rPr>
                      <w:rFonts w:hint="eastAsia"/>
                      <w:smallCaps/>
                      <w:snapToGrid w:val="0"/>
                      <w:color w:val="auto"/>
                      <w:kern w:val="0"/>
                      <w:szCs w:val="21"/>
                      <w:highlight w:val="none"/>
                    </w:rPr>
                    <w:t>55</w:t>
                  </w:r>
                </w:p>
              </w:tc>
              <w:tc>
                <w:tcPr>
                  <w:tcW w:w="2222" w:type="pct"/>
                  <w:vAlign w:val="center"/>
                </w:tcPr>
                <w:p w14:paraId="10E3397C">
                  <w:pPr>
                    <w:adjustRightInd w:val="0"/>
                    <w:snapToGrid w:val="0"/>
                    <w:jc w:val="center"/>
                    <w:rPr>
                      <w:snapToGrid w:val="0"/>
                      <w:color w:val="auto"/>
                      <w:kern w:val="0"/>
                      <w:szCs w:val="21"/>
                      <w:highlight w:val="none"/>
                    </w:rPr>
                  </w:pPr>
                  <w:r>
                    <w:rPr>
                      <w:rFonts w:hAnsi="宋体"/>
                      <w:snapToGrid w:val="0"/>
                      <w:color w:val="auto"/>
                      <w:kern w:val="0"/>
                      <w:szCs w:val="21"/>
                      <w:highlight w:val="none"/>
                    </w:rPr>
                    <w:t>《工业企业厂界环境噪声排放标准》（</w:t>
                  </w:r>
                  <w:r>
                    <w:rPr>
                      <w:snapToGrid w:val="0"/>
                      <w:color w:val="auto"/>
                      <w:kern w:val="0"/>
                      <w:szCs w:val="21"/>
                      <w:highlight w:val="none"/>
                    </w:rPr>
                    <w:t>GB12348-2008</w:t>
                  </w:r>
                  <w:r>
                    <w:rPr>
                      <w:rFonts w:hAnsi="宋体"/>
                      <w:snapToGrid w:val="0"/>
                      <w:color w:val="auto"/>
                      <w:kern w:val="0"/>
                      <w:szCs w:val="21"/>
                      <w:highlight w:val="none"/>
                    </w:rPr>
                    <w:t>）</w:t>
                  </w:r>
                </w:p>
              </w:tc>
            </w:tr>
          </w:tbl>
          <w:p w14:paraId="7960DB17">
            <w:pPr>
              <w:tabs>
                <w:tab w:val="left" w:pos="5142"/>
              </w:tabs>
              <w:adjustRightInd w:val="0"/>
              <w:snapToGrid w:val="0"/>
              <w:ind w:firstLine="201" w:firstLineChars="200"/>
              <w:rPr>
                <w:b/>
                <w:bCs/>
                <w:snapToGrid w:val="0"/>
                <w:color w:val="auto"/>
                <w:kern w:val="0"/>
                <w:sz w:val="10"/>
                <w:szCs w:val="10"/>
                <w:highlight w:val="none"/>
              </w:rPr>
            </w:pPr>
          </w:p>
          <w:p w14:paraId="5CA3B91E">
            <w:pPr>
              <w:tabs>
                <w:tab w:val="left" w:pos="5142"/>
              </w:tabs>
              <w:adjustRightInd w:val="0"/>
              <w:snapToGrid w:val="0"/>
              <w:spacing w:line="360" w:lineRule="auto"/>
              <w:ind w:firstLine="482" w:firstLineChars="200"/>
              <w:rPr>
                <w:b/>
                <w:bCs/>
                <w:snapToGrid w:val="0"/>
                <w:color w:val="auto"/>
                <w:kern w:val="0"/>
                <w:sz w:val="24"/>
                <w:highlight w:val="none"/>
              </w:rPr>
            </w:pPr>
            <w:r>
              <w:rPr>
                <w:b/>
                <w:bCs/>
                <w:snapToGrid w:val="0"/>
                <w:color w:val="auto"/>
                <w:kern w:val="0"/>
                <w:sz w:val="24"/>
                <w:highlight w:val="none"/>
              </w:rPr>
              <w:t>4</w:t>
            </w:r>
            <w:r>
              <w:rPr>
                <w:rFonts w:hAnsi="宋体"/>
                <w:b/>
                <w:bCs/>
                <w:snapToGrid w:val="0"/>
                <w:color w:val="auto"/>
                <w:kern w:val="0"/>
                <w:sz w:val="24"/>
                <w:highlight w:val="none"/>
              </w:rPr>
              <w:t>、固废控制标准</w:t>
            </w:r>
          </w:p>
          <w:p w14:paraId="7DFE9211">
            <w:pPr>
              <w:tabs>
                <w:tab w:val="left" w:pos="5142"/>
              </w:tabs>
              <w:adjustRightInd w:val="0"/>
              <w:snapToGrid w:val="0"/>
              <w:spacing w:line="360" w:lineRule="auto"/>
              <w:ind w:firstLine="480" w:firstLineChars="200"/>
              <w:rPr>
                <w:snapToGrid w:val="0"/>
                <w:color w:val="auto"/>
                <w:kern w:val="0"/>
                <w:szCs w:val="21"/>
                <w:highlight w:val="none"/>
              </w:rPr>
            </w:pPr>
            <w:r>
              <w:rPr>
                <w:rFonts w:hAnsi="宋体"/>
                <w:snapToGrid w:val="0"/>
                <w:color w:val="auto"/>
                <w:kern w:val="0"/>
                <w:sz w:val="24"/>
                <w:highlight w:val="none"/>
              </w:rPr>
              <w:t>建设项目一般固废的贮存处置参照执行《一般工业固体废物贮存和填埋污染控制标准》（GB18599-2020）要求，危险废物在厂内临时贮存时应加强管理，严格执行《危险废物贮存污染控制标准》（</w:t>
            </w:r>
            <w:r>
              <w:rPr>
                <w:snapToGrid w:val="0"/>
                <w:color w:val="auto"/>
                <w:kern w:val="0"/>
                <w:sz w:val="24"/>
                <w:highlight w:val="none"/>
              </w:rPr>
              <w:t>GB18597-2001</w:t>
            </w:r>
            <w:r>
              <w:rPr>
                <w:rFonts w:hAnsi="宋体"/>
                <w:snapToGrid w:val="0"/>
                <w:color w:val="auto"/>
                <w:kern w:val="0"/>
                <w:sz w:val="24"/>
                <w:highlight w:val="none"/>
              </w:rPr>
              <w:t>）及修改单、《省生态环境厅关于进一步加强危险废物污染防治工作的实施意见》（苏环办</w:t>
            </w:r>
            <w:r>
              <w:rPr>
                <w:snapToGrid w:val="0"/>
                <w:color w:val="auto"/>
                <w:kern w:val="0"/>
                <w:sz w:val="24"/>
                <w:highlight w:val="none"/>
              </w:rPr>
              <w:t>[2019]327</w:t>
            </w:r>
            <w:r>
              <w:rPr>
                <w:rFonts w:hAnsi="宋体"/>
                <w:snapToGrid w:val="0"/>
                <w:color w:val="auto"/>
                <w:kern w:val="0"/>
                <w:sz w:val="24"/>
                <w:highlight w:val="none"/>
              </w:rPr>
              <w:t>号）中相关规定。生活垃圾处理执行《城市生活垃圾处理及污染防治技术政策》（建城</w:t>
            </w:r>
            <w:r>
              <w:rPr>
                <w:snapToGrid w:val="0"/>
                <w:color w:val="auto"/>
                <w:kern w:val="0"/>
                <w:sz w:val="24"/>
                <w:highlight w:val="none"/>
              </w:rPr>
              <w:t>[2000]120</w:t>
            </w:r>
            <w:r>
              <w:rPr>
                <w:rFonts w:hAnsi="宋体"/>
                <w:snapToGrid w:val="0"/>
                <w:color w:val="auto"/>
                <w:kern w:val="0"/>
                <w:sz w:val="24"/>
                <w:highlight w:val="none"/>
              </w:rPr>
              <w:t>号）和《生活垃圾处理技术指南》（建城</w:t>
            </w:r>
            <w:r>
              <w:rPr>
                <w:snapToGrid w:val="0"/>
                <w:color w:val="auto"/>
                <w:kern w:val="0"/>
                <w:sz w:val="24"/>
                <w:highlight w:val="none"/>
              </w:rPr>
              <w:t>[2010]61</w:t>
            </w:r>
            <w:r>
              <w:rPr>
                <w:rFonts w:hAnsi="宋体"/>
                <w:snapToGrid w:val="0"/>
                <w:color w:val="auto"/>
                <w:kern w:val="0"/>
                <w:sz w:val="24"/>
                <w:highlight w:val="none"/>
              </w:rPr>
              <w:t>号）以及国家、省市关于固体废物污染环境防治的法律法规。</w:t>
            </w:r>
          </w:p>
        </w:tc>
      </w:tr>
      <w:tr w14:paraId="48DAC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395" w:type="pct"/>
            <w:vAlign w:val="center"/>
          </w:tcPr>
          <w:p w14:paraId="5C2AB2B2">
            <w:pPr>
              <w:adjustRightInd w:val="0"/>
              <w:snapToGrid w:val="0"/>
              <w:jc w:val="center"/>
              <w:rPr>
                <w:color w:val="auto"/>
                <w:kern w:val="0"/>
                <w:sz w:val="24"/>
                <w:highlight w:val="none"/>
              </w:rPr>
            </w:pPr>
            <w:r>
              <w:rPr>
                <w:rFonts w:hAnsi="宋体"/>
                <w:color w:val="auto"/>
                <w:kern w:val="0"/>
                <w:sz w:val="24"/>
                <w:highlight w:val="none"/>
              </w:rPr>
              <w:t>总量</w:t>
            </w:r>
          </w:p>
          <w:p w14:paraId="76FCAAE3">
            <w:pPr>
              <w:adjustRightInd w:val="0"/>
              <w:snapToGrid w:val="0"/>
              <w:jc w:val="center"/>
              <w:rPr>
                <w:color w:val="auto"/>
                <w:kern w:val="0"/>
                <w:sz w:val="24"/>
                <w:highlight w:val="none"/>
              </w:rPr>
            </w:pPr>
            <w:r>
              <w:rPr>
                <w:rFonts w:hAnsi="宋体"/>
                <w:color w:val="auto"/>
                <w:kern w:val="0"/>
                <w:sz w:val="24"/>
                <w:highlight w:val="none"/>
              </w:rPr>
              <w:t>控制</w:t>
            </w:r>
          </w:p>
          <w:p w14:paraId="401DF213">
            <w:pPr>
              <w:adjustRightInd w:val="0"/>
              <w:snapToGrid w:val="0"/>
              <w:jc w:val="center"/>
              <w:rPr>
                <w:color w:val="auto"/>
                <w:kern w:val="0"/>
                <w:szCs w:val="21"/>
                <w:highlight w:val="none"/>
              </w:rPr>
            </w:pPr>
            <w:r>
              <w:rPr>
                <w:rFonts w:hAnsi="宋体"/>
                <w:color w:val="auto"/>
                <w:kern w:val="0"/>
                <w:sz w:val="24"/>
                <w:highlight w:val="none"/>
              </w:rPr>
              <w:t>指标</w:t>
            </w:r>
          </w:p>
        </w:tc>
        <w:tc>
          <w:tcPr>
            <w:tcW w:w="4604" w:type="pct"/>
            <w:vAlign w:val="center"/>
          </w:tcPr>
          <w:p w14:paraId="7749E3C4">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建设项目完成后污染物排放情况见表</w:t>
            </w:r>
            <w:r>
              <w:rPr>
                <w:snapToGrid w:val="0"/>
                <w:color w:val="auto"/>
                <w:kern w:val="0"/>
                <w:sz w:val="24"/>
                <w:highlight w:val="none"/>
              </w:rPr>
              <w:t>3-</w:t>
            </w:r>
            <w:r>
              <w:rPr>
                <w:rFonts w:hint="default"/>
                <w:snapToGrid w:val="0"/>
                <w:color w:val="auto"/>
                <w:kern w:val="0"/>
                <w:sz w:val="24"/>
                <w:highlight w:val="none"/>
              </w:rPr>
              <w:t>13</w:t>
            </w:r>
            <w:r>
              <w:rPr>
                <w:rFonts w:hAnsi="宋体"/>
                <w:snapToGrid w:val="0"/>
                <w:color w:val="auto"/>
                <w:kern w:val="0"/>
                <w:sz w:val="24"/>
                <w:highlight w:val="none"/>
              </w:rPr>
              <w:t>。</w:t>
            </w:r>
          </w:p>
          <w:p w14:paraId="57534363">
            <w:pPr>
              <w:adjustRightInd w:val="0"/>
              <w:snapToGrid w:val="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3-</w:t>
            </w:r>
            <w:r>
              <w:rPr>
                <w:rFonts w:hint="default"/>
                <w:b/>
                <w:snapToGrid w:val="0"/>
                <w:color w:val="auto"/>
                <w:kern w:val="0"/>
                <w:sz w:val="24"/>
                <w:highlight w:val="none"/>
              </w:rPr>
              <w:t>13</w:t>
            </w:r>
            <w:r>
              <w:rPr>
                <w:b/>
                <w:snapToGrid w:val="0"/>
                <w:color w:val="auto"/>
                <w:kern w:val="0"/>
                <w:sz w:val="24"/>
                <w:highlight w:val="none"/>
              </w:rPr>
              <w:t xml:space="preserve">  </w:t>
            </w:r>
            <w:r>
              <w:rPr>
                <w:rFonts w:hAnsi="宋体"/>
                <w:b/>
                <w:snapToGrid w:val="0"/>
                <w:color w:val="auto"/>
                <w:kern w:val="0"/>
                <w:sz w:val="24"/>
                <w:highlight w:val="none"/>
              </w:rPr>
              <w:t>建设项目污染物排放总量表</w:t>
            </w:r>
            <w:r>
              <w:rPr>
                <w:b/>
                <w:snapToGrid w:val="0"/>
                <w:color w:val="auto"/>
                <w:kern w:val="0"/>
                <w:sz w:val="24"/>
                <w:highlight w:val="none"/>
              </w:rPr>
              <w:t xml:space="preserve">  </w:t>
            </w:r>
            <w:r>
              <w:rPr>
                <w:rFonts w:hAnsi="宋体"/>
                <w:b/>
                <w:snapToGrid w:val="0"/>
                <w:color w:val="auto"/>
                <w:kern w:val="0"/>
                <w:sz w:val="24"/>
                <w:highlight w:val="none"/>
              </w:rPr>
              <w:t>单位：</w:t>
            </w:r>
            <w:r>
              <w:rPr>
                <w:b/>
                <w:snapToGrid w:val="0"/>
                <w:color w:val="auto"/>
                <w:kern w:val="0"/>
                <w:sz w:val="24"/>
                <w:highlight w:val="none"/>
              </w:rPr>
              <w:t>t/a</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94"/>
              <w:gridCol w:w="539"/>
              <w:gridCol w:w="1321"/>
              <w:gridCol w:w="709"/>
              <w:gridCol w:w="851"/>
              <w:gridCol w:w="740"/>
              <w:gridCol w:w="903"/>
              <w:gridCol w:w="853"/>
              <w:gridCol w:w="1045"/>
              <w:gridCol w:w="903"/>
              <w:gridCol w:w="808"/>
            </w:tblGrid>
            <w:tr w14:paraId="27A65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restart"/>
                  <w:vAlign w:val="center"/>
                </w:tcPr>
                <w:p w14:paraId="51E74A56">
                  <w:pPr>
                    <w:widowControl/>
                    <w:adjustRightInd w:val="0"/>
                    <w:snapToGrid w:val="0"/>
                    <w:jc w:val="center"/>
                    <w:textAlignment w:val="center"/>
                    <w:rPr>
                      <w:b/>
                      <w:color w:val="auto"/>
                      <w:szCs w:val="21"/>
                      <w:highlight w:val="none"/>
                    </w:rPr>
                  </w:pPr>
                  <w:r>
                    <w:rPr>
                      <w:rFonts w:hAnsi="宋体"/>
                      <w:b/>
                      <w:color w:val="auto"/>
                      <w:szCs w:val="21"/>
                      <w:highlight w:val="none"/>
                    </w:rPr>
                    <w:t>类别</w:t>
                  </w:r>
                </w:p>
              </w:tc>
              <w:tc>
                <w:tcPr>
                  <w:tcW w:w="1025" w:type="pct"/>
                  <w:gridSpan w:val="2"/>
                  <w:vMerge w:val="restart"/>
                  <w:vAlign w:val="center"/>
                </w:tcPr>
                <w:p w14:paraId="0D04892F">
                  <w:pPr>
                    <w:widowControl/>
                    <w:adjustRightInd w:val="0"/>
                    <w:snapToGrid w:val="0"/>
                    <w:jc w:val="center"/>
                    <w:textAlignment w:val="center"/>
                    <w:rPr>
                      <w:b/>
                      <w:color w:val="auto"/>
                      <w:szCs w:val="21"/>
                      <w:highlight w:val="none"/>
                    </w:rPr>
                  </w:pPr>
                  <w:r>
                    <w:rPr>
                      <w:rFonts w:hAnsi="宋体"/>
                      <w:b/>
                      <w:color w:val="auto"/>
                      <w:kern w:val="0"/>
                      <w:szCs w:val="21"/>
                      <w:highlight w:val="none"/>
                    </w:rPr>
                    <w:t>污染物名称</w:t>
                  </w:r>
                </w:p>
              </w:tc>
              <w:tc>
                <w:tcPr>
                  <w:tcW w:w="391" w:type="pct"/>
                  <w:vMerge w:val="restart"/>
                  <w:vAlign w:val="center"/>
                </w:tcPr>
                <w:p w14:paraId="5F9D21E9">
                  <w:pPr>
                    <w:widowControl/>
                    <w:adjustRightInd w:val="0"/>
                    <w:snapToGrid w:val="0"/>
                    <w:jc w:val="center"/>
                    <w:textAlignment w:val="center"/>
                    <w:rPr>
                      <w:rFonts w:hAnsi="宋体"/>
                      <w:b/>
                      <w:color w:val="auto"/>
                      <w:kern w:val="0"/>
                      <w:szCs w:val="21"/>
                      <w:highlight w:val="none"/>
                    </w:rPr>
                  </w:pPr>
                  <w:r>
                    <w:rPr>
                      <w:rFonts w:hint="eastAsia" w:hAnsi="宋体"/>
                      <w:b/>
                      <w:color w:val="auto"/>
                      <w:kern w:val="0"/>
                      <w:szCs w:val="21"/>
                      <w:highlight w:val="none"/>
                    </w:rPr>
                    <w:t>现有项目排放量</w:t>
                  </w:r>
                </w:p>
              </w:tc>
              <w:tc>
                <w:tcPr>
                  <w:tcW w:w="1375" w:type="pct"/>
                  <w:gridSpan w:val="3"/>
                  <w:vAlign w:val="center"/>
                </w:tcPr>
                <w:p w14:paraId="7CE970AD">
                  <w:pPr>
                    <w:widowControl/>
                    <w:adjustRightInd w:val="0"/>
                    <w:snapToGrid w:val="0"/>
                    <w:jc w:val="center"/>
                    <w:textAlignment w:val="center"/>
                    <w:rPr>
                      <w:b/>
                      <w:color w:val="auto"/>
                      <w:szCs w:val="21"/>
                      <w:highlight w:val="none"/>
                    </w:rPr>
                  </w:pPr>
                  <w:r>
                    <w:rPr>
                      <w:rFonts w:hint="eastAsia"/>
                      <w:b/>
                      <w:color w:val="auto"/>
                      <w:szCs w:val="21"/>
                      <w:highlight w:val="none"/>
                    </w:rPr>
                    <w:t>本项目</w:t>
                  </w:r>
                </w:p>
              </w:tc>
              <w:tc>
                <w:tcPr>
                  <w:tcW w:w="470" w:type="pct"/>
                  <w:vMerge w:val="restart"/>
                  <w:vAlign w:val="center"/>
                </w:tcPr>
                <w:p w14:paraId="17704227">
                  <w:pPr>
                    <w:widowControl/>
                    <w:adjustRightInd w:val="0"/>
                    <w:snapToGrid w:val="0"/>
                    <w:jc w:val="center"/>
                    <w:textAlignment w:val="center"/>
                    <w:rPr>
                      <w:rFonts w:hAnsi="宋体"/>
                      <w:b/>
                      <w:color w:val="auto"/>
                      <w:kern w:val="0"/>
                      <w:szCs w:val="21"/>
                      <w:highlight w:val="none"/>
                    </w:rPr>
                  </w:pPr>
                  <w:r>
                    <w:rPr>
                      <w:rFonts w:hint="eastAsia" w:hAnsi="宋体"/>
                      <w:b/>
                      <w:color w:val="auto"/>
                      <w:kern w:val="0"/>
                      <w:szCs w:val="21"/>
                      <w:highlight w:val="none"/>
                    </w:rPr>
                    <w:t>以新带老削减量</w:t>
                  </w:r>
                </w:p>
              </w:tc>
              <w:tc>
                <w:tcPr>
                  <w:tcW w:w="576" w:type="pct"/>
                  <w:vMerge w:val="restart"/>
                  <w:vAlign w:val="center"/>
                </w:tcPr>
                <w:p w14:paraId="655215A2">
                  <w:pPr>
                    <w:widowControl/>
                    <w:adjustRightInd w:val="0"/>
                    <w:snapToGrid w:val="0"/>
                    <w:jc w:val="center"/>
                    <w:textAlignment w:val="center"/>
                    <w:rPr>
                      <w:b/>
                      <w:color w:val="auto"/>
                      <w:szCs w:val="21"/>
                      <w:highlight w:val="none"/>
                    </w:rPr>
                  </w:pPr>
                  <w:r>
                    <w:rPr>
                      <w:b/>
                      <w:color w:val="auto"/>
                      <w:szCs w:val="21"/>
                      <w:highlight w:val="none"/>
                    </w:rPr>
                    <w:t>建议全厂申请总量</w:t>
                  </w:r>
                </w:p>
              </w:tc>
              <w:tc>
                <w:tcPr>
                  <w:tcW w:w="498" w:type="pct"/>
                  <w:vMerge w:val="restart"/>
                  <w:vAlign w:val="center"/>
                </w:tcPr>
                <w:p w14:paraId="79530828">
                  <w:pPr>
                    <w:widowControl/>
                    <w:adjustRightInd w:val="0"/>
                    <w:snapToGrid w:val="0"/>
                    <w:jc w:val="center"/>
                    <w:textAlignment w:val="center"/>
                    <w:rPr>
                      <w:rFonts w:hAnsi="宋体"/>
                      <w:b/>
                      <w:color w:val="auto"/>
                      <w:kern w:val="0"/>
                      <w:szCs w:val="21"/>
                      <w:highlight w:val="none"/>
                    </w:rPr>
                  </w:pPr>
                  <w:r>
                    <w:rPr>
                      <w:rFonts w:hint="eastAsia" w:hAnsi="宋体"/>
                      <w:b/>
                      <w:color w:val="auto"/>
                      <w:kern w:val="0"/>
                      <w:szCs w:val="21"/>
                      <w:highlight w:val="none"/>
                    </w:rPr>
                    <w:t>排放增减量</w:t>
                  </w:r>
                </w:p>
              </w:tc>
              <w:tc>
                <w:tcPr>
                  <w:tcW w:w="445" w:type="pct"/>
                  <w:vMerge w:val="restart"/>
                  <w:vAlign w:val="center"/>
                </w:tcPr>
                <w:p w14:paraId="7147EE09">
                  <w:pPr>
                    <w:widowControl/>
                    <w:adjustRightInd w:val="0"/>
                    <w:snapToGrid w:val="0"/>
                    <w:jc w:val="center"/>
                    <w:textAlignment w:val="center"/>
                    <w:rPr>
                      <w:rFonts w:hAnsi="宋体"/>
                      <w:b/>
                      <w:color w:val="auto"/>
                      <w:kern w:val="0"/>
                      <w:szCs w:val="21"/>
                      <w:highlight w:val="none"/>
                    </w:rPr>
                  </w:pPr>
                  <w:r>
                    <w:rPr>
                      <w:rFonts w:hint="eastAsia" w:hAnsi="宋体"/>
                      <w:b/>
                      <w:color w:val="auto"/>
                      <w:kern w:val="0"/>
                      <w:szCs w:val="21"/>
                      <w:highlight w:val="none"/>
                    </w:rPr>
                    <w:t>建议废水最终排放量</w:t>
                  </w:r>
                </w:p>
              </w:tc>
            </w:tr>
            <w:tr w14:paraId="35329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5DB0FC89">
                  <w:pPr>
                    <w:widowControl/>
                    <w:adjustRightInd w:val="0"/>
                    <w:snapToGrid w:val="0"/>
                    <w:jc w:val="center"/>
                    <w:textAlignment w:val="center"/>
                    <w:rPr>
                      <w:rFonts w:hAnsi="宋体"/>
                      <w:b/>
                      <w:color w:val="auto"/>
                      <w:szCs w:val="21"/>
                      <w:highlight w:val="none"/>
                    </w:rPr>
                  </w:pPr>
                </w:p>
              </w:tc>
              <w:tc>
                <w:tcPr>
                  <w:tcW w:w="1025" w:type="pct"/>
                  <w:gridSpan w:val="2"/>
                  <w:vMerge w:val="continue"/>
                  <w:vAlign w:val="center"/>
                </w:tcPr>
                <w:p w14:paraId="3E8CE007">
                  <w:pPr>
                    <w:widowControl/>
                    <w:adjustRightInd w:val="0"/>
                    <w:snapToGrid w:val="0"/>
                    <w:jc w:val="center"/>
                    <w:textAlignment w:val="center"/>
                    <w:rPr>
                      <w:rFonts w:hAnsi="宋体"/>
                      <w:b/>
                      <w:color w:val="auto"/>
                      <w:kern w:val="0"/>
                      <w:szCs w:val="21"/>
                      <w:highlight w:val="none"/>
                    </w:rPr>
                  </w:pPr>
                </w:p>
              </w:tc>
              <w:tc>
                <w:tcPr>
                  <w:tcW w:w="391" w:type="pct"/>
                  <w:vMerge w:val="continue"/>
                  <w:vAlign w:val="center"/>
                </w:tcPr>
                <w:p w14:paraId="0C50DF89">
                  <w:pPr>
                    <w:widowControl/>
                    <w:adjustRightInd w:val="0"/>
                    <w:snapToGrid w:val="0"/>
                    <w:jc w:val="center"/>
                    <w:textAlignment w:val="center"/>
                    <w:rPr>
                      <w:rFonts w:hAnsi="宋体"/>
                      <w:b/>
                      <w:color w:val="auto"/>
                      <w:kern w:val="0"/>
                      <w:szCs w:val="21"/>
                      <w:highlight w:val="none"/>
                    </w:rPr>
                  </w:pPr>
                </w:p>
              </w:tc>
              <w:tc>
                <w:tcPr>
                  <w:tcW w:w="469" w:type="pct"/>
                  <w:vAlign w:val="center"/>
                </w:tcPr>
                <w:p w14:paraId="1D9C14FE">
                  <w:pPr>
                    <w:widowControl/>
                    <w:adjustRightInd w:val="0"/>
                    <w:snapToGrid w:val="0"/>
                    <w:jc w:val="center"/>
                    <w:textAlignment w:val="center"/>
                    <w:rPr>
                      <w:b/>
                      <w:color w:val="auto"/>
                      <w:szCs w:val="21"/>
                      <w:highlight w:val="none"/>
                    </w:rPr>
                  </w:pPr>
                  <w:r>
                    <w:rPr>
                      <w:rFonts w:hAnsi="宋体"/>
                      <w:b/>
                      <w:color w:val="auto"/>
                      <w:kern w:val="0"/>
                      <w:szCs w:val="21"/>
                      <w:highlight w:val="none"/>
                    </w:rPr>
                    <w:t>产生量</w:t>
                  </w:r>
                </w:p>
              </w:tc>
              <w:tc>
                <w:tcPr>
                  <w:tcW w:w="408" w:type="pct"/>
                  <w:vAlign w:val="center"/>
                </w:tcPr>
                <w:p w14:paraId="0225021F">
                  <w:pPr>
                    <w:widowControl/>
                    <w:adjustRightInd w:val="0"/>
                    <w:snapToGrid w:val="0"/>
                    <w:jc w:val="center"/>
                    <w:textAlignment w:val="center"/>
                    <w:rPr>
                      <w:b/>
                      <w:color w:val="auto"/>
                      <w:szCs w:val="21"/>
                      <w:highlight w:val="none"/>
                    </w:rPr>
                  </w:pPr>
                  <w:r>
                    <w:rPr>
                      <w:rFonts w:hAnsi="宋体"/>
                      <w:b/>
                      <w:color w:val="auto"/>
                      <w:kern w:val="0"/>
                      <w:szCs w:val="21"/>
                      <w:highlight w:val="none"/>
                    </w:rPr>
                    <w:t>削减量</w:t>
                  </w:r>
                </w:p>
              </w:tc>
              <w:tc>
                <w:tcPr>
                  <w:tcW w:w="498" w:type="pct"/>
                  <w:vAlign w:val="center"/>
                </w:tcPr>
                <w:p w14:paraId="58620C44">
                  <w:pPr>
                    <w:widowControl/>
                    <w:adjustRightInd w:val="0"/>
                    <w:snapToGrid w:val="0"/>
                    <w:jc w:val="center"/>
                    <w:textAlignment w:val="center"/>
                    <w:rPr>
                      <w:b/>
                      <w:color w:val="auto"/>
                      <w:szCs w:val="21"/>
                      <w:highlight w:val="none"/>
                    </w:rPr>
                  </w:pPr>
                  <w:r>
                    <w:rPr>
                      <w:rFonts w:hAnsi="宋体"/>
                      <w:b/>
                      <w:color w:val="auto"/>
                      <w:kern w:val="0"/>
                      <w:szCs w:val="21"/>
                      <w:highlight w:val="none"/>
                    </w:rPr>
                    <w:t>排放（接管）量</w:t>
                  </w:r>
                </w:p>
              </w:tc>
              <w:tc>
                <w:tcPr>
                  <w:tcW w:w="470" w:type="pct"/>
                  <w:vMerge w:val="continue"/>
                  <w:vAlign w:val="center"/>
                </w:tcPr>
                <w:p w14:paraId="105C7679">
                  <w:pPr>
                    <w:widowControl/>
                    <w:adjustRightInd w:val="0"/>
                    <w:snapToGrid w:val="0"/>
                    <w:jc w:val="center"/>
                    <w:textAlignment w:val="center"/>
                    <w:rPr>
                      <w:rFonts w:hAnsi="宋体"/>
                      <w:b/>
                      <w:color w:val="auto"/>
                      <w:kern w:val="0"/>
                      <w:szCs w:val="21"/>
                      <w:highlight w:val="none"/>
                    </w:rPr>
                  </w:pPr>
                </w:p>
              </w:tc>
              <w:tc>
                <w:tcPr>
                  <w:tcW w:w="576" w:type="pct"/>
                  <w:vMerge w:val="continue"/>
                  <w:vAlign w:val="center"/>
                </w:tcPr>
                <w:p w14:paraId="289EEDBC">
                  <w:pPr>
                    <w:widowControl/>
                    <w:adjustRightInd w:val="0"/>
                    <w:snapToGrid w:val="0"/>
                    <w:jc w:val="center"/>
                    <w:textAlignment w:val="center"/>
                    <w:rPr>
                      <w:rFonts w:hAnsi="宋体"/>
                      <w:b/>
                      <w:color w:val="auto"/>
                      <w:kern w:val="0"/>
                      <w:szCs w:val="21"/>
                      <w:highlight w:val="none"/>
                    </w:rPr>
                  </w:pPr>
                </w:p>
              </w:tc>
              <w:tc>
                <w:tcPr>
                  <w:tcW w:w="498" w:type="pct"/>
                  <w:vMerge w:val="continue"/>
                  <w:vAlign w:val="center"/>
                </w:tcPr>
                <w:p w14:paraId="0155D263">
                  <w:pPr>
                    <w:widowControl/>
                    <w:adjustRightInd w:val="0"/>
                    <w:snapToGrid w:val="0"/>
                    <w:jc w:val="center"/>
                    <w:textAlignment w:val="center"/>
                    <w:rPr>
                      <w:rFonts w:hAnsi="宋体"/>
                      <w:b/>
                      <w:color w:val="auto"/>
                      <w:kern w:val="0"/>
                      <w:szCs w:val="21"/>
                      <w:highlight w:val="none"/>
                    </w:rPr>
                  </w:pPr>
                </w:p>
              </w:tc>
              <w:tc>
                <w:tcPr>
                  <w:tcW w:w="445" w:type="pct"/>
                  <w:vMerge w:val="continue"/>
                  <w:vAlign w:val="center"/>
                </w:tcPr>
                <w:p w14:paraId="6E4DD967">
                  <w:pPr>
                    <w:widowControl/>
                    <w:adjustRightInd w:val="0"/>
                    <w:snapToGrid w:val="0"/>
                    <w:jc w:val="center"/>
                    <w:textAlignment w:val="center"/>
                    <w:rPr>
                      <w:rFonts w:hAnsi="宋体"/>
                      <w:b/>
                      <w:color w:val="auto"/>
                      <w:kern w:val="0"/>
                      <w:szCs w:val="21"/>
                      <w:highlight w:val="none"/>
                    </w:rPr>
                  </w:pPr>
                </w:p>
              </w:tc>
            </w:tr>
            <w:tr w14:paraId="78466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restart"/>
                  <w:vAlign w:val="center"/>
                </w:tcPr>
                <w:p w14:paraId="2C5E49C7">
                  <w:pPr>
                    <w:widowControl/>
                    <w:adjustRightInd w:val="0"/>
                    <w:snapToGrid w:val="0"/>
                    <w:jc w:val="center"/>
                    <w:textAlignment w:val="center"/>
                    <w:rPr>
                      <w:color w:val="auto"/>
                      <w:szCs w:val="21"/>
                      <w:highlight w:val="none"/>
                    </w:rPr>
                  </w:pPr>
                  <w:r>
                    <w:rPr>
                      <w:rFonts w:hAnsi="宋体"/>
                      <w:color w:val="auto"/>
                      <w:kern w:val="0"/>
                      <w:szCs w:val="21"/>
                      <w:highlight w:val="none"/>
                    </w:rPr>
                    <w:t>废气</w:t>
                  </w:r>
                </w:p>
              </w:tc>
              <w:tc>
                <w:tcPr>
                  <w:tcW w:w="297" w:type="pct"/>
                  <w:vMerge w:val="restart"/>
                  <w:vAlign w:val="center"/>
                </w:tcPr>
                <w:p w14:paraId="4BB0D935">
                  <w:pPr>
                    <w:widowControl/>
                    <w:adjustRightInd w:val="0"/>
                    <w:snapToGrid w:val="0"/>
                    <w:jc w:val="center"/>
                    <w:textAlignment w:val="center"/>
                    <w:rPr>
                      <w:color w:val="auto"/>
                      <w:szCs w:val="21"/>
                      <w:highlight w:val="none"/>
                    </w:rPr>
                  </w:pPr>
                  <w:r>
                    <w:rPr>
                      <w:rFonts w:hAnsi="宋体"/>
                      <w:color w:val="auto"/>
                      <w:kern w:val="0"/>
                      <w:szCs w:val="21"/>
                      <w:highlight w:val="none"/>
                    </w:rPr>
                    <w:t>有组织</w:t>
                  </w:r>
                </w:p>
              </w:tc>
              <w:tc>
                <w:tcPr>
                  <w:tcW w:w="728" w:type="pct"/>
                  <w:vAlign w:val="center"/>
                </w:tcPr>
                <w:p w14:paraId="0C919C92">
                  <w:pPr>
                    <w:adjustRightInd w:val="0"/>
                    <w:snapToGrid w:val="0"/>
                    <w:jc w:val="center"/>
                    <w:rPr>
                      <w:color w:val="auto"/>
                      <w:szCs w:val="21"/>
                      <w:highlight w:val="none"/>
                      <w:lang w:eastAsia="zh-Hans"/>
                    </w:rPr>
                  </w:pPr>
                  <w:r>
                    <w:rPr>
                      <w:rFonts w:hint="eastAsia" w:hAnsi="宋体"/>
                      <w:color w:val="auto"/>
                      <w:kern w:val="0"/>
                      <w:szCs w:val="21"/>
                      <w:highlight w:val="none"/>
                      <w:lang w:eastAsia="zh-Hans"/>
                    </w:rPr>
                    <w:t>二甲苯</w:t>
                  </w:r>
                </w:p>
              </w:tc>
              <w:tc>
                <w:tcPr>
                  <w:tcW w:w="391" w:type="pct"/>
                  <w:vAlign w:val="center"/>
                </w:tcPr>
                <w:p w14:paraId="5DD2D30D">
                  <w:pPr>
                    <w:adjustRightInd w:val="0"/>
                    <w:snapToGrid w:val="0"/>
                    <w:jc w:val="center"/>
                    <w:rPr>
                      <w:color w:val="auto"/>
                      <w:szCs w:val="21"/>
                      <w:highlight w:val="none"/>
                    </w:rPr>
                  </w:pPr>
                  <w:r>
                    <w:rPr>
                      <w:color w:val="auto"/>
                      <w:szCs w:val="21"/>
                      <w:highlight w:val="none"/>
                    </w:rPr>
                    <w:t>0</w:t>
                  </w:r>
                </w:p>
              </w:tc>
              <w:tc>
                <w:tcPr>
                  <w:tcW w:w="469" w:type="pct"/>
                  <w:vAlign w:val="center"/>
                </w:tcPr>
                <w:p w14:paraId="41226BC2">
                  <w:pPr>
                    <w:adjustRightInd w:val="0"/>
                    <w:snapToGrid w:val="0"/>
                    <w:jc w:val="center"/>
                    <w:rPr>
                      <w:color w:val="auto"/>
                      <w:szCs w:val="21"/>
                      <w:highlight w:val="none"/>
                    </w:rPr>
                  </w:pPr>
                  <w:r>
                    <w:rPr>
                      <w:color w:val="auto"/>
                      <w:szCs w:val="21"/>
                      <w:highlight w:val="none"/>
                    </w:rPr>
                    <w:t>0.0035</w:t>
                  </w:r>
                </w:p>
              </w:tc>
              <w:tc>
                <w:tcPr>
                  <w:tcW w:w="408" w:type="pct"/>
                  <w:vAlign w:val="center"/>
                </w:tcPr>
                <w:p w14:paraId="4012ED7A">
                  <w:pPr>
                    <w:widowControl/>
                    <w:adjustRightInd w:val="0"/>
                    <w:snapToGrid w:val="0"/>
                    <w:jc w:val="center"/>
                    <w:textAlignment w:val="center"/>
                    <w:rPr>
                      <w:color w:val="auto"/>
                      <w:szCs w:val="21"/>
                      <w:highlight w:val="none"/>
                    </w:rPr>
                  </w:pPr>
                  <w:r>
                    <w:rPr>
                      <w:color w:val="auto"/>
                      <w:szCs w:val="21"/>
                      <w:highlight w:val="none"/>
                    </w:rPr>
                    <w:t>0.0034</w:t>
                  </w:r>
                </w:p>
              </w:tc>
              <w:tc>
                <w:tcPr>
                  <w:tcW w:w="498" w:type="pct"/>
                  <w:vAlign w:val="center"/>
                </w:tcPr>
                <w:p w14:paraId="291877F4">
                  <w:pPr>
                    <w:adjustRightInd w:val="0"/>
                    <w:snapToGrid w:val="0"/>
                    <w:jc w:val="center"/>
                    <w:rPr>
                      <w:color w:val="auto"/>
                      <w:szCs w:val="21"/>
                      <w:highlight w:val="none"/>
                    </w:rPr>
                  </w:pPr>
                  <w:r>
                    <w:rPr>
                      <w:color w:val="auto"/>
                      <w:szCs w:val="21"/>
                      <w:highlight w:val="none"/>
                    </w:rPr>
                    <w:t>0.0002</w:t>
                  </w:r>
                </w:p>
              </w:tc>
              <w:tc>
                <w:tcPr>
                  <w:tcW w:w="470" w:type="pct"/>
                  <w:vAlign w:val="center"/>
                </w:tcPr>
                <w:p w14:paraId="7D3EFA6F">
                  <w:pPr>
                    <w:adjustRightInd w:val="0"/>
                    <w:snapToGrid w:val="0"/>
                    <w:jc w:val="center"/>
                    <w:rPr>
                      <w:color w:val="auto"/>
                      <w:szCs w:val="21"/>
                      <w:highlight w:val="none"/>
                    </w:rPr>
                  </w:pPr>
                  <w:r>
                    <w:rPr>
                      <w:color w:val="auto"/>
                      <w:szCs w:val="21"/>
                      <w:highlight w:val="none"/>
                    </w:rPr>
                    <w:t>0</w:t>
                  </w:r>
                </w:p>
              </w:tc>
              <w:tc>
                <w:tcPr>
                  <w:tcW w:w="576" w:type="pct"/>
                  <w:vAlign w:val="center"/>
                </w:tcPr>
                <w:p w14:paraId="05F34C8D">
                  <w:pPr>
                    <w:adjustRightInd w:val="0"/>
                    <w:snapToGrid w:val="0"/>
                    <w:jc w:val="center"/>
                    <w:rPr>
                      <w:color w:val="auto"/>
                      <w:szCs w:val="21"/>
                      <w:highlight w:val="none"/>
                    </w:rPr>
                  </w:pPr>
                  <w:r>
                    <w:rPr>
                      <w:color w:val="auto"/>
                      <w:szCs w:val="21"/>
                      <w:highlight w:val="none"/>
                    </w:rPr>
                    <w:t>0.0002</w:t>
                  </w:r>
                </w:p>
              </w:tc>
              <w:tc>
                <w:tcPr>
                  <w:tcW w:w="498" w:type="pct"/>
                  <w:vAlign w:val="center"/>
                </w:tcPr>
                <w:p w14:paraId="7CD8BF69">
                  <w:pPr>
                    <w:adjustRightInd w:val="0"/>
                    <w:snapToGrid w:val="0"/>
                    <w:jc w:val="center"/>
                    <w:rPr>
                      <w:color w:val="auto"/>
                      <w:szCs w:val="21"/>
                      <w:highlight w:val="none"/>
                    </w:rPr>
                  </w:pPr>
                  <w:r>
                    <w:rPr>
                      <w:color w:val="auto"/>
                      <w:szCs w:val="21"/>
                      <w:highlight w:val="none"/>
                    </w:rPr>
                    <w:t>+0.0002</w:t>
                  </w:r>
                </w:p>
              </w:tc>
              <w:tc>
                <w:tcPr>
                  <w:tcW w:w="445" w:type="pct"/>
                  <w:vAlign w:val="center"/>
                </w:tcPr>
                <w:p w14:paraId="2C668AF3">
                  <w:pPr>
                    <w:adjustRightInd w:val="0"/>
                    <w:snapToGrid w:val="0"/>
                    <w:jc w:val="center"/>
                    <w:rPr>
                      <w:color w:val="auto"/>
                      <w:szCs w:val="21"/>
                      <w:highlight w:val="none"/>
                    </w:rPr>
                  </w:pPr>
                  <w:r>
                    <w:rPr>
                      <w:color w:val="auto"/>
                      <w:szCs w:val="21"/>
                      <w:highlight w:val="none"/>
                    </w:rPr>
                    <w:t>/</w:t>
                  </w:r>
                </w:p>
              </w:tc>
            </w:tr>
            <w:tr w14:paraId="6AA7D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6FEFE663">
                  <w:pPr>
                    <w:widowControl/>
                    <w:adjustRightInd w:val="0"/>
                    <w:snapToGrid w:val="0"/>
                    <w:jc w:val="center"/>
                    <w:textAlignment w:val="center"/>
                    <w:rPr>
                      <w:rFonts w:hAnsi="宋体"/>
                      <w:color w:val="auto"/>
                      <w:kern w:val="0"/>
                      <w:szCs w:val="21"/>
                      <w:highlight w:val="none"/>
                    </w:rPr>
                  </w:pPr>
                </w:p>
              </w:tc>
              <w:tc>
                <w:tcPr>
                  <w:tcW w:w="297" w:type="pct"/>
                  <w:vMerge w:val="continue"/>
                  <w:vAlign w:val="center"/>
                </w:tcPr>
                <w:p w14:paraId="60529119">
                  <w:pPr>
                    <w:widowControl/>
                    <w:adjustRightInd w:val="0"/>
                    <w:snapToGrid w:val="0"/>
                    <w:jc w:val="center"/>
                    <w:textAlignment w:val="center"/>
                    <w:rPr>
                      <w:rFonts w:hAnsi="宋体"/>
                      <w:color w:val="auto"/>
                      <w:kern w:val="0"/>
                      <w:szCs w:val="21"/>
                      <w:highlight w:val="none"/>
                    </w:rPr>
                  </w:pPr>
                </w:p>
              </w:tc>
              <w:tc>
                <w:tcPr>
                  <w:tcW w:w="728" w:type="pct"/>
                  <w:vAlign w:val="center"/>
                </w:tcPr>
                <w:p w14:paraId="3859537B">
                  <w:pPr>
                    <w:adjustRightInd w:val="0"/>
                    <w:snapToGrid w:val="0"/>
                    <w:jc w:val="center"/>
                    <w:rPr>
                      <w:color w:val="auto"/>
                      <w:szCs w:val="21"/>
                      <w:highlight w:val="none"/>
                      <w:lang w:eastAsia="zh-Hans"/>
                    </w:rPr>
                  </w:pPr>
                  <w:r>
                    <w:rPr>
                      <w:rFonts w:hint="eastAsia" w:hAnsi="宋体"/>
                      <w:color w:val="auto"/>
                      <w:kern w:val="0"/>
                      <w:szCs w:val="21"/>
                      <w:highlight w:val="none"/>
                      <w:lang w:eastAsia="zh-Hans"/>
                    </w:rPr>
                    <w:t>VOCs（含二甲苯）</w:t>
                  </w:r>
                </w:p>
              </w:tc>
              <w:tc>
                <w:tcPr>
                  <w:tcW w:w="391" w:type="pct"/>
                  <w:vAlign w:val="center"/>
                </w:tcPr>
                <w:p w14:paraId="6EA5769E">
                  <w:pPr>
                    <w:adjustRightInd w:val="0"/>
                    <w:snapToGrid w:val="0"/>
                    <w:jc w:val="center"/>
                    <w:rPr>
                      <w:color w:val="auto"/>
                      <w:szCs w:val="21"/>
                      <w:highlight w:val="none"/>
                    </w:rPr>
                  </w:pPr>
                  <w:r>
                    <w:rPr>
                      <w:rFonts w:hint="eastAsia"/>
                      <w:color w:val="auto"/>
                      <w:szCs w:val="21"/>
                      <w:highlight w:val="none"/>
                    </w:rPr>
                    <w:t>0.015</w:t>
                  </w:r>
                </w:p>
              </w:tc>
              <w:tc>
                <w:tcPr>
                  <w:tcW w:w="469" w:type="pct"/>
                  <w:vAlign w:val="center"/>
                </w:tcPr>
                <w:p w14:paraId="6E991D94">
                  <w:pPr>
                    <w:adjustRightInd w:val="0"/>
                    <w:snapToGrid w:val="0"/>
                    <w:jc w:val="center"/>
                    <w:rPr>
                      <w:color w:val="auto"/>
                      <w:szCs w:val="21"/>
                      <w:highlight w:val="none"/>
                    </w:rPr>
                  </w:pPr>
                  <w:r>
                    <w:rPr>
                      <w:rFonts w:hint="eastAsia"/>
                      <w:color w:val="auto"/>
                      <w:szCs w:val="21"/>
                      <w:highlight w:val="none"/>
                    </w:rPr>
                    <w:t>0.</w:t>
                  </w:r>
                  <w:r>
                    <w:rPr>
                      <w:rFonts w:hint="default"/>
                      <w:color w:val="auto"/>
                      <w:szCs w:val="21"/>
                      <w:highlight w:val="none"/>
                    </w:rPr>
                    <w:t>3764</w:t>
                  </w:r>
                </w:p>
              </w:tc>
              <w:tc>
                <w:tcPr>
                  <w:tcW w:w="408" w:type="pct"/>
                  <w:vAlign w:val="center"/>
                </w:tcPr>
                <w:p w14:paraId="11D5EBCC">
                  <w:pPr>
                    <w:widowControl/>
                    <w:adjustRightInd w:val="0"/>
                    <w:snapToGrid w:val="0"/>
                    <w:jc w:val="center"/>
                    <w:textAlignment w:val="center"/>
                    <w:rPr>
                      <w:color w:val="auto"/>
                      <w:szCs w:val="21"/>
                      <w:highlight w:val="none"/>
                    </w:rPr>
                  </w:pPr>
                  <w:r>
                    <w:rPr>
                      <w:rFonts w:hint="default"/>
                      <w:color w:val="auto"/>
                      <w:szCs w:val="21"/>
                      <w:highlight w:val="none"/>
                    </w:rPr>
                    <w:t>0.3388</w:t>
                  </w:r>
                </w:p>
              </w:tc>
              <w:tc>
                <w:tcPr>
                  <w:tcW w:w="498" w:type="pct"/>
                  <w:vAlign w:val="center"/>
                </w:tcPr>
                <w:p w14:paraId="67B2638A">
                  <w:pPr>
                    <w:adjustRightInd w:val="0"/>
                    <w:snapToGrid w:val="0"/>
                    <w:jc w:val="center"/>
                    <w:rPr>
                      <w:color w:val="auto"/>
                      <w:szCs w:val="21"/>
                      <w:highlight w:val="none"/>
                    </w:rPr>
                  </w:pPr>
                  <w:r>
                    <w:rPr>
                      <w:rFonts w:hint="eastAsia"/>
                      <w:color w:val="auto"/>
                      <w:szCs w:val="21"/>
                      <w:highlight w:val="none"/>
                    </w:rPr>
                    <w:t>0.0</w:t>
                  </w:r>
                  <w:r>
                    <w:rPr>
                      <w:rFonts w:hint="default"/>
                      <w:color w:val="auto"/>
                      <w:szCs w:val="21"/>
                      <w:highlight w:val="none"/>
                    </w:rPr>
                    <w:t>263</w:t>
                  </w:r>
                </w:p>
              </w:tc>
              <w:tc>
                <w:tcPr>
                  <w:tcW w:w="470" w:type="pct"/>
                  <w:vAlign w:val="center"/>
                </w:tcPr>
                <w:p w14:paraId="046E6ACB">
                  <w:pPr>
                    <w:adjustRightInd w:val="0"/>
                    <w:snapToGrid w:val="0"/>
                    <w:jc w:val="center"/>
                    <w:rPr>
                      <w:color w:val="auto"/>
                      <w:szCs w:val="21"/>
                      <w:highlight w:val="none"/>
                    </w:rPr>
                  </w:pPr>
                  <w:r>
                    <w:rPr>
                      <w:rFonts w:hint="default"/>
                      <w:color w:val="auto"/>
                      <w:szCs w:val="21"/>
                      <w:highlight w:val="none"/>
                    </w:rPr>
                    <w:t>0.0045</w:t>
                  </w:r>
                </w:p>
              </w:tc>
              <w:tc>
                <w:tcPr>
                  <w:tcW w:w="576" w:type="pct"/>
                  <w:vAlign w:val="center"/>
                </w:tcPr>
                <w:p w14:paraId="384841E4">
                  <w:pPr>
                    <w:adjustRightInd w:val="0"/>
                    <w:snapToGrid w:val="0"/>
                    <w:jc w:val="center"/>
                    <w:rPr>
                      <w:color w:val="auto"/>
                      <w:szCs w:val="21"/>
                      <w:highlight w:val="none"/>
                    </w:rPr>
                  </w:pPr>
                  <w:r>
                    <w:rPr>
                      <w:rFonts w:hint="eastAsia"/>
                      <w:color w:val="auto"/>
                      <w:szCs w:val="21"/>
                      <w:highlight w:val="none"/>
                    </w:rPr>
                    <w:t>0.0</w:t>
                  </w:r>
                  <w:r>
                    <w:rPr>
                      <w:rFonts w:hint="default"/>
                      <w:color w:val="auto"/>
                      <w:szCs w:val="21"/>
                      <w:highlight w:val="none"/>
                    </w:rPr>
                    <w:t>368</w:t>
                  </w:r>
                </w:p>
              </w:tc>
              <w:tc>
                <w:tcPr>
                  <w:tcW w:w="498" w:type="pct"/>
                  <w:vAlign w:val="center"/>
                </w:tcPr>
                <w:p w14:paraId="125E833B">
                  <w:pPr>
                    <w:adjustRightInd w:val="0"/>
                    <w:snapToGrid w:val="0"/>
                    <w:jc w:val="center"/>
                    <w:rPr>
                      <w:color w:val="auto"/>
                      <w:szCs w:val="21"/>
                      <w:highlight w:val="none"/>
                    </w:rPr>
                  </w:pPr>
                  <w:r>
                    <w:rPr>
                      <w:rFonts w:hint="eastAsia"/>
                      <w:color w:val="auto"/>
                      <w:szCs w:val="21"/>
                      <w:highlight w:val="none"/>
                    </w:rPr>
                    <w:t>+0.0</w:t>
                  </w:r>
                  <w:r>
                    <w:rPr>
                      <w:rFonts w:hint="default"/>
                      <w:color w:val="auto"/>
                      <w:szCs w:val="21"/>
                      <w:highlight w:val="none"/>
                    </w:rPr>
                    <w:t>218</w:t>
                  </w:r>
                </w:p>
              </w:tc>
              <w:tc>
                <w:tcPr>
                  <w:tcW w:w="445" w:type="pct"/>
                  <w:vAlign w:val="center"/>
                </w:tcPr>
                <w:p w14:paraId="5C6CAFAE">
                  <w:pPr>
                    <w:adjustRightInd w:val="0"/>
                    <w:snapToGrid w:val="0"/>
                    <w:jc w:val="center"/>
                    <w:rPr>
                      <w:color w:val="auto"/>
                      <w:szCs w:val="21"/>
                      <w:highlight w:val="none"/>
                    </w:rPr>
                  </w:pPr>
                  <w:r>
                    <w:rPr>
                      <w:rFonts w:hint="eastAsia"/>
                      <w:color w:val="auto"/>
                      <w:szCs w:val="21"/>
                      <w:highlight w:val="none"/>
                    </w:rPr>
                    <w:t>/</w:t>
                  </w:r>
                </w:p>
              </w:tc>
            </w:tr>
            <w:tr w14:paraId="7ADFF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515DBE88">
                  <w:pPr>
                    <w:widowControl/>
                    <w:adjustRightInd w:val="0"/>
                    <w:snapToGrid w:val="0"/>
                    <w:jc w:val="center"/>
                    <w:textAlignment w:val="center"/>
                    <w:rPr>
                      <w:rFonts w:hAnsi="宋体"/>
                      <w:color w:val="auto"/>
                      <w:kern w:val="0"/>
                      <w:szCs w:val="21"/>
                      <w:highlight w:val="none"/>
                    </w:rPr>
                  </w:pPr>
                </w:p>
              </w:tc>
              <w:tc>
                <w:tcPr>
                  <w:tcW w:w="297" w:type="pct"/>
                  <w:vMerge w:val="continue"/>
                  <w:vAlign w:val="center"/>
                </w:tcPr>
                <w:p w14:paraId="226A9F19">
                  <w:pPr>
                    <w:widowControl/>
                    <w:adjustRightInd w:val="0"/>
                    <w:snapToGrid w:val="0"/>
                    <w:jc w:val="center"/>
                    <w:textAlignment w:val="center"/>
                    <w:rPr>
                      <w:rFonts w:hAnsi="宋体"/>
                      <w:color w:val="auto"/>
                      <w:kern w:val="0"/>
                      <w:szCs w:val="21"/>
                      <w:highlight w:val="none"/>
                    </w:rPr>
                  </w:pPr>
                </w:p>
              </w:tc>
              <w:tc>
                <w:tcPr>
                  <w:tcW w:w="728" w:type="pct"/>
                  <w:vAlign w:val="center"/>
                </w:tcPr>
                <w:p w14:paraId="2E363E79">
                  <w:pPr>
                    <w:adjustRightInd w:val="0"/>
                    <w:snapToGrid w:val="0"/>
                    <w:jc w:val="center"/>
                    <w:rPr>
                      <w:rFonts w:hAnsi="宋体"/>
                      <w:color w:val="auto"/>
                      <w:kern w:val="0"/>
                      <w:szCs w:val="21"/>
                      <w:highlight w:val="none"/>
                    </w:rPr>
                  </w:pPr>
                  <w:r>
                    <w:rPr>
                      <w:rFonts w:hint="eastAsia" w:hAnsi="宋体"/>
                      <w:color w:val="auto"/>
                      <w:kern w:val="0"/>
                      <w:szCs w:val="21"/>
                      <w:highlight w:val="none"/>
                    </w:rPr>
                    <w:t>颗粒物</w:t>
                  </w:r>
                </w:p>
              </w:tc>
              <w:tc>
                <w:tcPr>
                  <w:tcW w:w="391" w:type="pct"/>
                  <w:vAlign w:val="center"/>
                </w:tcPr>
                <w:p w14:paraId="22747337">
                  <w:pPr>
                    <w:adjustRightInd w:val="0"/>
                    <w:snapToGrid w:val="0"/>
                    <w:jc w:val="center"/>
                    <w:rPr>
                      <w:color w:val="auto"/>
                      <w:szCs w:val="21"/>
                      <w:highlight w:val="none"/>
                    </w:rPr>
                  </w:pPr>
                  <w:r>
                    <w:rPr>
                      <w:rFonts w:hint="eastAsia"/>
                      <w:color w:val="auto"/>
                      <w:szCs w:val="21"/>
                      <w:highlight w:val="none"/>
                    </w:rPr>
                    <w:t>0</w:t>
                  </w:r>
                </w:p>
              </w:tc>
              <w:tc>
                <w:tcPr>
                  <w:tcW w:w="469" w:type="pct"/>
                  <w:vAlign w:val="center"/>
                </w:tcPr>
                <w:p w14:paraId="19A801A1">
                  <w:pPr>
                    <w:adjustRightInd w:val="0"/>
                    <w:snapToGrid w:val="0"/>
                    <w:jc w:val="center"/>
                    <w:rPr>
                      <w:color w:val="auto"/>
                      <w:szCs w:val="21"/>
                      <w:highlight w:val="none"/>
                    </w:rPr>
                  </w:pPr>
                  <w:r>
                    <w:rPr>
                      <w:rFonts w:hint="eastAsia"/>
                      <w:color w:val="auto"/>
                      <w:szCs w:val="21"/>
                      <w:highlight w:val="none"/>
                    </w:rPr>
                    <w:t>1.62</w:t>
                  </w:r>
                </w:p>
              </w:tc>
              <w:tc>
                <w:tcPr>
                  <w:tcW w:w="408" w:type="pct"/>
                  <w:vAlign w:val="center"/>
                </w:tcPr>
                <w:p w14:paraId="5AB7DB41">
                  <w:pPr>
                    <w:widowControl/>
                    <w:adjustRightInd w:val="0"/>
                    <w:snapToGrid w:val="0"/>
                    <w:jc w:val="center"/>
                    <w:textAlignment w:val="center"/>
                    <w:rPr>
                      <w:color w:val="auto"/>
                      <w:szCs w:val="21"/>
                      <w:highlight w:val="none"/>
                    </w:rPr>
                  </w:pPr>
                  <w:r>
                    <w:rPr>
                      <w:rFonts w:hint="eastAsia"/>
                      <w:color w:val="auto"/>
                      <w:szCs w:val="21"/>
                      <w:highlight w:val="none"/>
                    </w:rPr>
                    <w:t>1.539</w:t>
                  </w:r>
                </w:p>
              </w:tc>
              <w:tc>
                <w:tcPr>
                  <w:tcW w:w="498" w:type="pct"/>
                  <w:vAlign w:val="center"/>
                </w:tcPr>
                <w:p w14:paraId="573FAD29">
                  <w:pPr>
                    <w:adjustRightInd w:val="0"/>
                    <w:snapToGrid w:val="0"/>
                    <w:jc w:val="center"/>
                    <w:rPr>
                      <w:color w:val="auto"/>
                      <w:szCs w:val="21"/>
                      <w:highlight w:val="none"/>
                    </w:rPr>
                  </w:pPr>
                  <w:r>
                    <w:rPr>
                      <w:rFonts w:hint="eastAsia"/>
                      <w:color w:val="auto"/>
                      <w:szCs w:val="21"/>
                      <w:highlight w:val="none"/>
                    </w:rPr>
                    <w:t>0.0810</w:t>
                  </w:r>
                </w:p>
              </w:tc>
              <w:tc>
                <w:tcPr>
                  <w:tcW w:w="470" w:type="pct"/>
                  <w:vAlign w:val="center"/>
                </w:tcPr>
                <w:p w14:paraId="597DD1D7">
                  <w:pPr>
                    <w:adjustRightInd w:val="0"/>
                    <w:snapToGrid w:val="0"/>
                    <w:jc w:val="center"/>
                    <w:rPr>
                      <w:color w:val="auto"/>
                      <w:szCs w:val="21"/>
                      <w:highlight w:val="none"/>
                    </w:rPr>
                  </w:pPr>
                  <w:r>
                    <w:rPr>
                      <w:rFonts w:hint="eastAsia"/>
                      <w:color w:val="auto"/>
                      <w:szCs w:val="21"/>
                      <w:highlight w:val="none"/>
                    </w:rPr>
                    <w:t>0</w:t>
                  </w:r>
                </w:p>
              </w:tc>
              <w:tc>
                <w:tcPr>
                  <w:tcW w:w="576" w:type="pct"/>
                  <w:vAlign w:val="center"/>
                </w:tcPr>
                <w:p w14:paraId="2C018464">
                  <w:pPr>
                    <w:adjustRightInd w:val="0"/>
                    <w:snapToGrid w:val="0"/>
                    <w:jc w:val="center"/>
                    <w:rPr>
                      <w:color w:val="auto"/>
                      <w:szCs w:val="21"/>
                      <w:highlight w:val="none"/>
                    </w:rPr>
                  </w:pPr>
                  <w:r>
                    <w:rPr>
                      <w:rFonts w:hint="eastAsia"/>
                      <w:color w:val="auto"/>
                      <w:szCs w:val="21"/>
                      <w:highlight w:val="none"/>
                    </w:rPr>
                    <w:t>0.0810</w:t>
                  </w:r>
                </w:p>
              </w:tc>
              <w:tc>
                <w:tcPr>
                  <w:tcW w:w="498" w:type="pct"/>
                  <w:vAlign w:val="center"/>
                </w:tcPr>
                <w:p w14:paraId="30D1B09A">
                  <w:pPr>
                    <w:adjustRightInd w:val="0"/>
                    <w:snapToGrid w:val="0"/>
                    <w:jc w:val="center"/>
                    <w:rPr>
                      <w:color w:val="auto"/>
                      <w:szCs w:val="21"/>
                      <w:highlight w:val="none"/>
                    </w:rPr>
                  </w:pPr>
                  <w:r>
                    <w:rPr>
                      <w:rFonts w:hint="eastAsia"/>
                      <w:color w:val="auto"/>
                      <w:szCs w:val="21"/>
                      <w:highlight w:val="none"/>
                    </w:rPr>
                    <w:t>+0.0810</w:t>
                  </w:r>
                </w:p>
              </w:tc>
              <w:tc>
                <w:tcPr>
                  <w:tcW w:w="445" w:type="pct"/>
                  <w:vAlign w:val="center"/>
                </w:tcPr>
                <w:p w14:paraId="2AA60C7D">
                  <w:pPr>
                    <w:adjustRightInd w:val="0"/>
                    <w:snapToGrid w:val="0"/>
                    <w:jc w:val="center"/>
                    <w:rPr>
                      <w:color w:val="auto"/>
                      <w:szCs w:val="21"/>
                      <w:highlight w:val="none"/>
                    </w:rPr>
                  </w:pPr>
                  <w:r>
                    <w:rPr>
                      <w:rFonts w:hint="eastAsia"/>
                      <w:color w:val="auto"/>
                      <w:szCs w:val="21"/>
                      <w:highlight w:val="none"/>
                    </w:rPr>
                    <w:t>/</w:t>
                  </w:r>
                </w:p>
              </w:tc>
            </w:tr>
            <w:tr w14:paraId="21AD9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6377DDA8">
                  <w:pPr>
                    <w:widowControl/>
                    <w:adjustRightInd w:val="0"/>
                    <w:snapToGrid w:val="0"/>
                    <w:jc w:val="center"/>
                    <w:textAlignment w:val="center"/>
                    <w:rPr>
                      <w:color w:val="auto"/>
                      <w:szCs w:val="21"/>
                      <w:highlight w:val="none"/>
                    </w:rPr>
                  </w:pPr>
                </w:p>
              </w:tc>
              <w:tc>
                <w:tcPr>
                  <w:tcW w:w="297" w:type="pct"/>
                  <w:vMerge w:val="restart"/>
                  <w:vAlign w:val="center"/>
                </w:tcPr>
                <w:p w14:paraId="7040904B">
                  <w:pPr>
                    <w:widowControl/>
                    <w:adjustRightInd w:val="0"/>
                    <w:snapToGrid w:val="0"/>
                    <w:jc w:val="center"/>
                    <w:textAlignment w:val="center"/>
                    <w:rPr>
                      <w:color w:val="auto"/>
                      <w:szCs w:val="21"/>
                      <w:highlight w:val="none"/>
                    </w:rPr>
                  </w:pPr>
                  <w:r>
                    <w:rPr>
                      <w:rFonts w:hAnsi="宋体"/>
                      <w:color w:val="auto"/>
                      <w:kern w:val="0"/>
                      <w:szCs w:val="21"/>
                      <w:highlight w:val="none"/>
                    </w:rPr>
                    <w:t>无组织</w:t>
                  </w:r>
                </w:p>
              </w:tc>
              <w:tc>
                <w:tcPr>
                  <w:tcW w:w="728" w:type="pct"/>
                  <w:vAlign w:val="center"/>
                </w:tcPr>
                <w:p w14:paraId="0C4371CE">
                  <w:pPr>
                    <w:adjustRightInd w:val="0"/>
                    <w:snapToGrid w:val="0"/>
                    <w:jc w:val="center"/>
                    <w:rPr>
                      <w:color w:val="auto"/>
                      <w:kern w:val="0"/>
                      <w:szCs w:val="21"/>
                      <w:highlight w:val="none"/>
                    </w:rPr>
                  </w:pPr>
                  <w:r>
                    <w:rPr>
                      <w:rFonts w:hint="eastAsia" w:hAnsi="宋体"/>
                      <w:color w:val="auto"/>
                      <w:kern w:val="0"/>
                      <w:szCs w:val="21"/>
                      <w:highlight w:val="none"/>
                    </w:rPr>
                    <w:t>颗粒物</w:t>
                  </w:r>
                </w:p>
              </w:tc>
              <w:tc>
                <w:tcPr>
                  <w:tcW w:w="391" w:type="pct"/>
                  <w:vAlign w:val="center"/>
                </w:tcPr>
                <w:p w14:paraId="0EEBE554">
                  <w:pPr>
                    <w:adjustRightInd w:val="0"/>
                    <w:snapToGrid w:val="0"/>
                    <w:jc w:val="center"/>
                    <w:rPr>
                      <w:color w:val="auto"/>
                      <w:szCs w:val="21"/>
                      <w:highlight w:val="none"/>
                    </w:rPr>
                  </w:pPr>
                  <w:r>
                    <w:rPr>
                      <w:rFonts w:hint="eastAsia"/>
                      <w:color w:val="auto"/>
                      <w:szCs w:val="21"/>
                      <w:highlight w:val="none"/>
                    </w:rPr>
                    <w:t>0.09</w:t>
                  </w:r>
                </w:p>
              </w:tc>
              <w:tc>
                <w:tcPr>
                  <w:tcW w:w="469" w:type="pct"/>
                  <w:vAlign w:val="center"/>
                </w:tcPr>
                <w:p w14:paraId="0C8C6ABD">
                  <w:pPr>
                    <w:adjustRightInd w:val="0"/>
                    <w:snapToGrid w:val="0"/>
                    <w:jc w:val="center"/>
                    <w:rPr>
                      <w:color w:val="auto"/>
                      <w:szCs w:val="21"/>
                      <w:highlight w:val="none"/>
                    </w:rPr>
                  </w:pPr>
                  <w:r>
                    <w:rPr>
                      <w:rFonts w:hint="eastAsia"/>
                      <w:color w:val="auto"/>
                      <w:szCs w:val="21"/>
                      <w:highlight w:val="none"/>
                    </w:rPr>
                    <w:t>0.66</w:t>
                  </w:r>
                </w:p>
              </w:tc>
              <w:tc>
                <w:tcPr>
                  <w:tcW w:w="408" w:type="pct"/>
                  <w:vAlign w:val="center"/>
                </w:tcPr>
                <w:p w14:paraId="31E8152C">
                  <w:pPr>
                    <w:widowControl/>
                    <w:adjustRightInd w:val="0"/>
                    <w:snapToGrid w:val="0"/>
                    <w:jc w:val="center"/>
                    <w:textAlignment w:val="center"/>
                    <w:rPr>
                      <w:color w:val="auto"/>
                      <w:szCs w:val="21"/>
                      <w:highlight w:val="none"/>
                    </w:rPr>
                  </w:pPr>
                  <w:r>
                    <w:rPr>
                      <w:rFonts w:hint="eastAsia"/>
                      <w:color w:val="auto"/>
                      <w:szCs w:val="21"/>
                      <w:highlight w:val="none"/>
                    </w:rPr>
                    <w:t>0.288</w:t>
                  </w:r>
                </w:p>
              </w:tc>
              <w:tc>
                <w:tcPr>
                  <w:tcW w:w="498" w:type="pct"/>
                  <w:vAlign w:val="center"/>
                </w:tcPr>
                <w:p w14:paraId="68F800F2">
                  <w:pPr>
                    <w:adjustRightInd w:val="0"/>
                    <w:snapToGrid w:val="0"/>
                    <w:jc w:val="center"/>
                    <w:rPr>
                      <w:color w:val="auto"/>
                      <w:szCs w:val="21"/>
                      <w:highlight w:val="none"/>
                    </w:rPr>
                  </w:pPr>
                  <w:r>
                    <w:rPr>
                      <w:rFonts w:hint="eastAsia"/>
                      <w:color w:val="auto"/>
                      <w:szCs w:val="21"/>
                      <w:highlight w:val="none"/>
                    </w:rPr>
                    <w:t>0.372</w:t>
                  </w:r>
                </w:p>
              </w:tc>
              <w:tc>
                <w:tcPr>
                  <w:tcW w:w="470" w:type="pct"/>
                  <w:vAlign w:val="center"/>
                </w:tcPr>
                <w:p w14:paraId="1885401B">
                  <w:pPr>
                    <w:adjustRightInd w:val="0"/>
                    <w:snapToGrid w:val="0"/>
                    <w:jc w:val="center"/>
                    <w:rPr>
                      <w:color w:val="auto"/>
                      <w:szCs w:val="21"/>
                      <w:highlight w:val="none"/>
                    </w:rPr>
                  </w:pPr>
                  <w:r>
                    <w:rPr>
                      <w:rFonts w:hint="eastAsia"/>
                      <w:color w:val="auto"/>
                      <w:szCs w:val="21"/>
                      <w:highlight w:val="none"/>
                    </w:rPr>
                    <w:t>0</w:t>
                  </w:r>
                </w:p>
              </w:tc>
              <w:tc>
                <w:tcPr>
                  <w:tcW w:w="576" w:type="pct"/>
                  <w:vAlign w:val="center"/>
                </w:tcPr>
                <w:p w14:paraId="4B68187D">
                  <w:pPr>
                    <w:adjustRightInd w:val="0"/>
                    <w:snapToGrid w:val="0"/>
                    <w:jc w:val="center"/>
                    <w:rPr>
                      <w:color w:val="auto"/>
                      <w:szCs w:val="21"/>
                      <w:highlight w:val="none"/>
                    </w:rPr>
                  </w:pPr>
                  <w:r>
                    <w:rPr>
                      <w:rFonts w:hint="eastAsia"/>
                      <w:color w:val="auto"/>
                      <w:szCs w:val="21"/>
                      <w:highlight w:val="none"/>
                    </w:rPr>
                    <w:t>0.462</w:t>
                  </w:r>
                </w:p>
              </w:tc>
              <w:tc>
                <w:tcPr>
                  <w:tcW w:w="498" w:type="pct"/>
                  <w:vAlign w:val="center"/>
                </w:tcPr>
                <w:p w14:paraId="4E145C62">
                  <w:pPr>
                    <w:adjustRightInd w:val="0"/>
                    <w:snapToGrid w:val="0"/>
                    <w:jc w:val="center"/>
                    <w:rPr>
                      <w:color w:val="auto"/>
                      <w:szCs w:val="21"/>
                      <w:highlight w:val="none"/>
                    </w:rPr>
                  </w:pPr>
                  <w:r>
                    <w:rPr>
                      <w:rFonts w:hint="eastAsia"/>
                      <w:color w:val="auto"/>
                      <w:szCs w:val="21"/>
                      <w:highlight w:val="none"/>
                    </w:rPr>
                    <w:t>+</w:t>
                  </w:r>
                  <w:r>
                    <w:rPr>
                      <w:rFonts w:hint="default"/>
                      <w:color w:val="auto"/>
                      <w:szCs w:val="21"/>
                      <w:highlight w:val="none"/>
                    </w:rPr>
                    <w:t>0.</w:t>
                  </w:r>
                  <w:r>
                    <w:rPr>
                      <w:rFonts w:hint="eastAsia"/>
                      <w:color w:val="auto"/>
                      <w:szCs w:val="21"/>
                      <w:highlight w:val="none"/>
                    </w:rPr>
                    <w:t>372</w:t>
                  </w:r>
                </w:p>
              </w:tc>
              <w:tc>
                <w:tcPr>
                  <w:tcW w:w="445" w:type="pct"/>
                  <w:vAlign w:val="center"/>
                </w:tcPr>
                <w:p w14:paraId="5A6497A3">
                  <w:pPr>
                    <w:adjustRightInd w:val="0"/>
                    <w:snapToGrid w:val="0"/>
                    <w:jc w:val="center"/>
                    <w:rPr>
                      <w:color w:val="auto"/>
                      <w:szCs w:val="21"/>
                      <w:highlight w:val="none"/>
                    </w:rPr>
                  </w:pPr>
                  <w:r>
                    <w:rPr>
                      <w:rFonts w:hint="eastAsia"/>
                      <w:color w:val="auto"/>
                      <w:szCs w:val="21"/>
                      <w:highlight w:val="none"/>
                    </w:rPr>
                    <w:t>/</w:t>
                  </w:r>
                </w:p>
              </w:tc>
            </w:tr>
            <w:tr w14:paraId="4D9C0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3FBC35ED">
                  <w:pPr>
                    <w:adjustRightInd w:val="0"/>
                    <w:snapToGrid w:val="0"/>
                    <w:jc w:val="center"/>
                    <w:rPr>
                      <w:color w:val="auto"/>
                      <w:szCs w:val="21"/>
                      <w:highlight w:val="none"/>
                    </w:rPr>
                  </w:pPr>
                </w:p>
              </w:tc>
              <w:tc>
                <w:tcPr>
                  <w:tcW w:w="297" w:type="pct"/>
                  <w:vMerge w:val="continue"/>
                  <w:vAlign w:val="center"/>
                </w:tcPr>
                <w:p w14:paraId="2E1EBA9C">
                  <w:pPr>
                    <w:widowControl/>
                    <w:adjustRightInd w:val="0"/>
                    <w:snapToGrid w:val="0"/>
                    <w:jc w:val="center"/>
                    <w:textAlignment w:val="center"/>
                    <w:rPr>
                      <w:color w:val="auto"/>
                      <w:szCs w:val="21"/>
                      <w:highlight w:val="none"/>
                    </w:rPr>
                  </w:pPr>
                </w:p>
              </w:tc>
              <w:tc>
                <w:tcPr>
                  <w:tcW w:w="728" w:type="pct"/>
                  <w:vAlign w:val="center"/>
                </w:tcPr>
                <w:p w14:paraId="71A6916E">
                  <w:pPr>
                    <w:adjustRightInd w:val="0"/>
                    <w:snapToGrid w:val="0"/>
                    <w:jc w:val="center"/>
                    <w:rPr>
                      <w:color w:val="auto"/>
                      <w:kern w:val="0"/>
                      <w:szCs w:val="21"/>
                      <w:highlight w:val="none"/>
                      <w:lang w:eastAsia="zh-Hans"/>
                    </w:rPr>
                  </w:pPr>
                  <w:r>
                    <w:rPr>
                      <w:rFonts w:hint="eastAsia"/>
                      <w:color w:val="auto"/>
                      <w:kern w:val="0"/>
                      <w:szCs w:val="21"/>
                      <w:highlight w:val="none"/>
                      <w:lang w:eastAsia="zh-Hans"/>
                    </w:rPr>
                    <w:t>二甲苯</w:t>
                  </w:r>
                </w:p>
              </w:tc>
              <w:tc>
                <w:tcPr>
                  <w:tcW w:w="391" w:type="pct"/>
                  <w:vAlign w:val="center"/>
                </w:tcPr>
                <w:p w14:paraId="4C56E09E">
                  <w:pPr>
                    <w:adjustRightInd w:val="0"/>
                    <w:snapToGrid w:val="0"/>
                    <w:jc w:val="center"/>
                    <w:rPr>
                      <w:color w:val="auto"/>
                      <w:szCs w:val="21"/>
                      <w:highlight w:val="none"/>
                    </w:rPr>
                  </w:pPr>
                  <w:r>
                    <w:rPr>
                      <w:color w:val="auto"/>
                      <w:szCs w:val="21"/>
                      <w:highlight w:val="none"/>
                    </w:rPr>
                    <w:t>0</w:t>
                  </w:r>
                </w:p>
              </w:tc>
              <w:tc>
                <w:tcPr>
                  <w:tcW w:w="469" w:type="pct"/>
                  <w:vAlign w:val="center"/>
                </w:tcPr>
                <w:p w14:paraId="696EC55E">
                  <w:pPr>
                    <w:adjustRightInd w:val="0"/>
                    <w:snapToGrid w:val="0"/>
                    <w:jc w:val="center"/>
                    <w:rPr>
                      <w:color w:val="auto"/>
                      <w:szCs w:val="21"/>
                      <w:highlight w:val="none"/>
                    </w:rPr>
                  </w:pPr>
                  <w:r>
                    <w:rPr>
                      <w:color w:val="auto"/>
                      <w:szCs w:val="21"/>
                      <w:highlight w:val="none"/>
                    </w:rPr>
                    <w:t>0.0004</w:t>
                  </w:r>
                </w:p>
              </w:tc>
              <w:tc>
                <w:tcPr>
                  <w:tcW w:w="408" w:type="pct"/>
                  <w:vAlign w:val="center"/>
                </w:tcPr>
                <w:p w14:paraId="56161C7D">
                  <w:pPr>
                    <w:widowControl/>
                    <w:adjustRightInd w:val="0"/>
                    <w:snapToGrid w:val="0"/>
                    <w:jc w:val="center"/>
                    <w:textAlignment w:val="center"/>
                    <w:rPr>
                      <w:color w:val="auto"/>
                      <w:kern w:val="0"/>
                      <w:szCs w:val="21"/>
                      <w:highlight w:val="none"/>
                    </w:rPr>
                  </w:pPr>
                  <w:r>
                    <w:rPr>
                      <w:color w:val="auto"/>
                      <w:kern w:val="0"/>
                      <w:szCs w:val="21"/>
                      <w:highlight w:val="none"/>
                    </w:rPr>
                    <w:t>0</w:t>
                  </w:r>
                </w:p>
              </w:tc>
              <w:tc>
                <w:tcPr>
                  <w:tcW w:w="498" w:type="pct"/>
                  <w:vAlign w:val="center"/>
                </w:tcPr>
                <w:p w14:paraId="3B13E7E2">
                  <w:pPr>
                    <w:adjustRightInd w:val="0"/>
                    <w:snapToGrid w:val="0"/>
                    <w:jc w:val="center"/>
                    <w:rPr>
                      <w:color w:val="auto"/>
                      <w:szCs w:val="21"/>
                      <w:highlight w:val="none"/>
                    </w:rPr>
                  </w:pPr>
                  <w:r>
                    <w:rPr>
                      <w:color w:val="auto"/>
                      <w:szCs w:val="21"/>
                      <w:highlight w:val="none"/>
                    </w:rPr>
                    <w:t>0.0004</w:t>
                  </w:r>
                </w:p>
              </w:tc>
              <w:tc>
                <w:tcPr>
                  <w:tcW w:w="470" w:type="pct"/>
                  <w:vAlign w:val="center"/>
                </w:tcPr>
                <w:p w14:paraId="1CC704A6">
                  <w:pPr>
                    <w:adjustRightInd w:val="0"/>
                    <w:snapToGrid w:val="0"/>
                    <w:jc w:val="center"/>
                    <w:rPr>
                      <w:color w:val="auto"/>
                      <w:szCs w:val="21"/>
                      <w:highlight w:val="none"/>
                    </w:rPr>
                  </w:pPr>
                  <w:r>
                    <w:rPr>
                      <w:color w:val="auto"/>
                      <w:szCs w:val="21"/>
                      <w:highlight w:val="none"/>
                    </w:rPr>
                    <w:t>0</w:t>
                  </w:r>
                </w:p>
              </w:tc>
              <w:tc>
                <w:tcPr>
                  <w:tcW w:w="576" w:type="pct"/>
                  <w:vAlign w:val="center"/>
                </w:tcPr>
                <w:p w14:paraId="2DEDFDC8">
                  <w:pPr>
                    <w:adjustRightInd w:val="0"/>
                    <w:snapToGrid w:val="0"/>
                    <w:jc w:val="center"/>
                    <w:rPr>
                      <w:color w:val="auto"/>
                      <w:szCs w:val="21"/>
                      <w:highlight w:val="none"/>
                    </w:rPr>
                  </w:pPr>
                  <w:r>
                    <w:rPr>
                      <w:color w:val="auto"/>
                      <w:szCs w:val="21"/>
                      <w:highlight w:val="none"/>
                    </w:rPr>
                    <w:t>0.0004</w:t>
                  </w:r>
                </w:p>
              </w:tc>
              <w:tc>
                <w:tcPr>
                  <w:tcW w:w="498" w:type="pct"/>
                  <w:vAlign w:val="center"/>
                </w:tcPr>
                <w:p w14:paraId="2F9D559F">
                  <w:pPr>
                    <w:adjustRightInd w:val="0"/>
                    <w:snapToGrid w:val="0"/>
                    <w:jc w:val="center"/>
                    <w:rPr>
                      <w:color w:val="auto"/>
                      <w:szCs w:val="21"/>
                      <w:highlight w:val="none"/>
                    </w:rPr>
                  </w:pPr>
                  <w:r>
                    <w:rPr>
                      <w:color w:val="auto"/>
                      <w:szCs w:val="21"/>
                      <w:highlight w:val="none"/>
                    </w:rPr>
                    <w:t>+0.0004</w:t>
                  </w:r>
                </w:p>
              </w:tc>
              <w:tc>
                <w:tcPr>
                  <w:tcW w:w="445" w:type="pct"/>
                  <w:vAlign w:val="center"/>
                </w:tcPr>
                <w:p w14:paraId="5BD8D3B9">
                  <w:pPr>
                    <w:adjustRightInd w:val="0"/>
                    <w:snapToGrid w:val="0"/>
                    <w:jc w:val="center"/>
                    <w:rPr>
                      <w:color w:val="auto"/>
                      <w:szCs w:val="21"/>
                      <w:highlight w:val="none"/>
                    </w:rPr>
                  </w:pPr>
                  <w:r>
                    <w:rPr>
                      <w:color w:val="auto"/>
                      <w:szCs w:val="21"/>
                      <w:highlight w:val="none"/>
                    </w:rPr>
                    <w:t>/</w:t>
                  </w:r>
                </w:p>
              </w:tc>
            </w:tr>
            <w:tr w14:paraId="64370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2D5B8707">
                  <w:pPr>
                    <w:adjustRightInd w:val="0"/>
                    <w:snapToGrid w:val="0"/>
                    <w:jc w:val="center"/>
                    <w:rPr>
                      <w:color w:val="auto"/>
                      <w:szCs w:val="21"/>
                      <w:highlight w:val="none"/>
                    </w:rPr>
                  </w:pPr>
                </w:p>
              </w:tc>
              <w:tc>
                <w:tcPr>
                  <w:tcW w:w="297" w:type="pct"/>
                  <w:vMerge w:val="continue"/>
                  <w:vAlign w:val="center"/>
                </w:tcPr>
                <w:p w14:paraId="7023574F">
                  <w:pPr>
                    <w:widowControl/>
                    <w:adjustRightInd w:val="0"/>
                    <w:snapToGrid w:val="0"/>
                    <w:jc w:val="center"/>
                    <w:textAlignment w:val="center"/>
                    <w:rPr>
                      <w:color w:val="auto"/>
                      <w:szCs w:val="21"/>
                      <w:highlight w:val="none"/>
                    </w:rPr>
                  </w:pPr>
                </w:p>
              </w:tc>
              <w:tc>
                <w:tcPr>
                  <w:tcW w:w="728" w:type="pct"/>
                  <w:vAlign w:val="center"/>
                </w:tcPr>
                <w:p w14:paraId="1CB384B2">
                  <w:pPr>
                    <w:adjustRightInd w:val="0"/>
                    <w:snapToGrid w:val="0"/>
                    <w:jc w:val="center"/>
                    <w:rPr>
                      <w:color w:val="auto"/>
                      <w:kern w:val="0"/>
                      <w:szCs w:val="21"/>
                      <w:highlight w:val="none"/>
                      <w:lang w:eastAsia="zh-Hans"/>
                    </w:rPr>
                  </w:pPr>
                  <w:r>
                    <w:rPr>
                      <w:rFonts w:hint="eastAsia" w:hAnsi="宋体"/>
                      <w:color w:val="auto"/>
                      <w:kern w:val="0"/>
                      <w:szCs w:val="21"/>
                      <w:highlight w:val="none"/>
                      <w:lang w:eastAsia="zh-Hans"/>
                    </w:rPr>
                    <w:t>VOCs（含二甲苯）</w:t>
                  </w:r>
                </w:p>
              </w:tc>
              <w:tc>
                <w:tcPr>
                  <w:tcW w:w="391" w:type="pct"/>
                  <w:vAlign w:val="center"/>
                </w:tcPr>
                <w:p w14:paraId="54096D6B">
                  <w:pPr>
                    <w:adjustRightInd w:val="0"/>
                    <w:snapToGrid w:val="0"/>
                    <w:jc w:val="center"/>
                    <w:rPr>
                      <w:color w:val="auto"/>
                      <w:szCs w:val="21"/>
                      <w:highlight w:val="none"/>
                    </w:rPr>
                  </w:pPr>
                  <w:r>
                    <w:rPr>
                      <w:rFonts w:hint="eastAsia"/>
                      <w:color w:val="auto"/>
                      <w:szCs w:val="21"/>
                      <w:highlight w:val="none"/>
                    </w:rPr>
                    <w:t>0.018</w:t>
                  </w:r>
                </w:p>
              </w:tc>
              <w:tc>
                <w:tcPr>
                  <w:tcW w:w="469" w:type="pct"/>
                  <w:vAlign w:val="center"/>
                </w:tcPr>
                <w:p w14:paraId="37566B52">
                  <w:pPr>
                    <w:adjustRightInd w:val="0"/>
                    <w:snapToGrid w:val="0"/>
                    <w:jc w:val="center"/>
                    <w:rPr>
                      <w:color w:val="auto"/>
                      <w:szCs w:val="21"/>
                      <w:highlight w:val="none"/>
                    </w:rPr>
                  </w:pPr>
                  <w:r>
                    <w:rPr>
                      <w:rFonts w:hint="eastAsia"/>
                      <w:color w:val="auto"/>
                      <w:szCs w:val="21"/>
                      <w:highlight w:val="none"/>
                    </w:rPr>
                    <w:t>0.</w:t>
                  </w:r>
                  <w:r>
                    <w:rPr>
                      <w:rFonts w:hint="default"/>
                      <w:color w:val="auto"/>
                      <w:szCs w:val="21"/>
                      <w:highlight w:val="none"/>
                    </w:rPr>
                    <w:t>1507</w:t>
                  </w:r>
                </w:p>
              </w:tc>
              <w:tc>
                <w:tcPr>
                  <w:tcW w:w="408" w:type="pct"/>
                  <w:vAlign w:val="center"/>
                </w:tcPr>
                <w:p w14:paraId="1DAEF6A2">
                  <w:pPr>
                    <w:widowControl/>
                    <w:adjustRightInd w:val="0"/>
                    <w:snapToGrid w:val="0"/>
                    <w:jc w:val="center"/>
                    <w:textAlignment w:val="center"/>
                    <w:rPr>
                      <w:color w:val="auto"/>
                      <w:kern w:val="0"/>
                      <w:szCs w:val="21"/>
                      <w:highlight w:val="none"/>
                    </w:rPr>
                  </w:pPr>
                  <w:r>
                    <w:rPr>
                      <w:rFonts w:hint="default"/>
                      <w:color w:val="auto"/>
                      <w:kern w:val="0"/>
                      <w:szCs w:val="21"/>
                      <w:highlight w:val="none"/>
                    </w:rPr>
                    <w:t>0.0071</w:t>
                  </w:r>
                </w:p>
              </w:tc>
              <w:tc>
                <w:tcPr>
                  <w:tcW w:w="498" w:type="pct"/>
                  <w:vAlign w:val="center"/>
                </w:tcPr>
                <w:p w14:paraId="46629B50">
                  <w:pPr>
                    <w:adjustRightInd w:val="0"/>
                    <w:snapToGrid w:val="0"/>
                    <w:jc w:val="center"/>
                    <w:rPr>
                      <w:color w:val="auto"/>
                      <w:szCs w:val="21"/>
                      <w:highlight w:val="none"/>
                    </w:rPr>
                  </w:pPr>
                  <w:r>
                    <w:rPr>
                      <w:rFonts w:hint="eastAsia"/>
                      <w:color w:val="auto"/>
                      <w:szCs w:val="21"/>
                      <w:highlight w:val="none"/>
                    </w:rPr>
                    <w:t>0.</w:t>
                  </w:r>
                  <w:r>
                    <w:rPr>
                      <w:rFonts w:hint="default"/>
                      <w:color w:val="auto"/>
                      <w:szCs w:val="21"/>
                      <w:highlight w:val="none"/>
                    </w:rPr>
                    <w:t>0894</w:t>
                  </w:r>
                </w:p>
              </w:tc>
              <w:tc>
                <w:tcPr>
                  <w:tcW w:w="470" w:type="pct"/>
                  <w:vAlign w:val="center"/>
                </w:tcPr>
                <w:p w14:paraId="2B52CC12">
                  <w:pPr>
                    <w:adjustRightInd w:val="0"/>
                    <w:snapToGrid w:val="0"/>
                    <w:jc w:val="center"/>
                    <w:rPr>
                      <w:color w:val="auto"/>
                      <w:szCs w:val="21"/>
                      <w:highlight w:val="none"/>
                    </w:rPr>
                  </w:pPr>
                  <w:r>
                    <w:rPr>
                      <w:rFonts w:hint="eastAsia"/>
                      <w:color w:val="auto"/>
                      <w:szCs w:val="21"/>
                      <w:highlight w:val="none"/>
                    </w:rPr>
                    <w:t>0</w:t>
                  </w:r>
                </w:p>
              </w:tc>
              <w:tc>
                <w:tcPr>
                  <w:tcW w:w="576" w:type="pct"/>
                  <w:vAlign w:val="center"/>
                </w:tcPr>
                <w:p w14:paraId="0E3B23C0">
                  <w:pPr>
                    <w:adjustRightInd w:val="0"/>
                    <w:snapToGrid w:val="0"/>
                    <w:jc w:val="center"/>
                    <w:rPr>
                      <w:color w:val="auto"/>
                      <w:szCs w:val="21"/>
                      <w:highlight w:val="none"/>
                    </w:rPr>
                  </w:pPr>
                  <w:r>
                    <w:rPr>
                      <w:rFonts w:hint="eastAsia"/>
                      <w:color w:val="auto"/>
                      <w:szCs w:val="21"/>
                      <w:highlight w:val="none"/>
                    </w:rPr>
                    <w:t>0.</w:t>
                  </w:r>
                  <w:r>
                    <w:rPr>
                      <w:rFonts w:hint="default"/>
                      <w:color w:val="auto"/>
                      <w:szCs w:val="21"/>
                      <w:highlight w:val="none"/>
                    </w:rPr>
                    <w:t>1074</w:t>
                  </w:r>
                </w:p>
              </w:tc>
              <w:tc>
                <w:tcPr>
                  <w:tcW w:w="498" w:type="pct"/>
                  <w:vAlign w:val="center"/>
                </w:tcPr>
                <w:p w14:paraId="04B3546A">
                  <w:pPr>
                    <w:adjustRightInd w:val="0"/>
                    <w:snapToGrid w:val="0"/>
                    <w:jc w:val="center"/>
                    <w:rPr>
                      <w:color w:val="auto"/>
                      <w:szCs w:val="21"/>
                      <w:highlight w:val="none"/>
                    </w:rPr>
                  </w:pPr>
                  <w:r>
                    <w:rPr>
                      <w:rFonts w:hint="eastAsia"/>
                      <w:color w:val="auto"/>
                      <w:szCs w:val="21"/>
                      <w:highlight w:val="none"/>
                    </w:rPr>
                    <w:t>+0.0</w:t>
                  </w:r>
                  <w:r>
                    <w:rPr>
                      <w:color w:val="auto"/>
                      <w:szCs w:val="21"/>
                      <w:highlight w:val="none"/>
                    </w:rPr>
                    <w:t>894</w:t>
                  </w:r>
                </w:p>
              </w:tc>
              <w:tc>
                <w:tcPr>
                  <w:tcW w:w="445" w:type="pct"/>
                  <w:vAlign w:val="center"/>
                </w:tcPr>
                <w:p w14:paraId="4111B99F">
                  <w:pPr>
                    <w:adjustRightInd w:val="0"/>
                    <w:snapToGrid w:val="0"/>
                    <w:jc w:val="center"/>
                    <w:rPr>
                      <w:color w:val="auto"/>
                      <w:szCs w:val="21"/>
                      <w:highlight w:val="none"/>
                    </w:rPr>
                  </w:pPr>
                  <w:r>
                    <w:rPr>
                      <w:rFonts w:hint="eastAsia"/>
                      <w:color w:val="auto"/>
                      <w:szCs w:val="21"/>
                      <w:highlight w:val="none"/>
                    </w:rPr>
                    <w:t>/</w:t>
                  </w:r>
                </w:p>
              </w:tc>
            </w:tr>
            <w:tr w14:paraId="1C433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restart"/>
                  <w:vAlign w:val="center"/>
                </w:tcPr>
                <w:p w14:paraId="1799E57E">
                  <w:pPr>
                    <w:widowControl/>
                    <w:adjustRightInd w:val="0"/>
                    <w:snapToGrid w:val="0"/>
                    <w:jc w:val="center"/>
                    <w:textAlignment w:val="center"/>
                    <w:rPr>
                      <w:color w:val="auto"/>
                      <w:szCs w:val="21"/>
                      <w:highlight w:val="none"/>
                    </w:rPr>
                  </w:pPr>
                  <w:r>
                    <w:rPr>
                      <w:rFonts w:hAnsi="宋体"/>
                      <w:color w:val="auto"/>
                      <w:kern w:val="0"/>
                      <w:szCs w:val="21"/>
                      <w:highlight w:val="none"/>
                    </w:rPr>
                    <w:t>废水</w:t>
                  </w:r>
                </w:p>
              </w:tc>
              <w:tc>
                <w:tcPr>
                  <w:tcW w:w="297" w:type="pct"/>
                  <w:vMerge w:val="restart"/>
                  <w:vAlign w:val="center"/>
                </w:tcPr>
                <w:p w14:paraId="78C16560">
                  <w:pPr>
                    <w:widowControl/>
                    <w:adjustRightInd w:val="0"/>
                    <w:snapToGrid w:val="0"/>
                    <w:jc w:val="center"/>
                    <w:textAlignment w:val="center"/>
                    <w:rPr>
                      <w:color w:val="auto"/>
                      <w:szCs w:val="21"/>
                      <w:highlight w:val="none"/>
                      <w:lang w:eastAsia="zh-Hans"/>
                    </w:rPr>
                  </w:pPr>
                  <w:r>
                    <w:rPr>
                      <w:rFonts w:hint="eastAsia" w:hAnsi="宋体"/>
                      <w:color w:val="auto"/>
                      <w:szCs w:val="21"/>
                      <w:highlight w:val="none"/>
                      <w:lang w:eastAsia="zh-Hans"/>
                    </w:rPr>
                    <w:t>废水</w:t>
                  </w:r>
                </w:p>
              </w:tc>
              <w:tc>
                <w:tcPr>
                  <w:tcW w:w="728" w:type="pct"/>
                  <w:vAlign w:val="center"/>
                </w:tcPr>
                <w:p w14:paraId="461C72A5">
                  <w:pPr>
                    <w:widowControl/>
                    <w:adjustRightInd w:val="0"/>
                    <w:snapToGrid w:val="0"/>
                    <w:jc w:val="center"/>
                    <w:textAlignment w:val="center"/>
                    <w:rPr>
                      <w:color w:val="auto"/>
                      <w:kern w:val="0"/>
                      <w:szCs w:val="21"/>
                      <w:highlight w:val="none"/>
                    </w:rPr>
                  </w:pPr>
                  <w:r>
                    <w:rPr>
                      <w:rFonts w:hAnsi="宋体"/>
                      <w:color w:val="auto"/>
                      <w:kern w:val="0"/>
                      <w:szCs w:val="21"/>
                      <w:highlight w:val="none"/>
                    </w:rPr>
                    <w:t>废水量</w:t>
                  </w:r>
                </w:p>
              </w:tc>
              <w:tc>
                <w:tcPr>
                  <w:tcW w:w="391" w:type="pct"/>
                  <w:vAlign w:val="center"/>
                </w:tcPr>
                <w:p w14:paraId="0D3DD40F">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24</w:t>
                  </w:r>
                  <w:r>
                    <w:rPr>
                      <w:rFonts w:hint="eastAsia" w:ascii="Times New Roman"/>
                      <w:color w:val="auto"/>
                      <w:szCs w:val="21"/>
                      <w:highlight w:val="none"/>
                      <w:lang w:val="en-US"/>
                    </w:rPr>
                    <w:t>24</w:t>
                  </w:r>
                </w:p>
              </w:tc>
              <w:tc>
                <w:tcPr>
                  <w:tcW w:w="469" w:type="pct"/>
                  <w:vAlign w:val="center"/>
                </w:tcPr>
                <w:p w14:paraId="05AC601F">
                  <w:pPr>
                    <w:widowControl/>
                    <w:adjustRightInd w:val="0"/>
                    <w:snapToGrid w:val="0"/>
                    <w:jc w:val="center"/>
                    <w:textAlignment w:val="center"/>
                    <w:rPr>
                      <w:color w:val="auto"/>
                      <w:szCs w:val="21"/>
                      <w:highlight w:val="none"/>
                    </w:rPr>
                  </w:pPr>
                  <w:r>
                    <w:rPr>
                      <w:rFonts w:hint="eastAsia"/>
                      <w:color w:val="auto"/>
                      <w:szCs w:val="21"/>
                      <w:highlight w:val="none"/>
                    </w:rPr>
                    <w:t>3586</w:t>
                  </w:r>
                </w:p>
              </w:tc>
              <w:tc>
                <w:tcPr>
                  <w:tcW w:w="408" w:type="pct"/>
                  <w:vAlign w:val="center"/>
                </w:tcPr>
                <w:p w14:paraId="346D424D">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56F13C89">
                  <w:pPr>
                    <w:widowControl/>
                    <w:adjustRightInd w:val="0"/>
                    <w:snapToGrid w:val="0"/>
                    <w:jc w:val="center"/>
                    <w:textAlignment w:val="center"/>
                    <w:rPr>
                      <w:color w:val="auto"/>
                      <w:szCs w:val="21"/>
                      <w:highlight w:val="none"/>
                    </w:rPr>
                  </w:pPr>
                  <w:r>
                    <w:rPr>
                      <w:rFonts w:hint="eastAsia"/>
                      <w:color w:val="auto"/>
                      <w:szCs w:val="21"/>
                      <w:highlight w:val="none"/>
                    </w:rPr>
                    <w:t>3586</w:t>
                  </w:r>
                </w:p>
              </w:tc>
              <w:tc>
                <w:tcPr>
                  <w:tcW w:w="470" w:type="pct"/>
                  <w:vAlign w:val="center"/>
                </w:tcPr>
                <w:p w14:paraId="110CE46C">
                  <w:pPr>
                    <w:pStyle w:val="60"/>
                    <w:spacing w:beforeLines="0" w:afterLines="0" w:line="240" w:lineRule="auto"/>
                    <w:rPr>
                      <w:color w:val="auto"/>
                      <w:szCs w:val="21"/>
                      <w:highlight w:val="none"/>
                    </w:rPr>
                  </w:pPr>
                  <w:r>
                    <w:rPr>
                      <w:rFonts w:ascii="Times New Roman"/>
                      <w:color w:val="auto"/>
                      <w:szCs w:val="21"/>
                      <w:highlight w:val="none"/>
                      <w:lang w:val="en-US"/>
                    </w:rPr>
                    <w:t>24</w:t>
                  </w:r>
                  <w:r>
                    <w:rPr>
                      <w:rFonts w:hint="eastAsia" w:ascii="Times New Roman"/>
                      <w:color w:val="auto"/>
                      <w:szCs w:val="21"/>
                      <w:highlight w:val="none"/>
                      <w:lang w:val="en-US"/>
                    </w:rPr>
                    <w:t>24</w:t>
                  </w:r>
                </w:p>
              </w:tc>
              <w:tc>
                <w:tcPr>
                  <w:tcW w:w="576" w:type="pct"/>
                  <w:vAlign w:val="center"/>
                </w:tcPr>
                <w:p w14:paraId="028A8E8E">
                  <w:pPr>
                    <w:widowControl/>
                    <w:adjustRightInd w:val="0"/>
                    <w:snapToGrid w:val="0"/>
                    <w:jc w:val="center"/>
                    <w:textAlignment w:val="center"/>
                    <w:rPr>
                      <w:color w:val="auto"/>
                      <w:szCs w:val="21"/>
                      <w:highlight w:val="none"/>
                    </w:rPr>
                  </w:pPr>
                  <w:r>
                    <w:rPr>
                      <w:rFonts w:hint="eastAsia"/>
                      <w:color w:val="auto"/>
                      <w:szCs w:val="21"/>
                      <w:highlight w:val="none"/>
                    </w:rPr>
                    <w:t>3586</w:t>
                  </w:r>
                </w:p>
              </w:tc>
              <w:tc>
                <w:tcPr>
                  <w:tcW w:w="498" w:type="pct"/>
                  <w:vAlign w:val="center"/>
                </w:tcPr>
                <w:p w14:paraId="6847F2D5">
                  <w:pPr>
                    <w:widowControl/>
                    <w:jc w:val="center"/>
                    <w:textAlignment w:val="center"/>
                    <w:rPr>
                      <w:color w:val="auto"/>
                      <w:szCs w:val="21"/>
                      <w:highlight w:val="none"/>
                    </w:rPr>
                  </w:pPr>
                  <w:r>
                    <w:rPr>
                      <w:color w:val="auto"/>
                      <w:kern w:val="0"/>
                      <w:szCs w:val="21"/>
                      <w:highlight w:val="none"/>
                    </w:rPr>
                    <w:t>+</w:t>
                  </w:r>
                  <w:r>
                    <w:rPr>
                      <w:rFonts w:hint="eastAsia"/>
                      <w:color w:val="auto"/>
                      <w:kern w:val="0"/>
                      <w:szCs w:val="21"/>
                      <w:highlight w:val="none"/>
                    </w:rPr>
                    <w:t>1162</w:t>
                  </w:r>
                </w:p>
              </w:tc>
              <w:tc>
                <w:tcPr>
                  <w:tcW w:w="445" w:type="pct"/>
                  <w:vAlign w:val="center"/>
                </w:tcPr>
                <w:p w14:paraId="25A2FEE0">
                  <w:pPr>
                    <w:widowControl/>
                    <w:adjustRightInd w:val="0"/>
                    <w:snapToGrid w:val="0"/>
                    <w:jc w:val="center"/>
                    <w:textAlignment w:val="center"/>
                    <w:rPr>
                      <w:color w:val="auto"/>
                      <w:szCs w:val="21"/>
                      <w:highlight w:val="none"/>
                    </w:rPr>
                  </w:pPr>
                  <w:r>
                    <w:rPr>
                      <w:rFonts w:hint="eastAsia"/>
                      <w:color w:val="auto"/>
                      <w:szCs w:val="21"/>
                      <w:highlight w:val="none"/>
                    </w:rPr>
                    <w:t>3586</w:t>
                  </w:r>
                </w:p>
              </w:tc>
            </w:tr>
            <w:tr w14:paraId="2BB74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7801D3E2">
                  <w:pPr>
                    <w:adjustRightInd w:val="0"/>
                    <w:snapToGrid w:val="0"/>
                    <w:jc w:val="center"/>
                    <w:rPr>
                      <w:color w:val="auto"/>
                      <w:szCs w:val="21"/>
                      <w:highlight w:val="none"/>
                    </w:rPr>
                  </w:pPr>
                </w:p>
              </w:tc>
              <w:tc>
                <w:tcPr>
                  <w:tcW w:w="297" w:type="pct"/>
                  <w:vMerge w:val="continue"/>
                  <w:vAlign w:val="center"/>
                </w:tcPr>
                <w:p w14:paraId="77F1E0F8">
                  <w:pPr>
                    <w:widowControl/>
                    <w:adjustRightInd w:val="0"/>
                    <w:snapToGrid w:val="0"/>
                    <w:jc w:val="center"/>
                    <w:textAlignment w:val="center"/>
                    <w:rPr>
                      <w:color w:val="auto"/>
                      <w:szCs w:val="21"/>
                      <w:highlight w:val="none"/>
                    </w:rPr>
                  </w:pPr>
                </w:p>
              </w:tc>
              <w:tc>
                <w:tcPr>
                  <w:tcW w:w="728" w:type="pct"/>
                  <w:vAlign w:val="center"/>
                </w:tcPr>
                <w:p w14:paraId="301170AB">
                  <w:pPr>
                    <w:widowControl/>
                    <w:adjustRightInd w:val="0"/>
                    <w:snapToGrid w:val="0"/>
                    <w:jc w:val="center"/>
                    <w:textAlignment w:val="center"/>
                    <w:rPr>
                      <w:color w:val="auto"/>
                      <w:kern w:val="0"/>
                      <w:szCs w:val="21"/>
                      <w:highlight w:val="none"/>
                    </w:rPr>
                  </w:pPr>
                  <w:r>
                    <w:rPr>
                      <w:color w:val="auto"/>
                      <w:kern w:val="0"/>
                      <w:szCs w:val="21"/>
                      <w:highlight w:val="none"/>
                    </w:rPr>
                    <w:t>COD</w:t>
                  </w:r>
                </w:p>
              </w:tc>
              <w:tc>
                <w:tcPr>
                  <w:tcW w:w="391" w:type="pct"/>
                  <w:vAlign w:val="center"/>
                </w:tcPr>
                <w:p w14:paraId="08DE89B6">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0.84</w:t>
                  </w:r>
                </w:p>
              </w:tc>
              <w:tc>
                <w:tcPr>
                  <w:tcW w:w="469" w:type="pct"/>
                  <w:vAlign w:val="center"/>
                </w:tcPr>
                <w:p w14:paraId="5D65C31B">
                  <w:pPr>
                    <w:widowControl/>
                    <w:jc w:val="center"/>
                    <w:textAlignment w:val="center"/>
                    <w:rPr>
                      <w:color w:val="auto"/>
                      <w:szCs w:val="21"/>
                      <w:highlight w:val="none"/>
                    </w:rPr>
                  </w:pPr>
                  <w:r>
                    <w:rPr>
                      <w:color w:val="auto"/>
                      <w:kern w:val="0"/>
                      <w:szCs w:val="21"/>
                      <w:highlight w:val="none"/>
                      <w:lang w:bidi="ar"/>
                    </w:rPr>
                    <w:t xml:space="preserve">0.6954 </w:t>
                  </w:r>
                </w:p>
              </w:tc>
              <w:tc>
                <w:tcPr>
                  <w:tcW w:w="408" w:type="pct"/>
                  <w:vAlign w:val="center"/>
                </w:tcPr>
                <w:p w14:paraId="1D687567">
                  <w:pPr>
                    <w:widowControl/>
                    <w:jc w:val="center"/>
                    <w:textAlignment w:val="center"/>
                    <w:rPr>
                      <w:color w:val="auto"/>
                      <w:kern w:val="0"/>
                      <w:szCs w:val="21"/>
                      <w:highlight w:val="none"/>
                      <w:lang w:bidi="ar"/>
                    </w:rPr>
                  </w:pPr>
                  <w:r>
                    <w:rPr>
                      <w:rFonts w:hint="eastAsia"/>
                      <w:color w:val="auto"/>
                      <w:kern w:val="0"/>
                      <w:szCs w:val="21"/>
                      <w:highlight w:val="none"/>
                      <w:lang w:bidi="ar"/>
                    </w:rPr>
                    <w:t>0.0</w:t>
                  </w:r>
                  <w:r>
                    <w:rPr>
                      <w:rFonts w:hint="default"/>
                      <w:color w:val="auto"/>
                      <w:kern w:val="0"/>
                      <w:szCs w:val="21"/>
                      <w:highlight w:val="none"/>
                      <w:lang w:bidi="ar"/>
                    </w:rPr>
                    <w:t>6</w:t>
                  </w:r>
                </w:p>
              </w:tc>
              <w:tc>
                <w:tcPr>
                  <w:tcW w:w="498" w:type="pct"/>
                  <w:vAlign w:val="center"/>
                </w:tcPr>
                <w:p w14:paraId="5C1F0E34">
                  <w:pPr>
                    <w:widowControl/>
                    <w:jc w:val="center"/>
                    <w:textAlignment w:val="center"/>
                    <w:rPr>
                      <w:color w:val="auto"/>
                      <w:szCs w:val="21"/>
                      <w:highlight w:val="none"/>
                    </w:rPr>
                  </w:pPr>
                  <w:r>
                    <w:rPr>
                      <w:color w:val="auto"/>
                      <w:kern w:val="0"/>
                      <w:szCs w:val="21"/>
                      <w:highlight w:val="none"/>
                    </w:rPr>
                    <w:t>0.</w:t>
                  </w:r>
                  <w:r>
                    <w:rPr>
                      <w:rFonts w:hint="eastAsia"/>
                      <w:color w:val="auto"/>
                      <w:kern w:val="0"/>
                      <w:szCs w:val="21"/>
                      <w:highlight w:val="none"/>
                    </w:rPr>
                    <w:t>6354</w:t>
                  </w:r>
                </w:p>
              </w:tc>
              <w:tc>
                <w:tcPr>
                  <w:tcW w:w="470" w:type="pct"/>
                  <w:vAlign w:val="center"/>
                </w:tcPr>
                <w:p w14:paraId="0CE97D0F">
                  <w:pPr>
                    <w:pStyle w:val="60"/>
                    <w:spacing w:beforeLines="0" w:afterLines="0" w:line="240" w:lineRule="auto"/>
                    <w:rPr>
                      <w:color w:val="auto"/>
                      <w:szCs w:val="21"/>
                      <w:highlight w:val="none"/>
                    </w:rPr>
                  </w:pPr>
                  <w:r>
                    <w:rPr>
                      <w:rFonts w:ascii="Times New Roman"/>
                      <w:color w:val="auto"/>
                      <w:szCs w:val="21"/>
                      <w:highlight w:val="none"/>
                      <w:lang w:val="en-US"/>
                    </w:rPr>
                    <w:t>0.84</w:t>
                  </w:r>
                </w:p>
              </w:tc>
              <w:tc>
                <w:tcPr>
                  <w:tcW w:w="576" w:type="pct"/>
                  <w:vAlign w:val="center"/>
                </w:tcPr>
                <w:p w14:paraId="17D6B3CE">
                  <w:pPr>
                    <w:widowControl/>
                    <w:jc w:val="center"/>
                    <w:textAlignment w:val="center"/>
                    <w:rPr>
                      <w:color w:val="auto"/>
                      <w:szCs w:val="21"/>
                      <w:highlight w:val="none"/>
                    </w:rPr>
                  </w:pPr>
                  <w:r>
                    <w:rPr>
                      <w:color w:val="auto"/>
                      <w:kern w:val="0"/>
                      <w:szCs w:val="21"/>
                      <w:highlight w:val="none"/>
                    </w:rPr>
                    <w:t>0.</w:t>
                  </w:r>
                  <w:r>
                    <w:rPr>
                      <w:rFonts w:hint="eastAsia"/>
                      <w:color w:val="auto"/>
                      <w:kern w:val="0"/>
                      <w:szCs w:val="21"/>
                      <w:highlight w:val="none"/>
                    </w:rPr>
                    <w:t>6354</w:t>
                  </w:r>
                </w:p>
              </w:tc>
              <w:tc>
                <w:tcPr>
                  <w:tcW w:w="498" w:type="pct"/>
                  <w:vAlign w:val="center"/>
                </w:tcPr>
                <w:p w14:paraId="538606EA">
                  <w:pPr>
                    <w:widowControl/>
                    <w:jc w:val="center"/>
                    <w:textAlignment w:val="center"/>
                    <w:rPr>
                      <w:color w:val="auto"/>
                      <w:szCs w:val="21"/>
                      <w:highlight w:val="none"/>
                    </w:rPr>
                  </w:pPr>
                  <w:r>
                    <w:rPr>
                      <w:rFonts w:hint="eastAsia"/>
                      <w:color w:val="auto"/>
                      <w:kern w:val="0"/>
                      <w:szCs w:val="21"/>
                      <w:highlight w:val="none"/>
                    </w:rPr>
                    <w:t>-0.2046</w:t>
                  </w:r>
                </w:p>
              </w:tc>
              <w:tc>
                <w:tcPr>
                  <w:tcW w:w="445" w:type="pct"/>
                  <w:vAlign w:val="center"/>
                </w:tcPr>
                <w:p w14:paraId="2F8C96C6">
                  <w:pPr>
                    <w:widowControl/>
                    <w:adjustRightInd w:val="0"/>
                    <w:snapToGrid w:val="0"/>
                    <w:jc w:val="center"/>
                    <w:textAlignment w:val="center"/>
                    <w:rPr>
                      <w:color w:val="auto"/>
                      <w:szCs w:val="21"/>
                      <w:highlight w:val="none"/>
                    </w:rPr>
                  </w:pPr>
                  <w:r>
                    <w:rPr>
                      <w:rFonts w:hint="eastAsia"/>
                      <w:color w:val="auto"/>
                      <w:szCs w:val="21"/>
                      <w:highlight w:val="none"/>
                    </w:rPr>
                    <w:t xml:space="preserve">0.1793 </w:t>
                  </w:r>
                </w:p>
              </w:tc>
            </w:tr>
            <w:tr w14:paraId="73EAD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217" w:type="pct"/>
                  <w:vMerge w:val="continue"/>
                  <w:vAlign w:val="center"/>
                </w:tcPr>
                <w:p w14:paraId="38A12DE4">
                  <w:pPr>
                    <w:adjustRightInd w:val="0"/>
                    <w:snapToGrid w:val="0"/>
                    <w:jc w:val="center"/>
                    <w:rPr>
                      <w:color w:val="auto"/>
                      <w:szCs w:val="21"/>
                      <w:highlight w:val="none"/>
                    </w:rPr>
                  </w:pPr>
                </w:p>
              </w:tc>
              <w:tc>
                <w:tcPr>
                  <w:tcW w:w="297" w:type="pct"/>
                  <w:vMerge w:val="continue"/>
                  <w:vAlign w:val="center"/>
                </w:tcPr>
                <w:p w14:paraId="31010AD5">
                  <w:pPr>
                    <w:widowControl/>
                    <w:adjustRightInd w:val="0"/>
                    <w:snapToGrid w:val="0"/>
                    <w:jc w:val="center"/>
                    <w:textAlignment w:val="center"/>
                    <w:rPr>
                      <w:color w:val="auto"/>
                      <w:szCs w:val="21"/>
                      <w:highlight w:val="none"/>
                    </w:rPr>
                  </w:pPr>
                </w:p>
              </w:tc>
              <w:tc>
                <w:tcPr>
                  <w:tcW w:w="728" w:type="pct"/>
                  <w:vAlign w:val="center"/>
                </w:tcPr>
                <w:p w14:paraId="5636D9D0">
                  <w:pPr>
                    <w:widowControl/>
                    <w:adjustRightInd w:val="0"/>
                    <w:snapToGrid w:val="0"/>
                    <w:jc w:val="center"/>
                    <w:textAlignment w:val="center"/>
                    <w:rPr>
                      <w:color w:val="auto"/>
                      <w:kern w:val="0"/>
                      <w:szCs w:val="21"/>
                      <w:highlight w:val="none"/>
                    </w:rPr>
                  </w:pPr>
                  <w:r>
                    <w:rPr>
                      <w:color w:val="auto"/>
                      <w:kern w:val="0"/>
                      <w:szCs w:val="21"/>
                      <w:highlight w:val="none"/>
                    </w:rPr>
                    <w:t>SS</w:t>
                  </w:r>
                </w:p>
              </w:tc>
              <w:tc>
                <w:tcPr>
                  <w:tcW w:w="391" w:type="pct"/>
                  <w:vAlign w:val="center"/>
                </w:tcPr>
                <w:p w14:paraId="73E38520">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0.6</w:t>
                  </w:r>
                  <w:r>
                    <w:rPr>
                      <w:rFonts w:hint="eastAsia" w:ascii="Times New Roman"/>
                      <w:color w:val="auto"/>
                      <w:szCs w:val="21"/>
                      <w:highlight w:val="none"/>
                      <w:lang w:val="en-US"/>
                    </w:rPr>
                    <w:t>0</w:t>
                  </w:r>
                </w:p>
              </w:tc>
              <w:tc>
                <w:tcPr>
                  <w:tcW w:w="469" w:type="pct"/>
                  <w:vAlign w:val="center"/>
                </w:tcPr>
                <w:p w14:paraId="3D1508B2">
                  <w:pPr>
                    <w:widowControl/>
                    <w:jc w:val="center"/>
                    <w:textAlignment w:val="center"/>
                    <w:rPr>
                      <w:color w:val="auto"/>
                      <w:szCs w:val="21"/>
                      <w:highlight w:val="none"/>
                    </w:rPr>
                  </w:pPr>
                  <w:r>
                    <w:rPr>
                      <w:color w:val="auto"/>
                      <w:kern w:val="0"/>
                      <w:szCs w:val="21"/>
                      <w:highlight w:val="none"/>
                      <w:lang w:bidi="ar"/>
                    </w:rPr>
                    <w:t xml:space="preserve">0.6373 </w:t>
                  </w:r>
                </w:p>
              </w:tc>
              <w:tc>
                <w:tcPr>
                  <w:tcW w:w="408" w:type="pct"/>
                  <w:vAlign w:val="center"/>
                </w:tcPr>
                <w:p w14:paraId="5E370BC9">
                  <w:pPr>
                    <w:widowControl/>
                    <w:jc w:val="center"/>
                    <w:textAlignment w:val="center"/>
                    <w:rPr>
                      <w:color w:val="auto"/>
                      <w:kern w:val="0"/>
                      <w:szCs w:val="21"/>
                      <w:highlight w:val="none"/>
                      <w:lang w:bidi="ar"/>
                    </w:rPr>
                  </w:pPr>
                  <w:r>
                    <w:rPr>
                      <w:rFonts w:hint="eastAsia"/>
                      <w:color w:val="auto"/>
                      <w:kern w:val="0"/>
                      <w:szCs w:val="21"/>
                      <w:highlight w:val="none"/>
                      <w:lang w:bidi="ar"/>
                    </w:rPr>
                    <w:t>0.</w:t>
                  </w:r>
                  <w:r>
                    <w:rPr>
                      <w:rFonts w:hint="default"/>
                      <w:color w:val="auto"/>
                      <w:kern w:val="0"/>
                      <w:szCs w:val="21"/>
                      <w:highlight w:val="none"/>
                      <w:lang w:bidi="ar"/>
                    </w:rPr>
                    <w:t>1099</w:t>
                  </w:r>
                </w:p>
              </w:tc>
              <w:tc>
                <w:tcPr>
                  <w:tcW w:w="498" w:type="pct"/>
                  <w:vAlign w:val="center"/>
                </w:tcPr>
                <w:p w14:paraId="2A5966E0">
                  <w:pPr>
                    <w:widowControl/>
                    <w:jc w:val="center"/>
                    <w:textAlignment w:val="center"/>
                    <w:rPr>
                      <w:color w:val="auto"/>
                      <w:szCs w:val="21"/>
                      <w:highlight w:val="none"/>
                    </w:rPr>
                  </w:pPr>
                  <w:r>
                    <w:rPr>
                      <w:color w:val="auto"/>
                      <w:kern w:val="0"/>
                      <w:szCs w:val="21"/>
                      <w:highlight w:val="none"/>
                    </w:rPr>
                    <w:t>0.</w:t>
                  </w:r>
                  <w:r>
                    <w:rPr>
                      <w:rFonts w:hint="eastAsia"/>
                      <w:color w:val="auto"/>
                      <w:kern w:val="0"/>
                      <w:szCs w:val="21"/>
                      <w:highlight w:val="none"/>
                    </w:rPr>
                    <w:t>5274</w:t>
                  </w:r>
                  <w:r>
                    <w:rPr>
                      <w:color w:val="auto"/>
                      <w:kern w:val="0"/>
                      <w:szCs w:val="21"/>
                      <w:highlight w:val="none"/>
                    </w:rPr>
                    <w:t xml:space="preserve"> </w:t>
                  </w:r>
                </w:p>
              </w:tc>
              <w:tc>
                <w:tcPr>
                  <w:tcW w:w="470" w:type="pct"/>
                  <w:vAlign w:val="center"/>
                </w:tcPr>
                <w:p w14:paraId="4E0F80C0">
                  <w:pPr>
                    <w:pStyle w:val="60"/>
                    <w:spacing w:beforeLines="0" w:afterLines="0" w:line="240" w:lineRule="auto"/>
                    <w:rPr>
                      <w:color w:val="auto"/>
                      <w:szCs w:val="21"/>
                      <w:highlight w:val="none"/>
                    </w:rPr>
                  </w:pPr>
                  <w:r>
                    <w:rPr>
                      <w:rFonts w:ascii="Times New Roman"/>
                      <w:color w:val="auto"/>
                      <w:szCs w:val="21"/>
                      <w:highlight w:val="none"/>
                      <w:lang w:val="en-US"/>
                    </w:rPr>
                    <w:t>0.6</w:t>
                  </w:r>
                  <w:r>
                    <w:rPr>
                      <w:rFonts w:hint="eastAsia" w:ascii="Times New Roman"/>
                      <w:color w:val="auto"/>
                      <w:szCs w:val="21"/>
                      <w:highlight w:val="none"/>
                      <w:lang w:val="en-US"/>
                    </w:rPr>
                    <w:t>0</w:t>
                  </w:r>
                </w:p>
              </w:tc>
              <w:tc>
                <w:tcPr>
                  <w:tcW w:w="576" w:type="pct"/>
                  <w:vAlign w:val="center"/>
                </w:tcPr>
                <w:p w14:paraId="3BD26312">
                  <w:pPr>
                    <w:widowControl/>
                    <w:jc w:val="center"/>
                    <w:textAlignment w:val="center"/>
                    <w:rPr>
                      <w:color w:val="auto"/>
                      <w:szCs w:val="21"/>
                      <w:highlight w:val="none"/>
                    </w:rPr>
                  </w:pPr>
                  <w:r>
                    <w:rPr>
                      <w:color w:val="auto"/>
                      <w:kern w:val="0"/>
                      <w:szCs w:val="21"/>
                      <w:highlight w:val="none"/>
                    </w:rPr>
                    <w:t>0.</w:t>
                  </w:r>
                  <w:r>
                    <w:rPr>
                      <w:rFonts w:hint="eastAsia"/>
                      <w:color w:val="auto"/>
                      <w:kern w:val="0"/>
                      <w:szCs w:val="21"/>
                      <w:highlight w:val="none"/>
                    </w:rPr>
                    <w:t>5274</w:t>
                  </w:r>
                  <w:r>
                    <w:rPr>
                      <w:color w:val="auto"/>
                      <w:kern w:val="0"/>
                      <w:szCs w:val="21"/>
                      <w:highlight w:val="none"/>
                    </w:rPr>
                    <w:t xml:space="preserve"> </w:t>
                  </w:r>
                </w:p>
              </w:tc>
              <w:tc>
                <w:tcPr>
                  <w:tcW w:w="498" w:type="pct"/>
                  <w:vAlign w:val="center"/>
                </w:tcPr>
                <w:p w14:paraId="7DD88698">
                  <w:pPr>
                    <w:widowControl/>
                    <w:jc w:val="center"/>
                    <w:textAlignment w:val="center"/>
                    <w:rPr>
                      <w:color w:val="auto"/>
                      <w:szCs w:val="21"/>
                      <w:highlight w:val="none"/>
                    </w:rPr>
                  </w:pPr>
                  <w:r>
                    <w:rPr>
                      <w:rFonts w:hint="eastAsia"/>
                      <w:color w:val="auto"/>
                      <w:kern w:val="0"/>
                      <w:szCs w:val="21"/>
                      <w:highlight w:val="none"/>
                    </w:rPr>
                    <w:t>-0.0726</w:t>
                  </w:r>
                </w:p>
              </w:tc>
              <w:tc>
                <w:tcPr>
                  <w:tcW w:w="445" w:type="pct"/>
                  <w:vAlign w:val="center"/>
                </w:tcPr>
                <w:p w14:paraId="07A9637F">
                  <w:pPr>
                    <w:widowControl/>
                    <w:adjustRightInd w:val="0"/>
                    <w:snapToGrid w:val="0"/>
                    <w:jc w:val="center"/>
                    <w:textAlignment w:val="center"/>
                    <w:rPr>
                      <w:color w:val="auto"/>
                      <w:szCs w:val="21"/>
                      <w:highlight w:val="none"/>
                    </w:rPr>
                  </w:pPr>
                  <w:r>
                    <w:rPr>
                      <w:rFonts w:hint="eastAsia"/>
                      <w:color w:val="auto"/>
                      <w:szCs w:val="21"/>
                      <w:highlight w:val="none"/>
                    </w:rPr>
                    <w:t xml:space="preserve">0.0359 </w:t>
                  </w:r>
                </w:p>
              </w:tc>
            </w:tr>
            <w:tr w14:paraId="560E6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22D0AC6F">
                  <w:pPr>
                    <w:adjustRightInd w:val="0"/>
                    <w:snapToGrid w:val="0"/>
                    <w:jc w:val="center"/>
                    <w:rPr>
                      <w:color w:val="auto"/>
                      <w:szCs w:val="21"/>
                      <w:highlight w:val="none"/>
                    </w:rPr>
                  </w:pPr>
                </w:p>
              </w:tc>
              <w:tc>
                <w:tcPr>
                  <w:tcW w:w="297" w:type="pct"/>
                  <w:vMerge w:val="continue"/>
                  <w:vAlign w:val="center"/>
                </w:tcPr>
                <w:p w14:paraId="215DF51B">
                  <w:pPr>
                    <w:widowControl/>
                    <w:adjustRightInd w:val="0"/>
                    <w:snapToGrid w:val="0"/>
                    <w:jc w:val="center"/>
                    <w:textAlignment w:val="center"/>
                    <w:rPr>
                      <w:color w:val="auto"/>
                      <w:szCs w:val="21"/>
                      <w:highlight w:val="none"/>
                    </w:rPr>
                  </w:pPr>
                </w:p>
              </w:tc>
              <w:tc>
                <w:tcPr>
                  <w:tcW w:w="728" w:type="pct"/>
                  <w:vAlign w:val="center"/>
                </w:tcPr>
                <w:p w14:paraId="6A03FAB6">
                  <w:pPr>
                    <w:widowControl/>
                    <w:adjustRightInd w:val="0"/>
                    <w:snapToGrid w:val="0"/>
                    <w:jc w:val="center"/>
                    <w:textAlignment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391" w:type="pct"/>
                  <w:vAlign w:val="center"/>
                </w:tcPr>
                <w:p w14:paraId="52E1C0B4">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0.06</w:t>
                  </w:r>
                </w:p>
              </w:tc>
              <w:tc>
                <w:tcPr>
                  <w:tcW w:w="469" w:type="pct"/>
                  <w:vAlign w:val="center"/>
                </w:tcPr>
                <w:p w14:paraId="500F15DE">
                  <w:pPr>
                    <w:widowControl/>
                    <w:jc w:val="center"/>
                    <w:textAlignment w:val="center"/>
                    <w:rPr>
                      <w:color w:val="auto"/>
                      <w:szCs w:val="21"/>
                      <w:highlight w:val="none"/>
                    </w:rPr>
                  </w:pPr>
                  <w:r>
                    <w:rPr>
                      <w:color w:val="auto"/>
                      <w:kern w:val="0"/>
                      <w:szCs w:val="21"/>
                      <w:highlight w:val="none"/>
                      <w:lang w:bidi="ar"/>
                    </w:rPr>
                    <w:t xml:space="preserve">0.0420 </w:t>
                  </w:r>
                </w:p>
              </w:tc>
              <w:tc>
                <w:tcPr>
                  <w:tcW w:w="408" w:type="pct"/>
                  <w:vAlign w:val="center"/>
                </w:tcPr>
                <w:p w14:paraId="377BAC82">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1BB08725">
                  <w:pPr>
                    <w:widowControl/>
                    <w:jc w:val="center"/>
                    <w:textAlignment w:val="center"/>
                    <w:rPr>
                      <w:color w:val="auto"/>
                      <w:szCs w:val="21"/>
                      <w:highlight w:val="none"/>
                    </w:rPr>
                  </w:pPr>
                  <w:r>
                    <w:rPr>
                      <w:color w:val="auto"/>
                      <w:kern w:val="0"/>
                      <w:szCs w:val="21"/>
                      <w:highlight w:val="none"/>
                    </w:rPr>
                    <w:t xml:space="preserve">0.0420 </w:t>
                  </w:r>
                </w:p>
              </w:tc>
              <w:tc>
                <w:tcPr>
                  <w:tcW w:w="470" w:type="pct"/>
                  <w:vAlign w:val="center"/>
                </w:tcPr>
                <w:p w14:paraId="7F413CF6">
                  <w:pPr>
                    <w:pStyle w:val="60"/>
                    <w:spacing w:beforeLines="0" w:afterLines="0" w:line="240" w:lineRule="auto"/>
                    <w:rPr>
                      <w:color w:val="auto"/>
                      <w:szCs w:val="21"/>
                      <w:highlight w:val="none"/>
                    </w:rPr>
                  </w:pPr>
                  <w:r>
                    <w:rPr>
                      <w:rFonts w:ascii="Times New Roman"/>
                      <w:color w:val="auto"/>
                      <w:szCs w:val="21"/>
                      <w:highlight w:val="none"/>
                      <w:lang w:val="en-US"/>
                    </w:rPr>
                    <w:t>0.06</w:t>
                  </w:r>
                </w:p>
              </w:tc>
              <w:tc>
                <w:tcPr>
                  <w:tcW w:w="576" w:type="pct"/>
                  <w:vAlign w:val="center"/>
                </w:tcPr>
                <w:p w14:paraId="5CE38C49">
                  <w:pPr>
                    <w:widowControl/>
                    <w:jc w:val="center"/>
                    <w:textAlignment w:val="center"/>
                    <w:rPr>
                      <w:color w:val="auto"/>
                      <w:szCs w:val="21"/>
                      <w:highlight w:val="none"/>
                    </w:rPr>
                  </w:pPr>
                  <w:r>
                    <w:rPr>
                      <w:color w:val="auto"/>
                      <w:kern w:val="0"/>
                      <w:szCs w:val="21"/>
                      <w:highlight w:val="none"/>
                    </w:rPr>
                    <w:t xml:space="preserve">0.0420 </w:t>
                  </w:r>
                </w:p>
              </w:tc>
              <w:tc>
                <w:tcPr>
                  <w:tcW w:w="498" w:type="pct"/>
                  <w:vAlign w:val="center"/>
                </w:tcPr>
                <w:p w14:paraId="49E6C281">
                  <w:pPr>
                    <w:widowControl/>
                    <w:jc w:val="center"/>
                    <w:textAlignment w:val="center"/>
                    <w:rPr>
                      <w:color w:val="auto"/>
                      <w:szCs w:val="21"/>
                      <w:highlight w:val="none"/>
                    </w:rPr>
                  </w:pPr>
                  <w:r>
                    <w:rPr>
                      <w:rFonts w:hint="eastAsia"/>
                      <w:color w:val="auto"/>
                      <w:kern w:val="0"/>
                      <w:szCs w:val="21"/>
                      <w:highlight w:val="none"/>
                    </w:rPr>
                    <w:t>-0.018</w:t>
                  </w:r>
                </w:p>
              </w:tc>
              <w:tc>
                <w:tcPr>
                  <w:tcW w:w="445" w:type="pct"/>
                  <w:vAlign w:val="center"/>
                </w:tcPr>
                <w:p w14:paraId="080B881D">
                  <w:pPr>
                    <w:widowControl/>
                    <w:adjustRightInd w:val="0"/>
                    <w:snapToGrid w:val="0"/>
                    <w:jc w:val="center"/>
                    <w:textAlignment w:val="center"/>
                    <w:rPr>
                      <w:color w:val="auto"/>
                      <w:szCs w:val="21"/>
                      <w:highlight w:val="none"/>
                    </w:rPr>
                  </w:pPr>
                  <w:r>
                    <w:rPr>
                      <w:rFonts w:hint="eastAsia"/>
                      <w:color w:val="auto"/>
                      <w:szCs w:val="21"/>
                      <w:highlight w:val="none"/>
                    </w:rPr>
                    <w:t xml:space="preserve">0.0179 </w:t>
                  </w:r>
                </w:p>
              </w:tc>
            </w:tr>
            <w:tr w14:paraId="5FB98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15742B14">
                  <w:pPr>
                    <w:adjustRightInd w:val="0"/>
                    <w:snapToGrid w:val="0"/>
                    <w:jc w:val="center"/>
                    <w:rPr>
                      <w:color w:val="auto"/>
                      <w:szCs w:val="21"/>
                      <w:highlight w:val="none"/>
                    </w:rPr>
                  </w:pPr>
                </w:p>
              </w:tc>
              <w:tc>
                <w:tcPr>
                  <w:tcW w:w="297" w:type="pct"/>
                  <w:vMerge w:val="continue"/>
                  <w:vAlign w:val="center"/>
                </w:tcPr>
                <w:p w14:paraId="2931B771">
                  <w:pPr>
                    <w:widowControl/>
                    <w:adjustRightInd w:val="0"/>
                    <w:snapToGrid w:val="0"/>
                    <w:jc w:val="center"/>
                    <w:textAlignment w:val="center"/>
                    <w:rPr>
                      <w:color w:val="auto"/>
                      <w:szCs w:val="21"/>
                      <w:highlight w:val="none"/>
                    </w:rPr>
                  </w:pPr>
                </w:p>
              </w:tc>
              <w:tc>
                <w:tcPr>
                  <w:tcW w:w="728" w:type="pct"/>
                  <w:vAlign w:val="center"/>
                </w:tcPr>
                <w:p w14:paraId="4091F9C6">
                  <w:pPr>
                    <w:widowControl/>
                    <w:adjustRightInd w:val="0"/>
                    <w:snapToGrid w:val="0"/>
                    <w:jc w:val="center"/>
                    <w:textAlignment w:val="center"/>
                    <w:rPr>
                      <w:color w:val="auto"/>
                      <w:kern w:val="0"/>
                      <w:szCs w:val="21"/>
                      <w:highlight w:val="none"/>
                    </w:rPr>
                  </w:pPr>
                  <w:r>
                    <w:rPr>
                      <w:color w:val="auto"/>
                      <w:kern w:val="0"/>
                      <w:szCs w:val="21"/>
                      <w:highlight w:val="none"/>
                    </w:rPr>
                    <w:t>T</w:t>
                  </w:r>
                  <w:r>
                    <w:rPr>
                      <w:rStyle w:val="80"/>
                      <w:rFonts w:ascii="Times New Roman" w:hAnsi="Times New Roman" w:cs="Times New Roman"/>
                      <w:b w:val="0"/>
                      <w:color w:val="auto"/>
                      <w:highlight w:val="none"/>
                    </w:rPr>
                    <w:t>N</w:t>
                  </w:r>
                </w:p>
              </w:tc>
              <w:tc>
                <w:tcPr>
                  <w:tcW w:w="391" w:type="pct"/>
                  <w:vAlign w:val="center"/>
                </w:tcPr>
                <w:p w14:paraId="36171291">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0.12</w:t>
                  </w:r>
                </w:p>
              </w:tc>
              <w:tc>
                <w:tcPr>
                  <w:tcW w:w="469" w:type="pct"/>
                  <w:vAlign w:val="center"/>
                </w:tcPr>
                <w:p w14:paraId="044467E8">
                  <w:pPr>
                    <w:widowControl/>
                    <w:jc w:val="center"/>
                    <w:textAlignment w:val="center"/>
                    <w:rPr>
                      <w:color w:val="auto"/>
                      <w:szCs w:val="21"/>
                      <w:highlight w:val="none"/>
                    </w:rPr>
                  </w:pPr>
                  <w:r>
                    <w:rPr>
                      <w:color w:val="auto"/>
                      <w:kern w:val="0"/>
                      <w:szCs w:val="21"/>
                      <w:highlight w:val="none"/>
                      <w:lang w:bidi="ar"/>
                    </w:rPr>
                    <w:t xml:space="preserve">0.0540 </w:t>
                  </w:r>
                </w:p>
              </w:tc>
              <w:tc>
                <w:tcPr>
                  <w:tcW w:w="408" w:type="pct"/>
                  <w:vAlign w:val="center"/>
                </w:tcPr>
                <w:p w14:paraId="7BD1FEFD">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60EE693F">
                  <w:pPr>
                    <w:widowControl/>
                    <w:jc w:val="center"/>
                    <w:textAlignment w:val="center"/>
                    <w:rPr>
                      <w:color w:val="auto"/>
                      <w:szCs w:val="21"/>
                      <w:highlight w:val="none"/>
                    </w:rPr>
                  </w:pPr>
                  <w:r>
                    <w:rPr>
                      <w:color w:val="auto"/>
                      <w:kern w:val="0"/>
                      <w:szCs w:val="21"/>
                      <w:highlight w:val="none"/>
                    </w:rPr>
                    <w:t xml:space="preserve">0.0540 </w:t>
                  </w:r>
                </w:p>
              </w:tc>
              <w:tc>
                <w:tcPr>
                  <w:tcW w:w="470" w:type="pct"/>
                  <w:vAlign w:val="center"/>
                </w:tcPr>
                <w:p w14:paraId="32061663">
                  <w:pPr>
                    <w:pStyle w:val="60"/>
                    <w:spacing w:beforeLines="0" w:afterLines="0" w:line="240" w:lineRule="auto"/>
                    <w:rPr>
                      <w:color w:val="auto"/>
                      <w:szCs w:val="21"/>
                      <w:highlight w:val="none"/>
                    </w:rPr>
                  </w:pPr>
                  <w:r>
                    <w:rPr>
                      <w:rFonts w:ascii="Times New Roman"/>
                      <w:color w:val="auto"/>
                      <w:szCs w:val="21"/>
                      <w:highlight w:val="none"/>
                      <w:lang w:val="en-US"/>
                    </w:rPr>
                    <w:t>0.12</w:t>
                  </w:r>
                </w:p>
              </w:tc>
              <w:tc>
                <w:tcPr>
                  <w:tcW w:w="576" w:type="pct"/>
                  <w:vAlign w:val="center"/>
                </w:tcPr>
                <w:p w14:paraId="5DAE0910">
                  <w:pPr>
                    <w:widowControl/>
                    <w:jc w:val="center"/>
                    <w:textAlignment w:val="center"/>
                    <w:rPr>
                      <w:color w:val="auto"/>
                      <w:szCs w:val="21"/>
                      <w:highlight w:val="none"/>
                    </w:rPr>
                  </w:pPr>
                  <w:r>
                    <w:rPr>
                      <w:color w:val="auto"/>
                      <w:kern w:val="0"/>
                      <w:szCs w:val="21"/>
                      <w:highlight w:val="none"/>
                    </w:rPr>
                    <w:t xml:space="preserve">0.0540 </w:t>
                  </w:r>
                </w:p>
              </w:tc>
              <w:tc>
                <w:tcPr>
                  <w:tcW w:w="498" w:type="pct"/>
                  <w:vAlign w:val="center"/>
                </w:tcPr>
                <w:p w14:paraId="3C172328">
                  <w:pPr>
                    <w:widowControl/>
                    <w:jc w:val="center"/>
                    <w:textAlignment w:val="center"/>
                    <w:rPr>
                      <w:color w:val="auto"/>
                      <w:szCs w:val="21"/>
                      <w:highlight w:val="none"/>
                    </w:rPr>
                  </w:pPr>
                  <w:r>
                    <w:rPr>
                      <w:rFonts w:hint="eastAsia"/>
                      <w:color w:val="auto"/>
                      <w:kern w:val="0"/>
                      <w:szCs w:val="21"/>
                      <w:highlight w:val="none"/>
                    </w:rPr>
                    <w:t>-0.066</w:t>
                  </w:r>
                </w:p>
              </w:tc>
              <w:tc>
                <w:tcPr>
                  <w:tcW w:w="445" w:type="pct"/>
                  <w:vAlign w:val="center"/>
                </w:tcPr>
                <w:p w14:paraId="5BE13B6E">
                  <w:pPr>
                    <w:widowControl/>
                    <w:adjustRightInd w:val="0"/>
                    <w:snapToGrid w:val="0"/>
                    <w:jc w:val="center"/>
                    <w:textAlignment w:val="center"/>
                    <w:rPr>
                      <w:color w:val="auto"/>
                      <w:szCs w:val="21"/>
                      <w:highlight w:val="none"/>
                    </w:rPr>
                  </w:pPr>
                  <w:r>
                    <w:rPr>
                      <w:rFonts w:hint="eastAsia"/>
                      <w:color w:val="auto"/>
                      <w:szCs w:val="21"/>
                      <w:highlight w:val="none"/>
                    </w:rPr>
                    <w:t xml:space="preserve">0.0538 </w:t>
                  </w:r>
                </w:p>
              </w:tc>
            </w:tr>
            <w:tr w14:paraId="32DB2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323EBD76">
                  <w:pPr>
                    <w:adjustRightInd w:val="0"/>
                    <w:snapToGrid w:val="0"/>
                    <w:jc w:val="center"/>
                    <w:rPr>
                      <w:color w:val="auto"/>
                      <w:szCs w:val="21"/>
                      <w:highlight w:val="none"/>
                    </w:rPr>
                  </w:pPr>
                </w:p>
              </w:tc>
              <w:tc>
                <w:tcPr>
                  <w:tcW w:w="297" w:type="pct"/>
                  <w:vMerge w:val="continue"/>
                  <w:vAlign w:val="center"/>
                </w:tcPr>
                <w:p w14:paraId="52920828">
                  <w:pPr>
                    <w:widowControl/>
                    <w:adjustRightInd w:val="0"/>
                    <w:snapToGrid w:val="0"/>
                    <w:jc w:val="center"/>
                    <w:textAlignment w:val="center"/>
                    <w:rPr>
                      <w:color w:val="auto"/>
                      <w:szCs w:val="21"/>
                      <w:highlight w:val="none"/>
                    </w:rPr>
                  </w:pPr>
                </w:p>
              </w:tc>
              <w:tc>
                <w:tcPr>
                  <w:tcW w:w="728" w:type="pct"/>
                  <w:vAlign w:val="center"/>
                </w:tcPr>
                <w:p w14:paraId="49221EE0">
                  <w:pPr>
                    <w:widowControl/>
                    <w:adjustRightInd w:val="0"/>
                    <w:snapToGrid w:val="0"/>
                    <w:jc w:val="center"/>
                    <w:textAlignment w:val="center"/>
                    <w:rPr>
                      <w:color w:val="auto"/>
                      <w:kern w:val="0"/>
                      <w:szCs w:val="21"/>
                      <w:highlight w:val="none"/>
                    </w:rPr>
                  </w:pPr>
                  <w:r>
                    <w:rPr>
                      <w:color w:val="auto"/>
                      <w:kern w:val="0"/>
                      <w:szCs w:val="21"/>
                      <w:highlight w:val="none"/>
                    </w:rPr>
                    <w:t>T</w:t>
                  </w:r>
                  <w:r>
                    <w:rPr>
                      <w:rStyle w:val="80"/>
                      <w:rFonts w:ascii="Times New Roman" w:hAnsi="Times New Roman" w:cs="Times New Roman"/>
                      <w:b w:val="0"/>
                      <w:color w:val="auto"/>
                      <w:highlight w:val="none"/>
                    </w:rPr>
                    <w:t>P</w:t>
                  </w:r>
                </w:p>
              </w:tc>
              <w:tc>
                <w:tcPr>
                  <w:tcW w:w="391" w:type="pct"/>
                  <w:vAlign w:val="center"/>
                </w:tcPr>
                <w:p w14:paraId="66F850AF">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0.012</w:t>
                  </w:r>
                </w:p>
              </w:tc>
              <w:tc>
                <w:tcPr>
                  <w:tcW w:w="469" w:type="pct"/>
                  <w:vAlign w:val="center"/>
                </w:tcPr>
                <w:p w14:paraId="31E8B91F">
                  <w:pPr>
                    <w:widowControl/>
                    <w:jc w:val="center"/>
                    <w:textAlignment w:val="center"/>
                    <w:rPr>
                      <w:color w:val="auto"/>
                      <w:szCs w:val="21"/>
                      <w:highlight w:val="none"/>
                    </w:rPr>
                  </w:pPr>
                  <w:r>
                    <w:rPr>
                      <w:color w:val="auto"/>
                      <w:kern w:val="0"/>
                      <w:szCs w:val="21"/>
                      <w:highlight w:val="none"/>
                      <w:lang w:bidi="ar"/>
                    </w:rPr>
                    <w:t xml:space="preserve">0.0060 </w:t>
                  </w:r>
                </w:p>
              </w:tc>
              <w:tc>
                <w:tcPr>
                  <w:tcW w:w="408" w:type="pct"/>
                  <w:vAlign w:val="center"/>
                </w:tcPr>
                <w:p w14:paraId="0F724B59">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6C4C2489">
                  <w:pPr>
                    <w:widowControl/>
                    <w:jc w:val="center"/>
                    <w:textAlignment w:val="center"/>
                    <w:rPr>
                      <w:color w:val="auto"/>
                      <w:szCs w:val="21"/>
                      <w:highlight w:val="none"/>
                    </w:rPr>
                  </w:pPr>
                  <w:r>
                    <w:rPr>
                      <w:color w:val="auto"/>
                      <w:kern w:val="0"/>
                      <w:szCs w:val="21"/>
                      <w:highlight w:val="none"/>
                    </w:rPr>
                    <w:t xml:space="preserve">0.0060 </w:t>
                  </w:r>
                </w:p>
              </w:tc>
              <w:tc>
                <w:tcPr>
                  <w:tcW w:w="470" w:type="pct"/>
                  <w:vAlign w:val="center"/>
                </w:tcPr>
                <w:p w14:paraId="679AE583">
                  <w:pPr>
                    <w:pStyle w:val="60"/>
                    <w:spacing w:beforeLines="0" w:afterLines="0" w:line="240" w:lineRule="auto"/>
                    <w:rPr>
                      <w:color w:val="auto"/>
                      <w:szCs w:val="21"/>
                      <w:highlight w:val="none"/>
                    </w:rPr>
                  </w:pPr>
                  <w:r>
                    <w:rPr>
                      <w:rFonts w:ascii="Times New Roman"/>
                      <w:color w:val="auto"/>
                      <w:szCs w:val="21"/>
                      <w:highlight w:val="none"/>
                      <w:lang w:val="en-US"/>
                    </w:rPr>
                    <w:t>0.012</w:t>
                  </w:r>
                </w:p>
              </w:tc>
              <w:tc>
                <w:tcPr>
                  <w:tcW w:w="576" w:type="pct"/>
                  <w:vAlign w:val="center"/>
                </w:tcPr>
                <w:p w14:paraId="33E715D2">
                  <w:pPr>
                    <w:widowControl/>
                    <w:jc w:val="center"/>
                    <w:textAlignment w:val="center"/>
                    <w:rPr>
                      <w:color w:val="auto"/>
                      <w:szCs w:val="21"/>
                      <w:highlight w:val="none"/>
                    </w:rPr>
                  </w:pPr>
                  <w:r>
                    <w:rPr>
                      <w:color w:val="auto"/>
                      <w:kern w:val="0"/>
                      <w:szCs w:val="21"/>
                      <w:highlight w:val="none"/>
                    </w:rPr>
                    <w:t xml:space="preserve">0.0060 </w:t>
                  </w:r>
                </w:p>
              </w:tc>
              <w:tc>
                <w:tcPr>
                  <w:tcW w:w="498" w:type="pct"/>
                  <w:vAlign w:val="center"/>
                </w:tcPr>
                <w:p w14:paraId="18F647E6">
                  <w:pPr>
                    <w:widowControl/>
                    <w:jc w:val="center"/>
                    <w:textAlignment w:val="center"/>
                    <w:rPr>
                      <w:color w:val="auto"/>
                      <w:szCs w:val="21"/>
                      <w:highlight w:val="none"/>
                    </w:rPr>
                  </w:pPr>
                  <w:r>
                    <w:rPr>
                      <w:rFonts w:hint="eastAsia"/>
                      <w:color w:val="auto"/>
                      <w:kern w:val="0"/>
                      <w:szCs w:val="21"/>
                      <w:highlight w:val="none"/>
                    </w:rPr>
                    <w:t>-0.006</w:t>
                  </w:r>
                </w:p>
              </w:tc>
              <w:tc>
                <w:tcPr>
                  <w:tcW w:w="445" w:type="pct"/>
                  <w:vAlign w:val="center"/>
                </w:tcPr>
                <w:p w14:paraId="048208D5">
                  <w:pPr>
                    <w:widowControl/>
                    <w:adjustRightInd w:val="0"/>
                    <w:snapToGrid w:val="0"/>
                    <w:jc w:val="center"/>
                    <w:textAlignment w:val="center"/>
                    <w:rPr>
                      <w:color w:val="auto"/>
                      <w:szCs w:val="21"/>
                      <w:highlight w:val="none"/>
                    </w:rPr>
                  </w:pPr>
                  <w:r>
                    <w:rPr>
                      <w:rFonts w:hint="eastAsia"/>
                      <w:color w:val="auto"/>
                      <w:szCs w:val="21"/>
                      <w:highlight w:val="none"/>
                    </w:rPr>
                    <w:t xml:space="preserve">0.0018 </w:t>
                  </w:r>
                </w:p>
              </w:tc>
            </w:tr>
            <w:tr w14:paraId="714E5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restart"/>
                  <w:vAlign w:val="center"/>
                </w:tcPr>
                <w:p w14:paraId="22E12297">
                  <w:pPr>
                    <w:widowControl/>
                    <w:adjustRightInd w:val="0"/>
                    <w:snapToGrid w:val="0"/>
                    <w:jc w:val="center"/>
                    <w:textAlignment w:val="center"/>
                    <w:rPr>
                      <w:color w:val="auto"/>
                      <w:szCs w:val="21"/>
                      <w:highlight w:val="none"/>
                    </w:rPr>
                  </w:pPr>
                  <w:r>
                    <w:rPr>
                      <w:rFonts w:hAnsi="宋体"/>
                      <w:color w:val="auto"/>
                      <w:kern w:val="0"/>
                      <w:szCs w:val="21"/>
                      <w:highlight w:val="none"/>
                    </w:rPr>
                    <w:t>固废</w:t>
                  </w:r>
                </w:p>
              </w:tc>
              <w:tc>
                <w:tcPr>
                  <w:tcW w:w="297" w:type="pct"/>
                  <w:vMerge w:val="restart"/>
                  <w:vAlign w:val="center"/>
                </w:tcPr>
                <w:p w14:paraId="46EBB757">
                  <w:pPr>
                    <w:pStyle w:val="79"/>
                    <w:spacing w:line="240" w:lineRule="auto"/>
                    <w:rPr>
                      <w:rFonts w:ascii="Times New Roman"/>
                      <w:snapToGrid w:val="0"/>
                      <w:color w:val="auto"/>
                      <w:sz w:val="21"/>
                      <w:szCs w:val="21"/>
                      <w:highlight w:val="none"/>
                      <w:lang w:val="en-US"/>
                    </w:rPr>
                  </w:pPr>
                  <w:r>
                    <w:rPr>
                      <w:rFonts w:ascii="Times New Roman" w:hAnsi="宋体"/>
                      <w:snapToGrid w:val="0"/>
                      <w:color w:val="auto"/>
                      <w:sz w:val="21"/>
                      <w:szCs w:val="21"/>
                      <w:highlight w:val="none"/>
                      <w:lang w:val="en-US"/>
                    </w:rPr>
                    <w:t>一般固废</w:t>
                  </w:r>
                </w:p>
              </w:tc>
              <w:tc>
                <w:tcPr>
                  <w:tcW w:w="728" w:type="pct"/>
                  <w:vAlign w:val="center"/>
                </w:tcPr>
                <w:p w14:paraId="0CA195FD">
                  <w:pPr>
                    <w:widowControl/>
                    <w:adjustRightInd w:val="0"/>
                    <w:snapToGrid w:val="0"/>
                    <w:jc w:val="center"/>
                    <w:textAlignment w:val="center"/>
                    <w:rPr>
                      <w:color w:val="auto"/>
                      <w:kern w:val="0"/>
                      <w:szCs w:val="21"/>
                      <w:highlight w:val="none"/>
                    </w:rPr>
                  </w:pPr>
                  <w:r>
                    <w:rPr>
                      <w:color w:val="auto"/>
                      <w:kern w:val="0"/>
                      <w:szCs w:val="21"/>
                      <w:highlight w:val="none"/>
                    </w:rPr>
                    <w:t>生活垃圾</w:t>
                  </w:r>
                </w:p>
              </w:tc>
              <w:tc>
                <w:tcPr>
                  <w:tcW w:w="391" w:type="pct"/>
                  <w:vAlign w:val="center"/>
                </w:tcPr>
                <w:p w14:paraId="00F2C4B0">
                  <w:pPr>
                    <w:adjustRightInd w:val="0"/>
                    <w:snapToGrid w:val="0"/>
                    <w:jc w:val="center"/>
                    <w:rPr>
                      <w:color w:val="auto"/>
                      <w:szCs w:val="21"/>
                      <w:highlight w:val="none"/>
                    </w:rPr>
                  </w:pPr>
                  <w:r>
                    <w:rPr>
                      <w:rFonts w:hint="eastAsia"/>
                      <w:color w:val="auto"/>
                      <w:szCs w:val="21"/>
                      <w:highlight w:val="none"/>
                    </w:rPr>
                    <w:t>0</w:t>
                  </w:r>
                </w:p>
              </w:tc>
              <w:tc>
                <w:tcPr>
                  <w:tcW w:w="469" w:type="pct"/>
                  <w:vAlign w:val="center"/>
                </w:tcPr>
                <w:p w14:paraId="4EA839B5">
                  <w:pPr>
                    <w:adjustRightInd w:val="0"/>
                    <w:snapToGrid w:val="0"/>
                    <w:jc w:val="center"/>
                    <w:rPr>
                      <w:color w:val="auto"/>
                      <w:szCs w:val="21"/>
                      <w:highlight w:val="none"/>
                    </w:rPr>
                  </w:pPr>
                  <w:r>
                    <w:rPr>
                      <w:rFonts w:hint="eastAsia"/>
                      <w:color w:val="auto"/>
                      <w:szCs w:val="21"/>
                      <w:highlight w:val="none"/>
                    </w:rPr>
                    <w:t>7.2</w:t>
                  </w:r>
                </w:p>
              </w:tc>
              <w:tc>
                <w:tcPr>
                  <w:tcW w:w="408" w:type="pct"/>
                  <w:vAlign w:val="center"/>
                </w:tcPr>
                <w:p w14:paraId="254CB6A3">
                  <w:pPr>
                    <w:adjustRightInd w:val="0"/>
                    <w:snapToGrid w:val="0"/>
                    <w:jc w:val="center"/>
                    <w:rPr>
                      <w:color w:val="auto"/>
                      <w:szCs w:val="21"/>
                      <w:highlight w:val="none"/>
                    </w:rPr>
                  </w:pPr>
                  <w:r>
                    <w:rPr>
                      <w:rFonts w:hint="eastAsia"/>
                      <w:color w:val="auto"/>
                      <w:szCs w:val="21"/>
                      <w:highlight w:val="none"/>
                    </w:rPr>
                    <w:t>7.2</w:t>
                  </w:r>
                </w:p>
              </w:tc>
              <w:tc>
                <w:tcPr>
                  <w:tcW w:w="498" w:type="pct"/>
                  <w:vAlign w:val="center"/>
                </w:tcPr>
                <w:p w14:paraId="2F40D88A">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70" w:type="pct"/>
                  <w:vAlign w:val="center"/>
                </w:tcPr>
                <w:p w14:paraId="23F94DC7">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576" w:type="pct"/>
                  <w:vAlign w:val="center"/>
                </w:tcPr>
                <w:p w14:paraId="4774D138">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0470F625">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45" w:type="pct"/>
                  <w:vAlign w:val="center"/>
                </w:tcPr>
                <w:p w14:paraId="1B4B1F26">
                  <w:pPr>
                    <w:adjustRightInd w:val="0"/>
                    <w:snapToGrid w:val="0"/>
                    <w:jc w:val="center"/>
                    <w:rPr>
                      <w:color w:val="auto"/>
                      <w:szCs w:val="21"/>
                      <w:highlight w:val="none"/>
                    </w:rPr>
                  </w:pPr>
                  <w:r>
                    <w:rPr>
                      <w:rFonts w:hint="eastAsia"/>
                      <w:color w:val="auto"/>
                      <w:szCs w:val="21"/>
                      <w:highlight w:val="none"/>
                    </w:rPr>
                    <w:t>/</w:t>
                  </w:r>
                </w:p>
              </w:tc>
            </w:tr>
            <w:tr w14:paraId="5D308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6488EA78">
                  <w:pPr>
                    <w:widowControl/>
                    <w:adjustRightInd w:val="0"/>
                    <w:snapToGrid w:val="0"/>
                    <w:jc w:val="center"/>
                    <w:textAlignment w:val="center"/>
                    <w:rPr>
                      <w:color w:val="auto"/>
                      <w:szCs w:val="21"/>
                      <w:highlight w:val="none"/>
                    </w:rPr>
                  </w:pPr>
                </w:p>
              </w:tc>
              <w:tc>
                <w:tcPr>
                  <w:tcW w:w="297" w:type="pct"/>
                  <w:vMerge w:val="continue"/>
                  <w:vAlign w:val="center"/>
                </w:tcPr>
                <w:p w14:paraId="2F9B99AD">
                  <w:pPr>
                    <w:pStyle w:val="79"/>
                    <w:spacing w:line="240" w:lineRule="auto"/>
                    <w:rPr>
                      <w:rFonts w:ascii="Times New Roman"/>
                      <w:color w:val="auto"/>
                      <w:sz w:val="21"/>
                      <w:szCs w:val="21"/>
                      <w:highlight w:val="none"/>
                      <w:lang w:val="en-US"/>
                    </w:rPr>
                  </w:pPr>
                </w:p>
              </w:tc>
              <w:tc>
                <w:tcPr>
                  <w:tcW w:w="728" w:type="pct"/>
                  <w:vAlign w:val="center"/>
                </w:tcPr>
                <w:p w14:paraId="18806AFF">
                  <w:pPr>
                    <w:widowControl/>
                    <w:adjustRightInd w:val="0"/>
                    <w:snapToGrid w:val="0"/>
                    <w:jc w:val="center"/>
                    <w:textAlignment w:val="center"/>
                    <w:rPr>
                      <w:color w:val="auto"/>
                      <w:kern w:val="0"/>
                      <w:szCs w:val="21"/>
                      <w:highlight w:val="none"/>
                    </w:rPr>
                  </w:pPr>
                  <w:r>
                    <w:rPr>
                      <w:color w:val="auto"/>
                      <w:kern w:val="0"/>
                      <w:szCs w:val="21"/>
                      <w:highlight w:val="none"/>
                    </w:rPr>
                    <w:t>废铜线</w:t>
                  </w:r>
                </w:p>
              </w:tc>
              <w:tc>
                <w:tcPr>
                  <w:tcW w:w="391" w:type="pct"/>
                  <w:vAlign w:val="center"/>
                </w:tcPr>
                <w:p w14:paraId="2FECBE28">
                  <w:pPr>
                    <w:adjustRightInd w:val="0"/>
                    <w:snapToGrid w:val="0"/>
                    <w:jc w:val="center"/>
                    <w:rPr>
                      <w:color w:val="auto"/>
                      <w:szCs w:val="21"/>
                      <w:highlight w:val="none"/>
                    </w:rPr>
                  </w:pPr>
                  <w:r>
                    <w:rPr>
                      <w:rFonts w:hint="eastAsia"/>
                      <w:color w:val="auto"/>
                      <w:szCs w:val="21"/>
                      <w:highlight w:val="none"/>
                    </w:rPr>
                    <w:t>0</w:t>
                  </w:r>
                </w:p>
              </w:tc>
              <w:tc>
                <w:tcPr>
                  <w:tcW w:w="469" w:type="pct"/>
                  <w:vAlign w:val="center"/>
                </w:tcPr>
                <w:p w14:paraId="0E7E7497">
                  <w:pPr>
                    <w:adjustRightInd w:val="0"/>
                    <w:snapToGrid w:val="0"/>
                    <w:jc w:val="center"/>
                    <w:rPr>
                      <w:color w:val="auto"/>
                      <w:szCs w:val="21"/>
                      <w:highlight w:val="none"/>
                    </w:rPr>
                  </w:pPr>
                  <w:r>
                    <w:rPr>
                      <w:rFonts w:hint="eastAsia"/>
                      <w:color w:val="auto"/>
                      <w:szCs w:val="21"/>
                      <w:highlight w:val="none"/>
                    </w:rPr>
                    <w:t>0.2</w:t>
                  </w:r>
                </w:p>
              </w:tc>
              <w:tc>
                <w:tcPr>
                  <w:tcW w:w="408" w:type="pct"/>
                  <w:vAlign w:val="center"/>
                </w:tcPr>
                <w:p w14:paraId="10329FAC">
                  <w:pPr>
                    <w:adjustRightInd w:val="0"/>
                    <w:snapToGrid w:val="0"/>
                    <w:jc w:val="center"/>
                    <w:rPr>
                      <w:color w:val="auto"/>
                      <w:szCs w:val="21"/>
                      <w:highlight w:val="none"/>
                    </w:rPr>
                  </w:pPr>
                  <w:r>
                    <w:rPr>
                      <w:rFonts w:hint="eastAsia"/>
                      <w:color w:val="auto"/>
                      <w:szCs w:val="21"/>
                      <w:highlight w:val="none"/>
                    </w:rPr>
                    <w:t>0.2</w:t>
                  </w:r>
                </w:p>
              </w:tc>
              <w:tc>
                <w:tcPr>
                  <w:tcW w:w="498" w:type="pct"/>
                  <w:vAlign w:val="center"/>
                </w:tcPr>
                <w:p w14:paraId="170E3EAC">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70" w:type="pct"/>
                  <w:vAlign w:val="center"/>
                </w:tcPr>
                <w:p w14:paraId="70F30421">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576" w:type="pct"/>
                  <w:vAlign w:val="center"/>
                </w:tcPr>
                <w:p w14:paraId="2DC672F1">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98" w:type="pct"/>
                  <w:vAlign w:val="center"/>
                </w:tcPr>
                <w:p w14:paraId="1120E81A">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45" w:type="pct"/>
                  <w:vAlign w:val="center"/>
                </w:tcPr>
                <w:p w14:paraId="76625B7A">
                  <w:pPr>
                    <w:adjustRightInd w:val="0"/>
                    <w:snapToGrid w:val="0"/>
                    <w:jc w:val="center"/>
                    <w:rPr>
                      <w:color w:val="auto"/>
                      <w:szCs w:val="21"/>
                      <w:highlight w:val="none"/>
                    </w:rPr>
                  </w:pPr>
                  <w:r>
                    <w:rPr>
                      <w:rFonts w:hint="eastAsia"/>
                      <w:color w:val="auto"/>
                      <w:szCs w:val="21"/>
                      <w:highlight w:val="none"/>
                    </w:rPr>
                    <w:t>/</w:t>
                  </w:r>
                </w:p>
              </w:tc>
            </w:tr>
            <w:tr w14:paraId="0DFD1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79E6BD24">
                  <w:pPr>
                    <w:widowControl/>
                    <w:adjustRightInd w:val="0"/>
                    <w:snapToGrid w:val="0"/>
                    <w:jc w:val="center"/>
                    <w:textAlignment w:val="center"/>
                    <w:rPr>
                      <w:color w:val="auto"/>
                      <w:szCs w:val="21"/>
                      <w:highlight w:val="none"/>
                    </w:rPr>
                  </w:pPr>
                </w:p>
              </w:tc>
              <w:tc>
                <w:tcPr>
                  <w:tcW w:w="297" w:type="pct"/>
                  <w:vMerge w:val="continue"/>
                  <w:vAlign w:val="center"/>
                </w:tcPr>
                <w:p w14:paraId="05C0BAA5">
                  <w:pPr>
                    <w:pStyle w:val="79"/>
                    <w:spacing w:line="240" w:lineRule="auto"/>
                    <w:rPr>
                      <w:rFonts w:ascii="Times New Roman"/>
                      <w:color w:val="auto"/>
                      <w:sz w:val="21"/>
                      <w:szCs w:val="21"/>
                      <w:highlight w:val="none"/>
                      <w:lang w:val="en-US"/>
                    </w:rPr>
                  </w:pPr>
                </w:p>
              </w:tc>
              <w:tc>
                <w:tcPr>
                  <w:tcW w:w="728" w:type="pct"/>
                  <w:vAlign w:val="center"/>
                </w:tcPr>
                <w:p w14:paraId="5CC6A3AA">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焊接烟尘净化器收集粉尘</w:t>
                  </w:r>
                </w:p>
              </w:tc>
              <w:tc>
                <w:tcPr>
                  <w:tcW w:w="391" w:type="pct"/>
                  <w:vAlign w:val="center"/>
                </w:tcPr>
                <w:p w14:paraId="767957A8">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69" w:type="pct"/>
                  <w:vAlign w:val="center"/>
                </w:tcPr>
                <w:p w14:paraId="016D76A0">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0.288</w:t>
                  </w:r>
                </w:p>
              </w:tc>
              <w:tc>
                <w:tcPr>
                  <w:tcW w:w="408" w:type="pct"/>
                  <w:vAlign w:val="center"/>
                </w:tcPr>
                <w:p w14:paraId="0ACEFD0E">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0.288</w:t>
                  </w:r>
                </w:p>
              </w:tc>
              <w:tc>
                <w:tcPr>
                  <w:tcW w:w="498" w:type="pct"/>
                  <w:vAlign w:val="center"/>
                </w:tcPr>
                <w:p w14:paraId="71B72C12">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70" w:type="pct"/>
                  <w:vAlign w:val="center"/>
                </w:tcPr>
                <w:p w14:paraId="431D7AFD">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576" w:type="pct"/>
                  <w:vAlign w:val="center"/>
                </w:tcPr>
                <w:p w14:paraId="0BE7776C">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98" w:type="pct"/>
                  <w:vAlign w:val="center"/>
                </w:tcPr>
                <w:p w14:paraId="73B9DCB0">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45" w:type="pct"/>
                  <w:vAlign w:val="center"/>
                </w:tcPr>
                <w:p w14:paraId="6E4BF80F">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w:t>
                  </w:r>
                </w:p>
              </w:tc>
            </w:tr>
            <w:tr w14:paraId="1CBFD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2049DAB6">
                  <w:pPr>
                    <w:widowControl/>
                    <w:adjustRightInd w:val="0"/>
                    <w:snapToGrid w:val="0"/>
                    <w:jc w:val="center"/>
                    <w:textAlignment w:val="center"/>
                    <w:rPr>
                      <w:color w:val="auto"/>
                      <w:szCs w:val="21"/>
                      <w:highlight w:val="none"/>
                    </w:rPr>
                  </w:pPr>
                </w:p>
              </w:tc>
              <w:tc>
                <w:tcPr>
                  <w:tcW w:w="297" w:type="pct"/>
                  <w:vMerge w:val="continue"/>
                  <w:vAlign w:val="center"/>
                </w:tcPr>
                <w:p w14:paraId="514326AA">
                  <w:pPr>
                    <w:pStyle w:val="79"/>
                    <w:spacing w:line="240" w:lineRule="auto"/>
                    <w:rPr>
                      <w:rFonts w:ascii="Times New Roman"/>
                      <w:color w:val="auto"/>
                      <w:sz w:val="21"/>
                      <w:szCs w:val="21"/>
                      <w:highlight w:val="none"/>
                      <w:lang w:val="en-US"/>
                    </w:rPr>
                  </w:pPr>
                </w:p>
              </w:tc>
              <w:tc>
                <w:tcPr>
                  <w:tcW w:w="728" w:type="pct"/>
                  <w:vAlign w:val="center"/>
                </w:tcPr>
                <w:p w14:paraId="01F655F0">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泥渣</w:t>
                  </w:r>
                </w:p>
              </w:tc>
              <w:tc>
                <w:tcPr>
                  <w:tcW w:w="391" w:type="pct"/>
                  <w:vAlign w:val="center"/>
                </w:tcPr>
                <w:p w14:paraId="2DBDA40C">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69" w:type="pct"/>
                  <w:vAlign w:val="center"/>
                </w:tcPr>
                <w:p w14:paraId="4615C6B2">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w:t>
                  </w:r>
                </w:p>
              </w:tc>
              <w:tc>
                <w:tcPr>
                  <w:tcW w:w="408" w:type="pct"/>
                  <w:vAlign w:val="center"/>
                </w:tcPr>
                <w:p w14:paraId="531769E3">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w:t>
                  </w:r>
                </w:p>
              </w:tc>
              <w:tc>
                <w:tcPr>
                  <w:tcW w:w="498" w:type="pct"/>
                  <w:vAlign w:val="center"/>
                </w:tcPr>
                <w:p w14:paraId="43AA5531">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70" w:type="pct"/>
                  <w:vAlign w:val="center"/>
                </w:tcPr>
                <w:p w14:paraId="3864693A">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576" w:type="pct"/>
                  <w:vAlign w:val="center"/>
                </w:tcPr>
                <w:p w14:paraId="16091517">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98" w:type="pct"/>
                  <w:vAlign w:val="center"/>
                </w:tcPr>
                <w:p w14:paraId="4AE27407">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0</w:t>
                  </w:r>
                </w:p>
              </w:tc>
              <w:tc>
                <w:tcPr>
                  <w:tcW w:w="445" w:type="pct"/>
                  <w:vAlign w:val="center"/>
                </w:tcPr>
                <w:p w14:paraId="530A06A5">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w:t>
                  </w:r>
                </w:p>
              </w:tc>
            </w:tr>
            <w:tr w14:paraId="7C244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40F00BA9">
                  <w:pPr>
                    <w:widowControl/>
                    <w:adjustRightInd w:val="0"/>
                    <w:snapToGrid w:val="0"/>
                    <w:jc w:val="center"/>
                    <w:textAlignment w:val="center"/>
                    <w:rPr>
                      <w:color w:val="auto"/>
                      <w:szCs w:val="21"/>
                      <w:highlight w:val="none"/>
                    </w:rPr>
                  </w:pPr>
                </w:p>
              </w:tc>
              <w:tc>
                <w:tcPr>
                  <w:tcW w:w="297" w:type="pct"/>
                  <w:vMerge w:val="continue"/>
                  <w:vAlign w:val="center"/>
                </w:tcPr>
                <w:p w14:paraId="1560C8B9">
                  <w:pPr>
                    <w:pStyle w:val="79"/>
                    <w:spacing w:line="240" w:lineRule="auto"/>
                    <w:rPr>
                      <w:rFonts w:ascii="Times New Roman"/>
                      <w:color w:val="auto"/>
                      <w:sz w:val="21"/>
                      <w:szCs w:val="21"/>
                      <w:highlight w:val="none"/>
                      <w:lang w:val="en-US"/>
                    </w:rPr>
                  </w:pPr>
                </w:p>
              </w:tc>
              <w:tc>
                <w:tcPr>
                  <w:tcW w:w="728" w:type="pct"/>
                  <w:vAlign w:val="center"/>
                </w:tcPr>
                <w:p w14:paraId="588C7EBE">
                  <w:pPr>
                    <w:widowControl/>
                    <w:adjustRightInd w:val="0"/>
                    <w:snapToGrid w:val="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废包装袋</w:t>
                  </w:r>
                </w:p>
              </w:tc>
              <w:tc>
                <w:tcPr>
                  <w:tcW w:w="391" w:type="pct"/>
                  <w:vAlign w:val="center"/>
                </w:tcPr>
                <w:p w14:paraId="385825F3">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469" w:type="pct"/>
                  <w:vAlign w:val="center"/>
                </w:tcPr>
                <w:p w14:paraId="5DADEC00">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0.03</w:t>
                  </w:r>
                </w:p>
              </w:tc>
              <w:tc>
                <w:tcPr>
                  <w:tcW w:w="408" w:type="pct"/>
                  <w:vAlign w:val="center"/>
                </w:tcPr>
                <w:p w14:paraId="27548381">
                  <w:pPr>
                    <w:adjustRightInd w:val="0"/>
                    <w:snapToGrid w:val="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0.03</w:t>
                  </w:r>
                </w:p>
              </w:tc>
              <w:tc>
                <w:tcPr>
                  <w:tcW w:w="498" w:type="pct"/>
                  <w:vAlign w:val="center"/>
                </w:tcPr>
                <w:p w14:paraId="6FEF2085">
                  <w:pPr>
                    <w:widowControl/>
                    <w:adjustRightInd w:val="0"/>
                    <w:snapToGrid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470" w:type="pct"/>
                  <w:vAlign w:val="center"/>
                </w:tcPr>
                <w:p w14:paraId="7044A2EE">
                  <w:pPr>
                    <w:widowControl/>
                    <w:adjustRightInd w:val="0"/>
                    <w:snapToGrid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576" w:type="pct"/>
                  <w:vAlign w:val="center"/>
                </w:tcPr>
                <w:p w14:paraId="0AF411C4">
                  <w:pPr>
                    <w:widowControl/>
                    <w:adjustRightInd w:val="0"/>
                    <w:snapToGrid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498" w:type="pct"/>
                  <w:vAlign w:val="center"/>
                </w:tcPr>
                <w:p w14:paraId="3E80D487">
                  <w:pPr>
                    <w:widowControl/>
                    <w:adjustRightInd w:val="0"/>
                    <w:snapToGrid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445" w:type="pct"/>
                  <w:vAlign w:val="center"/>
                </w:tcPr>
                <w:p w14:paraId="420E099A">
                  <w:pPr>
                    <w:widowControl/>
                    <w:adjustRightInd w:val="0"/>
                    <w:snapToGrid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w:t>
                  </w:r>
                </w:p>
              </w:tc>
            </w:tr>
            <w:tr w14:paraId="07D4F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40B6AF03">
                  <w:pPr>
                    <w:widowControl/>
                    <w:adjustRightInd w:val="0"/>
                    <w:snapToGrid w:val="0"/>
                    <w:jc w:val="center"/>
                    <w:textAlignment w:val="center"/>
                    <w:rPr>
                      <w:color w:val="auto"/>
                      <w:szCs w:val="21"/>
                      <w:highlight w:val="none"/>
                    </w:rPr>
                  </w:pPr>
                </w:p>
              </w:tc>
              <w:tc>
                <w:tcPr>
                  <w:tcW w:w="297" w:type="pct"/>
                  <w:vMerge w:val="restart"/>
                  <w:vAlign w:val="center"/>
                </w:tcPr>
                <w:p w14:paraId="7111A1D4">
                  <w:pPr>
                    <w:pStyle w:val="79"/>
                    <w:spacing w:line="240" w:lineRule="auto"/>
                    <w:rPr>
                      <w:rFonts w:ascii="Times New Roman"/>
                      <w:snapToGrid w:val="0"/>
                      <w:color w:val="auto"/>
                      <w:sz w:val="21"/>
                      <w:szCs w:val="21"/>
                      <w:highlight w:val="none"/>
                      <w:lang w:val="en-US"/>
                    </w:rPr>
                  </w:pPr>
                  <w:r>
                    <w:rPr>
                      <w:rFonts w:ascii="Times New Roman" w:hAnsi="宋体"/>
                      <w:snapToGrid w:val="0"/>
                      <w:color w:val="auto"/>
                      <w:sz w:val="21"/>
                      <w:szCs w:val="21"/>
                      <w:highlight w:val="none"/>
                      <w:lang w:val="en-US"/>
                    </w:rPr>
                    <w:t>危险</w:t>
                  </w:r>
                  <w:r>
                    <w:rPr>
                      <w:rFonts w:hint="eastAsia" w:ascii="Times New Roman"/>
                      <w:snapToGrid w:val="0"/>
                      <w:color w:val="auto"/>
                      <w:sz w:val="21"/>
                      <w:szCs w:val="21"/>
                      <w:highlight w:val="none"/>
                      <w:lang w:val="en-US"/>
                    </w:rPr>
                    <w:t>废物</w:t>
                  </w:r>
                </w:p>
              </w:tc>
              <w:tc>
                <w:tcPr>
                  <w:tcW w:w="728" w:type="pct"/>
                  <w:vAlign w:val="center"/>
                </w:tcPr>
                <w:p w14:paraId="6B74EC4D">
                  <w:pPr>
                    <w:widowControl/>
                    <w:adjustRightInd w:val="0"/>
                    <w:snapToGrid w:val="0"/>
                    <w:jc w:val="center"/>
                    <w:textAlignment w:val="center"/>
                    <w:rPr>
                      <w:color w:val="auto"/>
                      <w:kern w:val="0"/>
                      <w:szCs w:val="21"/>
                      <w:highlight w:val="none"/>
                    </w:rPr>
                  </w:pPr>
                  <w:r>
                    <w:rPr>
                      <w:rFonts w:hint="eastAsia"/>
                      <w:color w:val="auto"/>
                      <w:kern w:val="0"/>
                      <w:szCs w:val="21"/>
                      <w:highlight w:val="none"/>
                    </w:rPr>
                    <w:t>废粉</w:t>
                  </w:r>
                </w:p>
              </w:tc>
              <w:tc>
                <w:tcPr>
                  <w:tcW w:w="391" w:type="pct"/>
                  <w:vAlign w:val="center"/>
                </w:tcPr>
                <w:p w14:paraId="37EE7B43">
                  <w:pPr>
                    <w:adjustRightInd w:val="0"/>
                    <w:snapToGrid w:val="0"/>
                    <w:jc w:val="center"/>
                    <w:rPr>
                      <w:color w:val="auto"/>
                      <w:szCs w:val="21"/>
                      <w:highlight w:val="none"/>
                    </w:rPr>
                  </w:pPr>
                  <w:r>
                    <w:rPr>
                      <w:rFonts w:hint="eastAsia"/>
                      <w:color w:val="auto"/>
                      <w:szCs w:val="21"/>
                      <w:highlight w:val="none"/>
                    </w:rPr>
                    <w:t>0</w:t>
                  </w:r>
                </w:p>
              </w:tc>
              <w:tc>
                <w:tcPr>
                  <w:tcW w:w="469" w:type="pct"/>
                  <w:vAlign w:val="center"/>
                </w:tcPr>
                <w:p w14:paraId="4C1BE42C">
                  <w:pPr>
                    <w:adjustRightInd w:val="0"/>
                    <w:snapToGrid w:val="0"/>
                    <w:jc w:val="center"/>
                    <w:rPr>
                      <w:color w:val="auto"/>
                      <w:kern w:val="0"/>
                      <w:szCs w:val="21"/>
                      <w:highlight w:val="none"/>
                    </w:rPr>
                  </w:pPr>
                  <w:r>
                    <w:rPr>
                      <w:rFonts w:hint="default"/>
                      <w:color w:val="auto"/>
                      <w:szCs w:val="21"/>
                      <w:highlight w:val="none"/>
                    </w:rPr>
                    <w:t>2.1</w:t>
                  </w:r>
                  <w:r>
                    <w:rPr>
                      <w:rFonts w:hint="eastAsia"/>
                      <w:color w:val="auto"/>
                      <w:szCs w:val="21"/>
                      <w:highlight w:val="none"/>
                    </w:rPr>
                    <w:t>39</w:t>
                  </w:r>
                </w:p>
              </w:tc>
              <w:tc>
                <w:tcPr>
                  <w:tcW w:w="408" w:type="pct"/>
                  <w:vAlign w:val="center"/>
                </w:tcPr>
                <w:p w14:paraId="1955628A">
                  <w:pPr>
                    <w:adjustRightInd w:val="0"/>
                    <w:snapToGrid w:val="0"/>
                    <w:jc w:val="center"/>
                    <w:rPr>
                      <w:color w:val="auto"/>
                      <w:kern w:val="0"/>
                      <w:szCs w:val="21"/>
                      <w:highlight w:val="none"/>
                    </w:rPr>
                  </w:pPr>
                  <w:r>
                    <w:rPr>
                      <w:rFonts w:hint="default"/>
                      <w:color w:val="auto"/>
                      <w:szCs w:val="21"/>
                      <w:highlight w:val="none"/>
                    </w:rPr>
                    <w:t>2.1</w:t>
                  </w:r>
                  <w:r>
                    <w:rPr>
                      <w:rFonts w:hint="eastAsia"/>
                      <w:color w:val="auto"/>
                      <w:szCs w:val="21"/>
                      <w:highlight w:val="none"/>
                    </w:rPr>
                    <w:t>39</w:t>
                  </w:r>
                </w:p>
              </w:tc>
              <w:tc>
                <w:tcPr>
                  <w:tcW w:w="498" w:type="pct"/>
                  <w:vAlign w:val="center"/>
                </w:tcPr>
                <w:p w14:paraId="5F0AB8EE">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70" w:type="pct"/>
                  <w:vAlign w:val="center"/>
                </w:tcPr>
                <w:p w14:paraId="2449CE00">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576" w:type="pct"/>
                  <w:vAlign w:val="center"/>
                </w:tcPr>
                <w:p w14:paraId="5F903BBA">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18DB337A">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45" w:type="pct"/>
                  <w:vAlign w:val="center"/>
                </w:tcPr>
                <w:p w14:paraId="3512D2A7">
                  <w:pPr>
                    <w:adjustRightInd w:val="0"/>
                    <w:snapToGrid w:val="0"/>
                    <w:jc w:val="center"/>
                    <w:rPr>
                      <w:color w:val="auto"/>
                      <w:szCs w:val="21"/>
                      <w:highlight w:val="none"/>
                    </w:rPr>
                  </w:pPr>
                  <w:r>
                    <w:rPr>
                      <w:rFonts w:hint="eastAsia"/>
                      <w:color w:val="auto"/>
                      <w:szCs w:val="21"/>
                      <w:highlight w:val="none"/>
                    </w:rPr>
                    <w:t>/</w:t>
                  </w:r>
                </w:p>
              </w:tc>
            </w:tr>
            <w:tr w14:paraId="63F60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766C39BC">
                  <w:pPr>
                    <w:widowControl/>
                    <w:adjustRightInd w:val="0"/>
                    <w:snapToGrid w:val="0"/>
                    <w:jc w:val="center"/>
                    <w:textAlignment w:val="center"/>
                    <w:rPr>
                      <w:color w:val="auto"/>
                      <w:szCs w:val="21"/>
                      <w:highlight w:val="none"/>
                    </w:rPr>
                  </w:pPr>
                </w:p>
              </w:tc>
              <w:tc>
                <w:tcPr>
                  <w:tcW w:w="297" w:type="pct"/>
                  <w:vMerge w:val="continue"/>
                  <w:vAlign w:val="center"/>
                </w:tcPr>
                <w:p w14:paraId="21524FA5">
                  <w:pPr>
                    <w:pStyle w:val="79"/>
                    <w:spacing w:line="240" w:lineRule="auto"/>
                    <w:rPr>
                      <w:rFonts w:ascii="Times New Roman"/>
                      <w:snapToGrid w:val="0"/>
                      <w:color w:val="auto"/>
                      <w:sz w:val="21"/>
                      <w:szCs w:val="21"/>
                      <w:highlight w:val="none"/>
                      <w:lang w:val="en-US"/>
                    </w:rPr>
                  </w:pPr>
                </w:p>
              </w:tc>
              <w:tc>
                <w:tcPr>
                  <w:tcW w:w="728" w:type="pct"/>
                  <w:vAlign w:val="center"/>
                </w:tcPr>
                <w:p w14:paraId="3161656E">
                  <w:pPr>
                    <w:widowControl/>
                    <w:adjustRightInd w:val="0"/>
                    <w:snapToGrid w:val="0"/>
                    <w:jc w:val="center"/>
                    <w:textAlignment w:val="center"/>
                    <w:rPr>
                      <w:color w:val="auto"/>
                      <w:kern w:val="0"/>
                      <w:szCs w:val="21"/>
                      <w:highlight w:val="none"/>
                    </w:rPr>
                  </w:pPr>
                  <w:r>
                    <w:rPr>
                      <w:color w:val="auto"/>
                      <w:kern w:val="0"/>
                      <w:szCs w:val="21"/>
                      <w:highlight w:val="none"/>
                    </w:rPr>
                    <w:t>废活性炭</w:t>
                  </w:r>
                </w:p>
              </w:tc>
              <w:tc>
                <w:tcPr>
                  <w:tcW w:w="391" w:type="pct"/>
                  <w:vAlign w:val="center"/>
                </w:tcPr>
                <w:p w14:paraId="1060FC74">
                  <w:pPr>
                    <w:adjustRightInd w:val="0"/>
                    <w:snapToGrid w:val="0"/>
                    <w:jc w:val="center"/>
                    <w:rPr>
                      <w:color w:val="auto"/>
                      <w:kern w:val="0"/>
                      <w:szCs w:val="21"/>
                      <w:highlight w:val="none"/>
                    </w:rPr>
                  </w:pPr>
                  <w:r>
                    <w:rPr>
                      <w:rFonts w:hint="eastAsia"/>
                      <w:color w:val="auto"/>
                      <w:szCs w:val="21"/>
                      <w:highlight w:val="none"/>
                    </w:rPr>
                    <w:t>0</w:t>
                  </w:r>
                </w:p>
              </w:tc>
              <w:tc>
                <w:tcPr>
                  <w:tcW w:w="469" w:type="pct"/>
                  <w:vAlign w:val="center"/>
                </w:tcPr>
                <w:p w14:paraId="2543E96F">
                  <w:pPr>
                    <w:adjustRightInd w:val="0"/>
                    <w:snapToGrid w:val="0"/>
                    <w:jc w:val="center"/>
                    <w:rPr>
                      <w:color w:val="auto"/>
                      <w:kern w:val="0"/>
                      <w:szCs w:val="21"/>
                      <w:highlight w:val="none"/>
                    </w:rPr>
                  </w:pPr>
                  <w:r>
                    <w:rPr>
                      <w:rFonts w:hint="default"/>
                      <w:color w:val="auto"/>
                      <w:kern w:val="0"/>
                      <w:szCs w:val="21"/>
                      <w:highlight w:val="none"/>
                    </w:rPr>
                    <w:t>42.4585</w:t>
                  </w:r>
                </w:p>
              </w:tc>
              <w:tc>
                <w:tcPr>
                  <w:tcW w:w="408" w:type="pct"/>
                  <w:vAlign w:val="center"/>
                </w:tcPr>
                <w:p w14:paraId="01D39ABE">
                  <w:pPr>
                    <w:adjustRightInd w:val="0"/>
                    <w:snapToGrid w:val="0"/>
                    <w:jc w:val="center"/>
                    <w:rPr>
                      <w:color w:val="auto"/>
                      <w:kern w:val="0"/>
                      <w:szCs w:val="21"/>
                      <w:highlight w:val="none"/>
                    </w:rPr>
                  </w:pPr>
                  <w:r>
                    <w:rPr>
                      <w:rFonts w:hint="default"/>
                      <w:color w:val="auto"/>
                      <w:kern w:val="0"/>
                      <w:szCs w:val="21"/>
                      <w:highlight w:val="none"/>
                    </w:rPr>
                    <w:t>42.4585</w:t>
                  </w:r>
                </w:p>
              </w:tc>
              <w:tc>
                <w:tcPr>
                  <w:tcW w:w="498" w:type="pct"/>
                  <w:vAlign w:val="center"/>
                </w:tcPr>
                <w:p w14:paraId="6826B136">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70" w:type="pct"/>
                  <w:vAlign w:val="center"/>
                </w:tcPr>
                <w:p w14:paraId="57089541">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576" w:type="pct"/>
                  <w:vAlign w:val="center"/>
                </w:tcPr>
                <w:p w14:paraId="6017EE63">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98" w:type="pct"/>
                  <w:vAlign w:val="center"/>
                </w:tcPr>
                <w:p w14:paraId="24CB5CD8">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45" w:type="pct"/>
                  <w:vAlign w:val="center"/>
                </w:tcPr>
                <w:p w14:paraId="5E392DF4">
                  <w:pPr>
                    <w:widowControl/>
                    <w:adjustRightInd w:val="0"/>
                    <w:snapToGrid w:val="0"/>
                    <w:jc w:val="center"/>
                    <w:textAlignment w:val="center"/>
                    <w:rPr>
                      <w:color w:val="auto"/>
                      <w:kern w:val="0"/>
                      <w:szCs w:val="21"/>
                      <w:highlight w:val="none"/>
                    </w:rPr>
                  </w:pPr>
                  <w:r>
                    <w:rPr>
                      <w:rFonts w:hint="eastAsia"/>
                      <w:color w:val="auto"/>
                      <w:szCs w:val="21"/>
                      <w:highlight w:val="none"/>
                    </w:rPr>
                    <w:t>/</w:t>
                  </w:r>
                </w:p>
              </w:tc>
            </w:tr>
            <w:tr w14:paraId="7F225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003C10F7">
                  <w:pPr>
                    <w:widowControl/>
                    <w:adjustRightInd w:val="0"/>
                    <w:snapToGrid w:val="0"/>
                    <w:jc w:val="center"/>
                    <w:textAlignment w:val="center"/>
                    <w:rPr>
                      <w:color w:val="auto"/>
                      <w:szCs w:val="21"/>
                      <w:highlight w:val="none"/>
                    </w:rPr>
                  </w:pPr>
                </w:p>
              </w:tc>
              <w:tc>
                <w:tcPr>
                  <w:tcW w:w="297" w:type="pct"/>
                  <w:vMerge w:val="continue"/>
                  <w:vAlign w:val="center"/>
                </w:tcPr>
                <w:p w14:paraId="7BC7FDE2">
                  <w:pPr>
                    <w:pStyle w:val="79"/>
                    <w:spacing w:line="240" w:lineRule="auto"/>
                    <w:rPr>
                      <w:rFonts w:ascii="Times New Roman"/>
                      <w:color w:val="auto"/>
                      <w:sz w:val="21"/>
                      <w:szCs w:val="21"/>
                      <w:highlight w:val="none"/>
                      <w:lang w:val="en-US"/>
                    </w:rPr>
                  </w:pPr>
                </w:p>
              </w:tc>
              <w:tc>
                <w:tcPr>
                  <w:tcW w:w="728" w:type="pct"/>
                  <w:vAlign w:val="center"/>
                </w:tcPr>
                <w:p w14:paraId="49C4D2F9">
                  <w:pPr>
                    <w:widowControl/>
                    <w:adjustRightInd w:val="0"/>
                    <w:snapToGrid w:val="0"/>
                    <w:jc w:val="center"/>
                    <w:textAlignment w:val="center"/>
                    <w:rPr>
                      <w:color w:val="auto"/>
                      <w:kern w:val="0"/>
                      <w:szCs w:val="21"/>
                      <w:highlight w:val="none"/>
                    </w:rPr>
                  </w:pPr>
                  <w:r>
                    <w:rPr>
                      <w:color w:val="auto"/>
                      <w:kern w:val="0"/>
                      <w:szCs w:val="21"/>
                      <w:highlight w:val="none"/>
                    </w:rPr>
                    <w:t>废包装桶</w:t>
                  </w:r>
                </w:p>
              </w:tc>
              <w:tc>
                <w:tcPr>
                  <w:tcW w:w="391" w:type="pct"/>
                  <w:vAlign w:val="center"/>
                </w:tcPr>
                <w:p w14:paraId="2D8321E7">
                  <w:pPr>
                    <w:adjustRightInd w:val="0"/>
                    <w:snapToGrid w:val="0"/>
                    <w:jc w:val="center"/>
                    <w:rPr>
                      <w:color w:val="auto"/>
                      <w:kern w:val="0"/>
                      <w:szCs w:val="21"/>
                      <w:highlight w:val="none"/>
                    </w:rPr>
                  </w:pPr>
                  <w:r>
                    <w:rPr>
                      <w:rFonts w:hint="eastAsia"/>
                      <w:color w:val="auto"/>
                      <w:szCs w:val="21"/>
                      <w:highlight w:val="none"/>
                    </w:rPr>
                    <w:t>0</w:t>
                  </w:r>
                </w:p>
              </w:tc>
              <w:tc>
                <w:tcPr>
                  <w:tcW w:w="469" w:type="pct"/>
                  <w:vAlign w:val="center"/>
                </w:tcPr>
                <w:p w14:paraId="3BAD72CF">
                  <w:pPr>
                    <w:adjustRightInd w:val="0"/>
                    <w:snapToGrid w:val="0"/>
                    <w:jc w:val="center"/>
                    <w:rPr>
                      <w:color w:val="auto"/>
                      <w:kern w:val="0"/>
                      <w:szCs w:val="21"/>
                      <w:highlight w:val="none"/>
                    </w:rPr>
                  </w:pPr>
                  <w:r>
                    <w:rPr>
                      <w:rFonts w:hint="eastAsia"/>
                      <w:color w:val="auto"/>
                      <w:kern w:val="0"/>
                      <w:szCs w:val="21"/>
                      <w:highlight w:val="none"/>
                    </w:rPr>
                    <w:t>0.245</w:t>
                  </w:r>
                </w:p>
              </w:tc>
              <w:tc>
                <w:tcPr>
                  <w:tcW w:w="408" w:type="pct"/>
                  <w:vAlign w:val="center"/>
                </w:tcPr>
                <w:p w14:paraId="17708193">
                  <w:pPr>
                    <w:adjustRightInd w:val="0"/>
                    <w:snapToGrid w:val="0"/>
                    <w:jc w:val="center"/>
                    <w:rPr>
                      <w:color w:val="auto"/>
                      <w:kern w:val="0"/>
                      <w:szCs w:val="21"/>
                      <w:highlight w:val="none"/>
                    </w:rPr>
                  </w:pPr>
                  <w:r>
                    <w:rPr>
                      <w:rFonts w:hint="eastAsia"/>
                      <w:color w:val="auto"/>
                      <w:kern w:val="0"/>
                      <w:szCs w:val="21"/>
                      <w:highlight w:val="none"/>
                    </w:rPr>
                    <w:t>0.245</w:t>
                  </w:r>
                </w:p>
              </w:tc>
              <w:tc>
                <w:tcPr>
                  <w:tcW w:w="498" w:type="pct"/>
                  <w:vAlign w:val="center"/>
                </w:tcPr>
                <w:p w14:paraId="6A010507">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70" w:type="pct"/>
                  <w:vAlign w:val="center"/>
                </w:tcPr>
                <w:p w14:paraId="396A2EE4">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576" w:type="pct"/>
                  <w:vAlign w:val="center"/>
                </w:tcPr>
                <w:p w14:paraId="5FEA3556">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98" w:type="pct"/>
                  <w:vAlign w:val="center"/>
                </w:tcPr>
                <w:p w14:paraId="68FC1799">
                  <w:pPr>
                    <w:widowControl/>
                    <w:adjustRightInd w:val="0"/>
                    <w:snapToGrid w:val="0"/>
                    <w:jc w:val="center"/>
                    <w:textAlignment w:val="center"/>
                    <w:rPr>
                      <w:color w:val="auto"/>
                      <w:kern w:val="0"/>
                      <w:szCs w:val="21"/>
                      <w:highlight w:val="none"/>
                    </w:rPr>
                  </w:pPr>
                  <w:r>
                    <w:rPr>
                      <w:rFonts w:hint="eastAsia"/>
                      <w:color w:val="auto"/>
                      <w:szCs w:val="21"/>
                      <w:highlight w:val="none"/>
                    </w:rPr>
                    <w:t>0</w:t>
                  </w:r>
                </w:p>
              </w:tc>
              <w:tc>
                <w:tcPr>
                  <w:tcW w:w="445" w:type="pct"/>
                  <w:vAlign w:val="center"/>
                </w:tcPr>
                <w:p w14:paraId="16D1577C">
                  <w:pPr>
                    <w:widowControl/>
                    <w:adjustRightInd w:val="0"/>
                    <w:snapToGrid w:val="0"/>
                    <w:jc w:val="center"/>
                    <w:textAlignment w:val="center"/>
                    <w:rPr>
                      <w:color w:val="auto"/>
                      <w:kern w:val="0"/>
                      <w:szCs w:val="21"/>
                      <w:highlight w:val="none"/>
                    </w:rPr>
                  </w:pPr>
                  <w:r>
                    <w:rPr>
                      <w:rFonts w:hint="eastAsia"/>
                      <w:color w:val="auto"/>
                      <w:szCs w:val="21"/>
                      <w:highlight w:val="none"/>
                    </w:rPr>
                    <w:t>/</w:t>
                  </w:r>
                </w:p>
              </w:tc>
            </w:tr>
            <w:tr w14:paraId="57AF2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7EC7674D">
                  <w:pPr>
                    <w:adjustRightInd w:val="0"/>
                    <w:snapToGrid w:val="0"/>
                    <w:jc w:val="center"/>
                    <w:rPr>
                      <w:color w:val="auto"/>
                      <w:szCs w:val="21"/>
                      <w:highlight w:val="none"/>
                    </w:rPr>
                  </w:pPr>
                </w:p>
              </w:tc>
              <w:tc>
                <w:tcPr>
                  <w:tcW w:w="297" w:type="pct"/>
                  <w:vMerge w:val="continue"/>
                  <w:vAlign w:val="center"/>
                </w:tcPr>
                <w:p w14:paraId="15F1496C">
                  <w:pPr>
                    <w:pStyle w:val="79"/>
                    <w:spacing w:line="240" w:lineRule="auto"/>
                    <w:rPr>
                      <w:rFonts w:ascii="Times New Roman"/>
                      <w:snapToGrid w:val="0"/>
                      <w:color w:val="auto"/>
                      <w:sz w:val="21"/>
                      <w:szCs w:val="21"/>
                      <w:highlight w:val="none"/>
                      <w:lang w:val="en-US"/>
                    </w:rPr>
                  </w:pPr>
                </w:p>
              </w:tc>
              <w:tc>
                <w:tcPr>
                  <w:tcW w:w="728" w:type="pct"/>
                  <w:vAlign w:val="center"/>
                </w:tcPr>
                <w:p w14:paraId="35AA1792">
                  <w:pPr>
                    <w:widowControl/>
                    <w:adjustRightInd w:val="0"/>
                    <w:snapToGrid w:val="0"/>
                    <w:jc w:val="center"/>
                    <w:textAlignment w:val="center"/>
                    <w:rPr>
                      <w:color w:val="auto"/>
                      <w:kern w:val="0"/>
                      <w:szCs w:val="21"/>
                      <w:highlight w:val="none"/>
                    </w:rPr>
                  </w:pPr>
                  <w:r>
                    <w:rPr>
                      <w:color w:val="auto"/>
                      <w:kern w:val="0"/>
                      <w:szCs w:val="21"/>
                      <w:highlight w:val="none"/>
                    </w:rPr>
                    <w:t>废胶</w:t>
                  </w:r>
                </w:p>
              </w:tc>
              <w:tc>
                <w:tcPr>
                  <w:tcW w:w="391" w:type="pct"/>
                  <w:vAlign w:val="center"/>
                </w:tcPr>
                <w:p w14:paraId="7B817DC6">
                  <w:pPr>
                    <w:adjustRightInd w:val="0"/>
                    <w:snapToGrid w:val="0"/>
                    <w:jc w:val="center"/>
                    <w:rPr>
                      <w:color w:val="auto"/>
                      <w:szCs w:val="21"/>
                      <w:highlight w:val="none"/>
                    </w:rPr>
                  </w:pPr>
                  <w:r>
                    <w:rPr>
                      <w:rFonts w:hint="eastAsia"/>
                      <w:color w:val="auto"/>
                      <w:szCs w:val="21"/>
                      <w:highlight w:val="none"/>
                    </w:rPr>
                    <w:t>0</w:t>
                  </w:r>
                </w:p>
              </w:tc>
              <w:tc>
                <w:tcPr>
                  <w:tcW w:w="469" w:type="pct"/>
                  <w:vAlign w:val="center"/>
                </w:tcPr>
                <w:p w14:paraId="0E11782A">
                  <w:pPr>
                    <w:adjustRightInd w:val="0"/>
                    <w:snapToGrid w:val="0"/>
                    <w:jc w:val="center"/>
                    <w:rPr>
                      <w:color w:val="auto"/>
                      <w:szCs w:val="21"/>
                      <w:highlight w:val="none"/>
                    </w:rPr>
                  </w:pPr>
                  <w:r>
                    <w:rPr>
                      <w:rFonts w:hint="eastAsia"/>
                      <w:color w:val="auto"/>
                      <w:szCs w:val="21"/>
                      <w:highlight w:val="none"/>
                    </w:rPr>
                    <w:t>1.11</w:t>
                  </w:r>
                </w:p>
              </w:tc>
              <w:tc>
                <w:tcPr>
                  <w:tcW w:w="408" w:type="pct"/>
                  <w:vAlign w:val="center"/>
                </w:tcPr>
                <w:p w14:paraId="7937C15C">
                  <w:pPr>
                    <w:adjustRightInd w:val="0"/>
                    <w:snapToGrid w:val="0"/>
                    <w:jc w:val="center"/>
                    <w:rPr>
                      <w:color w:val="auto"/>
                      <w:szCs w:val="21"/>
                      <w:highlight w:val="none"/>
                    </w:rPr>
                  </w:pPr>
                  <w:r>
                    <w:rPr>
                      <w:rFonts w:hint="eastAsia"/>
                      <w:color w:val="auto"/>
                      <w:szCs w:val="21"/>
                      <w:highlight w:val="none"/>
                    </w:rPr>
                    <w:t>1.11</w:t>
                  </w:r>
                </w:p>
              </w:tc>
              <w:tc>
                <w:tcPr>
                  <w:tcW w:w="498" w:type="pct"/>
                  <w:vAlign w:val="center"/>
                </w:tcPr>
                <w:p w14:paraId="08648420">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70" w:type="pct"/>
                  <w:vAlign w:val="center"/>
                </w:tcPr>
                <w:p w14:paraId="195F7D31">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576" w:type="pct"/>
                  <w:vAlign w:val="center"/>
                </w:tcPr>
                <w:p w14:paraId="1BBA40C2">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4651C78F">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45" w:type="pct"/>
                  <w:vAlign w:val="center"/>
                </w:tcPr>
                <w:p w14:paraId="5B951E07">
                  <w:pPr>
                    <w:widowControl/>
                    <w:adjustRightInd w:val="0"/>
                    <w:snapToGrid w:val="0"/>
                    <w:jc w:val="center"/>
                    <w:textAlignment w:val="center"/>
                    <w:rPr>
                      <w:color w:val="auto"/>
                      <w:szCs w:val="21"/>
                      <w:highlight w:val="none"/>
                    </w:rPr>
                  </w:pPr>
                  <w:r>
                    <w:rPr>
                      <w:rFonts w:hint="eastAsia"/>
                      <w:color w:val="auto"/>
                      <w:szCs w:val="21"/>
                      <w:highlight w:val="none"/>
                    </w:rPr>
                    <w:t>/</w:t>
                  </w:r>
                </w:p>
              </w:tc>
            </w:tr>
            <w:tr w14:paraId="28ECB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1FC3653C">
                  <w:pPr>
                    <w:adjustRightInd w:val="0"/>
                    <w:snapToGrid w:val="0"/>
                    <w:jc w:val="center"/>
                    <w:rPr>
                      <w:color w:val="auto"/>
                      <w:szCs w:val="21"/>
                      <w:highlight w:val="none"/>
                    </w:rPr>
                  </w:pPr>
                </w:p>
              </w:tc>
              <w:tc>
                <w:tcPr>
                  <w:tcW w:w="297" w:type="pct"/>
                  <w:vMerge w:val="continue"/>
                  <w:vAlign w:val="center"/>
                </w:tcPr>
                <w:p w14:paraId="17A95E85">
                  <w:pPr>
                    <w:pStyle w:val="79"/>
                    <w:spacing w:line="240" w:lineRule="auto"/>
                    <w:rPr>
                      <w:rFonts w:ascii="Times New Roman"/>
                      <w:snapToGrid w:val="0"/>
                      <w:color w:val="auto"/>
                      <w:sz w:val="21"/>
                      <w:szCs w:val="21"/>
                      <w:highlight w:val="none"/>
                      <w:lang w:val="en-US"/>
                    </w:rPr>
                  </w:pPr>
                </w:p>
              </w:tc>
              <w:tc>
                <w:tcPr>
                  <w:tcW w:w="728" w:type="pct"/>
                  <w:vAlign w:val="center"/>
                </w:tcPr>
                <w:p w14:paraId="4782756C">
                  <w:pPr>
                    <w:widowControl/>
                    <w:adjustRightInd w:val="0"/>
                    <w:snapToGrid w:val="0"/>
                    <w:jc w:val="center"/>
                    <w:textAlignment w:val="center"/>
                    <w:rPr>
                      <w:color w:val="auto"/>
                      <w:kern w:val="0"/>
                      <w:szCs w:val="21"/>
                      <w:highlight w:val="none"/>
                    </w:rPr>
                  </w:pPr>
                  <w:r>
                    <w:rPr>
                      <w:rFonts w:hint="eastAsia"/>
                      <w:color w:val="auto"/>
                      <w:kern w:val="0"/>
                      <w:szCs w:val="21"/>
                      <w:highlight w:val="none"/>
                    </w:rPr>
                    <w:t>废手套</w:t>
                  </w:r>
                </w:p>
              </w:tc>
              <w:tc>
                <w:tcPr>
                  <w:tcW w:w="391" w:type="pct"/>
                  <w:vAlign w:val="center"/>
                </w:tcPr>
                <w:p w14:paraId="273B3E7A">
                  <w:pPr>
                    <w:adjustRightInd w:val="0"/>
                    <w:snapToGrid w:val="0"/>
                    <w:jc w:val="center"/>
                    <w:rPr>
                      <w:color w:val="auto"/>
                      <w:szCs w:val="21"/>
                      <w:highlight w:val="none"/>
                    </w:rPr>
                  </w:pPr>
                  <w:r>
                    <w:rPr>
                      <w:rFonts w:hint="eastAsia"/>
                      <w:color w:val="auto"/>
                      <w:szCs w:val="21"/>
                      <w:highlight w:val="none"/>
                    </w:rPr>
                    <w:t>0</w:t>
                  </w:r>
                </w:p>
              </w:tc>
              <w:tc>
                <w:tcPr>
                  <w:tcW w:w="469" w:type="pct"/>
                  <w:vAlign w:val="center"/>
                </w:tcPr>
                <w:p w14:paraId="3CA3964E">
                  <w:pPr>
                    <w:adjustRightInd w:val="0"/>
                    <w:snapToGrid w:val="0"/>
                    <w:jc w:val="center"/>
                    <w:rPr>
                      <w:color w:val="auto"/>
                      <w:szCs w:val="21"/>
                      <w:highlight w:val="none"/>
                    </w:rPr>
                  </w:pPr>
                  <w:r>
                    <w:rPr>
                      <w:rFonts w:hint="eastAsia"/>
                      <w:color w:val="auto"/>
                      <w:szCs w:val="21"/>
                      <w:highlight w:val="none"/>
                    </w:rPr>
                    <w:t>0.02</w:t>
                  </w:r>
                </w:p>
              </w:tc>
              <w:tc>
                <w:tcPr>
                  <w:tcW w:w="408" w:type="pct"/>
                  <w:vAlign w:val="center"/>
                </w:tcPr>
                <w:p w14:paraId="29D10516">
                  <w:pPr>
                    <w:adjustRightInd w:val="0"/>
                    <w:snapToGrid w:val="0"/>
                    <w:jc w:val="center"/>
                    <w:rPr>
                      <w:color w:val="auto"/>
                      <w:szCs w:val="21"/>
                      <w:highlight w:val="none"/>
                    </w:rPr>
                  </w:pPr>
                  <w:r>
                    <w:rPr>
                      <w:rFonts w:hint="eastAsia"/>
                      <w:color w:val="auto"/>
                      <w:szCs w:val="21"/>
                      <w:highlight w:val="none"/>
                    </w:rPr>
                    <w:t>0.02</w:t>
                  </w:r>
                </w:p>
              </w:tc>
              <w:tc>
                <w:tcPr>
                  <w:tcW w:w="498" w:type="pct"/>
                  <w:vAlign w:val="center"/>
                </w:tcPr>
                <w:p w14:paraId="752A28DC">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70" w:type="pct"/>
                  <w:vAlign w:val="center"/>
                </w:tcPr>
                <w:p w14:paraId="463B69A8">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576" w:type="pct"/>
                  <w:vAlign w:val="center"/>
                </w:tcPr>
                <w:p w14:paraId="606B5D2E">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98" w:type="pct"/>
                  <w:vAlign w:val="center"/>
                </w:tcPr>
                <w:p w14:paraId="7EECB57E">
                  <w:pPr>
                    <w:widowControl/>
                    <w:adjustRightInd w:val="0"/>
                    <w:snapToGrid w:val="0"/>
                    <w:jc w:val="center"/>
                    <w:textAlignment w:val="center"/>
                    <w:rPr>
                      <w:color w:val="auto"/>
                      <w:szCs w:val="21"/>
                      <w:highlight w:val="none"/>
                    </w:rPr>
                  </w:pPr>
                  <w:r>
                    <w:rPr>
                      <w:rFonts w:hint="eastAsia"/>
                      <w:color w:val="auto"/>
                      <w:szCs w:val="21"/>
                      <w:highlight w:val="none"/>
                    </w:rPr>
                    <w:t>0</w:t>
                  </w:r>
                </w:p>
              </w:tc>
              <w:tc>
                <w:tcPr>
                  <w:tcW w:w="445" w:type="pct"/>
                  <w:vAlign w:val="center"/>
                </w:tcPr>
                <w:p w14:paraId="316176F1">
                  <w:pPr>
                    <w:widowControl/>
                    <w:adjustRightInd w:val="0"/>
                    <w:snapToGrid w:val="0"/>
                    <w:jc w:val="center"/>
                    <w:textAlignment w:val="center"/>
                    <w:rPr>
                      <w:color w:val="auto"/>
                      <w:szCs w:val="21"/>
                      <w:highlight w:val="none"/>
                    </w:rPr>
                  </w:pPr>
                  <w:r>
                    <w:rPr>
                      <w:rFonts w:hint="eastAsia"/>
                      <w:color w:val="auto"/>
                      <w:szCs w:val="21"/>
                      <w:highlight w:val="none"/>
                    </w:rPr>
                    <w:t>/</w:t>
                  </w:r>
                </w:p>
              </w:tc>
            </w:tr>
            <w:tr w14:paraId="47075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7" w:type="pct"/>
                  <w:vMerge w:val="continue"/>
                  <w:vAlign w:val="center"/>
                </w:tcPr>
                <w:p w14:paraId="5F285B85">
                  <w:pPr>
                    <w:adjustRightInd w:val="0"/>
                    <w:snapToGrid w:val="0"/>
                    <w:jc w:val="center"/>
                    <w:rPr>
                      <w:color w:val="auto"/>
                      <w:szCs w:val="21"/>
                      <w:highlight w:val="none"/>
                    </w:rPr>
                  </w:pPr>
                </w:p>
              </w:tc>
              <w:tc>
                <w:tcPr>
                  <w:tcW w:w="297" w:type="pct"/>
                  <w:vMerge w:val="continue"/>
                  <w:vAlign w:val="center"/>
                </w:tcPr>
                <w:p w14:paraId="267E3921">
                  <w:pPr>
                    <w:pStyle w:val="79"/>
                    <w:spacing w:line="240" w:lineRule="auto"/>
                    <w:rPr>
                      <w:rFonts w:ascii="Times New Roman"/>
                      <w:snapToGrid w:val="0"/>
                      <w:color w:val="auto"/>
                      <w:sz w:val="21"/>
                      <w:szCs w:val="21"/>
                      <w:highlight w:val="none"/>
                      <w:lang w:val="en-US"/>
                    </w:rPr>
                  </w:pPr>
                </w:p>
              </w:tc>
              <w:tc>
                <w:tcPr>
                  <w:tcW w:w="728" w:type="pct"/>
                  <w:vAlign w:val="center"/>
                </w:tcPr>
                <w:p w14:paraId="5EF333A6">
                  <w:pPr>
                    <w:widowControl/>
                    <w:adjustRightInd w:val="0"/>
                    <w:snapToGrid w:val="0"/>
                    <w:jc w:val="center"/>
                    <w:textAlignment w:val="center"/>
                    <w:rPr>
                      <w:rFonts w:hint="eastAsia" w:eastAsia="宋体"/>
                      <w:color w:val="auto"/>
                      <w:kern w:val="0"/>
                      <w:szCs w:val="21"/>
                      <w:highlight w:val="none"/>
                      <w:lang w:val="en-US" w:eastAsia="zh-Hans"/>
                    </w:rPr>
                  </w:pPr>
                  <w:r>
                    <w:rPr>
                      <w:rFonts w:hint="eastAsia"/>
                      <w:color w:val="auto"/>
                      <w:kern w:val="0"/>
                      <w:szCs w:val="21"/>
                      <w:highlight w:val="none"/>
                      <w:lang w:val="en-US" w:eastAsia="zh-Hans"/>
                    </w:rPr>
                    <w:t>废润滑油</w:t>
                  </w:r>
                </w:p>
              </w:tc>
              <w:tc>
                <w:tcPr>
                  <w:tcW w:w="391" w:type="pct"/>
                  <w:vAlign w:val="center"/>
                </w:tcPr>
                <w:p w14:paraId="1A967C17">
                  <w:pPr>
                    <w:adjustRightInd w:val="0"/>
                    <w:snapToGrid w:val="0"/>
                    <w:jc w:val="center"/>
                    <w:rPr>
                      <w:rFonts w:hint="eastAsia"/>
                      <w:color w:val="auto"/>
                      <w:szCs w:val="21"/>
                      <w:highlight w:val="none"/>
                    </w:rPr>
                  </w:pPr>
                  <w:r>
                    <w:rPr>
                      <w:rFonts w:hint="default"/>
                      <w:color w:val="auto"/>
                      <w:szCs w:val="21"/>
                      <w:highlight w:val="none"/>
                    </w:rPr>
                    <w:t>0</w:t>
                  </w:r>
                </w:p>
              </w:tc>
              <w:tc>
                <w:tcPr>
                  <w:tcW w:w="469" w:type="pct"/>
                  <w:vAlign w:val="center"/>
                </w:tcPr>
                <w:p w14:paraId="0C6B166D">
                  <w:pPr>
                    <w:adjustRightInd w:val="0"/>
                    <w:snapToGrid w:val="0"/>
                    <w:jc w:val="center"/>
                    <w:rPr>
                      <w:rFonts w:hint="eastAsia"/>
                      <w:color w:val="auto"/>
                      <w:szCs w:val="21"/>
                      <w:highlight w:val="none"/>
                    </w:rPr>
                  </w:pPr>
                  <w:r>
                    <w:rPr>
                      <w:rFonts w:hint="default"/>
                      <w:color w:val="auto"/>
                      <w:szCs w:val="21"/>
                      <w:highlight w:val="none"/>
                    </w:rPr>
                    <w:t>0.0868</w:t>
                  </w:r>
                </w:p>
              </w:tc>
              <w:tc>
                <w:tcPr>
                  <w:tcW w:w="408" w:type="pct"/>
                  <w:vAlign w:val="center"/>
                </w:tcPr>
                <w:p w14:paraId="4D0E1AB3">
                  <w:pPr>
                    <w:adjustRightInd w:val="0"/>
                    <w:snapToGrid w:val="0"/>
                    <w:jc w:val="center"/>
                    <w:rPr>
                      <w:rFonts w:hint="eastAsia"/>
                      <w:color w:val="auto"/>
                      <w:szCs w:val="21"/>
                      <w:highlight w:val="none"/>
                    </w:rPr>
                  </w:pPr>
                  <w:r>
                    <w:rPr>
                      <w:rFonts w:hint="default"/>
                      <w:color w:val="auto"/>
                      <w:szCs w:val="21"/>
                      <w:highlight w:val="none"/>
                    </w:rPr>
                    <w:t>0.0868</w:t>
                  </w:r>
                </w:p>
              </w:tc>
              <w:tc>
                <w:tcPr>
                  <w:tcW w:w="498" w:type="pct"/>
                  <w:vAlign w:val="center"/>
                </w:tcPr>
                <w:p w14:paraId="0048E0AA">
                  <w:pPr>
                    <w:widowControl/>
                    <w:adjustRightInd w:val="0"/>
                    <w:snapToGrid w:val="0"/>
                    <w:jc w:val="center"/>
                    <w:textAlignment w:val="center"/>
                    <w:rPr>
                      <w:rFonts w:hint="eastAsia"/>
                      <w:color w:val="auto"/>
                      <w:szCs w:val="21"/>
                      <w:highlight w:val="none"/>
                    </w:rPr>
                  </w:pPr>
                  <w:r>
                    <w:rPr>
                      <w:rFonts w:hint="eastAsia"/>
                      <w:color w:val="auto"/>
                      <w:szCs w:val="21"/>
                      <w:highlight w:val="none"/>
                    </w:rPr>
                    <w:t>0</w:t>
                  </w:r>
                </w:p>
              </w:tc>
              <w:tc>
                <w:tcPr>
                  <w:tcW w:w="470" w:type="pct"/>
                  <w:vAlign w:val="center"/>
                </w:tcPr>
                <w:p w14:paraId="4FD42186">
                  <w:pPr>
                    <w:widowControl/>
                    <w:adjustRightInd w:val="0"/>
                    <w:snapToGrid w:val="0"/>
                    <w:jc w:val="center"/>
                    <w:textAlignment w:val="center"/>
                    <w:rPr>
                      <w:rFonts w:hint="eastAsia"/>
                      <w:color w:val="auto"/>
                      <w:szCs w:val="21"/>
                      <w:highlight w:val="none"/>
                    </w:rPr>
                  </w:pPr>
                  <w:r>
                    <w:rPr>
                      <w:rFonts w:hint="eastAsia"/>
                      <w:color w:val="auto"/>
                      <w:szCs w:val="21"/>
                      <w:highlight w:val="none"/>
                    </w:rPr>
                    <w:t>0</w:t>
                  </w:r>
                </w:p>
              </w:tc>
              <w:tc>
                <w:tcPr>
                  <w:tcW w:w="576" w:type="pct"/>
                  <w:vAlign w:val="center"/>
                </w:tcPr>
                <w:p w14:paraId="725D64D7">
                  <w:pPr>
                    <w:widowControl/>
                    <w:adjustRightInd w:val="0"/>
                    <w:snapToGrid w:val="0"/>
                    <w:jc w:val="center"/>
                    <w:textAlignment w:val="center"/>
                    <w:rPr>
                      <w:rFonts w:hint="eastAsia"/>
                      <w:color w:val="auto"/>
                      <w:szCs w:val="21"/>
                      <w:highlight w:val="none"/>
                    </w:rPr>
                  </w:pPr>
                  <w:r>
                    <w:rPr>
                      <w:rFonts w:hint="eastAsia"/>
                      <w:color w:val="auto"/>
                      <w:szCs w:val="21"/>
                      <w:highlight w:val="none"/>
                    </w:rPr>
                    <w:t>0</w:t>
                  </w:r>
                </w:p>
              </w:tc>
              <w:tc>
                <w:tcPr>
                  <w:tcW w:w="498" w:type="pct"/>
                  <w:vAlign w:val="center"/>
                </w:tcPr>
                <w:p w14:paraId="6A4A2934">
                  <w:pPr>
                    <w:widowControl/>
                    <w:adjustRightInd w:val="0"/>
                    <w:snapToGrid w:val="0"/>
                    <w:jc w:val="center"/>
                    <w:textAlignment w:val="center"/>
                    <w:rPr>
                      <w:rFonts w:hint="eastAsia"/>
                      <w:color w:val="auto"/>
                      <w:szCs w:val="21"/>
                      <w:highlight w:val="none"/>
                    </w:rPr>
                  </w:pPr>
                  <w:r>
                    <w:rPr>
                      <w:rFonts w:hint="eastAsia"/>
                      <w:color w:val="auto"/>
                      <w:szCs w:val="21"/>
                      <w:highlight w:val="none"/>
                    </w:rPr>
                    <w:t>0</w:t>
                  </w:r>
                </w:p>
              </w:tc>
              <w:tc>
                <w:tcPr>
                  <w:tcW w:w="445" w:type="pct"/>
                  <w:vAlign w:val="center"/>
                </w:tcPr>
                <w:p w14:paraId="282E6879">
                  <w:pPr>
                    <w:widowControl/>
                    <w:adjustRightInd w:val="0"/>
                    <w:snapToGrid w:val="0"/>
                    <w:jc w:val="center"/>
                    <w:textAlignment w:val="center"/>
                    <w:rPr>
                      <w:rFonts w:hint="eastAsia"/>
                      <w:color w:val="auto"/>
                      <w:szCs w:val="21"/>
                      <w:highlight w:val="none"/>
                    </w:rPr>
                  </w:pPr>
                  <w:r>
                    <w:rPr>
                      <w:rFonts w:hint="eastAsia"/>
                      <w:color w:val="auto"/>
                      <w:szCs w:val="21"/>
                      <w:highlight w:val="none"/>
                    </w:rPr>
                    <w:t>/</w:t>
                  </w:r>
                </w:p>
              </w:tc>
            </w:tr>
          </w:tbl>
          <w:p w14:paraId="377B0097">
            <w:pPr>
              <w:pStyle w:val="3"/>
              <w:adjustRightInd w:val="0"/>
              <w:snapToGrid w:val="0"/>
              <w:spacing w:before="120" w:beforeLines="50" w:after="0" w:line="360" w:lineRule="auto"/>
              <w:ind w:left="0" w:leftChars="0" w:firstLine="480" w:firstLineChars="200"/>
              <w:rPr>
                <w:snapToGrid w:val="0"/>
                <w:color w:val="auto"/>
                <w:szCs w:val="24"/>
                <w:highlight w:val="none"/>
                <w:lang w:val="en-US"/>
              </w:rPr>
            </w:pPr>
            <w:r>
              <w:rPr>
                <w:rFonts w:hAnsi="宋体"/>
                <w:snapToGrid w:val="0"/>
                <w:color w:val="auto"/>
                <w:szCs w:val="24"/>
                <w:highlight w:val="none"/>
                <w:lang w:val="en-US"/>
              </w:rPr>
              <w:t>本项目污染物排放总量控制建议指标如下：</w:t>
            </w:r>
            <w:r>
              <w:rPr>
                <w:snapToGrid w:val="0"/>
                <w:color w:val="auto"/>
                <w:szCs w:val="24"/>
                <w:highlight w:val="none"/>
                <w:lang w:val="en-US"/>
              </w:rPr>
              <w:t>a.</w:t>
            </w:r>
            <w:r>
              <w:rPr>
                <w:rFonts w:hAnsi="宋体"/>
                <w:snapToGrid w:val="0"/>
                <w:color w:val="auto"/>
                <w:szCs w:val="24"/>
                <w:highlight w:val="none"/>
                <w:lang w:val="en-US"/>
              </w:rPr>
              <w:t>废水污染物：</w:t>
            </w:r>
            <w:r>
              <w:rPr>
                <w:rFonts w:hAnsi="宋体"/>
                <w:color w:val="auto"/>
                <w:szCs w:val="24"/>
                <w:highlight w:val="none"/>
              </w:rPr>
              <w:t>本项目废水污染物接管量为：水量</w:t>
            </w:r>
            <w:r>
              <w:rPr>
                <w:rFonts w:hint="eastAsia"/>
                <w:color w:val="auto"/>
                <w:szCs w:val="24"/>
                <w:highlight w:val="none"/>
              </w:rPr>
              <w:t>358</w:t>
            </w:r>
            <w:r>
              <w:rPr>
                <w:rFonts w:hint="eastAsia"/>
                <w:color w:val="auto"/>
                <w:szCs w:val="24"/>
                <w:highlight w:val="none"/>
                <w:lang w:val="en-US"/>
              </w:rPr>
              <w:t>6</w:t>
            </w:r>
            <w:r>
              <w:rPr>
                <w:color w:val="auto"/>
                <w:szCs w:val="24"/>
                <w:highlight w:val="none"/>
              </w:rPr>
              <w:t>t/a</w:t>
            </w:r>
            <w:r>
              <w:rPr>
                <w:rFonts w:hAnsi="宋体"/>
                <w:color w:val="auto"/>
                <w:szCs w:val="24"/>
                <w:highlight w:val="none"/>
              </w:rPr>
              <w:t>、</w:t>
            </w:r>
            <w:r>
              <w:rPr>
                <w:color w:val="auto"/>
                <w:szCs w:val="24"/>
                <w:highlight w:val="none"/>
              </w:rPr>
              <w:t xml:space="preserve">COD </w:t>
            </w:r>
            <w:r>
              <w:rPr>
                <w:rFonts w:hint="eastAsia"/>
                <w:color w:val="auto"/>
                <w:szCs w:val="24"/>
                <w:highlight w:val="none"/>
              </w:rPr>
              <w:t>0.635</w:t>
            </w:r>
            <w:r>
              <w:rPr>
                <w:rFonts w:hint="eastAsia"/>
                <w:color w:val="auto"/>
                <w:szCs w:val="24"/>
                <w:highlight w:val="none"/>
                <w:lang w:val="en-US"/>
              </w:rPr>
              <w:t>4</w:t>
            </w:r>
            <w:r>
              <w:rPr>
                <w:color w:val="auto"/>
                <w:szCs w:val="24"/>
                <w:highlight w:val="none"/>
              </w:rPr>
              <w:t>t/a</w:t>
            </w:r>
            <w:r>
              <w:rPr>
                <w:rFonts w:hAnsi="宋体"/>
                <w:color w:val="auto"/>
                <w:szCs w:val="24"/>
                <w:highlight w:val="none"/>
              </w:rPr>
              <w:t>、</w:t>
            </w:r>
            <w:r>
              <w:rPr>
                <w:color w:val="auto"/>
                <w:szCs w:val="24"/>
                <w:highlight w:val="none"/>
              </w:rPr>
              <w:t>SS</w:t>
            </w:r>
            <w:r>
              <w:rPr>
                <w:rFonts w:hint="eastAsia"/>
                <w:color w:val="auto"/>
                <w:szCs w:val="24"/>
                <w:highlight w:val="none"/>
              </w:rPr>
              <w:t>0.527</w:t>
            </w:r>
            <w:r>
              <w:rPr>
                <w:rFonts w:hint="eastAsia"/>
                <w:color w:val="auto"/>
                <w:szCs w:val="24"/>
                <w:highlight w:val="none"/>
                <w:lang w:val="en-US"/>
              </w:rPr>
              <w:t>4</w:t>
            </w:r>
            <w:r>
              <w:rPr>
                <w:color w:val="auto"/>
                <w:szCs w:val="24"/>
                <w:highlight w:val="none"/>
              </w:rPr>
              <w:t>t/a</w:t>
            </w:r>
            <w:r>
              <w:rPr>
                <w:rFonts w:hAnsi="宋体"/>
                <w:color w:val="auto"/>
                <w:szCs w:val="24"/>
                <w:highlight w:val="none"/>
              </w:rPr>
              <w:t>、氨氮</w:t>
            </w:r>
            <w:r>
              <w:rPr>
                <w:rFonts w:hint="eastAsia"/>
                <w:color w:val="auto"/>
                <w:szCs w:val="24"/>
                <w:highlight w:val="none"/>
              </w:rPr>
              <w:t>0.0420</w:t>
            </w:r>
            <w:r>
              <w:rPr>
                <w:color w:val="auto"/>
                <w:szCs w:val="24"/>
                <w:highlight w:val="none"/>
              </w:rPr>
              <w:t>t/a</w:t>
            </w:r>
            <w:r>
              <w:rPr>
                <w:rFonts w:hAnsi="宋体"/>
                <w:color w:val="auto"/>
                <w:szCs w:val="24"/>
                <w:highlight w:val="none"/>
              </w:rPr>
              <w:t>、总氮</w:t>
            </w:r>
            <w:r>
              <w:rPr>
                <w:rFonts w:hint="eastAsia"/>
                <w:color w:val="auto"/>
                <w:szCs w:val="24"/>
                <w:highlight w:val="none"/>
              </w:rPr>
              <w:t>0.0540</w:t>
            </w:r>
            <w:r>
              <w:rPr>
                <w:color w:val="auto"/>
                <w:szCs w:val="24"/>
                <w:highlight w:val="none"/>
              </w:rPr>
              <w:t>t/a</w:t>
            </w:r>
            <w:r>
              <w:rPr>
                <w:rFonts w:hAnsi="宋体"/>
                <w:color w:val="auto"/>
                <w:szCs w:val="24"/>
                <w:highlight w:val="none"/>
              </w:rPr>
              <w:t>、总磷</w:t>
            </w:r>
            <w:r>
              <w:rPr>
                <w:rFonts w:hint="eastAsia"/>
                <w:color w:val="auto"/>
                <w:szCs w:val="24"/>
                <w:highlight w:val="none"/>
              </w:rPr>
              <w:t>0.0060</w:t>
            </w:r>
            <w:r>
              <w:rPr>
                <w:color w:val="auto"/>
                <w:szCs w:val="24"/>
                <w:highlight w:val="none"/>
              </w:rPr>
              <w:t>t/a</w:t>
            </w:r>
            <w:r>
              <w:rPr>
                <w:rFonts w:hAnsi="宋体"/>
                <w:color w:val="auto"/>
                <w:szCs w:val="24"/>
                <w:highlight w:val="none"/>
              </w:rPr>
              <w:t>。</w:t>
            </w:r>
            <w:r>
              <w:rPr>
                <w:snapToGrid w:val="0"/>
                <w:color w:val="auto"/>
                <w:szCs w:val="24"/>
                <w:highlight w:val="none"/>
                <w:lang w:val="en-US"/>
              </w:rPr>
              <w:t>b.</w:t>
            </w:r>
            <w:r>
              <w:rPr>
                <w:rFonts w:hAnsi="宋体"/>
                <w:snapToGrid w:val="0"/>
                <w:color w:val="auto"/>
                <w:szCs w:val="24"/>
                <w:highlight w:val="none"/>
                <w:lang w:val="en-US"/>
              </w:rPr>
              <w:t>大气污染物：本项目有组织排放</w:t>
            </w:r>
            <w:r>
              <w:rPr>
                <w:snapToGrid w:val="0"/>
                <w:color w:val="auto"/>
                <w:szCs w:val="24"/>
                <w:highlight w:val="none"/>
                <w:lang w:val="en-US"/>
              </w:rPr>
              <w:t>VOCs</w:t>
            </w:r>
            <w:r>
              <w:rPr>
                <w:rFonts w:hAnsi="宋体"/>
                <w:snapToGrid w:val="0"/>
                <w:color w:val="auto"/>
                <w:szCs w:val="24"/>
                <w:highlight w:val="none"/>
                <w:lang w:val="en-US"/>
              </w:rPr>
              <w:t>：</w:t>
            </w:r>
            <w:r>
              <w:rPr>
                <w:snapToGrid w:val="0"/>
                <w:color w:val="auto"/>
                <w:szCs w:val="24"/>
                <w:highlight w:val="none"/>
                <w:lang w:val="en-US"/>
              </w:rPr>
              <w:t>0.0</w:t>
            </w:r>
            <w:r>
              <w:rPr>
                <w:rFonts w:hint="default"/>
                <w:snapToGrid w:val="0"/>
                <w:color w:val="auto"/>
                <w:szCs w:val="24"/>
                <w:highlight w:val="none"/>
              </w:rPr>
              <w:t>263</w:t>
            </w:r>
            <w:r>
              <w:rPr>
                <w:rFonts w:hint="eastAsia"/>
                <w:snapToGrid w:val="0"/>
                <w:color w:val="auto"/>
                <w:szCs w:val="24"/>
                <w:highlight w:val="none"/>
                <w:lang w:val="en-US" w:eastAsia="zh-Hans"/>
              </w:rPr>
              <w:t>t</w:t>
            </w:r>
            <w:r>
              <w:rPr>
                <w:snapToGrid w:val="0"/>
                <w:color w:val="auto"/>
                <w:szCs w:val="24"/>
                <w:highlight w:val="none"/>
                <w:lang w:val="en-US"/>
              </w:rPr>
              <w:t>/a</w:t>
            </w:r>
            <w:r>
              <w:rPr>
                <w:rFonts w:hint="eastAsia"/>
                <w:snapToGrid w:val="0"/>
                <w:color w:val="auto"/>
                <w:szCs w:val="24"/>
                <w:highlight w:val="none"/>
                <w:lang w:val="en-US"/>
              </w:rPr>
              <w:t>、颗粒物0.0810t/a</w:t>
            </w:r>
            <w:r>
              <w:rPr>
                <w:rFonts w:hint="eastAsia" w:hAnsi="宋体"/>
                <w:snapToGrid w:val="0"/>
                <w:color w:val="auto"/>
                <w:szCs w:val="24"/>
                <w:highlight w:val="none"/>
                <w:lang w:val="en-US"/>
              </w:rPr>
              <w:t>，</w:t>
            </w:r>
            <w:r>
              <w:rPr>
                <w:rFonts w:hAnsi="宋体"/>
                <w:snapToGrid w:val="0"/>
                <w:color w:val="auto"/>
                <w:szCs w:val="24"/>
                <w:highlight w:val="none"/>
                <w:lang w:val="en-US"/>
              </w:rPr>
              <w:t>无组织排放</w:t>
            </w:r>
            <w:r>
              <w:rPr>
                <w:snapToGrid w:val="0"/>
                <w:color w:val="auto"/>
                <w:szCs w:val="24"/>
                <w:highlight w:val="none"/>
                <w:lang w:val="en-US"/>
              </w:rPr>
              <w:t>VOCs</w:t>
            </w:r>
            <w:r>
              <w:rPr>
                <w:rFonts w:hAnsi="宋体"/>
                <w:snapToGrid w:val="0"/>
                <w:color w:val="auto"/>
                <w:szCs w:val="24"/>
                <w:highlight w:val="none"/>
                <w:lang w:val="en-US"/>
              </w:rPr>
              <w:t>：</w:t>
            </w:r>
            <w:r>
              <w:rPr>
                <w:snapToGrid w:val="0"/>
                <w:color w:val="auto"/>
                <w:szCs w:val="24"/>
                <w:highlight w:val="none"/>
                <w:lang w:val="en-US"/>
              </w:rPr>
              <w:t>0.</w:t>
            </w:r>
            <w:r>
              <w:rPr>
                <w:snapToGrid w:val="0"/>
                <w:color w:val="auto"/>
                <w:szCs w:val="24"/>
                <w:highlight w:val="none"/>
              </w:rPr>
              <w:t>0894</w:t>
            </w:r>
            <w:r>
              <w:rPr>
                <w:snapToGrid w:val="0"/>
                <w:color w:val="auto"/>
                <w:szCs w:val="24"/>
                <w:highlight w:val="none"/>
                <w:lang w:val="en-US"/>
              </w:rPr>
              <w:t>t/a</w:t>
            </w:r>
            <w:r>
              <w:rPr>
                <w:rFonts w:hint="eastAsia"/>
                <w:snapToGrid w:val="0"/>
                <w:color w:val="auto"/>
                <w:szCs w:val="24"/>
                <w:highlight w:val="none"/>
                <w:lang w:val="en-US"/>
              </w:rPr>
              <w:t>、颗粒物：</w:t>
            </w:r>
            <w:r>
              <w:rPr>
                <w:snapToGrid w:val="0"/>
                <w:color w:val="auto"/>
                <w:szCs w:val="24"/>
                <w:highlight w:val="none"/>
                <w:lang w:val="en-US"/>
              </w:rPr>
              <w:t>0.</w:t>
            </w:r>
            <w:r>
              <w:rPr>
                <w:rFonts w:hint="eastAsia"/>
                <w:snapToGrid w:val="0"/>
                <w:color w:val="auto"/>
                <w:szCs w:val="24"/>
                <w:highlight w:val="none"/>
                <w:lang w:val="en-US"/>
              </w:rPr>
              <w:t>372</w:t>
            </w:r>
            <w:r>
              <w:rPr>
                <w:snapToGrid w:val="0"/>
                <w:color w:val="auto"/>
                <w:szCs w:val="24"/>
                <w:highlight w:val="none"/>
                <w:lang w:val="en-US"/>
              </w:rPr>
              <w:t>t/a</w:t>
            </w:r>
            <w:r>
              <w:rPr>
                <w:rFonts w:hAnsi="宋体"/>
                <w:snapToGrid w:val="0"/>
                <w:color w:val="auto"/>
                <w:szCs w:val="24"/>
                <w:highlight w:val="none"/>
                <w:lang w:val="en-US"/>
              </w:rPr>
              <w:t>，在海</w:t>
            </w:r>
            <w:r>
              <w:rPr>
                <w:rFonts w:hint="eastAsia" w:hAnsi="宋体"/>
                <w:snapToGrid w:val="0"/>
                <w:color w:val="auto"/>
                <w:szCs w:val="24"/>
                <w:highlight w:val="none"/>
                <w:lang w:val="en-US"/>
              </w:rPr>
              <w:t>门</w:t>
            </w:r>
            <w:r>
              <w:rPr>
                <w:rFonts w:hAnsi="宋体"/>
                <w:snapToGrid w:val="0"/>
                <w:color w:val="auto"/>
                <w:szCs w:val="24"/>
                <w:highlight w:val="none"/>
                <w:lang w:val="en-US"/>
              </w:rPr>
              <w:t>市范围内平衡。</w:t>
            </w:r>
            <w:r>
              <w:rPr>
                <w:snapToGrid w:val="0"/>
                <w:color w:val="auto"/>
                <w:szCs w:val="24"/>
                <w:highlight w:val="none"/>
                <w:lang w:val="en-US"/>
              </w:rPr>
              <w:t>c.</w:t>
            </w:r>
            <w:r>
              <w:rPr>
                <w:rFonts w:hAnsi="宋体"/>
                <w:snapToGrid w:val="0"/>
                <w:color w:val="auto"/>
                <w:szCs w:val="24"/>
                <w:highlight w:val="none"/>
                <w:lang w:val="en-US"/>
              </w:rPr>
              <w:t>固体废物：固体废物均能得到有效的利用和处置，固废实现</w:t>
            </w:r>
            <w:r>
              <w:rPr>
                <w:snapToGrid w:val="0"/>
                <w:color w:val="auto"/>
                <w:szCs w:val="24"/>
                <w:highlight w:val="none"/>
                <w:lang w:val="en-US"/>
              </w:rPr>
              <w:t>“</w:t>
            </w:r>
            <w:r>
              <w:rPr>
                <w:rFonts w:hAnsi="宋体"/>
                <w:snapToGrid w:val="0"/>
                <w:color w:val="auto"/>
                <w:szCs w:val="24"/>
                <w:highlight w:val="none"/>
                <w:lang w:val="en-US"/>
              </w:rPr>
              <w:t>零</w:t>
            </w:r>
            <w:r>
              <w:rPr>
                <w:snapToGrid w:val="0"/>
                <w:color w:val="auto"/>
                <w:szCs w:val="24"/>
                <w:highlight w:val="none"/>
                <w:lang w:val="en-US"/>
              </w:rPr>
              <w:t>”</w:t>
            </w:r>
            <w:r>
              <w:rPr>
                <w:rFonts w:hAnsi="宋体"/>
                <w:snapToGrid w:val="0"/>
                <w:color w:val="auto"/>
                <w:szCs w:val="24"/>
                <w:highlight w:val="none"/>
                <w:lang w:val="en-US"/>
              </w:rPr>
              <w:t>排放。</w:t>
            </w:r>
          </w:p>
          <w:p w14:paraId="55625490">
            <w:pPr>
              <w:pStyle w:val="3"/>
              <w:adjustRightInd w:val="0"/>
              <w:snapToGrid w:val="0"/>
              <w:spacing w:after="0" w:line="360" w:lineRule="auto"/>
              <w:ind w:left="0" w:leftChars="0" w:firstLine="480" w:firstLineChars="200"/>
              <w:rPr>
                <w:snapToGrid w:val="0"/>
                <w:color w:val="auto"/>
                <w:szCs w:val="24"/>
                <w:highlight w:val="none"/>
                <w:lang w:val="en-US"/>
              </w:rPr>
            </w:pPr>
            <w:r>
              <w:rPr>
                <w:rFonts w:hAnsi="宋体"/>
                <w:snapToGrid w:val="0"/>
                <w:color w:val="auto"/>
                <w:szCs w:val="24"/>
                <w:highlight w:val="none"/>
                <w:lang w:val="en-US"/>
              </w:rPr>
              <w:t>根据《国民经济行业分类》（国家标准第</w:t>
            </w:r>
            <w:r>
              <w:rPr>
                <w:snapToGrid w:val="0"/>
                <w:color w:val="auto"/>
                <w:szCs w:val="24"/>
                <w:highlight w:val="none"/>
                <w:lang w:val="en-US"/>
              </w:rPr>
              <w:t>1</w:t>
            </w:r>
            <w:r>
              <w:rPr>
                <w:rFonts w:hAnsi="宋体"/>
                <w:snapToGrid w:val="0"/>
                <w:color w:val="auto"/>
                <w:szCs w:val="24"/>
                <w:highlight w:val="none"/>
                <w:lang w:val="en-US"/>
              </w:rPr>
              <w:t>号修改单），本项目所属行业别类为</w:t>
            </w:r>
            <w:r>
              <w:rPr>
                <w:snapToGrid w:val="0"/>
                <w:color w:val="auto"/>
                <w:szCs w:val="24"/>
                <w:highlight w:val="none"/>
                <w:lang w:val="en-US"/>
              </w:rPr>
              <w:t>C3670汽车零部件及配件制造</w:t>
            </w:r>
            <w:r>
              <w:rPr>
                <w:rFonts w:hAnsi="宋体"/>
                <w:snapToGrid w:val="0"/>
                <w:color w:val="auto"/>
                <w:szCs w:val="24"/>
                <w:highlight w:val="none"/>
                <w:lang w:val="en-US"/>
              </w:rPr>
              <w:t>，根据《固定污染源排污许可分类管理名录（</w:t>
            </w:r>
            <w:r>
              <w:rPr>
                <w:snapToGrid w:val="0"/>
                <w:color w:val="auto"/>
                <w:szCs w:val="24"/>
                <w:highlight w:val="none"/>
                <w:lang w:val="en-US"/>
              </w:rPr>
              <w:t>2019</w:t>
            </w:r>
            <w:r>
              <w:rPr>
                <w:rFonts w:hAnsi="宋体"/>
                <w:snapToGrid w:val="0"/>
                <w:color w:val="auto"/>
                <w:szCs w:val="24"/>
                <w:highlight w:val="none"/>
                <w:lang w:val="en-US"/>
              </w:rPr>
              <w:t>年版）》（生态环境部</w:t>
            </w:r>
            <w:r>
              <w:rPr>
                <w:snapToGrid w:val="0"/>
                <w:color w:val="auto"/>
                <w:szCs w:val="24"/>
                <w:highlight w:val="none"/>
                <w:lang w:val="en-US"/>
              </w:rPr>
              <w:t xml:space="preserve"> </w:t>
            </w:r>
            <w:r>
              <w:rPr>
                <w:rFonts w:hAnsi="宋体"/>
                <w:snapToGrid w:val="0"/>
                <w:color w:val="auto"/>
                <w:szCs w:val="24"/>
                <w:highlight w:val="none"/>
                <w:lang w:val="en-US"/>
              </w:rPr>
              <w:t>部令第</w:t>
            </w:r>
            <w:r>
              <w:rPr>
                <w:snapToGrid w:val="0"/>
                <w:color w:val="auto"/>
                <w:szCs w:val="24"/>
                <w:highlight w:val="none"/>
                <w:lang w:val="en-US"/>
              </w:rPr>
              <w:t>11</w:t>
            </w:r>
            <w:r>
              <w:rPr>
                <w:rFonts w:hAnsi="宋体"/>
                <w:snapToGrid w:val="0"/>
                <w:color w:val="auto"/>
                <w:szCs w:val="24"/>
                <w:highlight w:val="none"/>
                <w:lang w:val="en-US"/>
              </w:rPr>
              <w:t>号），项目属于</w:t>
            </w:r>
            <w:r>
              <w:rPr>
                <w:rFonts w:hint="eastAsia" w:hAnsi="宋体"/>
                <w:snapToGrid w:val="0"/>
                <w:color w:val="auto"/>
                <w:szCs w:val="24"/>
                <w:highlight w:val="none"/>
                <w:lang w:val="en-US"/>
              </w:rPr>
              <w:t>三十一</w:t>
            </w:r>
            <w:r>
              <w:rPr>
                <w:rFonts w:hAnsi="宋体"/>
                <w:snapToGrid w:val="0"/>
                <w:color w:val="auto"/>
                <w:szCs w:val="24"/>
                <w:highlight w:val="none"/>
                <w:lang w:val="en-US"/>
              </w:rPr>
              <w:t>、</w:t>
            </w:r>
            <w:r>
              <w:rPr>
                <w:rFonts w:hint="eastAsia" w:hAnsi="宋体"/>
                <w:snapToGrid w:val="0"/>
                <w:color w:val="auto"/>
                <w:szCs w:val="24"/>
                <w:highlight w:val="none"/>
                <w:lang w:val="en-US"/>
              </w:rPr>
              <w:t>汽车制造业</w:t>
            </w:r>
            <w:r>
              <w:rPr>
                <w:rFonts w:hint="eastAsia"/>
                <w:snapToGrid w:val="0"/>
                <w:color w:val="auto"/>
                <w:szCs w:val="24"/>
                <w:highlight w:val="none"/>
                <w:lang w:val="en-US"/>
              </w:rPr>
              <w:t>36</w:t>
            </w:r>
            <w:r>
              <w:rPr>
                <w:rFonts w:hAnsi="宋体"/>
                <w:snapToGrid w:val="0"/>
                <w:color w:val="auto"/>
                <w:szCs w:val="24"/>
                <w:highlight w:val="none"/>
                <w:lang w:val="en-US"/>
              </w:rPr>
              <w:t>中</w:t>
            </w:r>
            <w:r>
              <w:rPr>
                <w:rFonts w:hint="eastAsia"/>
                <w:snapToGrid w:val="0"/>
                <w:color w:val="auto"/>
                <w:szCs w:val="24"/>
                <w:highlight w:val="none"/>
                <w:lang w:val="en-US"/>
              </w:rPr>
              <w:t>85</w:t>
            </w:r>
            <w:r>
              <w:rPr>
                <w:rFonts w:hAnsi="宋体"/>
                <w:snapToGrid w:val="0"/>
                <w:color w:val="auto"/>
                <w:szCs w:val="24"/>
                <w:highlight w:val="none"/>
                <w:lang w:val="en-US"/>
              </w:rPr>
              <w:t>汽车零部件及配件制造367</w:t>
            </w:r>
            <w:r>
              <w:rPr>
                <w:rFonts w:hint="eastAsia" w:hAnsi="宋体"/>
                <w:snapToGrid w:val="0"/>
                <w:color w:val="auto"/>
                <w:szCs w:val="24"/>
                <w:highlight w:val="none"/>
                <w:lang w:val="en-US"/>
              </w:rPr>
              <w:t>、其他</w:t>
            </w:r>
            <w:r>
              <w:rPr>
                <w:rFonts w:hAnsi="宋体"/>
                <w:snapToGrid w:val="0"/>
                <w:color w:val="auto"/>
                <w:szCs w:val="24"/>
                <w:highlight w:val="none"/>
                <w:lang w:val="en-US"/>
              </w:rPr>
              <w:t>，属于</w:t>
            </w:r>
            <w:r>
              <w:rPr>
                <w:rFonts w:hint="eastAsia" w:hAnsi="宋体"/>
                <w:snapToGrid w:val="0"/>
                <w:color w:val="auto"/>
                <w:szCs w:val="24"/>
                <w:highlight w:val="none"/>
                <w:lang w:val="en-US"/>
              </w:rPr>
              <w:t>登记</w:t>
            </w:r>
            <w:r>
              <w:rPr>
                <w:rFonts w:hAnsi="宋体"/>
                <w:snapToGrid w:val="0"/>
                <w:color w:val="auto"/>
                <w:szCs w:val="24"/>
                <w:highlight w:val="none"/>
                <w:lang w:val="en-US"/>
              </w:rPr>
              <w:t>管理，无需进行排污权交易。</w:t>
            </w:r>
          </w:p>
          <w:p w14:paraId="2F974A09">
            <w:pPr>
              <w:pStyle w:val="3"/>
              <w:adjustRightInd w:val="0"/>
              <w:snapToGrid w:val="0"/>
              <w:spacing w:after="0" w:line="360" w:lineRule="auto"/>
              <w:ind w:left="0" w:leftChars="0" w:firstLine="480" w:firstLineChars="200"/>
              <w:rPr>
                <w:color w:val="auto"/>
                <w:szCs w:val="21"/>
                <w:highlight w:val="none"/>
              </w:rPr>
            </w:pPr>
            <w:r>
              <w:rPr>
                <w:color w:val="auto"/>
                <w:szCs w:val="24"/>
                <w:highlight w:val="none"/>
              </w:rPr>
              <w:t>根据《关于进一步规范建设项目主要污染物排放总量指标审核、管理及排污权交易的工作方案》(通环办[2021]23号）文件要求及排污许可证核发技术规范，上述污染物总量由建设单位上报环保审批部门，核准后批复实施</w:t>
            </w:r>
            <w:r>
              <w:rPr>
                <w:rFonts w:hint="eastAsia"/>
                <w:color w:val="auto"/>
                <w:szCs w:val="24"/>
                <w:highlight w:val="none"/>
                <w:lang w:eastAsia="zh-Hans"/>
              </w:rPr>
              <w:t>，</w:t>
            </w:r>
            <w:r>
              <w:rPr>
                <w:rFonts w:hint="eastAsia"/>
                <w:color w:val="auto"/>
                <w:szCs w:val="24"/>
                <w:highlight w:val="none"/>
                <w:lang w:val="en-US" w:eastAsia="zh-Hans"/>
              </w:rPr>
              <w:t>在环评文件获批后、申领排污许可证前通过江苏省排污权管理(交易)信息化平台交易取得排污权</w:t>
            </w:r>
            <w:r>
              <w:rPr>
                <w:color w:val="auto"/>
                <w:szCs w:val="24"/>
                <w:highlight w:val="none"/>
              </w:rPr>
              <w:t>。</w:t>
            </w:r>
          </w:p>
        </w:tc>
      </w:tr>
    </w:tbl>
    <w:p w14:paraId="6A9AE1D6">
      <w:pPr>
        <w:pStyle w:val="22"/>
        <w:spacing w:before="0" w:beforeAutospacing="0" w:after="0" w:afterAutospacing="0"/>
        <w:jc w:val="center"/>
        <w:outlineLvl w:val="0"/>
        <w:rPr>
          <w:rFonts w:ascii="Times New Roman" w:hAnsi="Times New Roman"/>
          <w:b/>
          <w:snapToGrid w:val="0"/>
          <w:color w:val="auto"/>
          <w:sz w:val="30"/>
          <w:szCs w:val="30"/>
          <w:highlight w:val="none"/>
        </w:rPr>
      </w:pPr>
      <w:r>
        <w:rPr>
          <w:rFonts w:ascii="Times New Roman" w:hAnsi="Times New Roman"/>
          <w:snapToGrid w:val="0"/>
          <w:color w:val="auto"/>
          <w:sz w:val="36"/>
          <w:szCs w:val="36"/>
          <w:highlight w:val="none"/>
        </w:rPr>
        <w:br w:type="page"/>
      </w:r>
      <w:r>
        <w:rPr>
          <w:rFonts w:ascii="Times New Roman"/>
          <w:b/>
          <w:snapToGrid w:val="0"/>
          <w:color w:val="auto"/>
          <w:sz w:val="30"/>
          <w:szCs w:val="30"/>
          <w:highlight w:val="none"/>
        </w:rPr>
        <w:t>四、主要环境影响和保护措施</w:t>
      </w:r>
    </w:p>
    <w:tbl>
      <w:tblPr>
        <w:tblStyle w:val="24"/>
        <w:tblW w:w="56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814"/>
        <w:gridCol w:w="10371"/>
      </w:tblGrid>
      <w:tr w14:paraId="599D7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4" w:type="pct"/>
            <w:tcMar>
              <w:left w:w="28" w:type="dxa"/>
              <w:right w:w="28" w:type="dxa"/>
            </w:tcMar>
            <w:vAlign w:val="center"/>
          </w:tcPr>
          <w:p w14:paraId="799661AA">
            <w:pPr>
              <w:pStyle w:val="22"/>
              <w:adjustRightInd w:val="0"/>
              <w:snapToGrid w:val="0"/>
              <w:spacing w:before="0" w:beforeAutospacing="0" w:after="0" w:afterAutospacing="0"/>
              <w:jc w:val="center"/>
              <w:rPr>
                <w:rFonts w:ascii="Times New Roman" w:hAnsi="Times New Roman"/>
                <w:bCs/>
                <w:color w:val="auto"/>
                <w:kern w:val="2"/>
                <w:sz w:val="21"/>
                <w:szCs w:val="21"/>
                <w:highlight w:val="none"/>
                <w:lang w:val="en-US"/>
              </w:rPr>
            </w:pPr>
            <w:r>
              <w:rPr>
                <w:rFonts w:ascii="Times New Roman"/>
                <w:color w:val="auto"/>
                <w:kern w:val="2"/>
                <w:szCs w:val="24"/>
                <w:highlight w:val="none"/>
                <w:lang w:val="en-US"/>
              </w:rPr>
              <w:t>施工期环境保护措施</w:t>
            </w:r>
          </w:p>
        </w:tc>
        <w:tc>
          <w:tcPr>
            <w:tcW w:w="4635" w:type="pct"/>
          </w:tcPr>
          <w:p w14:paraId="09DAFB2D">
            <w:pPr>
              <w:adjustRightInd w:val="0"/>
              <w:snapToGrid w:val="0"/>
              <w:ind w:firstLine="200" w:firstLineChars="200"/>
              <w:rPr>
                <w:rFonts w:hAnsi="宋体"/>
                <w:color w:val="auto"/>
                <w:kern w:val="0"/>
                <w:sz w:val="10"/>
                <w:szCs w:val="10"/>
                <w:highlight w:val="none"/>
              </w:rPr>
            </w:pPr>
          </w:p>
          <w:p w14:paraId="5A0A41F0">
            <w:pPr>
              <w:adjustRightInd w:val="0"/>
              <w:snapToGrid w:val="0"/>
              <w:spacing w:line="360" w:lineRule="auto"/>
              <w:ind w:firstLine="480" w:firstLineChars="200"/>
              <w:rPr>
                <w:bCs/>
                <w:color w:val="auto"/>
                <w:szCs w:val="21"/>
                <w:highlight w:val="none"/>
              </w:rPr>
            </w:pPr>
            <w:r>
              <w:rPr>
                <w:color w:val="auto"/>
                <w:kern w:val="0"/>
                <w:sz w:val="24"/>
                <w:highlight w:val="none"/>
              </w:rPr>
              <w:t>本项目利用南通赫联科技产业发展有限公司</w:t>
            </w:r>
            <w:r>
              <w:rPr>
                <w:color w:val="auto"/>
                <w:sz w:val="24"/>
                <w:highlight w:val="none"/>
              </w:rPr>
              <w:t>厂房</w:t>
            </w:r>
            <w:r>
              <w:rPr>
                <w:color w:val="auto"/>
                <w:kern w:val="0"/>
                <w:sz w:val="24"/>
                <w:highlight w:val="none"/>
              </w:rPr>
              <w:t>进行建设，施工期无废气、废水、固体废物等污染产生，仅设备安装过程产生噪声，因噪声较小，可忽略不计，故不做影响分析。</w:t>
            </w:r>
          </w:p>
        </w:tc>
      </w:tr>
      <w:tr w14:paraId="66F12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23" w:hRule="atLeast"/>
          <w:jc w:val="center"/>
        </w:trPr>
        <w:tc>
          <w:tcPr>
            <w:tcW w:w="364" w:type="pct"/>
            <w:tcMar>
              <w:left w:w="28" w:type="dxa"/>
              <w:right w:w="28" w:type="dxa"/>
            </w:tcMar>
            <w:vAlign w:val="center"/>
          </w:tcPr>
          <w:p w14:paraId="486E4F39">
            <w:pPr>
              <w:pStyle w:val="22"/>
              <w:adjustRightInd w:val="0"/>
              <w:snapToGrid w:val="0"/>
              <w:spacing w:before="0" w:after="0"/>
              <w:jc w:val="center"/>
              <w:rPr>
                <w:rFonts w:ascii="Times New Roman"/>
                <w:color w:val="auto"/>
                <w:kern w:val="2"/>
                <w:sz w:val="21"/>
                <w:szCs w:val="21"/>
                <w:highlight w:val="none"/>
                <w:lang w:val="en-US"/>
              </w:rPr>
            </w:pPr>
            <w:r>
              <w:rPr>
                <w:bCs/>
                <w:color w:val="auto"/>
                <w:sz w:val="21"/>
                <w:szCs w:val="21"/>
                <w:highlight w:val="none"/>
              </w:rPr>
              <w:t>运营期环境影响和保护措施</w:t>
            </w:r>
          </w:p>
        </w:tc>
        <w:tc>
          <w:tcPr>
            <w:tcW w:w="4635" w:type="pct"/>
          </w:tcPr>
          <w:p w14:paraId="15BDF289">
            <w:pPr>
              <w:adjustRightInd w:val="0"/>
              <w:snapToGrid w:val="0"/>
              <w:spacing w:line="360" w:lineRule="auto"/>
              <w:rPr>
                <w:b/>
                <w:bCs/>
                <w:color w:val="auto"/>
                <w:kern w:val="0"/>
                <w:sz w:val="24"/>
                <w:highlight w:val="none"/>
              </w:rPr>
            </w:pPr>
            <w:r>
              <w:rPr>
                <w:b/>
                <w:bCs/>
                <w:color w:val="auto"/>
                <w:kern w:val="0"/>
                <w:sz w:val="24"/>
                <w:highlight w:val="none"/>
              </w:rPr>
              <w:t>1.</w:t>
            </w:r>
            <w:r>
              <w:rPr>
                <w:rFonts w:hAnsi="宋体"/>
                <w:b/>
                <w:bCs/>
                <w:color w:val="auto"/>
                <w:kern w:val="0"/>
                <w:sz w:val="24"/>
                <w:highlight w:val="none"/>
              </w:rPr>
              <w:t>废气</w:t>
            </w:r>
          </w:p>
          <w:p w14:paraId="1DFF6F3B">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建设项目产生废气主要有：</w:t>
            </w:r>
            <w:r>
              <w:rPr>
                <w:rFonts w:hint="eastAsia" w:hAnsi="宋体"/>
                <w:bCs/>
                <w:snapToGrid w:val="0"/>
                <w:color w:val="auto"/>
                <w:kern w:val="0"/>
                <w:sz w:val="24"/>
                <w:highlight w:val="none"/>
              </w:rPr>
              <w:t>涂胶、固化、滴胶、涂粉固化有机</w:t>
            </w:r>
            <w:r>
              <w:rPr>
                <w:rFonts w:hAnsi="宋体"/>
                <w:bCs/>
                <w:snapToGrid w:val="0"/>
                <w:color w:val="auto"/>
                <w:kern w:val="0"/>
                <w:sz w:val="24"/>
                <w:highlight w:val="none"/>
              </w:rPr>
              <w:t>废气</w:t>
            </w:r>
            <w:r>
              <w:rPr>
                <w:rFonts w:hAnsi="宋体"/>
                <w:snapToGrid w:val="0"/>
                <w:color w:val="auto"/>
                <w:kern w:val="0"/>
                <w:sz w:val="24"/>
                <w:highlight w:val="none"/>
              </w:rPr>
              <w:t>及</w:t>
            </w:r>
            <w:r>
              <w:rPr>
                <w:rFonts w:hint="eastAsia" w:hAnsi="宋体"/>
                <w:snapToGrid w:val="0"/>
                <w:color w:val="auto"/>
                <w:kern w:val="0"/>
                <w:sz w:val="24"/>
                <w:highlight w:val="none"/>
              </w:rPr>
              <w:t>焊接烟尘</w:t>
            </w:r>
            <w:r>
              <w:rPr>
                <w:rFonts w:hAnsi="宋体"/>
                <w:snapToGrid w:val="0"/>
                <w:color w:val="auto"/>
                <w:kern w:val="0"/>
                <w:sz w:val="24"/>
                <w:highlight w:val="none"/>
              </w:rPr>
              <w:t>。</w:t>
            </w:r>
          </w:p>
          <w:p w14:paraId="19842A6F">
            <w:pPr>
              <w:adjustRightInd w:val="0"/>
              <w:snapToGrid w:val="0"/>
              <w:spacing w:line="360" w:lineRule="auto"/>
              <w:ind w:firstLine="482" w:firstLineChars="200"/>
              <w:rPr>
                <w:b/>
                <w:color w:val="auto"/>
                <w:kern w:val="0"/>
                <w:sz w:val="24"/>
                <w:highlight w:val="none"/>
              </w:rPr>
            </w:pPr>
            <w:r>
              <w:rPr>
                <w:rFonts w:hAnsi="宋体"/>
                <w:b/>
                <w:color w:val="auto"/>
                <w:kern w:val="0"/>
                <w:sz w:val="24"/>
                <w:highlight w:val="none"/>
              </w:rPr>
              <w:t>（</w:t>
            </w:r>
            <w:r>
              <w:rPr>
                <w:b/>
                <w:color w:val="auto"/>
                <w:kern w:val="0"/>
                <w:sz w:val="24"/>
                <w:highlight w:val="none"/>
              </w:rPr>
              <w:t>1</w:t>
            </w:r>
            <w:r>
              <w:rPr>
                <w:rFonts w:hAnsi="宋体"/>
                <w:b/>
                <w:color w:val="auto"/>
                <w:kern w:val="0"/>
                <w:sz w:val="24"/>
                <w:highlight w:val="none"/>
              </w:rPr>
              <w:t>）废气源强核算、收集、处理、排放方式</w:t>
            </w:r>
          </w:p>
          <w:p w14:paraId="0FD0434B">
            <w:pPr>
              <w:autoSpaceDE w:val="0"/>
              <w:autoSpaceDN w:val="0"/>
              <w:adjustRightInd w:val="0"/>
              <w:snapToGrid w:val="0"/>
              <w:spacing w:line="360" w:lineRule="auto"/>
              <w:ind w:firstLine="480" w:firstLineChars="200"/>
              <w:rPr>
                <w:rFonts w:hAnsi="宋体"/>
                <w:color w:val="auto"/>
                <w:kern w:val="0"/>
                <w:sz w:val="24"/>
                <w:highlight w:val="none"/>
              </w:rPr>
            </w:pPr>
            <w:r>
              <w:rPr>
                <w:rFonts w:hAnsi="宋体"/>
                <w:color w:val="auto"/>
                <w:kern w:val="0"/>
                <w:sz w:val="24"/>
                <w:highlight w:val="none"/>
              </w:rPr>
              <w:t>本项目</w:t>
            </w:r>
            <w:r>
              <w:rPr>
                <w:rFonts w:hint="eastAsia" w:hAnsi="宋体"/>
                <w:color w:val="auto"/>
                <w:kern w:val="0"/>
                <w:sz w:val="24"/>
                <w:highlight w:val="none"/>
              </w:rPr>
              <w:t>涂胶、滴胶、涂粉</w:t>
            </w:r>
            <w:r>
              <w:rPr>
                <w:rFonts w:hAnsi="宋体"/>
                <w:color w:val="auto"/>
                <w:kern w:val="0"/>
                <w:sz w:val="24"/>
                <w:highlight w:val="none"/>
              </w:rPr>
              <w:t>工序使用的各种树脂均为管道自动化输送至设备内部，上料、输送过程无废气产生</w:t>
            </w:r>
            <w:r>
              <w:rPr>
                <w:rFonts w:hint="eastAsia" w:hAnsi="宋体"/>
                <w:color w:val="auto"/>
                <w:kern w:val="0"/>
                <w:sz w:val="24"/>
                <w:highlight w:val="none"/>
              </w:rPr>
              <w:t>。</w:t>
            </w:r>
          </w:p>
          <w:p w14:paraId="3F38F197">
            <w:pPr>
              <w:autoSpaceDE w:val="0"/>
              <w:autoSpaceDN w:val="0"/>
              <w:adjustRightInd w:val="0"/>
              <w:snapToGrid w:val="0"/>
              <w:spacing w:line="360" w:lineRule="auto"/>
              <w:ind w:firstLine="480" w:firstLineChars="200"/>
              <w:rPr>
                <w:rFonts w:hAnsi="宋体"/>
                <w:bCs/>
                <w:color w:val="auto"/>
                <w:kern w:val="0"/>
                <w:sz w:val="24"/>
                <w:highlight w:val="none"/>
              </w:rPr>
            </w:pPr>
            <w:r>
              <w:rPr>
                <w:rFonts w:hint="eastAsia" w:hAnsi="宋体"/>
                <w:bCs/>
                <w:color w:val="auto"/>
                <w:kern w:val="0"/>
                <w:sz w:val="24"/>
                <w:highlight w:val="none"/>
              </w:rPr>
              <w:t>1）涂聚酯树脂胶、固化有机</w:t>
            </w:r>
            <w:r>
              <w:rPr>
                <w:rFonts w:hAnsi="宋体"/>
                <w:bCs/>
                <w:color w:val="auto"/>
                <w:kern w:val="0"/>
                <w:sz w:val="24"/>
                <w:highlight w:val="none"/>
              </w:rPr>
              <w:t>废气（以</w:t>
            </w:r>
            <w:r>
              <w:rPr>
                <w:rFonts w:hint="eastAsia" w:hAnsi="宋体"/>
                <w:bCs/>
                <w:color w:val="auto"/>
                <w:kern w:val="0"/>
                <w:sz w:val="24"/>
                <w:highlight w:val="none"/>
              </w:rPr>
              <w:t>VOCs</w:t>
            </w:r>
            <w:r>
              <w:rPr>
                <w:rFonts w:hAnsi="宋体"/>
                <w:bCs/>
                <w:color w:val="auto"/>
                <w:kern w:val="0"/>
                <w:sz w:val="24"/>
                <w:highlight w:val="none"/>
              </w:rPr>
              <w:t>计）</w:t>
            </w:r>
          </w:p>
          <w:p w14:paraId="6F833BC9">
            <w:pPr>
              <w:autoSpaceDE w:val="0"/>
              <w:autoSpaceDN w:val="0"/>
              <w:adjustRightInd w:val="0"/>
              <w:snapToGrid w:val="0"/>
              <w:spacing w:line="360" w:lineRule="auto"/>
              <w:ind w:firstLine="480" w:firstLineChars="200"/>
              <w:rPr>
                <w:rFonts w:hAnsi="宋体"/>
                <w:color w:val="auto"/>
                <w:kern w:val="0"/>
                <w:sz w:val="24"/>
                <w:highlight w:val="none"/>
              </w:rPr>
            </w:pPr>
            <w:r>
              <w:rPr>
                <w:rFonts w:hAnsi="宋体"/>
                <w:color w:val="auto"/>
                <w:kern w:val="0"/>
                <w:sz w:val="24"/>
                <w:highlight w:val="none"/>
              </w:rPr>
              <w:t>本项目</w:t>
            </w:r>
            <w:r>
              <w:rPr>
                <w:rFonts w:hint="eastAsia" w:hAnsi="宋体"/>
                <w:color w:val="auto"/>
                <w:kern w:val="0"/>
                <w:sz w:val="24"/>
                <w:highlight w:val="none"/>
              </w:rPr>
              <w:t>涂胶</w:t>
            </w:r>
            <w:r>
              <w:rPr>
                <w:rFonts w:hAnsi="宋体"/>
                <w:color w:val="auto"/>
                <w:kern w:val="0"/>
                <w:sz w:val="24"/>
                <w:highlight w:val="none"/>
              </w:rPr>
              <w:t>、固化等工序使用</w:t>
            </w:r>
            <w:r>
              <w:rPr>
                <w:rFonts w:hint="eastAsia" w:hAnsi="宋体"/>
                <w:color w:val="auto"/>
                <w:kern w:val="0"/>
                <w:sz w:val="24"/>
                <w:highlight w:val="none"/>
              </w:rPr>
              <w:t>聚酯树脂胶</w:t>
            </w:r>
            <w:r>
              <w:rPr>
                <w:rFonts w:hAnsi="宋体"/>
                <w:color w:val="auto"/>
                <w:kern w:val="0"/>
                <w:sz w:val="24"/>
                <w:highlight w:val="none"/>
              </w:rPr>
              <w:t>，使用量</w:t>
            </w:r>
            <w:r>
              <w:rPr>
                <w:rFonts w:hint="eastAsia" w:hAnsi="宋体"/>
                <w:color w:val="auto"/>
                <w:kern w:val="0"/>
                <w:sz w:val="24"/>
                <w:highlight w:val="none"/>
              </w:rPr>
              <w:t>为1.3</w:t>
            </w:r>
            <w:r>
              <w:rPr>
                <w:rFonts w:hAnsi="宋体"/>
                <w:color w:val="auto"/>
                <w:kern w:val="0"/>
                <w:sz w:val="24"/>
                <w:highlight w:val="none"/>
              </w:rPr>
              <w:t>t/a</w:t>
            </w:r>
            <w:r>
              <w:rPr>
                <w:rFonts w:hint="eastAsia" w:hAnsi="宋体"/>
                <w:color w:val="auto"/>
                <w:kern w:val="0"/>
                <w:sz w:val="24"/>
                <w:highlight w:val="none"/>
              </w:rPr>
              <w:t>，滴胶后工件进入烘箱进行加热固化</w:t>
            </w:r>
            <w:r>
              <w:rPr>
                <w:rFonts w:hAnsi="宋体"/>
                <w:color w:val="auto"/>
                <w:kern w:val="0"/>
                <w:sz w:val="24"/>
                <w:highlight w:val="none"/>
              </w:rPr>
              <w:t>，</w:t>
            </w:r>
            <w:r>
              <w:rPr>
                <w:rFonts w:hint="eastAsia" w:hAnsi="宋体"/>
                <w:color w:val="auto"/>
                <w:kern w:val="0"/>
                <w:sz w:val="24"/>
                <w:highlight w:val="none"/>
              </w:rPr>
              <w:t>根据聚酯树脂胶MSDS，聚酯树脂胶</w:t>
            </w:r>
            <w:r>
              <w:rPr>
                <w:rFonts w:hAnsi="宋体"/>
                <w:color w:val="auto"/>
                <w:kern w:val="0"/>
                <w:sz w:val="24"/>
                <w:highlight w:val="none"/>
              </w:rPr>
              <w:t>中挥发性物质（二甲苯）比例0.3%，则产生的有机废气</w:t>
            </w:r>
            <w:r>
              <w:rPr>
                <w:rFonts w:hint="eastAsia" w:hAnsi="宋体"/>
                <w:color w:val="auto"/>
                <w:kern w:val="0"/>
                <w:sz w:val="24"/>
                <w:highlight w:val="none"/>
                <w:lang w:eastAsia="zh-Hans"/>
              </w:rPr>
              <w:t>二甲苯</w:t>
            </w:r>
            <w:r>
              <w:rPr>
                <w:rFonts w:hAnsi="宋体"/>
                <w:color w:val="auto"/>
                <w:kern w:val="0"/>
                <w:sz w:val="24"/>
                <w:highlight w:val="none"/>
              </w:rPr>
              <w:t xml:space="preserve">约 </w:t>
            </w:r>
            <w:r>
              <w:rPr>
                <w:rFonts w:hint="eastAsia" w:hAnsi="宋体"/>
                <w:color w:val="auto"/>
                <w:kern w:val="0"/>
                <w:sz w:val="24"/>
                <w:highlight w:val="none"/>
              </w:rPr>
              <w:t>0.0039</w:t>
            </w:r>
            <w:r>
              <w:rPr>
                <w:rFonts w:hAnsi="宋体"/>
                <w:color w:val="auto"/>
                <w:kern w:val="0"/>
                <w:sz w:val="24"/>
                <w:highlight w:val="none"/>
              </w:rPr>
              <w:t>t/a</w:t>
            </w:r>
            <w:r>
              <w:rPr>
                <w:rFonts w:hint="eastAsia" w:hAnsi="宋体"/>
                <w:color w:val="auto"/>
                <w:kern w:val="0"/>
                <w:sz w:val="24"/>
                <w:highlight w:val="none"/>
                <w:lang w:eastAsia="zh-Hans"/>
              </w:rPr>
              <w:t>，则VOCs（含二甲苯）挥发量为</w:t>
            </w:r>
            <w:r>
              <w:rPr>
                <w:rFonts w:hAnsi="宋体"/>
                <w:color w:val="auto"/>
                <w:kern w:val="0"/>
                <w:sz w:val="24"/>
                <w:highlight w:val="none"/>
                <w:lang w:eastAsia="zh-Hans"/>
              </w:rPr>
              <w:t>0.0039</w:t>
            </w:r>
            <w:r>
              <w:rPr>
                <w:rFonts w:hint="eastAsia" w:hAnsi="宋体"/>
                <w:color w:val="auto"/>
                <w:kern w:val="0"/>
                <w:sz w:val="24"/>
                <w:highlight w:val="none"/>
                <w:lang w:eastAsia="zh-Hans"/>
              </w:rPr>
              <w:t>t/a</w:t>
            </w:r>
            <w:r>
              <w:rPr>
                <w:rFonts w:hAnsi="宋体"/>
                <w:color w:val="auto"/>
                <w:kern w:val="0"/>
                <w:sz w:val="24"/>
                <w:highlight w:val="none"/>
              </w:rPr>
              <w:t>，经集气罩收集后经</w:t>
            </w:r>
            <w:r>
              <w:rPr>
                <w:rFonts w:hint="eastAsia" w:hAnsi="宋体"/>
                <w:color w:val="auto"/>
                <w:kern w:val="0"/>
                <w:sz w:val="24"/>
                <w:highlight w:val="none"/>
                <w:lang w:val="en-US" w:eastAsia="zh-Hans"/>
              </w:rPr>
              <w:t>三</w:t>
            </w:r>
            <w:r>
              <w:rPr>
                <w:rFonts w:hint="eastAsia" w:hAnsi="宋体"/>
                <w:color w:val="auto"/>
                <w:kern w:val="0"/>
                <w:sz w:val="24"/>
                <w:highlight w:val="none"/>
              </w:rPr>
              <w:t>级</w:t>
            </w:r>
            <w:r>
              <w:rPr>
                <w:rFonts w:hAnsi="宋体"/>
                <w:color w:val="auto"/>
                <w:kern w:val="0"/>
                <w:sz w:val="24"/>
                <w:highlight w:val="none"/>
              </w:rPr>
              <w:t>活性炭吸附处理后，尾气通过15米高排气筒FQ-</w:t>
            </w:r>
            <w:r>
              <w:rPr>
                <w:rFonts w:hint="default" w:hAnsi="宋体"/>
                <w:color w:val="auto"/>
                <w:kern w:val="0"/>
                <w:sz w:val="24"/>
                <w:highlight w:val="none"/>
              </w:rPr>
              <w:t>1</w:t>
            </w:r>
            <w:r>
              <w:rPr>
                <w:rFonts w:hAnsi="宋体"/>
                <w:color w:val="auto"/>
                <w:kern w:val="0"/>
                <w:sz w:val="24"/>
                <w:highlight w:val="none"/>
              </w:rPr>
              <w:t>排放，收集效率90%，处理效率93%，该工序年工作时间约</w:t>
            </w:r>
            <w:r>
              <w:rPr>
                <w:rFonts w:hint="eastAsia" w:hAnsi="宋体"/>
                <w:color w:val="auto"/>
                <w:kern w:val="0"/>
                <w:sz w:val="24"/>
                <w:highlight w:val="none"/>
              </w:rPr>
              <w:t>72</w:t>
            </w:r>
            <w:r>
              <w:rPr>
                <w:rFonts w:hAnsi="宋体"/>
                <w:color w:val="auto"/>
                <w:kern w:val="0"/>
                <w:sz w:val="24"/>
                <w:highlight w:val="none"/>
              </w:rPr>
              <w:t>00h。</w:t>
            </w:r>
          </w:p>
          <w:p w14:paraId="29CE4A8A">
            <w:pPr>
              <w:autoSpaceDE w:val="0"/>
              <w:autoSpaceDN w:val="0"/>
              <w:adjustRightInd w:val="0"/>
              <w:snapToGrid w:val="0"/>
              <w:spacing w:line="360" w:lineRule="auto"/>
              <w:ind w:firstLine="480" w:firstLineChars="200"/>
              <w:rPr>
                <w:rFonts w:hAnsi="宋体"/>
                <w:color w:val="auto"/>
                <w:kern w:val="0"/>
                <w:sz w:val="24"/>
                <w:highlight w:val="none"/>
              </w:rPr>
            </w:pPr>
            <w:r>
              <w:rPr>
                <w:rFonts w:hint="eastAsia" w:hAnsi="宋体"/>
                <w:bCs/>
                <w:color w:val="auto"/>
                <w:kern w:val="0"/>
                <w:sz w:val="24"/>
                <w:highlight w:val="none"/>
              </w:rPr>
              <w:t>2）滴浸渍树脂胶有机</w:t>
            </w:r>
            <w:r>
              <w:rPr>
                <w:rFonts w:hAnsi="宋体"/>
                <w:bCs/>
                <w:color w:val="auto"/>
                <w:kern w:val="0"/>
                <w:sz w:val="24"/>
                <w:highlight w:val="none"/>
              </w:rPr>
              <w:t>废气（以</w:t>
            </w:r>
            <w:r>
              <w:rPr>
                <w:rFonts w:hint="eastAsia" w:hAnsi="宋体"/>
                <w:bCs/>
                <w:color w:val="auto"/>
                <w:kern w:val="0"/>
                <w:sz w:val="24"/>
                <w:highlight w:val="none"/>
              </w:rPr>
              <w:t>VOCs</w:t>
            </w:r>
            <w:r>
              <w:rPr>
                <w:rFonts w:hAnsi="宋体"/>
                <w:bCs/>
                <w:color w:val="auto"/>
                <w:kern w:val="0"/>
                <w:sz w:val="24"/>
                <w:highlight w:val="none"/>
              </w:rPr>
              <w:t>计）</w:t>
            </w:r>
          </w:p>
          <w:p w14:paraId="1C2E8B2E">
            <w:pPr>
              <w:autoSpaceDE w:val="0"/>
              <w:autoSpaceDN w:val="0"/>
              <w:adjustRightInd w:val="0"/>
              <w:snapToGrid w:val="0"/>
              <w:spacing w:line="360" w:lineRule="auto"/>
              <w:ind w:firstLine="480" w:firstLineChars="200"/>
              <w:rPr>
                <w:rFonts w:hAnsi="宋体"/>
                <w:color w:val="auto"/>
                <w:kern w:val="0"/>
                <w:sz w:val="24"/>
                <w:highlight w:val="none"/>
              </w:rPr>
            </w:pPr>
            <w:r>
              <w:rPr>
                <w:rFonts w:hAnsi="宋体"/>
                <w:color w:val="auto"/>
                <w:kern w:val="0"/>
                <w:sz w:val="24"/>
                <w:highlight w:val="none"/>
              </w:rPr>
              <w:t>本项目</w:t>
            </w:r>
            <w:r>
              <w:rPr>
                <w:rFonts w:hint="eastAsia" w:hAnsi="宋体"/>
                <w:color w:val="auto"/>
                <w:kern w:val="0"/>
                <w:sz w:val="24"/>
                <w:highlight w:val="none"/>
              </w:rPr>
              <w:t>滴浸渍树脂胶工段</w:t>
            </w:r>
            <w:r>
              <w:rPr>
                <w:rFonts w:hint="eastAsia" w:hAnsi="宋体"/>
                <w:snapToGrid w:val="0"/>
                <w:color w:val="auto"/>
                <w:kern w:val="0"/>
                <w:sz w:val="24"/>
                <w:highlight w:val="none"/>
              </w:rPr>
              <w:t>利用滴胶设备对定子进行旋转滴浸处理，滴胶后在滴胶设备内部自带隧道炉内进行加热固化</w:t>
            </w:r>
            <w:r>
              <w:rPr>
                <w:rFonts w:hAnsi="宋体"/>
                <w:color w:val="auto"/>
                <w:kern w:val="0"/>
                <w:sz w:val="24"/>
                <w:highlight w:val="none"/>
              </w:rPr>
              <w:t>，</w:t>
            </w:r>
            <w:r>
              <w:rPr>
                <w:rFonts w:hint="eastAsia" w:hAnsi="宋体"/>
                <w:color w:val="auto"/>
                <w:kern w:val="0"/>
                <w:sz w:val="24"/>
                <w:highlight w:val="none"/>
              </w:rPr>
              <w:t>项目共使用浸渍树脂胶3.6</w:t>
            </w:r>
            <w:r>
              <w:rPr>
                <w:rFonts w:hAnsi="宋体"/>
                <w:color w:val="auto"/>
                <w:kern w:val="0"/>
                <w:sz w:val="24"/>
                <w:highlight w:val="none"/>
              </w:rPr>
              <w:t>t/a，</w:t>
            </w:r>
            <w:r>
              <w:rPr>
                <w:rFonts w:hint="eastAsia" w:hAnsi="宋体"/>
                <w:color w:val="auto"/>
                <w:kern w:val="0"/>
                <w:sz w:val="24"/>
                <w:highlight w:val="none"/>
              </w:rPr>
              <w:t>根据浸渍树脂MSDS</w:t>
            </w:r>
            <w:r>
              <w:rPr>
                <w:rFonts w:hint="eastAsia" w:hAnsi="宋体"/>
                <w:color w:val="auto"/>
                <w:kern w:val="0"/>
                <w:sz w:val="24"/>
                <w:highlight w:val="none"/>
                <w:lang w:val="en-US" w:eastAsia="zh-Hans"/>
              </w:rPr>
              <w:t>及浸渍树脂挥发性有机成分检测报告</w:t>
            </w:r>
            <w:r>
              <w:rPr>
                <w:rFonts w:hint="eastAsia" w:hAnsi="宋体"/>
                <w:color w:val="auto"/>
                <w:kern w:val="0"/>
                <w:sz w:val="24"/>
                <w:highlight w:val="none"/>
              </w:rPr>
              <w:t>，浸渍树脂</w:t>
            </w:r>
            <w:r>
              <w:rPr>
                <w:rFonts w:hAnsi="宋体"/>
                <w:color w:val="auto"/>
                <w:kern w:val="0"/>
                <w:sz w:val="24"/>
                <w:highlight w:val="none"/>
              </w:rPr>
              <w:t>中挥发性物质</w:t>
            </w:r>
            <w:r>
              <w:rPr>
                <w:rFonts w:hint="eastAsia" w:hAnsi="宋体"/>
                <w:color w:val="auto"/>
                <w:kern w:val="0"/>
                <w:sz w:val="24"/>
                <w:highlight w:val="none"/>
                <w:lang w:val="en-US" w:eastAsia="zh-Hans"/>
              </w:rPr>
              <w:t>占</w:t>
            </w:r>
            <w:r>
              <w:rPr>
                <w:rFonts w:hint="default" w:hAnsi="宋体"/>
                <w:color w:val="auto"/>
                <w:kern w:val="0"/>
                <w:sz w:val="24"/>
                <w:highlight w:val="none"/>
                <w:lang w:eastAsia="zh-Hans"/>
              </w:rPr>
              <w:t>11.3%</w:t>
            </w:r>
            <w:r>
              <w:rPr>
                <w:rFonts w:hint="eastAsia" w:hAnsi="宋体"/>
                <w:color w:val="auto"/>
                <w:kern w:val="0"/>
                <w:sz w:val="24"/>
                <w:highlight w:val="none"/>
              </w:rPr>
              <w:t>计，</w:t>
            </w:r>
            <w:r>
              <w:rPr>
                <w:rFonts w:hAnsi="宋体"/>
                <w:color w:val="auto"/>
                <w:kern w:val="0"/>
                <w:sz w:val="24"/>
                <w:highlight w:val="none"/>
              </w:rPr>
              <w:t>则产生的有机废气VOCs约</w:t>
            </w:r>
            <w:r>
              <w:rPr>
                <w:rFonts w:hint="eastAsia" w:hAnsi="宋体"/>
                <w:color w:val="auto"/>
                <w:kern w:val="0"/>
                <w:sz w:val="24"/>
                <w:highlight w:val="none"/>
              </w:rPr>
              <w:t>0.</w:t>
            </w:r>
            <w:r>
              <w:rPr>
                <w:rFonts w:hint="default" w:hAnsi="宋体"/>
                <w:color w:val="auto"/>
                <w:kern w:val="0"/>
                <w:sz w:val="24"/>
                <w:highlight w:val="none"/>
              </w:rPr>
              <w:t>4068</w:t>
            </w:r>
            <w:r>
              <w:rPr>
                <w:rFonts w:hAnsi="宋体"/>
                <w:color w:val="auto"/>
                <w:kern w:val="0"/>
                <w:sz w:val="24"/>
                <w:highlight w:val="none"/>
              </w:rPr>
              <w:t>t/a，经</w:t>
            </w:r>
            <w:r>
              <w:rPr>
                <w:rFonts w:hint="eastAsia" w:hAnsi="宋体"/>
                <w:color w:val="auto"/>
                <w:kern w:val="0"/>
                <w:sz w:val="24"/>
                <w:highlight w:val="none"/>
              </w:rPr>
              <w:t>设备连接的排烟管道</w:t>
            </w:r>
            <w:r>
              <w:rPr>
                <w:rFonts w:hAnsi="宋体"/>
                <w:color w:val="auto"/>
                <w:kern w:val="0"/>
                <w:sz w:val="24"/>
                <w:highlight w:val="none"/>
              </w:rPr>
              <w:t>收集后经</w:t>
            </w:r>
            <w:r>
              <w:rPr>
                <w:rFonts w:hint="eastAsia" w:hAnsi="宋体"/>
                <w:color w:val="auto"/>
                <w:kern w:val="0"/>
                <w:sz w:val="24"/>
                <w:highlight w:val="none"/>
                <w:lang w:val="en-US" w:eastAsia="zh-Hans"/>
              </w:rPr>
              <w:t>三</w:t>
            </w:r>
            <w:r>
              <w:rPr>
                <w:rFonts w:hint="eastAsia" w:hAnsi="宋体"/>
                <w:color w:val="auto"/>
                <w:kern w:val="0"/>
                <w:sz w:val="24"/>
                <w:highlight w:val="none"/>
              </w:rPr>
              <w:t>级</w:t>
            </w:r>
            <w:r>
              <w:rPr>
                <w:rFonts w:hAnsi="宋体"/>
                <w:color w:val="auto"/>
                <w:kern w:val="0"/>
                <w:sz w:val="24"/>
                <w:highlight w:val="none"/>
              </w:rPr>
              <w:t>活性炭吸附处理后，尾气通过15米高排气筒FQ-</w:t>
            </w:r>
            <w:r>
              <w:rPr>
                <w:rFonts w:hint="default" w:hAnsi="宋体"/>
                <w:color w:val="auto"/>
                <w:kern w:val="0"/>
                <w:sz w:val="24"/>
                <w:highlight w:val="none"/>
              </w:rPr>
              <w:t>1</w:t>
            </w:r>
            <w:r>
              <w:rPr>
                <w:rFonts w:hAnsi="宋体"/>
                <w:color w:val="auto"/>
                <w:kern w:val="0"/>
                <w:sz w:val="24"/>
                <w:highlight w:val="none"/>
              </w:rPr>
              <w:t>排放，收集效率90%，处理效率93%，该工序年工作时间约</w:t>
            </w:r>
            <w:r>
              <w:rPr>
                <w:rFonts w:hint="eastAsia" w:hAnsi="宋体"/>
                <w:color w:val="auto"/>
                <w:kern w:val="0"/>
                <w:sz w:val="24"/>
                <w:highlight w:val="none"/>
              </w:rPr>
              <w:t>72</w:t>
            </w:r>
            <w:r>
              <w:rPr>
                <w:rFonts w:hAnsi="宋体"/>
                <w:color w:val="auto"/>
                <w:kern w:val="0"/>
                <w:sz w:val="24"/>
                <w:highlight w:val="none"/>
              </w:rPr>
              <w:t>00h。</w:t>
            </w:r>
          </w:p>
          <w:p w14:paraId="72BACCA9">
            <w:pPr>
              <w:autoSpaceDE w:val="0"/>
              <w:autoSpaceDN w:val="0"/>
              <w:adjustRightInd w:val="0"/>
              <w:snapToGrid w:val="0"/>
              <w:spacing w:line="360" w:lineRule="auto"/>
              <w:ind w:firstLine="480" w:firstLineChars="200"/>
              <w:rPr>
                <w:rFonts w:hAnsi="宋体"/>
                <w:bCs/>
                <w:color w:val="auto"/>
                <w:kern w:val="0"/>
                <w:sz w:val="24"/>
                <w:highlight w:val="none"/>
              </w:rPr>
            </w:pPr>
            <w:r>
              <w:rPr>
                <w:rFonts w:hint="eastAsia" w:hAnsi="宋体"/>
                <w:bCs/>
                <w:color w:val="auto"/>
                <w:kern w:val="0"/>
                <w:sz w:val="24"/>
                <w:highlight w:val="none"/>
              </w:rPr>
              <w:t>3）浸涂树脂粉、固化粉尘（以颗粒物计）</w:t>
            </w:r>
          </w:p>
          <w:p w14:paraId="33800FAE">
            <w:pPr>
              <w:autoSpaceDE w:val="0"/>
              <w:autoSpaceDN w:val="0"/>
              <w:adjustRightInd w:val="0"/>
              <w:snapToGrid w:val="0"/>
              <w:spacing w:line="360" w:lineRule="auto"/>
              <w:ind w:firstLine="480" w:firstLineChars="200"/>
              <w:rPr>
                <w:rFonts w:hAnsi="宋体"/>
                <w:bCs/>
                <w:color w:val="auto"/>
                <w:kern w:val="0"/>
                <w:sz w:val="24"/>
                <w:highlight w:val="none"/>
              </w:rPr>
            </w:pPr>
            <w:r>
              <w:rPr>
                <w:rFonts w:hint="eastAsia" w:hAnsi="宋体"/>
                <w:bCs/>
                <w:color w:val="auto"/>
                <w:kern w:val="0"/>
                <w:sz w:val="24"/>
                <w:highlight w:val="none"/>
              </w:rPr>
              <w:t>本项目浸涂树脂粉工段利用涂粉设备对工件进行浸涂树脂粉，项目共使用树脂粉6t/a，根据</w:t>
            </w:r>
            <w:r>
              <w:rPr>
                <w:rFonts w:hint="eastAsia" w:hAnsi="宋体"/>
                <w:color w:val="auto"/>
                <w:kern w:val="0"/>
                <w:sz w:val="24"/>
                <w:highlight w:val="none"/>
              </w:rPr>
              <w:t>参考《第二次全国污染源普查产排污核算系数手册（试用版）工业源》机械行业系数手册中喷塑颗粒物产物系数为300kg/t原料，则本项目产生粉尘约1.8t/a，经设备自带的过滤装置处理（收集效率90%、处理效率95%）后，尾气通过</w:t>
            </w:r>
            <w:r>
              <w:rPr>
                <w:rFonts w:hAnsi="宋体"/>
                <w:color w:val="auto"/>
                <w:kern w:val="0"/>
                <w:sz w:val="24"/>
                <w:highlight w:val="none"/>
              </w:rPr>
              <w:t>15米高排气筒FQ-</w:t>
            </w:r>
            <w:r>
              <w:rPr>
                <w:rFonts w:hint="default" w:hAnsi="宋体"/>
                <w:color w:val="auto"/>
                <w:kern w:val="0"/>
                <w:sz w:val="24"/>
                <w:highlight w:val="none"/>
              </w:rPr>
              <w:t>1</w:t>
            </w:r>
            <w:r>
              <w:rPr>
                <w:rFonts w:hAnsi="宋体"/>
                <w:color w:val="auto"/>
                <w:kern w:val="0"/>
                <w:sz w:val="24"/>
                <w:highlight w:val="none"/>
              </w:rPr>
              <w:t>排放</w:t>
            </w:r>
            <w:r>
              <w:rPr>
                <w:rFonts w:hint="eastAsia" w:hAnsi="宋体"/>
                <w:color w:val="auto"/>
                <w:kern w:val="0"/>
                <w:sz w:val="24"/>
                <w:highlight w:val="none"/>
              </w:rPr>
              <w:t>。</w:t>
            </w:r>
          </w:p>
          <w:p w14:paraId="56940116">
            <w:pPr>
              <w:autoSpaceDE w:val="0"/>
              <w:autoSpaceDN w:val="0"/>
              <w:adjustRightInd w:val="0"/>
              <w:snapToGrid w:val="0"/>
              <w:spacing w:line="360" w:lineRule="auto"/>
              <w:ind w:firstLine="480" w:firstLineChars="200"/>
              <w:rPr>
                <w:rFonts w:hAnsi="宋体"/>
                <w:color w:val="auto"/>
                <w:kern w:val="0"/>
                <w:sz w:val="24"/>
                <w:highlight w:val="none"/>
              </w:rPr>
            </w:pPr>
            <w:r>
              <w:rPr>
                <w:rFonts w:hint="eastAsia" w:hAnsi="宋体"/>
                <w:bCs/>
                <w:color w:val="auto"/>
                <w:kern w:val="0"/>
                <w:sz w:val="24"/>
                <w:highlight w:val="none"/>
              </w:rPr>
              <w:t>4）浸涂树脂粉、固化有机</w:t>
            </w:r>
            <w:r>
              <w:rPr>
                <w:rFonts w:hAnsi="宋体"/>
                <w:bCs/>
                <w:color w:val="auto"/>
                <w:kern w:val="0"/>
                <w:sz w:val="24"/>
                <w:highlight w:val="none"/>
              </w:rPr>
              <w:t>废气（以</w:t>
            </w:r>
            <w:r>
              <w:rPr>
                <w:rFonts w:hint="eastAsia" w:hAnsi="宋体"/>
                <w:bCs/>
                <w:color w:val="auto"/>
                <w:kern w:val="0"/>
                <w:sz w:val="24"/>
                <w:highlight w:val="none"/>
              </w:rPr>
              <w:t>VOCs</w:t>
            </w:r>
            <w:r>
              <w:rPr>
                <w:rFonts w:hAnsi="宋体"/>
                <w:bCs/>
                <w:color w:val="auto"/>
                <w:kern w:val="0"/>
                <w:sz w:val="24"/>
                <w:highlight w:val="none"/>
              </w:rPr>
              <w:t>计）</w:t>
            </w:r>
          </w:p>
          <w:p w14:paraId="4EB95A27">
            <w:pPr>
              <w:autoSpaceDE w:val="0"/>
              <w:autoSpaceDN w:val="0"/>
              <w:adjustRightInd w:val="0"/>
              <w:snapToGrid w:val="0"/>
              <w:spacing w:line="360" w:lineRule="auto"/>
              <w:ind w:firstLine="480" w:firstLineChars="200"/>
              <w:rPr>
                <w:rFonts w:hAnsi="宋体"/>
                <w:color w:val="auto"/>
                <w:kern w:val="0"/>
                <w:sz w:val="24"/>
                <w:highlight w:val="none"/>
              </w:rPr>
            </w:pPr>
            <w:r>
              <w:rPr>
                <w:rFonts w:hAnsi="宋体"/>
                <w:color w:val="auto"/>
                <w:kern w:val="0"/>
                <w:sz w:val="24"/>
                <w:highlight w:val="none"/>
              </w:rPr>
              <w:t>本项目</w:t>
            </w:r>
            <w:r>
              <w:rPr>
                <w:rFonts w:hint="eastAsia" w:hAnsi="宋体"/>
                <w:color w:val="auto"/>
                <w:kern w:val="0"/>
                <w:sz w:val="24"/>
                <w:highlight w:val="none"/>
              </w:rPr>
              <w:t>涂粉工段产品涂完粉后在设备自带的</w:t>
            </w:r>
            <w:r>
              <w:rPr>
                <w:rFonts w:hint="eastAsia" w:hAnsi="宋体"/>
                <w:snapToGrid w:val="0"/>
                <w:color w:val="auto"/>
                <w:kern w:val="0"/>
                <w:sz w:val="24"/>
                <w:highlight w:val="none"/>
              </w:rPr>
              <w:t>隧道炉内进行加热固化</w:t>
            </w:r>
            <w:r>
              <w:rPr>
                <w:rFonts w:hint="eastAsia" w:hAnsi="宋体"/>
                <w:color w:val="auto"/>
                <w:kern w:val="0"/>
                <w:sz w:val="24"/>
                <w:highlight w:val="none"/>
              </w:rPr>
              <w:t>，固化在180℃的温度下完成，工件上附着的少量粉末涂料因受热而产生有机废气，以VOCs计。根据业主提供的资料，年耗树脂粉为6t，参考《第二次全国污染源普查产排污核算系数手册（试用版）工业源》机械行业系数手册中喷塑后烘干产物系数为1.2kg/t原料，则本项目产生有机废气VOCs约0.0072t/a，</w:t>
            </w:r>
            <w:r>
              <w:rPr>
                <w:rFonts w:hAnsi="宋体"/>
                <w:color w:val="auto"/>
                <w:kern w:val="0"/>
                <w:sz w:val="24"/>
                <w:highlight w:val="none"/>
              </w:rPr>
              <w:t>经</w:t>
            </w:r>
            <w:r>
              <w:rPr>
                <w:rFonts w:hint="eastAsia" w:hAnsi="宋体"/>
                <w:color w:val="auto"/>
                <w:kern w:val="0"/>
                <w:sz w:val="24"/>
                <w:highlight w:val="none"/>
              </w:rPr>
              <w:t>连接设备的排烟管道</w:t>
            </w:r>
            <w:r>
              <w:rPr>
                <w:rFonts w:hAnsi="宋体"/>
                <w:color w:val="auto"/>
                <w:kern w:val="0"/>
                <w:sz w:val="24"/>
                <w:highlight w:val="none"/>
              </w:rPr>
              <w:t>收集后经</w:t>
            </w:r>
            <w:r>
              <w:rPr>
                <w:rFonts w:hint="default" w:hAnsi="宋体"/>
                <w:color w:val="auto"/>
                <w:kern w:val="0"/>
                <w:sz w:val="24"/>
                <w:highlight w:val="none"/>
              </w:rPr>
              <w:t>三级活性炭</w:t>
            </w:r>
            <w:r>
              <w:rPr>
                <w:rFonts w:hAnsi="宋体"/>
                <w:color w:val="auto"/>
                <w:kern w:val="0"/>
                <w:sz w:val="24"/>
                <w:highlight w:val="none"/>
              </w:rPr>
              <w:t>吸附处理</w:t>
            </w:r>
            <w:r>
              <w:rPr>
                <w:rFonts w:hint="eastAsia" w:hAnsi="宋体"/>
                <w:color w:val="auto"/>
                <w:kern w:val="0"/>
                <w:sz w:val="24"/>
                <w:highlight w:val="none"/>
              </w:rPr>
              <w:t>，（</w:t>
            </w:r>
            <w:r>
              <w:rPr>
                <w:rFonts w:hAnsi="宋体"/>
                <w:color w:val="auto"/>
                <w:kern w:val="0"/>
                <w:sz w:val="24"/>
                <w:highlight w:val="none"/>
              </w:rPr>
              <w:t>收集效率</w:t>
            </w:r>
            <w:r>
              <w:rPr>
                <w:rFonts w:hint="eastAsia" w:hAnsi="宋体"/>
                <w:color w:val="auto"/>
                <w:kern w:val="0"/>
                <w:sz w:val="24"/>
                <w:highlight w:val="none"/>
              </w:rPr>
              <w:t>为90</w:t>
            </w:r>
            <w:r>
              <w:rPr>
                <w:rFonts w:hAnsi="宋体"/>
                <w:color w:val="auto"/>
                <w:kern w:val="0"/>
                <w:sz w:val="24"/>
                <w:highlight w:val="none"/>
              </w:rPr>
              <w:t>%，处理效率93%</w:t>
            </w:r>
            <w:r>
              <w:rPr>
                <w:rFonts w:hint="eastAsia" w:hAnsi="宋体"/>
                <w:color w:val="auto"/>
                <w:kern w:val="0"/>
                <w:sz w:val="24"/>
                <w:highlight w:val="none"/>
              </w:rPr>
              <w:t>）</w:t>
            </w:r>
            <w:r>
              <w:rPr>
                <w:rFonts w:hAnsi="宋体"/>
                <w:color w:val="auto"/>
                <w:kern w:val="0"/>
                <w:sz w:val="24"/>
                <w:highlight w:val="none"/>
              </w:rPr>
              <w:t>后，尾气通过15米高排气筒FQ-</w:t>
            </w:r>
            <w:r>
              <w:rPr>
                <w:rFonts w:hint="default" w:hAnsi="宋体"/>
                <w:color w:val="auto"/>
                <w:kern w:val="0"/>
                <w:sz w:val="24"/>
                <w:highlight w:val="none"/>
              </w:rPr>
              <w:t>1</w:t>
            </w:r>
            <w:r>
              <w:rPr>
                <w:rFonts w:hAnsi="宋体"/>
                <w:color w:val="auto"/>
                <w:kern w:val="0"/>
                <w:sz w:val="24"/>
                <w:highlight w:val="none"/>
              </w:rPr>
              <w:t>排放，该工序年工作时间约</w:t>
            </w:r>
            <w:r>
              <w:rPr>
                <w:rFonts w:hint="eastAsia" w:hAnsi="宋体"/>
                <w:color w:val="auto"/>
                <w:kern w:val="0"/>
                <w:sz w:val="24"/>
                <w:highlight w:val="none"/>
              </w:rPr>
              <w:t>72</w:t>
            </w:r>
            <w:r>
              <w:rPr>
                <w:rFonts w:hAnsi="宋体"/>
                <w:color w:val="auto"/>
                <w:kern w:val="0"/>
                <w:sz w:val="24"/>
                <w:highlight w:val="none"/>
              </w:rPr>
              <w:t>00h。</w:t>
            </w:r>
          </w:p>
          <w:p w14:paraId="4F651757">
            <w:pPr>
              <w:autoSpaceDE w:val="0"/>
              <w:autoSpaceDN w:val="0"/>
              <w:adjustRightInd w:val="0"/>
              <w:snapToGrid w:val="0"/>
              <w:spacing w:line="360" w:lineRule="auto"/>
              <w:ind w:firstLine="480" w:firstLineChars="200"/>
              <w:rPr>
                <w:rFonts w:hAnsi="宋体"/>
                <w:color w:val="auto"/>
                <w:kern w:val="0"/>
                <w:sz w:val="24"/>
                <w:highlight w:val="none"/>
              </w:rPr>
            </w:pPr>
            <w:r>
              <w:rPr>
                <w:rFonts w:hint="default" w:hAnsi="宋体"/>
                <w:color w:val="auto"/>
                <w:kern w:val="0"/>
                <w:sz w:val="24"/>
                <w:highlight w:val="none"/>
              </w:rPr>
              <w:t>5</w:t>
            </w:r>
            <w:r>
              <w:rPr>
                <w:rFonts w:hint="eastAsia" w:hAnsi="宋体"/>
                <w:color w:val="auto"/>
                <w:kern w:val="0"/>
                <w:sz w:val="24"/>
                <w:highlight w:val="none"/>
              </w:rPr>
              <w:t>）焊接烟尘</w:t>
            </w:r>
          </w:p>
          <w:p w14:paraId="1D0E439B">
            <w:pPr>
              <w:adjustRightInd w:val="0"/>
              <w:snapToGrid w:val="0"/>
              <w:spacing w:line="360" w:lineRule="auto"/>
              <w:ind w:firstLine="480" w:firstLineChars="200"/>
              <w:rPr>
                <w:rFonts w:hAnsi="宋体"/>
                <w:color w:val="auto"/>
                <w:kern w:val="0"/>
                <w:sz w:val="24"/>
                <w:highlight w:val="none"/>
              </w:rPr>
            </w:pPr>
            <w:r>
              <w:rPr>
                <w:rFonts w:hint="eastAsia" w:hAnsi="宋体"/>
                <w:color w:val="auto"/>
                <w:kern w:val="0"/>
                <w:sz w:val="24"/>
                <w:highlight w:val="none"/>
              </w:rPr>
              <w:t>本项目电阻焊工序会产生少量焊接烟尘，电阻焊无需焊材，参照现有项目《舜驱动力科技（南通）有限公司年产4万台FG270电机项目》，颗粒物产生量按每件产品约产生8g颗粒物计，本项目电机共6万件/年，则颗粒物产生量约0.48t/a，集气罩收集后经移动式焊接烟尘净化器（收集效率75%，处理效率80%）处理后车间无组织排放。本项目焊接烟尘无组织排放量约为0.192t/a。</w:t>
            </w:r>
          </w:p>
          <w:p w14:paraId="3AB2B5EA">
            <w:pPr>
              <w:autoSpaceDE w:val="0"/>
              <w:autoSpaceDN w:val="0"/>
              <w:adjustRightInd w:val="0"/>
              <w:snapToGrid w:val="0"/>
              <w:spacing w:line="360" w:lineRule="auto"/>
              <w:ind w:firstLine="480" w:firstLineChars="200"/>
              <w:rPr>
                <w:rFonts w:hint="eastAsia" w:hAnsi="宋体"/>
                <w:color w:val="auto"/>
                <w:kern w:val="0"/>
                <w:sz w:val="24"/>
                <w:highlight w:val="none"/>
                <w:lang w:val="en-US"/>
              </w:rPr>
            </w:pPr>
            <w:r>
              <w:rPr>
                <w:rFonts w:hint="default" w:hAnsi="宋体"/>
                <w:color w:val="auto"/>
                <w:kern w:val="0"/>
                <w:sz w:val="24"/>
                <w:highlight w:val="none"/>
                <w:lang w:eastAsia="zh-Hans"/>
              </w:rPr>
              <w:t>6</w:t>
            </w:r>
            <w:r>
              <w:rPr>
                <w:rFonts w:hint="eastAsia" w:hAnsi="宋体"/>
                <w:color w:val="auto"/>
                <w:kern w:val="0"/>
                <w:sz w:val="24"/>
                <w:highlight w:val="none"/>
                <w:lang w:eastAsia="zh-Hans"/>
              </w:rPr>
              <w:t>）</w:t>
            </w:r>
            <w:r>
              <w:rPr>
                <w:rFonts w:hint="eastAsia" w:hAnsi="宋体"/>
                <w:color w:val="auto"/>
                <w:kern w:val="0"/>
                <w:sz w:val="24"/>
                <w:highlight w:val="none"/>
                <w:lang w:val="en-US"/>
              </w:rPr>
              <w:t>危废仓库贮存废气</w:t>
            </w:r>
          </w:p>
          <w:p w14:paraId="68CD8F9C">
            <w:pPr>
              <w:adjustRightInd w:val="0"/>
              <w:snapToGrid w:val="0"/>
              <w:spacing w:line="360" w:lineRule="auto"/>
              <w:ind w:firstLine="480" w:firstLineChars="200"/>
              <w:rPr>
                <w:rFonts w:hAnsi="宋体"/>
                <w:color w:val="auto"/>
                <w:kern w:val="0"/>
                <w:sz w:val="24"/>
                <w:highlight w:val="none"/>
              </w:rPr>
            </w:pPr>
            <w:r>
              <w:rPr>
                <w:rFonts w:hint="eastAsia" w:hAnsi="宋体"/>
                <w:color w:val="auto"/>
                <w:kern w:val="0"/>
                <w:sz w:val="24"/>
                <w:highlight w:val="none"/>
              </w:rPr>
              <w:t>危废仓库废物贮存时产生的少量有机废气，类比《美利达自行车（江苏）有限公司新建危废仓库项目环境影响报告表》，危废产生有机废气量按年最大产生量的0.25%计算，危废仓库中产生VOCs物质</w:t>
            </w:r>
            <w:r>
              <w:rPr>
                <w:rFonts w:hint="eastAsia" w:hAnsi="宋体"/>
                <w:color w:val="auto"/>
                <w:kern w:val="0"/>
                <w:sz w:val="24"/>
                <w:highlight w:val="none"/>
                <w:lang w:eastAsia="zh-Hans"/>
              </w:rPr>
              <w:t>（废胶</w:t>
            </w:r>
            <w:r>
              <w:rPr>
                <w:rFonts w:hAnsi="宋体"/>
                <w:color w:val="auto"/>
                <w:kern w:val="0"/>
                <w:sz w:val="24"/>
                <w:highlight w:val="none"/>
                <w:lang w:eastAsia="zh-Hans"/>
              </w:rPr>
              <w:t>1.1</w:t>
            </w:r>
            <w:r>
              <w:rPr>
                <w:rFonts w:hint="eastAsia" w:hAnsi="宋体"/>
                <w:color w:val="auto"/>
                <w:kern w:val="0"/>
                <w:sz w:val="24"/>
                <w:highlight w:val="none"/>
              </w:rPr>
              <w:t>t、废活性炭</w:t>
            </w:r>
            <w:r>
              <w:rPr>
                <w:rFonts w:hint="default" w:hAnsi="宋体"/>
                <w:color w:val="auto"/>
                <w:kern w:val="0"/>
                <w:sz w:val="24"/>
                <w:highlight w:val="none"/>
              </w:rPr>
              <w:t>42.4585</w:t>
            </w:r>
            <w:r>
              <w:rPr>
                <w:rFonts w:hint="eastAsia" w:hAnsi="宋体"/>
                <w:color w:val="auto"/>
                <w:kern w:val="0"/>
                <w:sz w:val="24"/>
                <w:highlight w:val="none"/>
                <w:lang w:val="en-US" w:eastAsia="zh-Hans"/>
              </w:rPr>
              <w:t>t</w:t>
            </w:r>
            <w:r>
              <w:rPr>
                <w:rFonts w:hint="eastAsia" w:hAnsi="宋体"/>
                <w:color w:val="auto"/>
                <w:kern w:val="0"/>
                <w:sz w:val="24"/>
                <w:highlight w:val="none"/>
              </w:rPr>
              <w:t>）年最大产生量为</w:t>
            </w:r>
            <w:r>
              <w:rPr>
                <w:rFonts w:hAnsi="宋体"/>
                <w:color w:val="auto"/>
                <w:kern w:val="0"/>
                <w:sz w:val="24"/>
                <w:highlight w:val="none"/>
              </w:rPr>
              <w:t>43.5585</w:t>
            </w:r>
            <w:r>
              <w:rPr>
                <w:rFonts w:hint="eastAsia" w:hAnsi="宋体"/>
                <w:color w:val="auto"/>
                <w:kern w:val="0"/>
                <w:sz w:val="24"/>
                <w:highlight w:val="none"/>
              </w:rPr>
              <w:t>t，危废仓库有机废气产生量约为</w:t>
            </w:r>
            <w:r>
              <w:rPr>
                <w:rFonts w:hAnsi="宋体"/>
                <w:color w:val="auto"/>
                <w:kern w:val="0"/>
                <w:sz w:val="24"/>
                <w:highlight w:val="none"/>
              </w:rPr>
              <w:t>0.1089</w:t>
            </w:r>
            <w:r>
              <w:rPr>
                <w:rFonts w:hint="eastAsia" w:hAnsi="宋体"/>
                <w:color w:val="auto"/>
                <w:kern w:val="0"/>
                <w:sz w:val="24"/>
                <w:highlight w:val="none"/>
              </w:rPr>
              <w:t>t/a，产生的VOCs经负压收集后由一级活性炭吸附处理后</w:t>
            </w:r>
            <w:r>
              <w:rPr>
                <w:rFonts w:hint="eastAsia" w:hAnsi="宋体"/>
                <w:color w:val="auto"/>
                <w:kern w:val="0"/>
                <w:sz w:val="24"/>
                <w:highlight w:val="none"/>
                <w:lang w:eastAsia="zh-Hans"/>
              </w:rPr>
              <w:t>无组织排放</w:t>
            </w:r>
            <w:r>
              <w:rPr>
                <w:rFonts w:hint="eastAsia" w:hAnsi="宋体"/>
                <w:color w:val="auto"/>
                <w:kern w:val="0"/>
                <w:sz w:val="24"/>
                <w:highlight w:val="none"/>
              </w:rPr>
              <w:t>。危废仓库内呈负压状态，活性炭吸附效率为75%，处理效率为75%，风机风量3000m</w:t>
            </w:r>
            <w:r>
              <w:rPr>
                <w:rFonts w:hint="eastAsia" w:hAnsi="宋体"/>
                <w:color w:val="auto"/>
                <w:kern w:val="0"/>
                <w:sz w:val="24"/>
                <w:highlight w:val="none"/>
                <w:vertAlign w:val="superscript"/>
              </w:rPr>
              <w:t>3</w:t>
            </w:r>
            <w:r>
              <w:rPr>
                <w:rFonts w:hint="eastAsia" w:hAnsi="宋体"/>
                <w:color w:val="auto"/>
                <w:kern w:val="0"/>
                <w:sz w:val="24"/>
                <w:highlight w:val="none"/>
              </w:rPr>
              <w:t>/h，则收集进入活性炭废气处理装置中VOCs的量为</w:t>
            </w:r>
            <w:r>
              <w:rPr>
                <w:rFonts w:hAnsi="宋体"/>
                <w:color w:val="auto"/>
                <w:kern w:val="0"/>
                <w:sz w:val="24"/>
                <w:highlight w:val="none"/>
              </w:rPr>
              <w:t>0.0126</w:t>
            </w:r>
            <w:r>
              <w:rPr>
                <w:rFonts w:hint="eastAsia" w:hAnsi="宋体"/>
                <w:color w:val="auto"/>
                <w:kern w:val="0"/>
                <w:sz w:val="24"/>
                <w:highlight w:val="none"/>
              </w:rPr>
              <w:t>t/a。处理后排放的VOCs的量为</w:t>
            </w:r>
            <w:r>
              <w:rPr>
                <w:rFonts w:hAnsi="宋体"/>
                <w:color w:val="auto"/>
                <w:kern w:val="0"/>
                <w:sz w:val="24"/>
                <w:highlight w:val="none"/>
              </w:rPr>
              <w:t>0.0476</w:t>
            </w:r>
            <w:r>
              <w:rPr>
                <w:rFonts w:hint="eastAsia" w:hAnsi="宋体"/>
                <w:color w:val="auto"/>
                <w:kern w:val="0"/>
                <w:sz w:val="24"/>
                <w:highlight w:val="none"/>
              </w:rPr>
              <w:t>/a。</w:t>
            </w:r>
          </w:p>
          <w:p w14:paraId="4960A8D8">
            <w:pPr>
              <w:autoSpaceDE w:val="0"/>
              <w:autoSpaceDN w:val="0"/>
              <w:adjustRightInd w:val="0"/>
              <w:snapToGrid w:val="0"/>
              <w:spacing w:line="360" w:lineRule="auto"/>
              <w:ind w:firstLine="480" w:firstLineChars="200"/>
              <w:rPr>
                <w:rFonts w:hAnsi="宋体"/>
                <w:color w:val="auto"/>
                <w:kern w:val="0"/>
                <w:sz w:val="24"/>
                <w:highlight w:val="none"/>
              </w:rPr>
            </w:pPr>
            <w:r>
              <w:rPr>
                <w:rFonts w:hint="default" w:hAnsi="宋体"/>
                <w:color w:val="auto"/>
                <w:kern w:val="0"/>
                <w:sz w:val="24"/>
                <w:highlight w:val="none"/>
              </w:rPr>
              <w:t>7</w:t>
            </w:r>
            <w:r>
              <w:rPr>
                <w:rFonts w:hint="eastAsia" w:hAnsi="宋体"/>
                <w:color w:val="auto"/>
                <w:kern w:val="0"/>
                <w:sz w:val="24"/>
                <w:highlight w:val="none"/>
              </w:rPr>
              <w:t>）项目物料平衡</w:t>
            </w:r>
          </w:p>
          <w:p w14:paraId="3D314EF5">
            <w:pPr>
              <w:autoSpaceDE w:val="0"/>
              <w:autoSpaceDN w:val="0"/>
              <w:adjustRightInd w:val="0"/>
              <w:snapToGrid w:val="0"/>
              <w:spacing w:line="360" w:lineRule="auto"/>
              <w:jc w:val="center"/>
              <w:rPr>
                <w:color w:val="auto"/>
                <w:highlight w:val="none"/>
              </w:rPr>
            </w:pPr>
            <w:r>
              <w:drawing>
                <wp:inline distT="0" distB="0" distL="114300" distR="114300">
                  <wp:extent cx="6011545" cy="2523490"/>
                  <wp:effectExtent l="0" t="0" r="825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6011545" cy="2523490"/>
                          </a:xfrm>
                          <a:prstGeom prst="rect">
                            <a:avLst/>
                          </a:prstGeom>
                          <a:noFill/>
                          <a:ln w="9525">
                            <a:noFill/>
                          </a:ln>
                        </pic:spPr>
                      </pic:pic>
                    </a:graphicData>
                  </a:graphic>
                </wp:inline>
              </w:drawing>
            </w:r>
          </w:p>
          <w:p w14:paraId="54381F69">
            <w:pPr>
              <w:autoSpaceDE w:val="0"/>
              <w:autoSpaceDN w:val="0"/>
              <w:adjustRightInd w:val="0"/>
              <w:snapToGrid w:val="0"/>
              <w:spacing w:line="360" w:lineRule="auto"/>
              <w:jc w:val="center"/>
              <w:rPr>
                <w:rFonts w:hAnsi="宋体"/>
                <w:color w:val="auto"/>
                <w:kern w:val="0"/>
                <w:sz w:val="24"/>
                <w:highlight w:val="none"/>
              </w:rPr>
            </w:pPr>
            <w:r>
              <w:rPr>
                <w:b/>
                <w:color w:val="auto"/>
                <w:sz w:val="24"/>
                <w:highlight w:val="none"/>
              </w:rPr>
              <w:t>图</w:t>
            </w:r>
            <w:r>
              <w:rPr>
                <w:rFonts w:hint="eastAsia"/>
                <w:b/>
                <w:color w:val="auto"/>
                <w:sz w:val="24"/>
                <w:highlight w:val="none"/>
              </w:rPr>
              <w:t>4-1</w:t>
            </w:r>
            <w:r>
              <w:rPr>
                <w:b/>
                <w:color w:val="auto"/>
                <w:sz w:val="24"/>
                <w:highlight w:val="none"/>
              </w:rPr>
              <w:t xml:space="preserve"> </w:t>
            </w:r>
            <w:r>
              <w:rPr>
                <w:rFonts w:hint="eastAsia"/>
                <w:b/>
                <w:color w:val="auto"/>
                <w:sz w:val="24"/>
                <w:highlight w:val="none"/>
              </w:rPr>
              <w:t>项目</w:t>
            </w:r>
            <w:r>
              <w:rPr>
                <w:b/>
                <w:color w:val="auto"/>
                <w:sz w:val="24"/>
                <w:highlight w:val="none"/>
              </w:rPr>
              <w:t>物料平衡图（t/a）</w:t>
            </w:r>
          </w:p>
          <w:p w14:paraId="254F4FE3">
            <w:pPr>
              <w:adjustRightInd w:val="0"/>
              <w:snapToGrid w:val="0"/>
              <w:jc w:val="center"/>
              <w:rPr>
                <w:bCs/>
                <w:color w:val="auto"/>
                <w:sz w:val="24"/>
                <w:highlight w:val="none"/>
              </w:rPr>
            </w:pPr>
            <w:r>
              <w:rPr>
                <w:b/>
                <w:color w:val="auto"/>
                <w:sz w:val="24"/>
                <w:highlight w:val="none"/>
              </w:rPr>
              <w:t>表</w:t>
            </w:r>
            <w:r>
              <w:rPr>
                <w:rFonts w:hint="eastAsia"/>
                <w:b/>
                <w:color w:val="auto"/>
                <w:sz w:val="24"/>
                <w:highlight w:val="none"/>
              </w:rPr>
              <w:t>4-1</w:t>
            </w:r>
            <w:r>
              <w:rPr>
                <w:b/>
                <w:color w:val="auto"/>
                <w:sz w:val="24"/>
                <w:highlight w:val="none"/>
              </w:rPr>
              <w:t xml:space="preserve">  </w:t>
            </w:r>
            <w:r>
              <w:rPr>
                <w:rFonts w:hint="eastAsia"/>
                <w:b/>
                <w:color w:val="auto"/>
                <w:sz w:val="24"/>
                <w:highlight w:val="none"/>
              </w:rPr>
              <w:t>项目</w:t>
            </w:r>
            <w:r>
              <w:rPr>
                <w:b/>
                <w:color w:val="auto"/>
                <w:sz w:val="24"/>
                <w:highlight w:val="none"/>
              </w:rPr>
              <w:t>物料平衡表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2038"/>
              <w:gridCol w:w="2016"/>
              <w:gridCol w:w="1456"/>
              <w:gridCol w:w="1505"/>
              <w:gridCol w:w="1723"/>
              <w:gridCol w:w="1513"/>
            </w:tblGrid>
            <w:tr w14:paraId="59AD506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977" w:type="pct"/>
                  <w:gridSpan w:val="2"/>
                  <w:vAlign w:val="center"/>
                </w:tcPr>
                <w:p w14:paraId="645462FB">
                  <w:pPr>
                    <w:widowControl/>
                    <w:adjustRightInd w:val="0"/>
                    <w:snapToGrid w:val="0"/>
                    <w:jc w:val="center"/>
                    <w:rPr>
                      <w:b/>
                      <w:bCs/>
                      <w:color w:val="auto"/>
                      <w:szCs w:val="21"/>
                      <w:highlight w:val="none"/>
                    </w:rPr>
                  </w:pPr>
                  <w:r>
                    <w:rPr>
                      <w:b/>
                      <w:bCs/>
                      <w:color w:val="auto"/>
                      <w:szCs w:val="21"/>
                      <w:highlight w:val="none"/>
                    </w:rPr>
                    <w:t>入方（t/a）</w:t>
                  </w:r>
                </w:p>
              </w:tc>
              <w:tc>
                <w:tcPr>
                  <w:tcW w:w="3022" w:type="pct"/>
                  <w:gridSpan w:val="4"/>
                  <w:vAlign w:val="center"/>
                </w:tcPr>
                <w:p w14:paraId="17A31573">
                  <w:pPr>
                    <w:widowControl/>
                    <w:adjustRightInd w:val="0"/>
                    <w:snapToGrid w:val="0"/>
                    <w:jc w:val="center"/>
                    <w:rPr>
                      <w:b/>
                      <w:bCs/>
                      <w:color w:val="auto"/>
                      <w:szCs w:val="21"/>
                      <w:highlight w:val="none"/>
                    </w:rPr>
                  </w:pPr>
                  <w:r>
                    <w:rPr>
                      <w:b/>
                      <w:bCs/>
                      <w:color w:val="auto"/>
                      <w:szCs w:val="21"/>
                      <w:highlight w:val="none"/>
                    </w:rPr>
                    <w:t>出方（t/a）</w:t>
                  </w:r>
                </w:p>
              </w:tc>
            </w:tr>
            <w:tr w14:paraId="1845FD1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94" w:type="pct"/>
                  <w:vAlign w:val="center"/>
                </w:tcPr>
                <w:p w14:paraId="0836033A">
                  <w:pPr>
                    <w:widowControl/>
                    <w:adjustRightInd w:val="0"/>
                    <w:snapToGrid w:val="0"/>
                    <w:jc w:val="center"/>
                    <w:rPr>
                      <w:b/>
                      <w:bCs/>
                      <w:color w:val="auto"/>
                      <w:szCs w:val="21"/>
                      <w:highlight w:val="none"/>
                    </w:rPr>
                  </w:pPr>
                  <w:r>
                    <w:rPr>
                      <w:b/>
                      <w:bCs/>
                      <w:color w:val="auto"/>
                      <w:szCs w:val="21"/>
                      <w:highlight w:val="none"/>
                    </w:rPr>
                    <w:t>物料名称</w:t>
                  </w:r>
                </w:p>
              </w:tc>
              <w:tc>
                <w:tcPr>
                  <w:tcW w:w="983" w:type="pct"/>
                  <w:vAlign w:val="center"/>
                </w:tcPr>
                <w:p w14:paraId="48ADA5AF">
                  <w:pPr>
                    <w:widowControl/>
                    <w:adjustRightInd w:val="0"/>
                    <w:snapToGrid w:val="0"/>
                    <w:jc w:val="center"/>
                    <w:rPr>
                      <w:b/>
                      <w:bCs/>
                      <w:color w:val="auto"/>
                      <w:szCs w:val="21"/>
                      <w:highlight w:val="none"/>
                    </w:rPr>
                  </w:pPr>
                  <w:r>
                    <w:rPr>
                      <w:b/>
                      <w:bCs/>
                      <w:color w:val="auto"/>
                      <w:szCs w:val="21"/>
                      <w:highlight w:val="none"/>
                    </w:rPr>
                    <w:t>数量</w:t>
                  </w:r>
                </w:p>
              </w:tc>
              <w:tc>
                <w:tcPr>
                  <w:tcW w:w="710" w:type="pct"/>
                  <w:vAlign w:val="center"/>
                </w:tcPr>
                <w:p w14:paraId="3F0A88FE">
                  <w:pPr>
                    <w:widowControl/>
                    <w:adjustRightInd w:val="0"/>
                    <w:snapToGrid w:val="0"/>
                    <w:jc w:val="center"/>
                    <w:rPr>
                      <w:b/>
                      <w:bCs/>
                      <w:color w:val="auto"/>
                      <w:szCs w:val="21"/>
                      <w:highlight w:val="none"/>
                    </w:rPr>
                  </w:pPr>
                  <w:r>
                    <w:rPr>
                      <w:b/>
                      <w:bCs/>
                      <w:color w:val="auto"/>
                      <w:szCs w:val="21"/>
                      <w:highlight w:val="none"/>
                    </w:rPr>
                    <w:t>产品</w:t>
                  </w:r>
                </w:p>
              </w:tc>
              <w:tc>
                <w:tcPr>
                  <w:tcW w:w="734" w:type="pct"/>
                  <w:vAlign w:val="center"/>
                </w:tcPr>
                <w:p w14:paraId="2E961EA4">
                  <w:pPr>
                    <w:widowControl/>
                    <w:adjustRightInd w:val="0"/>
                    <w:snapToGrid w:val="0"/>
                    <w:jc w:val="center"/>
                    <w:rPr>
                      <w:b/>
                      <w:bCs/>
                      <w:color w:val="auto"/>
                      <w:szCs w:val="21"/>
                      <w:highlight w:val="none"/>
                    </w:rPr>
                  </w:pPr>
                  <w:r>
                    <w:rPr>
                      <w:b/>
                      <w:bCs/>
                      <w:color w:val="auto"/>
                      <w:szCs w:val="21"/>
                      <w:highlight w:val="none"/>
                    </w:rPr>
                    <w:t>废水</w:t>
                  </w:r>
                </w:p>
              </w:tc>
              <w:tc>
                <w:tcPr>
                  <w:tcW w:w="840" w:type="pct"/>
                  <w:vAlign w:val="center"/>
                </w:tcPr>
                <w:p w14:paraId="2EE728C2">
                  <w:pPr>
                    <w:widowControl/>
                    <w:adjustRightInd w:val="0"/>
                    <w:snapToGrid w:val="0"/>
                    <w:jc w:val="center"/>
                    <w:rPr>
                      <w:b/>
                      <w:bCs/>
                      <w:color w:val="auto"/>
                      <w:szCs w:val="21"/>
                      <w:highlight w:val="none"/>
                    </w:rPr>
                  </w:pPr>
                  <w:r>
                    <w:rPr>
                      <w:b/>
                      <w:bCs/>
                      <w:color w:val="auto"/>
                      <w:szCs w:val="21"/>
                      <w:highlight w:val="none"/>
                    </w:rPr>
                    <w:t>废气</w:t>
                  </w:r>
                </w:p>
              </w:tc>
              <w:tc>
                <w:tcPr>
                  <w:tcW w:w="737" w:type="pct"/>
                  <w:vAlign w:val="center"/>
                </w:tcPr>
                <w:p w14:paraId="36087728">
                  <w:pPr>
                    <w:widowControl/>
                    <w:adjustRightInd w:val="0"/>
                    <w:snapToGrid w:val="0"/>
                    <w:jc w:val="center"/>
                    <w:rPr>
                      <w:b/>
                      <w:bCs/>
                      <w:color w:val="auto"/>
                      <w:szCs w:val="21"/>
                      <w:highlight w:val="none"/>
                    </w:rPr>
                  </w:pPr>
                  <w:r>
                    <w:rPr>
                      <w:b/>
                      <w:bCs/>
                      <w:color w:val="auto"/>
                      <w:szCs w:val="21"/>
                      <w:highlight w:val="none"/>
                    </w:rPr>
                    <w:t>固废</w:t>
                  </w:r>
                </w:p>
              </w:tc>
            </w:tr>
            <w:tr w14:paraId="0A64FB1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34" w:hRule="atLeast"/>
                <w:jc w:val="center"/>
              </w:trPr>
              <w:tc>
                <w:tcPr>
                  <w:tcW w:w="994" w:type="pct"/>
                  <w:vAlign w:val="center"/>
                </w:tcPr>
                <w:p w14:paraId="4C2303D1">
                  <w:pPr>
                    <w:widowControl/>
                    <w:jc w:val="center"/>
                    <w:textAlignment w:val="center"/>
                    <w:rPr>
                      <w:color w:val="auto"/>
                      <w:szCs w:val="21"/>
                      <w:highlight w:val="none"/>
                    </w:rPr>
                  </w:pPr>
                  <w:r>
                    <w:rPr>
                      <w:rFonts w:hint="eastAsia"/>
                      <w:color w:val="auto"/>
                      <w:szCs w:val="21"/>
                      <w:highlight w:val="none"/>
                    </w:rPr>
                    <w:t>聚酯树脂胶</w:t>
                  </w:r>
                </w:p>
              </w:tc>
              <w:tc>
                <w:tcPr>
                  <w:tcW w:w="983" w:type="pct"/>
                  <w:vAlign w:val="center"/>
                </w:tcPr>
                <w:p w14:paraId="37EE7507">
                  <w:pPr>
                    <w:widowControl/>
                    <w:jc w:val="center"/>
                    <w:textAlignment w:val="center"/>
                    <w:rPr>
                      <w:color w:val="auto"/>
                      <w:szCs w:val="21"/>
                      <w:highlight w:val="none"/>
                    </w:rPr>
                  </w:pPr>
                  <w:r>
                    <w:rPr>
                      <w:rFonts w:hint="eastAsia"/>
                      <w:color w:val="auto"/>
                      <w:szCs w:val="21"/>
                      <w:highlight w:val="none"/>
                    </w:rPr>
                    <w:t>1.3</w:t>
                  </w:r>
                </w:p>
              </w:tc>
              <w:tc>
                <w:tcPr>
                  <w:tcW w:w="710" w:type="pct"/>
                  <w:vAlign w:val="center"/>
                </w:tcPr>
                <w:p w14:paraId="0E34CAE8">
                  <w:pPr>
                    <w:widowControl/>
                    <w:jc w:val="center"/>
                    <w:textAlignment w:val="center"/>
                    <w:rPr>
                      <w:color w:val="auto"/>
                      <w:szCs w:val="21"/>
                      <w:highlight w:val="none"/>
                    </w:rPr>
                  </w:pPr>
                  <w:r>
                    <w:rPr>
                      <w:color w:val="auto"/>
                      <w:szCs w:val="21"/>
                      <w:highlight w:val="none"/>
                    </w:rPr>
                    <w:t>6.9721</w:t>
                  </w:r>
                </w:p>
              </w:tc>
              <w:tc>
                <w:tcPr>
                  <w:tcW w:w="734" w:type="pct"/>
                  <w:vAlign w:val="center"/>
                </w:tcPr>
                <w:p w14:paraId="0B8C0577">
                  <w:pPr>
                    <w:widowControl/>
                    <w:jc w:val="center"/>
                    <w:textAlignment w:val="center"/>
                    <w:rPr>
                      <w:color w:val="auto"/>
                      <w:szCs w:val="21"/>
                      <w:highlight w:val="none"/>
                    </w:rPr>
                  </w:pPr>
                  <w:r>
                    <w:rPr>
                      <w:color w:val="auto"/>
                      <w:szCs w:val="21"/>
                      <w:highlight w:val="none"/>
                    </w:rPr>
                    <w:t>0</w:t>
                  </w:r>
                </w:p>
              </w:tc>
              <w:tc>
                <w:tcPr>
                  <w:tcW w:w="840" w:type="pct"/>
                  <w:vAlign w:val="center"/>
                </w:tcPr>
                <w:p w14:paraId="706CFBD2">
                  <w:pPr>
                    <w:widowControl/>
                    <w:jc w:val="center"/>
                    <w:textAlignment w:val="center"/>
                    <w:rPr>
                      <w:color w:val="auto"/>
                      <w:szCs w:val="21"/>
                      <w:highlight w:val="none"/>
                    </w:rPr>
                  </w:pPr>
                  <w:r>
                    <w:rPr>
                      <w:rFonts w:hint="eastAsia"/>
                      <w:color w:val="auto"/>
                      <w:szCs w:val="21"/>
                      <w:highlight w:val="none"/>
                    </w:rPr>
                    <w:t>0.0039</w:t>
                  </w:r>
                </w:p>
              </w:tc>
              <w:tc>
                <w:tcPr>
                  <w:tcW w:w="737" w:type="pct"/>
                  <w:vAlign w:val="center"/>
                </w:tcPr>
                <w:p w14:paraId="69F08681">
                  <w:pPr>
                    <w:widowControl/>
                    <w:jc w:val="center"/>
                    <w:textAlignment w:val="center"/>
                    <w:rPr>
                      <w:color w:val="auto"/>
                      <w:szCs w:val="21"/>
                      <w:highlight w:val="none"/>
                    </w:rPr>
                  </w:pPr>
                  <w:r>
                    <w:rPr>
                      <w:rFonts w:hint="eastAsia"/>
                      <w:color w:val="auto"/>
                      <w:szCs w:val="21"/>
                      <w:highlight w:val="none"/>
                    </w:rPr>
                    <w:t>0.39</w:t>
                  </w:r>
                </w:p>
              </w:tc>
            </w:tr>
            <w:tr w14:paraId="278ECE1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94" w:type="pct"/>
                  <w:vAlign w:val="center"/>
                </w:tcPr>
                <w:p w14:paraId="17185211">
                  <w:pPr>
                    <w:widowControl/>
                    <w:adjustRightInd w:val="0"/>
                    <w:snapToGrid w:val="0"/>
                    <w:jc w:val="center"/>
                    <w:rPr>
                      <w:color w:val="auto"/>
                      <w:szCs w:val="21"/>
                      <w:highlight w:val="none"/>
                    </w:rPr>
                  </w:pPr>
                  <w:r>
                    <w:rPr>
                      <w:rFonts w:hint="eastAsia"/>
                      <w:color w:val="auto"/>
                      <w:szCs w:val="21"/>
                      <w:highlight w:val="none"/>
                    </w:rPr>
                    <w:t>树脂粉</w:t>
                  </w:r>
                </w:p>
              </w:tc>
              <w:tc>
                <w:tcPr>
                  <w:tcW w:w="983" w:type="pct"/>
                  <w:vAlign w:val="center"/>
                </w:tcPr>
                <w:p w14:paraId="49E9C4B7">
                  <w:pPr>
                    <w:widowControl/>
                    <w:jc w:val="center"/>
                    <w:textAlignment w:val="center"/>
                    <w:rPr>
                      <w:color w:val="auto"/>
                      <w:szCs w:val="21"/>
                      <w:highlight w:val="none"/>
                    </w:rPr>
                  </w:pPr>
                  <w:r>
                    <w:rPr>
                      <w:rFonts w:hint="eastAsia"/>
                      <w:color w:val="auto"/>
                      <w:szCs w:val="21"/>
                      <w:highlight w:val="none"/>
                    </w:rPr>
                    <w:t>6</w:t>
                  </w:r>
                </w:p>
              </w:tc>
              <w:tc>
                <w:tcPr>
                  <w:tcW w:w="710" w:type="pct"/>
                  <w:vAlign w:val="center"/>
                </w:tcPr>
                <w:p w14:paraId="39EEEAD1">
                  <w:pPr>
                    <w:widowControl/>
                    <w:jc w:val="center"/>
                    <w:textAlignment w:val="center"/>
                    <w:rPr>
                      <w:color w:val="auto"/>
                      <w:szCs w:val="21"/>
                      <w:highlight w:val="none"/>
                    </w:rPr>
                  </w:pPr>
                  <w:r>
                    <w:rPr>
                      <w:color w:val="auto"/>
                      <w:szCs w:val="21"/>
                      <w:highlight w:val="none"/>
                    </w:rPr>
                    <w:t>0</w:t>
                  </w:r>
                </w:p>
              </w:tc>
              <w:tc>
                <w:tcPr>
                  <w:tcW w:w="734" w:type="pct"/>
                  <w:vAlign w:val="center"/>
                </w:tcPr>
                <w:p w14:paraId="755E3068">
                  <w:pPr>
                    <w:widowControl/>
                    <w:jc w:val="center"/>
                    <w:textAlignment w:val="center"/>
                    <w:rPr>
                      <w:color w:val="auto"/>
                      <w:szCs w:val="21"/>
                      <w:highlight w:val="none"/>
                    </w:rPr>
                  </w:pPr>
                  <w:r>
                    <w:rPr>
                      <w:color w:val="auto"/>
                      <w:szCs w:val="21"/>
                      <w:highlight w:val="none"/>
                    </w:rPr>
                    <w:t>0</w:t>
                  </w:r>
                </w:p>
              </w:tc>
              <w:tc>
                <w:tcPr>
                  <w:tcW w:w="840" w:type="pct"/>
                  <w:vAlign w:val="center"/>
                </w:tcPr>
                <w:p w14:paraId="420C89DE">
                  <w:pPr>
                    <w:widowControl/>
                    <w:jc w:val="center"/>
                    <w:textAlignment w:val="center"/>
                    <w:rPr>
                      <w:color w:val="auto"/>
                      <w:szCs w:val="21"/>
                      <w:highlight w:val="none"/>
                    </w:rPr>
                  </w:pPr>
                  <w:r>
                    <w:rPr>
                      <w:color w:val="auto"/>
                      <w:szCs w:val="21"/>
                      <w:highlight w:val="none"/>
                    </w:rPr>
                    <w:t>1.8072</w:t>
                  </w:r>
                </w:p>
              </w:tc>
              <w:tc>
                <w:tcPr>
                  <w:tcW w:w="737" w:type="pct"/>
                  <w:vAlign w:val="center"/>
                </w:tcPr>
                <w:p w14:paraId="661D0B29">
                  <w:pPr>
                    <w:widowControl/>
                    <w:jc w:val="center"/>
                    <w:textAlignment w:val="center"/>
                    <w:rPr>
                      <w:color w:val="auto"/>
                      <w:szCs w:val="21"/>
                      <w:highlight w:val="none"/>
                    </w:rPr>
                  </w:pPr>
                  <w:r>
                    <w:rPr>
                      <w:color w:val="auto"/>
                      <w:szCs w:val="21"/>
                      <w:highlight w:val="none"/>
                    </w:rPr>
                    <w:t>0.6</w:t>
                  </w:r>
                </w:p>
              </w:tc>
            </w:tr>
            <w:tr w14:paraId="5ECDED1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94" w:type="pct"/>
                  <w:vAlign w:val="center"/>
                </w:tcPr>
                <w:p w14:paraId="0AA6114F">
                  <w:pPr>
                    <w:widowControl/>
                    <w:adjustRightInd w:val="0"/>
                    <w:snapToGrid w:val="0"/>
                    <w:jc w:val="center"/>
                    <w:rPr>
                      <w:color w:val="auto"/>
                      <w:szCs w:val="21"/>
                      <w:highlight w:val="none"/>
                    </w:rPr>
                  </w:pPr>
                  <w:r>
                    <w:rPr>
                      <w:rFonts w:hint="eastAsia"/>
                      <w:color w:val="auto"/>
                      <w:szCs w:val="21"/>
                      <w:highlight w:val="none"/>
                    </w:rPr>
                    <w:t>浸渍树脂</w:t>
                  </w:r>
                </w:p>
              </w:tc>
              <w:tc>
                <w:tcPr>
                  <w:tcW w:w="983" w:type="pct"/>
                  <w:vAlign w:val="center"/>
                </w:tcPr>
                <w:p w14:paraId="2BE60190">
                  <w:pPr>
                    <w:widowControl/>
                    <w:jc w:val="center"/>
                    <w:textAlignment w:val="center"/>
                    <w:rPr>
                      <w:color w:val="auto"/>
                      <w:szCs w:val="21"/>
                      <w:highlight w:val="none"/>
                    </w:rPr>
                  </w:pPr>
                  <w:r>
                    <w:rPr>
                      <w:rFonts w:hint="eastAsia"/>
                      <w:color w:val="auto"/>
                      <w:szCs w:val="21"/>
                      <w:highlight w:val="none"/>
                    </w:rPr>
                    <w:t>3.6</w:t>
                  </w:r>
                </w:p>
              </w:tc>
              <w:tc>
                <w:tcPr>
                  <w:tcW w:w="710" w:type="pct"/>
                  <w:vAlign w:val="center"/>
                </w:tcPr>
                <w:p w14:paraId="53D3A456">
                  <w:pPr>
                    <w:widowControl/>
                    <w:jc w:val="center"/>
                    <w:textAlignment w:val="center"/>
                    <w:rPr>
                      <w:color w:val="auto"/>
                      <w:szCs w:val="21"/>
                      <w:highlight w:val="none"/>
                    </w:rPr>
                  </w:pPr>
                  <w:r>
                    <w:rPr>
                      <w:color w:val="auto"/>
                      <w:szCs w:val="21"/>
                      <w:highlight w:val="none"/>
                    </w:rPr>
                    <w:t>0</w:t>
                  </w:r>
                </w:p>
              </w:tc>
              <w:tc>
                <w:tcPr>
                  <w:tcW w:w="734" w:type="pct"/>
                  <w:vAlign w:val="center"/>
                </w:tcPr>
                <w:p w14:paraId="521E8867">
                  <w:pPr>
                    <w:widowControl/>
                    <w:jc w:val="center"/>
                    <w:textAlignment w:val="center"/>
                    <w:rPr>
                      <w:color w:val="auto"/>
                      <w:szCs w:val="21"/>
                      <w:highlight w:val="none"/>
                    </w:rPr>
                  </w:pPr>
                  <w:r>
                    <w:rPr>
                      <w:color w:val="auto"/>
                      <w:szCs w:val="21"/>
                      <w:highlight w:val="none"/>
                    </w:rPr>
                    <w:t>0</w:t>
                  </w:r>
                </w:p>
              </w:tc>
              <w:tc>
                <w:tcPr>
                  <w:tcW w:w="840" w:type="pct"/>
                  <w:vAlign w:val="center"/>
                </w:tcPr>
                <w:p w14:paraId="2FEAA4C1">
                  <w:pPr>
                    <w:widowControl/>
                    <w:jc w:val="center"/>
                    <w:textAlignment w:val="center"/>
                    <w:rPr>
                      <w:color w:val="auto"/>
                      <w:szCs w:val="21"/>
                      <w:highlight w:val="none"/>
                    </w:rPr>
                  </w:pPr>
                  <w:r>
                    <w:rPr>
                      <w:rFonts w:hint="eastAsia"/>
                      <w:color w:val="auto"/>
                      <w:szCs w:val="21"/>
                      <w:highlight w:val="none"/>
                    </w:rPr>
                    <w:t>0.</w:t>
                  </w:r>
                  <w:r>
                    <w:rPr>
                      <w:color w:val="auto"/>
                      <w:szCs w:val="21"/>
                      <w:highlight w:val="none"/>
                    </w:rPr>
                    <w:t>4068</w:t>
                  </w:r>
                </w:p>
              </w:tc>
              <w:tc>
                <w:tcPr>
                  <w:tcW w:w="737" w:type="pct"/>
                  <w:vAlign w:val="center"/>
                </w:tcPr>
                <w:p w14:paraId="6DA02199">
                  <w:pPr>
                    <w:widowControl/>
                    <w:jc w:val="center"/>
                    <w:textAlignment w:val="center"/>
                    <w:rPr>
                      <w:color w:val="auto"/>
                      <w:szCs w:val="21"/>
                      <w:highlight w:val="none"/>
                    </w:rPr>
                  </w:pPr>
                  <w:r>
                    <w:rPr>
                      <w:color w:val="auto"/>
                      <w:szCs w:val="21"/>
                      <w:highlight w:val="none"/>
                    </w:rPr>
                    <w:t>0</w:t>
                  </w:r>
                  <w:r>
                    <w:rPr>
                      <w:rFonts w:hint="eastAsia"/>
                      <w:color w:val="auto"/>
                      <w:szCs w:val="21"/>
                      <w:highlight w:val="none"/>
                    </w:rPr>
                    <w:t>.72</w:t>
                  </w:r>
                </w:p>
              </w:tc>
            </w:tr>
            <w:tr w14:paraId="4838C02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94" w:type="pct"/>
                  <w:vAlign w:val="center"/>
                </w:tcPr>
                <w:p w14:paraId="7D38844B">
                  <w:pPr>
                    <w:widowControl/>
                    <w:adjustRightInd w:val="0"/>
                    <w:snapToGrid w:val="0"/>
                    <w:jc w:val="center"/>
                    <w:rPr>
                      <w:b/>
                      <w:bCs/>
                      <w:color w:val="auto"/>
                      <w:szCs w:val="21"/>
                      <w:highlight w:val="none"/>
                    </w:rPr>
                  </w:pPr>
                  <w:r>
                    <w:rPr>
                      <w:b/>
                      <w:bCs/>
                      <w:color w:val="auto"/>
                      <w:szCs w:val="21"/>
                      <w:highlight w:val="none"/>
                    </w:rPr>
                    <w:t>合计</w:t>
                  </w:r>
                </w:p>
              </w:tc>
              <w:tc>
                <w:tcPr>
                  <w:tcW w:w="983" w:type="pct"/>
                  <w:vAlign w:val="center"/>
                </w:tcPr>
                <w:p w14:paraId="3C043B18">
                  <w:pPr>
                    <w:widowControl/>
                    <w:jc w:val="center"/>
                    <w:textAlignment w:val="center"/>
                    <w:rPr>
                      <w:color w:val="auto"/>
                      <w:szCs w:val="21"/>
                      <w:highlight w:val="none"/>
                    </w:rPr>
                  </w:pPr>
                  <w:r>
                    <w:rPr>
                      <w:rFonts w:hint="eastAsia"/>
                      <w:color w:val="auto"/>
                      <w:szCs w:val="21"/>
                      <w:highlight w:val="none"/>
                    </w:rPr>
                    <w:t>10.9</w:t>
                  </w:r>
                </w:p>
              </w:tc>
              <w:tc>
                <w:tcPr>
                  <w:tcW w:w="3022" w:type="pct"/>
                  <w:gridSpan w:val="4"/>
                  <w:vAlign w:val="center"/>
                </w:tcPr>
                <w:p w14:paraId="37CAC6AD">
                  <w:pPr>
                    <w:widowControl/>
                    <w:jc w:val="center"/>
                    <w:textAlignment w:val="center"/>
                    <w:rPr>
                      <w:color w:val="auto"/>
                      <w:szCs w:val="21"/>
                      <w:highlight w:val="none"/>
                    </w:rPr>
                  </w:pPr>
                  <w:r>
                    <w:rPr>
                      <w:rFonts w:hint="eastAsia"/>
                      <w:color w:val="auto"/>
                      <w:szCs w:val="21"/>
                      <w:highlight w:val="none"/>
                    </w:rPr>
                    <w:t>10.9</w:t>
                  </w:r>
                </w:p>
              </w:tc>
            </w:tr>
          </w:tbl>
          <w:p w14:paraId="15921105">
            <w:pPr>
              <w:autoSpaceDE w:val="0"/>
              <w:autoSpaceDN w:val="0"/>
              <w:adjustRightInd w:val="0"/>
              <w:snapToGrid w:val="0"/>
              <w:spacing w:before="120" w:beforeLines="50" w:line="360" w:lineRule="auto"/>
              <w:ind w:firstLine="480" w:firstLineChars="200"/>
              <w:rPr>
                <w:color w:val="auto"/>
                <w:kern w:val="0"/>
                <w:sz w:val="24"/>
                <w:highlight w:val="none"/>
              </w:rPr>
            </w:pPr>
            <w:r>
              <w:rPr>
                <w:rFonts w:hAnsi="宋体"/>
                <w:color w:val="auto"/>
                <w:kern w:val="0"/>
                <w:sz w:val="24"/>
                <w:highlight w:val="none"/>
              </w:rPr>
              <w:t>废气收集、处理及排放方式情况见表</w:t>
            </w:r>
            <w:r>
              <w:rPr>
                <w:color w:val="auto"/>
                <w:kern w:val="0"/>
                <w:sz w:val="24"/>
                <w:highlight w:val="none"/>
              </w:rPr>
              <w:t>4-</w:t>
            </w:r>
            <w:r>
              <w:rPr>
                <w:rFonts w:hint="eastAsia"/>
                <w:color w:val="auto"/>
                <w:kern w:val="0"/>
                <w:sz w:val="24"/>
                <w:highlight w:val="none"/>
              </w:rPr>
              <w:t>2</w:t>
            </w:r>
            <w:r>
              <w:rPr>
                <w:rFonts w:hAnsi="宋体"/>
                <w:color w:val="auto"/>
                <w:kern w:val="0"/>
                <w:sz w:val="24"/>
                <w:highlight w:val="none"/>
              </w:rPr>
              <w:t>。</w:t>
            </w:r>
          </w:p>
          <w:p w14:paraId="419947DA">
            <w:pPr>
              <w:adjustRightInd w:val="0"/>
              <w:snapToGrid w:val="0"/>
              <w:jc w:val="center"/>
              <w:rPr>
                <w:b/>
                <w:color w:val="auto"/>
                <w:kern w:val="0"/>
                <w:sz w:val="24"/>
                <w:highlight w:val="none"/>
              </w:rPr>
            </w:pPr>
            <w:r>
              <w:rPr>
                <w:rFonts w:hAnsi="宋体"/>
                <w:b/>
                <w:color w:val="auto"/>
                <w:kern w:val="0"/>
                <w:sz w:val="24"/>
                <w:highlight w:val="none"/>
              </w:rPr>
              <w:t>表</w:t>
            </w:r>
            <w:r>
              <w:rPr>
                <w:b/>
                <w:color w:val="auto"/>
                <w:kern w:val="0"/>
                <w:sz w:val="24"/>
                <w:highlight w:val="none"/>
              </w:rPr>
              <w:t>4-</w:t>
            </w:r>
            <w:r>
              <w:rPr>
                <w:rFonts w:hint="eastAsia"/>
                <w:b/>
                <w:color w:val="auto"/>
                <w:kern w:val="0"/>
                <w:sz w:val="24"/>
                <w:highlight w:val="none"/>
              </w:rPr>
              <w:t>2</w:t>
            </w:r>
            <w:r>
              <w:rPr>
                <w:b/>
                <w:color w:val="auto"/>
                <w:kern w:val="0"/>
                <w:sz w:val="24"/>
                <w:highlight w:val="none"/>
              </w:rPr>
              <w:t xml:space="preserve">  </w:t>
            </w:r>
            <w:r>
              <w:rPr>
                <w:rFonts w:hAnsi="宋体"/>
                <w:b/>
                <w:color w:val="auto"/>
                <w:kern w:val="0"/>
                <w:sz w:val="24"/>
                <w:highlight w:val="none"/>
              </w:rPr>
              <w:t>废气源强核算、收集、处理、排放方式情况一览表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0"/>
              <w:gridCol w:w="538"/>
              <w:gridCol w:w="854"/>
              <w:gridCol w:w="706"/>
              <w:gridCol w:w="2517"/>
              <w:gridCol w:w="655"/>
              <w:gridCol w:w="559"/>
              <w:gridCol w:w="665"/>
              <w:gridCol w:w="565"/>
              <w:gridCol w:w="797"/>
              <w:gridCol w:w="641"/>
              <w:gridCol w:w="556"/>
              <w:gridCol w:w="524"/>
            </w:tblGrid>
            <w:tr w14:paraId="0A935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31" w:type="pct"/>
                  <w:vMerge w:val="restart"/>
                  <w:vAlign w:val="center"/>
                </w:tcPr>
                <w:p w14:paraId="7B99374C">
                  <w:pPr>
                    <w:adjustRightInd w:val="0"/>
                    <w:snapToGrid w:val="0"/>
                    <w:jc w:val="center"/>
                    <w:rPr>
                      <w:b/>
                      <w:bCs/>
                      <w:color w:val="auto"/>
                      <w:szCs w:val="21"/>
                      <w:highlight w:val="none"/>
                    </w:rPr>
                  </w:pPr>
                  <w:r>
                    <w:rPr>
                      <w:rFonts w:hAnsi="宋体"/>
                      <w:b/>
                      <w:bCs/>
                      <w:color w:val="auto"/>
                      <w:szCs w:val="21"/>
                      <w:highlight w:val="none"/>
                    </w:rPr>
                    <w:t>污染源</w:t>
                  </w:r>
                </w:p>
              </w:tc>
              <w:tc>
                <w:tcPr>
                  <w:tcW w:w="262" w:type="pct"/>
                  <w:vMerge w:val="restart"/>
                  <w:vAlign w:val="center"/>
                </w:tcPr>
                <w:p w14:paraId="63D0CFFB">
                  <w:pPr>
                    <w:adjustRightInd w:val="0"/>
                    <w:snapToGrid w:val="0"/>
                    <w:jc w:val="center"/>
                    <w:rPr>
                      <w:b/>
                      <w:bCs/>
                      <w:color w:val="auto"/>
                      <w:szCs w:val="21"/>
                      <w:highlight w:val="none"/>
                    </w:rPr>
                  </w:pPr>
                  <w:r>
                    <w:rPr>
                      <w:rFonts w:hAnsi="宋体"/>
                      <w:b/>
                      <w:bCs/>
                      <w:color w:val="auto"/>
                      <w:szCs w:val="21"/>
                      <w:highlight w:val="none"/>
                    </w:rPr>
                    <w:t>污染源</w:t>
                  </w:r>
                </w:p>
                <w:p w14:paraId="240F84FB">
                  <w:pPr>
                    <w:adjustRightInd w:val="0"/>
                    <w:snapToGrid w:val="0"/>
                    <w:jc w:val="center"/>
                    <w:rPr>
                      <w:b/>
                      <w:bCs/>
                      <w:color w:val="auto"/>
                      <w:szCs w:val="21"/>
                      <w:highlight w:val="none"/>
                    </w:rPr>
                  </w:pPr>
                  <w:r>
                    <w:rPr>
                      <w:rFonts w:hAnsi="宋体"/>
                      <w:b/>
                      <w:bCs/>
                      <w:color w:val="auto"/>
                      <w:szCs w:val="21"/>
                      <w:highlight w:val="none"/>
                    </w:rPr>
                    <w:t>编号</w:t>
                  </w:r>
                </w:p>
              </w:tc>
              <w:tc>
                <w:tcPr>
                  <w:tcW w:w="416" w:type="pct"/>
                  <w:vMerge w:val="restart"/>
                  <w:vAlign w:val="center"/>
                </w:tcPr>
                <w:p w14:paraId="2BDE0BFA">
                  <w:pPr>
                    <w:widowControl/>
                    <w:adjustRightInd w:val="0"/>
                    <w:snapToGrid w:val="0"/>
                    <w:jc w:val="center"/>
                    <w:rPr>
                      <w:b/>
                      <w:bCs/>
                      <w:color w:val="auto"/>
                      <w:kern w:val="0"/>
                      <w:szCs w:val="21"/>
                      <w:highlight w:val="none"/>
                    </w:rPr>
                  </w:pPr>
                  <w:r>
                    <w:rPr>
                      <w:rFonts w:hAnsi="宋体"/>
                      <w:b/>
                      <w:bCs/>
                      <w:color w:val="auto"/>
                      <w:kern w:val="0"/>
                      <w:szCs w:val="21"/>
                      <w:highlight w:val="none"/>
                    </w:rPr>
                    <w:t>污染物</w:t>
                  </w:r>
                </w:p>
                <w:p w14:paraId="310B56C8">
                  <w:pPr>
                    <w:widowControl/>
                    <w:adjustRightInd w:val="0"/>
                    <w:snapToGrid w:val="0"/>
                    <w:jc w:val="center"/>
                    <w:rPr>
                      <w:b/>
                      <w:bCs/>
                      <w:color w:val="auto"/>
                      <w:kern w:val="0"/>
                      <w:szCs w:val="21"/>
                      <w:highlight w:val="none"/>
                    </w:rPr>
                  </w:pPr>
                  <w:r>
                    <w:rPr>
                      <w:rFonts w:hAnsi="宋体"/>
                      <w:b/>
                      <w:bCs/>
                      <w:color w:val="auto"/>
                      <w:kern w:val="0"/>
                      <w:szCs w:val="21"/>
                      <w:highlight w:val="none"/>
                    </w:rPr>
                    <w:t>种类</w:t>
                  </w:r>
                </w:p>
              </w:tc>
              <w:tc>
                <w:tcPr>
                  <w:tcW w:w="344" w:type="pct"/>
                  <w:vMerge w:val="restart"/>
                  <w:vAlign w:val="center"/>
                </w:tcPr>
                <w:p w14:paraId="1DB92301">
                  <w:pPr>
                    <w:widowControl/>
                    <w:adjustRightInd w:val="0"/>
                    <w:snapToGrid w:val="0"/>
                    <w:jc w:val="center"/>
                    <w:rPr>
                      <w:b/>
                      <w:bCs/>
                      <w:color w:val="auto"/>
                      <w:kern w:val="0"/>
                      <w:szCs w:val="21"/>
                      <w:highlight w:val="none"/>
                    </w:rPr>
                  </w:pPr>
                  <w:r>
                    <w:rPr>
                      <w:rFonts w:hAnsi="宋体"/>
                      <w:b/>
                      <w:bCs/>
                      <w:color w:val="auto"/>
                      <w:kern w:val="0"/>
                      <w:szCs w:val="21"/>
                      <w:highlight w:val="none"/>
                    </w:rPr>
                    <w:t>污染源强核算</w:t>
                  </w:r>
                  <w:r>
                    <w:rPr>
                      <w:rFonts w:hint="eastAsia" w:hAnsi="宋体"/>
                      <w:b/>
                      <w:bCs/>
                      <w:color w:val="auto"/>
                      <w:kern w:val="0"/>
                      <w:szCs w:val="21"/>
                      <w:highlight w:val="none"/>
                    </w:rPr>
                    <w:t>(</w:t>
                  </w:r>
                  <w:r>
                    <w:rPr>
                      <w:b/>
                      <w:bCs/>
                      <w:color w:val="auto"/>
                      <w:kern w:val="0"/>
                      <w:szCs w:val="21"/>
                      <w:highlight w:val="none"/>
                    </w:rPr>
                    <w:t>t/a</w:t>
                  </w:r>
                  <w:r>
                    <w:rPr>
                      <w:rFonts w:hint="eastAsia" w:hAnsi="宋体"/>
                      <w:b/>
                      <w:bCs/>
                      <w:color w:val="auto"/>
                      <w:kern w:val="0"/>
                      <w:szCs w:val="21"/>
                      <w:highlight w:val="none"/>
                    </w:rPr>
                    <w:t>)</w:t>
                  </w:r>
                </w:p>
              </w:tc>
              <w:tc>
                <w:tcPr>
                  <w:tcW w:w="1226" w:type="pct"/>
                  <w:vMerge w:val="restart"/>
                  <w:vAlign w:val="center"/>
                </w:tcPr>
                <w:p w14:paraId="3CDD3A9C">
                  <w:pPr>
                    <w:widowControl/>
                    <w:adjustRightInd w:val="0"/>
                    <w:snapToGrid w:val="0"/>
                    <w:jc w:val="center"/>
                    <w:rPr>
                      <w:b/>
                      <w:bCs/>
                      <w:color w:val="auto"/>
                      <w:kern w:val="0"/>
                      <w:szCs w:val="21"/>
                      <w:highlight w:val="none"/>
                    </w:rPr>
                  </w:pPr>
                  <w:r>
                    <w:rPr>
                      <w:rFonts w:hAnsi="宋体"/>
                      <w:b/>
                      <w:bCs/>
                      <w:color w:val="auto"/>
                      <w:kern w:val="0"/>
                      <w:szCs w:val="21"/>
                      <w:highlight w:val="none"/>
                    </w:rPr>
                    <w:t>源强核算依据</w:t>
                  </w:r>
                </w:p>
              </w:tc>
              <w:tc>
                <w:tcPr>
                  <w:tcW w:w="319" w:type="pct"/>
                  <w:vMerge w:val="restart"/>
                  <w:vAlign w:val="center"/>
                </w:tcPr>
                <w:p w14:paraId="4A9A1DD5">
                  <w:pPr>
                    <w:widowControl/>
                    <w:adjustRightInd w:val="0"/>
                    <w:snapToGrid w:val="0"/>
                    <w:jc w:val="center"/>
                    <w:rPr>
                      <w:b/>
                      <w:bCs/>
                      <w:color w:val="auto"/>
                      <w:kern w:val="0"/>
                      <w:szCs w:val="21"/>
                      <w:highlight w:val="none"/>
                    </w:rPr>
                  </w:pPr>
                  <w:r>
                    <w:rPr>
                      <w:rFonts w:hAnsi="宋体"/>
                      <w:b/>
                      <w:bCs/>
                      <w:color w:val="auto"/>
                      <w:kern w:val="0"/>
                      <w:szCs w:val="21"/>
                      <w:highlight w:val="none"/>
                    </w:rPr>
                    <w:t>废气收集方式</w:t>
                  </w:r>
                </w:p>
              </w:tc>
              <w:tc>
                <w:tcPr>
                  <w:tcW w:w="272" w:type="pct"/>
                  <w:vMerge w:val="restart"/>
                  <w:vAlign w:val="center"/>
                </w:tcPr>
                <w:p w14:paraId="4E555017">
                  <w:pPr>
                    <w:adjustRightInd w:val="0"/>
                    <w:snapToGrid w:val="0"/>
                    <w:jc w:val="center"/>
                    <w:rPr>
                      <w:b/>
                      <w:bCs/>
                      <w:color w:val="auto"/>
                      <w:szCs w:val="21"/>
                      <w:highlight w:val="none"/>
                    </w:rPr>
                  </w:pPr>
                  <w:r>
                    <w:rPr>
                      <w:rFonts w:hAnsi="宋体"/>
                      <w:b/>
                      <w:bCs/>
                      <w:color w:val="auto"/>
                      <w:szCs w:val="21"/>
                      <w:highlight w:val="none"/>
                    </w:rPr>
                    <w:t>收集</w:t>
                  </w:r>
                </w:p>
                <w:p w14:paraId="0FDC90FA">
                  <w:pPr>
                    <w:adjustRightInd w:val="0"/>
                    <w:snapToGrid w:val="0"/>
                    <w:jc w:val="center"/>
                    <w:rPr>
                      <w:b/>
                      <w:bCs/>
                      <w:color w:val="auto"/>
                      <w:szCs w:val="21"/>
                      <w:highlight w:val="none"/>
                    </w:rPr>
                  </w:pPr>
                  <w:r>
                    <w:rPr>
                      <w:rFonts w:hAnsi="宋体"/>
                      <w:b/>
                      <w:bCs/>
                      <w:color w:val="auto"/>
                      <w:szCs w:val="21"/>
                      <w:highlight w:val="none"/>
                    </w:rPr>
                    <w:t>效率</w:t>
                  </w:r>
                </w:p>
              </w:tc>
              <w:tc>
                <w:tcPr>
                  <w:tcW w:w="988" w:type="pct"/>
                  <w:gridSpan w:val="3"/>
                  <w:vAlign w:val="center"/>
                </w:tcPr>
                <w:p w14:paraId="4484CA82">
                  <w:pPr>
                    <w:adjustRightInd w:val="0"/>
                    <w:snapToGrid w:val="0"/>
                    <w:jc w:val="center"/>
                    <w:rPr>
                      <w:b/>
                      <w:bCs/>
                      <w:color w:val="auto"/>
                      <w:szCs w:val="21"/>
                      <w:highlight w:val="none"/>
                    </w:rPr>
                  </w:pPr>
                  <w:r>
                    <w:rPr>
                      <w:rFonts w:hAnsi="宋体"/>
                      <w:b/>
                      <w:bCs/>
                      <w:color w:val="auto"/>
                      <w:szCs w:val="21"/>
                      <w:highlight w:val="none"/>
                    </w:rPr>
                    <w:t>治理措施</w:t>
                  </w:r>
                </w:p>
              </w:tc>
              <w:tc>
                <w:tcPr>
                  <w:tcW w:w="312" w:type="pct"/>
                  <w:vMerge w:val="restart"/>
                  <w:vAlign w:val="center"/>
                </w:tcPr>
                <w:p w14:paraId="3A8148E6">
                  <w:pPr>
                    <w:adjustRightInd w:val="0"/>
                    <w:snapToGrid w:val="0"/>
                    <w:jc w:val="center"/>
                    <w:rPr>
                      <w:b/>
                      <w:bCs/>
                      <w:color w:val="auto"/>
                      <w:szCs w:val="21"/>
                      <w:highlight w:val="none"/>
                    </w:rPr>
                  </w:pPr>
                  <w:r>
                    <w:rPr>
                      <w:rFonts w:hAnsi="宋体"/>
                      <w:b/>
                      <w:bCs/>
                      <w:color w:val="auto"/>
                      <w:szCs w:val="21"/>
                      <w:highlight w:val="none"/>
                    </w:rPr>
                    <w:t>风量</w:t>
                  </w:r>
                </w:p>
                <w:p w14:paraId="2F190DB6">
                  <w:pPr>
                    <w:adjustRightInd w:val="0"/>
                    <w:snapToGrid w:val="0"/>
                    <w:jc w:val="center"/>
                    <w:rPr>
                      <w:b/>
                      <w:bCs/>
                      <w:color w:val="auto"/>
                      <w:szCs w:val="21"/>
                      <w:highlight w:val="none"/>
                    </w:rPr>
                  </w:pPr>
                  <w:r>
                    <w:rPr>
                      <w:rFonts w:hint="eastAsia" w:hAnsi="宋体"/>
                      <w:b/>
                      <w:bCs/>
                      <w:color w:val="auto"/>
                      <w:szCs w:val="21"/>
                      <w:highlight w:val="none"/>
                    </w:rPr>
                    <w:t>(</w:t>
                  </w:r>
                  <w:r>
                    <w:rPr>
                      <w:b/>
                      <w:bCs/>
                      <w:color w:val="auto"/>
                      <w:szCs w:val="21"/>
                      <w:highlight w:val="none"/>
                    </w:rPr>
                    <w:t>m</w:t>
                  </w:r>
                  <w:r>
                    <w:rPr>
                      <w:b/>
                      <w:bCs/>
                      <w:color w:val="auto"/>
                      <w:szCs w:val="21"/>
                      <w:highlight w:val="none"/>
                      <w:vertAlign w:val="superscript"/>
                    </w:rPr>
                    <w:t>3</w:t>
                  </w:r>
                  <w:r>
                    <w:rPr>
                      <w:b/>
                      <w:bCs/>
                      <w:color w:val="auto"/>
                      <w:szCs w:val="21"/>
                      <w:highlight w:val="none"/>
                    </w:rPr>
                    <w:t>/h</w:t>
                  </w:r>
                  <w:r>
                    <w:rPr>
                      <w:rFonts w:hint="eastAsia" w:hAnsi="宋体"/>
                      <w:b/>
                      <w:bCs/>
                      <w:color w:val="auto"/>
                      <w:szCs w:val="21"/>
                      <w:highlight w:val="none"/>
                    </w:rPr>
                    <w:t>)</w:t>
                  </w:r>
                </w:p>
              </w:tc>
              <w:tc>
                <w:tcPr>
                  <w:tcW w:w="526" w:type="pct"/>
                  <w:gridSpan w:val="2"/>
                  <w:vAlign w:val="center"/>
                </w:tcPr>
                <w:p w14:paraId="21A84C8A">
                  <w:pPr>
                    <w:adjustRightInd w:val="0"/>
                    <w:snapToGrid w:val="0"/>
                    <w:jc w:val="center"/>
                    <w:rPr>
                      <w:b/>
                      <w:bCs/>
                      <w:color w:val="auto"/>
                      <w:szCs w:val="21"/>
                      <w:highlight w:val="none"/>
                    </w:rPr>
                  </w:pPr>
                  <w:r>
                    <w:rPr>
                      <w:rFonts w:hAnsi="宋体"/>
                      <w:b/>
                      <w:bCs/>
                      <w:color w:val="auto"/>
                      <w:szCs w:val="21"/>
                      <w:highlight w:val="none"/>
                    </w:rPr>
                    <w:t>排放形式</w:t>
                  </w:r>
                </w:p>
              </w:tc>
            </w:tr>
            <w:tr w14:paraId="14BB7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31" w:type="pct"/>
                  <w:vMerge w:val="continue"/>
                  <w:vAlign w:val="center"/>
                </w:tcPr>
                <w:p w14:paraId="2984CA73">
                  <w:pPr>
                    <w:adjustRightInd w:val="0"/>
                    <w:snapToGrid w:val="0"/>
                    <w:jc w:val="center"/>
                    <w:rPr>
                      <w:b/>
                      <w:bCs/>
                      <w:color w:val="auto"/>
                      <w:szCs w:val="21"/>
                      <w:highlight w:val="none"/>
                    </w:rPr>
                  </w:pPr>
                </w:p>
              </w:tc>
              <w:tc>
                <w:tcPr>
                  <w:tcW w:w="262" w:type="pct"/>
                  <w:vMerge w:val="continue"/>
                  <w:vAlign w:val="center"/>
                </w:tcPr>
                <w:p w14:paraId="3C31311F">
                  <w:pPr>
                    <w:adjustRightInd w:val="0"/>
                    <w:snapToGrid w:val="0"/>
                    <w:jc w:val="center"/>
                    <w:rPr>
                      <w:b/>
                      <w:bCs/>
                      <w:color w:val="auto"/>
                      <w:szCs w:val="21"/>
                      <w:highlight w:val="none"/>
                    </w:rPr>
                  </w:pPr>
                </w:p>
              </w:tc>
              <w:tc>
                <w:tcPr>
                  <w:tcW w:w="416" w:type="pct"/>
                  <w:vMerge w:val="continue"/>
                  <w:vAlign w:val="center"/>
                </w:tcPr>
                <w:p w14:paraId="2D966D4C">
                  <w:pPr>
                    <w:widowControl/>
                    <w:adjustRightInd w:val="0"/>
                    <w:snapToGrid w:val="0"/>
                    <w:jc w:val="center"/>
                    <w:rPr>
                      <w:b/>
                      <w:bCs/>
                      <w:color w:val="auto"/>
                      <w:kern w:val="0"/>
                      <w:szCs w:val="21"/>
                      <w:highlight w:val="none"/>
                    </w:rPr>
                  </w:pPr>
                </w:p>
              </w:tc>
              <w:tc>
                <w:tcPr>
                  <w:tcW w:w="344" w:type="pct"/>
                  <w:vMerge w:val="continue"/>
                  <w:vAlign w:val="center"/>
                </w:tcPr>
                <w:p w14:paraId="5CB1001D">
                  <w:pPr>
                    <w:widowControl/>
                    <w:adjustRightInd w:val="0"/>
                    <w:snapToGrid w:val="0"/>
                    <w:jc w:val="center"/>
                    <w:rPr>
                      <w:b/>
                      <w:bCs/>
                      <w:color w:val="auto"/>
                      <w:kern w:val="0"/>
                      <w:szCs w:val="21"/>
                      <w:highlight w:val="none"/>
                    </w:rPr>
                  </w:pPr>
                </w:p>
              </w:tc>
              <w:tc>
                <w:tcPr>
                  <w:tcW w:w="1226" w:type="pct"/>
                  <w:vMerge w:val="continue"/>
                  <w:vAlign w:val="center"/>
                </w:tcPr>
                <w:p w14:paraId="238DDCEE">
                  <w:pPr>
                    <w:widowControl/>
                    <w:adjustRightInd w:val="0"/>
                    <w:snapToGrid w:val="0"/>
                    <w:jc w:val="center"/>
                    <w:rPr>
                      <w:b/>
                      <w:bCs/>
                      <w:color w:val="auto"/>
                      <w:kern w:val="0"/>
                      <w:szCs w:val="21"/>
                      <w:highlight w:val="none"/>
                    </w:rPr>
                  </w:pPr>
                </w:p>
              </w:tc>
              <w:tc>
                <w:tcPr>
                  <w:tcW w:w="319" w:type="pct"/>
                  <w:vMerge w:val="continue"/>
                  <w:vAlign w:val="center"/>
                </w:tcPr>
                <w:p w14:paraId="5EF3E8E1">
                  <w:pPr>
                    <w:widowControl/>
                    <w:adjustRightInd w:val="0"/>
                    <w:snapToGrid w:val="0"/>
                    <w:jc w:val="center"/>
                    <w:rPr>
                      <w:b/>
                      <w:bCs/>
                      <w:color w:val="auto"/>
                      <w:kern w:val="0"/>
                      <w:szCs w:val="21"/>
                      <w:highlight w:val="none"/>
                    </w:rPr>
                  </w:pPr>
                </w:p>
              </w:tc>
              <w:tc>
                <w:tcPr>
                  <w:tcW w:w="272" w:type="pct"/>
                  <w:vMerge w:val="continue"/>
                  <w:vAlign w:val="center"/>
                </w:tcPr>
                <w:p w14:paraId="2741AE8D">
                  <w:pPr>
                    <w:adjustRightInd w:val="0"/>
                    <w:snapToGrid w:val="0"/>
                    <w:jc w:val="center"/>
                    <w:rPr>
                      <w:b/>
                      <w:bCs/>
                      <w:color w:val="auto"/>
                      <w:szCs w:val="21"/>
                      <w:highlight w:val="none"/>
                    </w:rPr>
                  </w:pPr>
                </w:p>
              </w:tc>
              <w:tc>
                <w:tcPr>
                  <w:tcW w:w="324" w:type="pct"/>
                  <w:tcMar>
                    <w:top w:w="0" w:type="dxa"/>
                    <w:left w:w="0" w:type="dxa"/>
                    <w:bottom w:w="0" w:type="dxa"/>
                    <w:right w:w="0" w:type="dxa"/>
                  </w:tcMar>
                  <w:vAlign w:val="center"/>
                </w:tcPr>
                <w:p w14:paraId="7FCCEF3B">
                  <w:pPr>
                    <w:adjustRightInd w:val="0"/>
                    <w:snapToGrid w:val="0"/>
                    <w:jc w:val="center"/>
                    <w:rPr>
                      <w:b/>
                      <w:bCs/>
                      <w:color w:val="auto"/>
                      <w:szCs w:val="21"/>
                      <w:highlight w:val="none"/>
                    </w:rPr>
                  </w:pPr>
                  <w:r>
                    <w:rPr>
                      <w:rFonts w:hAnsi="宋体"/>
                      <w:b/>
                      <w:bCs/>
                      <w:color w:val="auto"/>
                      <w:szCs w:val="21"/>
                      <w:highlight w:val="none"/>
                    </w:rPr>
                    <w:t>治理工艺</w:t>
                  </w:r>
                </w:p>
              </w:tc>
              <w:tc>
                <w:tcPr>
                  <w:tcW w:w="275" w:type="pct"/>
                  <w:tcMar>
                    <w:top w:w="0" w:type="dxa"/>
                    <w:left w:w="0" w:type="dxa"/>
                    <w:bottom w:w="0" w:type="dxa"/>
                    <w:right w:w="0" w:type="dxa"/>
                  </w:tcMar>
                  <w:vAlign w:val="center"/>
                </w:tcPr>
                <w:p w14:paraId="5B86E659">
                  <w:pPr>
                    <w:adjustRightInd w:val="0"/>
                    <w:snapToGrid w:val="0"/>
                    <w:jc w:val="center"/>
                    <w:rPr>
                      <w:b/>
                      <w:bCs/>
                      <w:color w:val="auto"/>
                      <w:szCs w:val="21"/>
                      <w:highlight w:val="none"/>
                    </w:rPr>
                  </w:pPr>
                  <w:r>
                    <w:rPr>
                      <w:rFonts w:hAnsi="宋体"/>
                      <w:b/>
                      <w:bCs/>
                      <w:color w:val="auto"/>
                      <w:szCs w:val="21"/>
                      <w:highlight w:val="none"/>
                    </w:rPr>
                    <w:t>去除效率</w:t>
                  </w:r>
                </w:p>
              </w:tc>
              <w:tc>
                <w:tcPr>
                  <w:tcW w:w="388" w:type="pct"/>
                  <w:tcMar>
                    <w:top w:w="0" w:type="dxa"/>
                    <w:left w:w="0" w:type="dxa"/>
                    <w:bottom w:w="0" w:type="dxa"/>
                    <w:right w:w="0" w:type="dxa"/>
                  </w:tcMar>
                  <w:vAlign w:val="center"/>
                </w:tcPr>
                <w:p w14:paraId="5674CA30">
                  <w:pPr>
                    <w:adjustRightInd w:val="0"/>
                    <w:snapToGrid w:val="0"/>
                    <w:jc w:val="center"/>
                    <w:rPr>
                      <w:b/>
                      <w:bCs/>
                      <w:color w:val="auto"/>
                      <w:szCs w:val="21"/>
                      <w:highlight w:val="none"/>
                    </w:rPr>
                  </w:pPr>
                  <w:r>
                    <w:rPr>
                      <w:rFonts w:hAnsi="宋体"/>
                      <w:b/>
                      <w:bCs/>
                      <w:color w:val="auto"/>
                      <w:szCs w:val="21"/>
                      <w:highlight w:val="none"/>
                    </w:rPr>
                    <w:t>是否为可行技术</w:t>
                  </w:r>
                </w:p>
              </w:tc>
              <w:tc>
                <w:tcPr>
                  <w:tcW w:w="312" w:type="pct"/>
                  <w:vMerge w:val="continue"/>
                  <w:vAlign w:val="center"/>
                </w:tcPr>
                <w:p w14:paraId="6191FE3A">
                  <w:pPr>
                    <w:adjustRightInd w:val="0"/>
                    <w:snapToGrid w:val="0"/>
                    <w:jc w:val="center"/>
                    <w:rPr>
                      <w:b/>
                      <w:bCs/>
                      <w:color w:val="auto"/>
                      <w:szCs w:val="21"/>
                      <w:highlight w:val="none"/>
                    </w:rPr>
                  </w:pPr>
                </w:p>
              </w:tc>
              <w:tc>
                <w:tcPr>
                  <w:tcW w:w="271" w:type="pct"/>
                  <w:vAlign w:val="center"/>
                </w:tcPr>
                <w:p w14:paraId="4D1C4D0A">
                  <w:pPr>
                    <w:adjustRightInd w:val="0"/>
                    <w:snapToGrid w:val="0"/>
                    <w:jc w:val="center"/>
                    <w:rPr>
                      <w:b/>
                      <w:bCs/>
                      <w:color w:val="auto"/>
                      <w:szCs w:val="21"/>
                      <w:highlight w:val="none"/>
                    </w:rPr>
                  </w:pPr>
                  <w:r>
                    <w:rPr>
                      <w:rFonts w:hAnsi="宋体"/>
                      <w:b/>
                      <w:bCs/>
                      <w:color w:val="auto"/>
                      <w:szCs w:val="21"/>
                      <w:highlight w:val="none"/>
                    </w:rPr>
                    <w:t>有组织</w:t>
                  </w:r>
                </w:p>
              </w:tc>
              <w:tc>
                <w:tcPr>
                  <w:tcW w:w="255" w:type="pct"/>
                  <w:vAlign w:val="center"/>
                </w:tcPr>
                <w:p w14:paraId="0A01FA6D">
                  <w:pPr>
                    <w:adjustRightInd w:val="0"/>
                    <w:snapToGrid w:val="0"/>
                    <w:jc w:val="center"/>
                    <w:rPr>
                      <w:b/>
                      <w:bCs/>
                      <w:color w:val="auto"/>
                      <w:szCs w:val="21"/>
                      <w:highlight w:val="none"/>
                    </w:rPr>
                  </w:pPr>
                  <w:r>
                    <w:rPr>
                      <w:rFonts w:hAnsi="宋体"/>
                      <w:b/>
                      <w:bCs/>
                      <w:color w:val="auto"/>
                      <w:szCs w:val="21"/>
                      <w:highlight w:val="none"/>
                    </w:rPr>
                    <w:t>无组织</w:t>
                  </w:r>
                </w:p>
              </w:tc>
            </w:tr>
            <w:tr w14:paraId="4C7C5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331" w:type="pct"/>
                  <w:vMerge w:val="restart"/>
                  <w:vAlign w:val="center"/>
                </w:tcPr>
                <w:p w14:paraId="7CA6C834">
                  <w:pPr>
                    <w:adjustRightInd w:val="0"/>
                    <w:snapToGrid w:val="0"/>
                    <w:jc w:val="center"/>
                    <w:rPr>
                      <w:color w:val="auto"/>
                      <w:szCs w:val="21"/>
                      <w:highlight w:val="none"/>
                    </w:rPr>
                  </w:pPr>
                  <w:r>
                    <w:rPr>
                      <w:rFonts w:hint="eastAsia" w:hAnsi="宋体"/>
                      <w:color w:val="auto"/>
                      <w:szCs w:val="21"/>
                      <w:highlight w:val="none"/>
                    </w:rPr>
                    <w:t>涂聚酯树脂胶、固化</w:t>
                  </w:r>
                </w:p>
              </w:tc>
              <w:tc>
                <w:tcPr>
                  <w:tcW w:w="262" w:type="pct"/>
                  <w:vMerge w:val="restart"/>
                  <w:vAlign w:val="center"/>
                </w:tcPr>
                <w:p w14:paraId="00D33C69">
                  <w:pPr>
                    <w:adjustRightInd w:val="0"/>
                    <w:snapToGrid w:val="0"/>
                    <w:jc w:val="center"/>
                    <w:rPr>
                      <w:color w:val="auto"/>
                      <w:szCs w:val="21"/>
                      <w:highlight w:val="none"/>
                    </w:rPr>
                  </w:pPr>
                  <w:r>
                    <w:rPr>
                      <w:color w:val="auto"/>
                      <w:szCs w:val="21"/>
                      <w:highlight w:val="none"/>
                    </w:rPr>
                    <w:t>G1</w:t>
                  </w:r>
                  <w:r>
                    <w:rPr>
                      <w:rFonts w:hint="eastAsia"/>
                      <w:color w:val="auto"/>
                      <w:szCs w:val="21"/>
                      <w:highlight w:val="none"/>
                    </w:rPr>
                    <w:t>、G2</w:t>
                  </w:r>
                </w:p>
              </w:tc>
              <w:tc>
                <w:tcPr>
                  <w:tcW w:w="416" w:type="pct"/>
                  <w:vAlign w:val="center"/>
                </w:tcPr>
                <w:p w14:paraId="5E212F45">
                  <w:pPr>
                    <w:widowControl/>
                    <w:adjustRightInd w:val="0"/>
                    <w:snapToGrid w:val="0"/>
                    <w:jc w:val="center"/>
                    <w:rPr>
                      <w:color w:val="auto"/>
                      <w:szCs w:val="21"/>
                      <w:highlight w:val="none"/>
                      <w:lang w:eastAsia="zh-Hans"/>
                    </w:rPr>
                  </w:pPr>
                  <w:r>
                    <w:rPr>
                      <w:rFonts w:hint="eastAsia"/>
                      <w:color w:val="auto"/>
                      <w:szCs w:val="21"/>
                      <w:highlight w:val="none"/>
                      <w:lang w:eastAsia="zh-Hans"/>
                    </w:rPr>
                    <w:t>二甲苯</w:t>
                  </w:r>
                </w:p>
              </w:tc>
              <w:tc>
                <w:tcPr>
                  <w:tcW w:w="344" w:type="pct"/>
                  <w:vAlign w:val="center"/>
                </w:tcPr>
                <w:p w14:paraId="24BED708">
                  <w:pPr>
                    <w:widowControl/>
                    <w:adjustRightInd w:val="0"/>
                    <w:snapToGrid w:val="0"/>
                    <w:jc w:val="center"/>
                    <w:rPr>
                      <w:color w:val="auto"/>
                      <w:szCs w:val="21"/>
                      <w:highlight w:val="none"/>
                    </w:rPr>
                  </w:pPr>
                  <w:r>
                    <w:rPr>
                      <w:rFonts w:hint="eastAsia"/>
                      <w:color w:val="auto"/>
                      <w:szCs w:val="21"/>
                      <w:highlight w:val="none"/>
                    </w:rPr>
                    <w:t>0.0039</w:t>
                  </w:r>
                </w:p>
              </w:tc>
              <w:tc>
                <w:tcPr>
                  <w:tcW w:w="1226" w:type="pct"/>
                  <w:vMerge w:val="restart"/>
                  <w:vAlign w:val="center"/>
                </w:tcPr>
                <w:p w14:paraId="4A2651BE">
                  <w:pPr>
                    <w:widowControl/>
                    <w:adjustRightInd w:val="0"/>
                    <w:snapToGrid w:val="0"/>
                    <w:jc w:val="center"/>
                    <w:rPr>
                      <w:color w:val="auto"/>
                      <w:szCs w:val="21"/>
                      <w:highlight w:val="none"/>
                    </w:rPr>
                  </w:pPr>
                  <w:r>
                    <w:rPr>
                      <w:rFonts w:hint="eastAsia" w:hAnsi="宋体"/>
                      <w:color w:val="auto"/>
                      <w:kern w:val="0"/>
                      <w:szCs w:val="21"/>
                      <w:highlight w:val="none"/>
                    </w:rPr>
                    <w:t>根据聚酯树脂胶MSDS，聚酯树脂胶</w:t>
                  </w:r>
                  <w:r>
                    <w:rPr>
                      <w:rFonts w:hAnsi="宋体"/>
                      <w:color w:val="auto"/>
                      <w:kern w:val="0"/>
                      <w:szCs w:val="21"/>
                      <w:highlight w:val="none"/>
                    </w:rPr>
                    <w:t>中挥发性物质（二甲苯）比例0.3%</w:t>
                  </w:r>
                </w:p>
              </w:tc>
              <w:tc>
                <w:tcPr>
                  <w:tcW w:w="319" w:type="pct"/>
                  <w:vMerge w:val="restart"/>
                  <w:vAlign w:val="center"/>
                </w:tcPr>
                <w:p w14:paraId="47DCB232">
                  <w:pPr>
                    <w:widowControl/>
                    <w:adjustRightInd w:val="0"/>
                    <w:snapToGrid w:val="0"/>
                    <w:jc w:val="center"/>
                    <w:rPr>
                      <w:color w:val="auto"/>
                      <w:szCs w:val="21"/>
                      <w:highlight w:val="none"/>
                    </w:rPr>
                  </w:pPr>
                  <w:r>
                    <w:rPr>
                      <w:rFonts w:hAnsi="宋体"/>
                      <w:color w:val="auto"/>
                      <w:szCs w:val="21"/>
                      <w:highlight w:val="none"/>
                    </w:rPr>
                    <w:t>集气罩</w:t>
                  </w:r>
                </w:p>
              </w:tc>
              <w:tc>
                <w:tcPr>
                  <w:tcW w:w="272" w:type="pct"/>
                  <w:vMerge w:val="restart"/>
                  <w:vAlign w:val="center"/>
                </w:tcPr>
                <w:p w14:paraId="330F5534">
                  <w:pPr>
                    <w:adjustRightInd w:val="0"/>
                    <w:snapToGrid w:val="0"/>
                    <w:jc w:val="center"/>
                    <w:rPr>
                      <w:color w:val="auto"/>
                      <w:szCs w:val="21"/>
                      <w:highlight w:val="none"/>
                    </w:rPr>
                  </w:pPr>
                  <w:r>
                    <w:rPr>
                      <w:rFonts w:hint="eastAsia"/>
                      <w:color w:val="auto"/>
                      <w:szCs w:val="21"/>
                      <w:highlight w:val="none"/>
                    </w:rPr>
                    <w:t>9</w:t>
                  </w:r>
                  <w:r>
                    <w:rPr>
                      <w:color w:val="auto"/>
                      <w:szCs w:val="21"/>
                      <w:highlight w:val="none"/>
                    </w:rPr>
                    <w:t>0%</w:t>
                  </w:r>
                </w:p>
              </w:tc>
              <w:tc>
                <w:tcPr>
                  <w:tcW w:w="324" w:type="pct"/>
                  <w:vMerge w:val="restart"/>
                  <w:vAlign w:val="center"/>
                </w:tcPr>
                <w:p w14:paraId="527BDF1B">
                  <w:pPr>
                    <w:adjustRightInd w:val="0"/>
                    <w:snapToGrid w:val="0"/>
                    <w:jc w:val="center"/>
                    <w:rPr>
                      <w:color w:val="auto"/>
                      <w:szCs w:val="21"/>
                      <w:highlight w:val="none"/>
                    </w:rPr>
                  </w:pPr>
                  <w:r>
                    <w:rPr>
                      <w:rFonts w:hAnsi="宋体"/>
                      <w:color w:val="auto"/>
                      <w:szCs w:val="21"/>
                      <w:highlight w:val="none"/>
                    </w:rPr>
                    <w:t>三级活性炭吸附</w:t>
                  </w:r>
                </w:p>
              </w:tc>
              <w:tc>
                <w:tcPr>
                  <w:tcW w:w="275" w:type="pct"/>
                  <w:vMerge w:val="restart"/>
                  <w:vAlign w:val="center"/>
                </w:tcPr>
                <w:p w14:paraId="2C7E0233">
                  <w:pPr>
                    <w:adjustRightInd w:val="0"/>
                    <w:snapToGrid w:val="0"/>
                    <w:jc w:val="center"/>
                    <w:rPr>
                      <w:color w:val="auto"/>
                      <w:szCs w:val="21"/>
                      <w:highlight w:val="none"/>
                    </w:rPr>
                  </w:pPr>
                  <w:r>
                    <w:rPr>
                      <w:color w:val="auto"/>
                      <w:szCs w:val="21"/>
                      <w:highlight w:val="none"/>
                    </w:rPr>
                    <w:t>93%</w:t>
                  </w:r>
                </w:p>
              </w:tc>
              <w:tc>
                <w:tcPr>
                  <w:tcW w:w="388" w:type="pct"/>
                  <w:vMerge w:val="restart"/>
                  <w:vAlign w:val="center"/>
                </w:tcPr>
                <w:p w14:paraId="40A4F509">
                  <w:pPr>
                    <w:adjustRightInd w:val="0"/>
                    <w:snapToGrid w:val="0"/>
                    <w:jc w:val="center"/>
                    <w:rPr>
                      <w:color w:val="auto"/>
                      <w:szCs w:val="21"/>
                      <w:highlight w:val="none"/>
                    </w:rPr>
                  </w:pPr>
                  <w:r>
                    <w:rPr>
                      <w:rFonts w:hAnsi="宋体"/>
                      <w:color w:val="auto"/>
                      <w:szCs w:val="21"/>
                      <w:highlight w:val="none"/>
                    </w:rPr>
                    <w:t>是</w:t>
                  </w:r>
                </w:p>
              </w:tc>
              <w:tc>
                <w:tcPr>
                  <w:tcW w:w="312" w:type="pct"/>
                  <w:vMerge w:val="restart"/>
                  <w:vAlign w:val="center"/>
                </w:tcPr>
                <w:p w14:paraId="08B82C22">
                  <w:pPr>
                    <w:adjustRightInd w:val="0"/>
                    <w:snapToGrid w:val="0"/>
                    <w:jc w:val="center"/>
                    <w:rPr>
                      <w:color w:val="auto"/>
                      <w:szCs w:val="21"/>
                      <w:highlight w:val="none"/>
                    </w:rPr>
                  </w:pPr>
                  <w:r>
                    <w:rPr>
                      <w:rFonts w:hint="eastAsia"/>
                      <w:color w:val="auto"/>
                      <w:szCs w:val="21"/>
                      <w:highlight w:val="none"/>
                    </w:rPr>
                    <w:t>10</w:t>
                  </w:r>
                  <w:r>
                    <w:rPr>
                      <w:color w:val="auto"/>
                      <w:szCs w:val="21"/>
                      <w:highlight w:val="none"/>
                    </w:rPr>
                    <w:t>000</w:t>
                  </w:r>
                </w:p>
              </w:tc>
              <w:tc>
                <w:tcPr>
                  <w:tcW w:w="271" w:type="pct"/>
                  <w:vMerge w:val="restart"/>
                  <w:vAlign w:val="center"/>
                </w:tcPr>
                <w:p w14:paraId="5178405D">
                  <w:pPr>
                    <w:adjustRightInd w:val="0"/>
                    <w:snapToGrid w:val="0"/>
                    <w:jc w:val="center"/>
                    <w:rPr>
                      <w:color w:val="auto"/>
                      <w:szCs w:val="21"/>
                      <w:highlight w:val="none"/>
                    </w:rPr>
                  </w:pPr>
                  <w:r>
                    <w:rPr>
                      <w:rFonts w:hint="eastAsia"/>
                      <w:color w:val="auto"/>
                      <w:szCs w:val="21"/>
                      <w:highlight w:val="none"/>
                    </w:rPr>
                    <w:t>√</w:t>
                  </w:r>
                </w:p>
              </w:tc>
              <w:tc>
                <w:tcPr>
                  <w:tcW w:w="255" w:type="pct"/>
                  <w:vMerge w:val="restart"/>
                  <w:vAlign w:val="center"/>
                </w:tcPr>
                <w:p w14:paraId="08CA7FB5">
                  <w:pPr>
                    <w:adjustRightInd w:val="0"/>
                    <w:snapToGrid w:val="0"/>
                    <w:jc w:val="center"/>
                    <w:rPr>
                      <w:color w:val="auto"/>
                      <w:szCs w:val="21"/>
                      <w:highlight w:val="none"/>
                    </w:rPr>
                  </w:pPr>
                  <w:r>
                    <w:rPr>
                      <w:rFonts w:hint="eastAsia"/>
                      <w:color w:val="auto"/>
                      <w:szCs w:val="21"/>
                      <w:highlight w:val="none"/>
                    </w:rPr>
                    <w:t>√</w:t>
                  </w:r>
                </w:p>
              </w:tc>
            </w:tr>
            <w:tr w14:paraId="62750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331" w:type="pct"/>
                  <w:vMerge w:val="continue"/>
                  <w:vAlign w:val="center"/>
                </w:tcPr>
                <w:p w14:paraId="3E5DE1CE">
                  <w:pPr>
                    <w:adjustRightInd w:val="0"/>
                    <w:snapToGrid w:val="0"/>
                    <w:jc w:val="center"/>
                    <w:rPr>
                      <w:rFonts w:hAnsi="宋体"/>
                      <w:color w:val="auto"/>
                      <w:szCs w:val="21"/>
                      <w:highlight w:val="none"/>
                    </w:rPr>
                  </w:pPr>
                </w:p>
              </w:tc>
              <w:tc>
                <w:tcPr>
                  <w:tcW w:w="262" w:type="pct"/>
                  <w:vMerge w:val="continue"/>
                  <w:vAlign w:val="center"/>
                </w:tcPr>
                <w:p w14:paraId="2F7F40EA">
                  <w:pPr>
                    <w:adjustRightInd w:val="0"/>
                    <w:snapToGrid w:val="0"/>
                    <w:jc w:val="center"/>
                    <w:rPr>
                      <w:color w:val="auto"/>
                      <w:szCs w:val="21"/>
                      <w:highlight w:val="none"/>
                    </w:rPr>
                  </w:pPr>
                </w:p>
              </w:tc>
              <w:tc>
                <w:tcPr>
                  <w:tcW w:w="416" w:type="pct"/>
                  <w:vAlign w:val="center"/>
                </w:tcPr>
                <w:p w14:paraId="00587D24">
                  <w:pPr>
                    <w:widowControl/>
                    <w:adjustRightInd w:val="0"/>
                    <w:snapToGrid w:val="0"/>
                    <w:jc w:val="center"/>
                    <w:rPr>
                      <w:rFonts w:hAnsi="宋体"/>
                      <w:color w:val="auto"/>
                      <w:kern w:val="0"/>
                      <w:sz w:val="24"/>
                      <w:highlight w:val="none"/>
                    </w:rPr>
                  </w:pPr>
                  <w:r>
                    <w:rPr>
                      <w:rFonts w:hint="eastAsia" w:hAnsi="宋体"/>
                      <w:color w:val="auto"/>
                      <w:kern w:val="0"/>
                      <w:sz w:val="24"/>
                      <w:highlight w:val="none"/>
                    </w:rPr>
                    <w:t>VOCs</w:t>
                  </w:r>
                  <w:r>
                    <w:rPr>
                      <w:rFonts w:hint="eastAsia" w:hAnsi="宋体"/>
                      <w:color w:val="auto"/>
                      <w:kern w:val="0"/>
                      <w:sz w:val="24"/>
                      <w:highlight w:val="none"/>
                      <w:lang w:eastAsia="zh-Hans"/>
                    </w:rPr>
                    <w:t>（含二甲苯）</w:t>
                  </w:r>
                </w:p>
              </w:tc>
              <w:tc>
                <w:tcPr>
                  <w:tcW w:w="344" w:type="pct"/>
                  <w:vAlign w:val="center"/>
                </w:tcPr>
                <w:p w14:paraId="7104C7C0">
                  <w:pPr>
                    <w:widowControl/>
                    <w:adjustRightInd w:val="0"/>
                    <w:snapToGrid w:val="0"/>
                    <w:jc w:val="center"/>
                    <w:rPr>
                      <w:color w:val="auto"/>
                      <w:szCs w:val="21"/>
                      <w:highlight w:val="none"/>
                    </w:rPr>
                  </w:pPr>
                  <w:r>
                    <w:rPr>
                      <w:rFonts w:hint="eastAsia"/>
                      <w:color w:val="auto"/>
                      <w:szCs w:val="21"/>
                      <w:highlight w:val="none"/>
                    </w:rPr>
                    <w:t>0.0039</w:t>
                  </w:r>
                </w:p>
              </w:tc>
              <w:tc>
                <w:tcPr>
                  <w:tcW w:w="1226" w:type="pct"/>
                  <w:vMerge w:val="continue"/>
                  <w:vAlign w:val="center"/>
                </w:tcPr>
                <w:p w14:paraId="7DC6C4E4">
                  <w:pPr>
                    <w:widowControl/>
                    <w:adjustRightInd w:val="0"/>
                    <w:snapToGrid w:val="0"/>
                    <w:jc w:val="center"/>
                    <w:rPr>
                      <w:rFonts w:hAnsi="宋体"/>
                      <w:color w:val="auto"/>
                      <w:kern w:val="0"/>
                      <w:szCs w:val="21"/>
                      <w:highlight w:val="none"/>
                    </w:rPr>
                  </w:pPr>
                </w:p>
              </w:tc>
              <w:tc>
                <w:tcPr>
                  <w:tcW w:w="319" w:type="pct"/>
                  <w:vMerge w:val="continue"/>
                  <w:vAlign w:val="center"/>
                </w:tcPr>
                <w:p w14:paraId="159433A1">
                  <w:pPr>
                    <w:widowControl/>
                    <w:adjustRightInd w:val="0"/>
                    <w:snapToGrid w:val="0"/>
                    <w:jc w:val="center"/>
                    <w:rPr>
                      <w:rFonts w:hAnsi="宋体"/>
                      <w:color w:val="auto"/>
                      <w:szCs w:val="21"/>
                      <w:highlight w:val="none"/>
                    </w:rPr>
                  </w:pPr>
                </w:p>
              </w:tc>
              <w:tc>
                <w:tcPr>
                  <w:tcW w:w="272" w:type="pct"/>
                  <w:vMerge w:val="continue"/>
                  <w:vAlign w:val="center"/>
                </w:tcPr>
                <w:p w14:paraId="1EAE2480">
                  <w:pPr>
                    <w:adjustRightInd w:val="0"/>
                    <w:snapToGrid w:val="0"/>
                    <w:jc w:val="center"/>
                    <w:rPr>
                      <w:color w:val="auto"/>
                      <w:szCs w:val="21"/>
                      <w:highlight w:val="none"/>
                    </w:rPr>
                  </w:pPr>
                </w:p>
              </w:tc>
              <w:tc>
                <w:tcPr>
                  <w:tcW w:w="324" w:type="pct"/>
                  <w:vMerge w:val="continue"/>
                  <w:vAlign w:val="center"/>
                </w:tcPr>
                <w:p w14:paraId="20A5573C">
                  <w:pPr>
                    <w:adjustRightInd w:val="0"/>
                    <w:snapToGrid w:val="0"/>
                    <w:jc w:val="center"/>
                    <w:rPr>
                      <w:rFonts w:hAnsi="宋体"/>
                      <w:color w:val="auto"/>
                      <w:szCs w:val="21"/>
                      <w:highlight w:val="none"/>
                    </w:rPr>
                  </w:pPr>
                </w:p>
              </w:tc>
              <w:tc>
                <w:tcPr>
                  <w:tcW w:w="275" w:type="pct"/>
                  <w:vMerge w:val="continue"/>
                  <w:vAlign w:val="center"/>
                </w:tcPr>
                <w:p w14:paraId="0CCBEE32">
                  <w:pPr>
                    <w:adjustRightInd w:val="0"/>
                    <w:snapToGrid w:val="0"/>
                    <w:jc w:val="center"/>
                    <w:rPr>
                      <w:color w:val="auto"/>
                      <w:szCs w:val="21"/>
                      <w:highlight w:val="none"/>
                    </w:rPr>
                  </w:pPr>
                </w:p>
              </w:tc>
              <w:tc>
                <w:tcPr>
                  <w:tcW w:w="388" w:type="pct"/>
                  <w:vMerge w:val="continue"/>
                  <w:vAlign w:val="center"/>
                </w:tcPr>
                <w:p w14:paraId="5ADAF20D">
                  <w:pPr>
                    <w:adjustRightInd w:val="0"/>
                    <w:snapToGrid w:val="0"/>
                    <w:jc w:val="center"/>
                    <w:rPr>
                      <w:rFonts w:hAnsi="宋体"/>
                      <w:color w:val="auto"/>
                      <w:szCs w:val="21"/>
                      <w:highlight w:val="none"/>
                    </w:rPr>
                  </w:pPr>
                </w:p>
              </w:tc>
              <w:tc>
                <w:tcPr>
                  <w:tcW w:w="312" w:type="pct"/>
                  <w:vMerge w:val="continue"/>
                  <w:vAlign w:val="center"/>
                </w:tcPr>
                <w:p w14:paraId="5EAC5677">
                  <w:pPr>
                    <w:adjustRightInd w:val="0"/>
                    <w:snapToGrid w:val="0"/>
                    <w:jc w:val="center"/>
                    <w:rPr>
                      <w:color w:val="auto"/>
                      <w:szCs w:val="21"/>
                      <w:highlight w:val="none"/>
                    </w:rPr>
                  </w:pPr>
                </w:p>
              </w:tc>
              <w:tc>
                <w:tcPr>
                  <w:tcW w:w="271" w:type="pct"/>
                  <w:vMerge w:val="continue"/>
                  <w:vAlign w:val="center"/>
                </w:tcPr>
                <w:p w14:paraId="022AC610">
                  <w:pPr>
                    <w:adjustRightInd w:val="0"/>
                    <w:snapToGrid w:val="0"/>
                    <w:jc w:val="center"/>
                    <w:rPr>
                      <w:color w:val="auto"/>
                      <w:szCs w:val="21"/>
                      <w:highlight w:val="none"/>
                    </w:rPr>
                  </w:pPr>
                </w:p>
              </w:tc>
              <w:tc>
                <w:tcPr>
                  <w:tcW w:w="255" w:type="pct"/>
                  <w:vMerge w:val="continue"/>
                  <w:vAlign w:val="center"/>
                </w:tcPr>
                <w:p w14:paraId="7D88B930">
                  <w:pPr>
                    <w:adjustRightInd w:val="0"/>
                    <w:snapToGrid w:val="0"/>
                    <w:jc w:val="center"/>
                    <w:rPr>
                      <w:color w:val="auto"/>
                      <w:szCs w:val="21"/>
                      <w:highlight w:val="none"/>
                    </w:rPr>
                  </w:pPr>
                </w:p>
              </w:tc>
            </w:tr>
            <w:tr w14:paraId="33DAC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331" w:type="pct"/>
                  <w:vAlign w:val="center"/>
                </w:tcPr>
                <w:p w14:paraId="18F97D53">
                  <w:pPr>
                    <w:adjustRightInd w:val="0"/>
                    <w:snapToGrid w:val="0"/>
                    <w:jc w:val="center"/>
                    <w:rPr>
                      <w:rFonts w:hAnsi="宋体"/>
                      <w:color w:val="auto"/>
                      <w:szCs w:val="21"/>
                      <w:highlight w:val="none"/>
                    </w:rPr>
                  </w:pPr>
                  <w:r>
                    <w:rPr>
                      <w:rFonts w:hint="eastAsia" w:hAnsi="宋体"/>
                      <w:color w:val="auto"/>
                      <w:szCs w:val="21"/>
                      <w:highlight w:val="none"/>
                    </w:rPr>
                    <w:t>滴浸渍树脂胶</w:t>
                  </w:r>
                </w:p>
              </w:tc>
              <w:tc>
                <w:tcPr>
                  <w:tcW w:w="262" w:type="pct"/>
                  <w:vAlign w:val="center"/>
                </w:tcPr>
                <w:p w14:paraId="1C5C1B19">
                  <w:pPr>
                    <w:adjustRightInd w:val="0"/>
                    <w:snapToGrid w:val="0"/>
                    <w:jc w:val="center"/>
                    <w:rPr>
                      <w:color w:val="auto"/>
                      <w:szCs w:val="21"/>
                      <w:highlight w:val="none"/>
                    </w:rPr>
                  </w:pPr>
                  <w:r>
                    <w:rPr>
                      <w:rFonts w:hint="eastAsia"/>
                      <w:color w:val="auto"/>
                      <w:szCs w:val="21"/>
                      <w:highlight w:val="none"/>
                    </w:rPr>
                    <w:t>G5</w:t>
                  </w:r>
                </w:p>
              </w:tc>
              <w:tc>
                <w:tcPr>
                  <w:tcW w:w="416" w:type="pct"/>
                  <w:vAlign w:val="center"/>
                </w:tcPr>
                <w:p w14:paraId="11498455">
                  <w:pPr>
                    <w:widowControl/>
                    <w:adjustRightInd w:val="0"/>
                    <w:snapToGrid w:val="0"/>
                    <w:jc w:val="center"/>
                    <w:rPr>
                      <w:rFonts w:hAnsi="宋体"/>
                      <w:color w:val="auto"/>
                      <w:szCs w:val="21"/>
                      <w:highlight w:val="none"/>
                    </w:rPr>
                  </w:pPr>
                  <w:r>
                    <w:rPr>
                      <w:rFonts w:hint="eastAsia" w:hAnsi="宋体"/>
                      <w:color w:val="auto"/>
                      <w:kern w:val="0"/>
                      <w:sz w:val="24"/>
                      <w:highlight w:val="none"/>
                    </w:rPr>
                    <w:t>VOCs</w:t>
                  </w:r>
                </w:p>
              </w:tc>
              <w:tc>
                <w:tcPr>
                  <w:tcW w:w="344" w:type="pct"/>
                  <w:vAlign w:val="center"/>
                </w:tcPr>
                <w:p w14:paraId="23851620">
                  <w:pPr>
                    <w:widowControl/>
                    <w:adjustRightInd w:val="0"/>
                    <w:snapToGrid w:val="0"/>
                    <w:jc w:val="center"/>
                    <w:rPr>
                      <w:color w:val="auto"/>
                      <w:szCs w:val="21"/>
                      <w:highlight w:val="none"/>
                    </w:rPr>
                  </w:pPr>
                  <w:r>
                    <w:rPr>
                      <w:rFonts w:hint="eastAsia"/>
                      <w:color w:val="auto"/>
                      <w:szCs w:val="21"/>
                      <w:highlight w:val="none"/>
                    </w:rPr>
                    <w:t>0.</w:t>
                  </w:r>
                  <w:r>
                    <w:rPr>
                      <w:rFonts w:hint="default"/>
                      <w:color w:val="auto"/>
                      <w:szCs w:val="21"/>
                      <w:highlight w:val="none"/>
                    </w:rPr>
                    <w:t>4068</w:t>
                  </w:r>
                </w:p>
              </w:tc>
              <w:tc>
                <w:tcPr>
                  <w:tcW w:w="1226" w:type="pct"/>
                  <w:vAlign w:val="center"/>
                </w:tcPr>
                <w:p w14:paraId="2ED48F9F">
                  <w:pPr>
                    <w:widowControl/>
                    <w:adjustRightInd w:val="0"/>
                    <w:snapToGrid w:val="0"/>
                    <w:jc w:val="center"/>
                    <w:rPr>
                      <w:color w:val="auto"/>
                      <w:szCs w:val="21"/>
                      <w:highlight w:val="none"/>
                    </w:rPr>
                  </w:pPr>
                  <w:r>
                    <w:rPr>
                      <w:rFonts w:hint="eastAsia" w:hAnsi="宋体"/>
                      <w:color w:val="auto"/>
                      <w:kern w:val="0"/>
                      <w:szCs w:val="21"/>
                      <w:highlight w:val="none"/>
                    </w:rPr>
                    <w:t>根据浸渍树脂MSDS</w:t>
                  </w:r>
                  <w:r>
                    <w:rPr>
                      <w:rFonts w:hint="eastAsia" w:hAnsi="宋体"/>
                      <w:color w:val="auto"/>
                      <w:kern w:val="0"/>
                      <w:szCs w:val="21"/>
                      <w:highlight w:val="none"/>
                      <w:lang w:val="en-US" w:eastAsia="zh-Hans"/>
                    </w:rPr>
                    <w:t>及挥发性有机成分检测报告</w:t>
                  </w:r>
                  <w:r>
                    <w:rPr>
                      <w:rFonts w:hint="eastAsia" w:hAnsi="宋体"/>
                      <w:color w:val="auto"/>
                      <w:kern w:val="0"/>
                      <w:szCs w:val="21"/>
                      <w:highlight w:val="none"/>
                    </w:rPr>
                    <w:t>，浸渍树脂</w:t>
                  </w:r>
                  <w:r>
                    <w:rPr>
                      <w:rFonts w:hAnsi="宋体"/>
                      <w:color w:val="auto"/>
                      <w:kern w:val="0"/>
                      <w:szCs w:val="21"/>
                      <w:highlight w:val="none"/>
                    </w:rPr>
                    <w:t>中挥发性物质</w:t>
                  </w:r>
                  <w:r>
                    <w:rPr>
                      <w:rFonts w:hint="eastAsia" w:hAnsi="宋体"/>
                      <w:color w:val="auto"/>
                      <w:kern w:val="0"/>
                      <w:szCs w:val="21"/>
                      <w:highlight w:val="none"/>
                      <w:lang w:val="en-US" w:eastAsia="zh-Hans"/>
                    </w:rPr>
                    <w:t>占</w:t>
                  </w:r>
                  <w:r>
                    <w:rPr>
                      <w:rFonts w:hint="default" w:hAnsi="宋体"/>
                      <w:color w:val="auto"/>
                      <w:kern w:val="0"/>
                      <w:szCs w:val="21"/>
                      <w:highlight w:val="none"/>
                      <w:lang w:eastAsia="zh-Hans"/>
                    </w:rPr>
                    <w:t>11.3%</w:t>
                  </w:r>
                </w:p>
              </w:tc>
              <w:tc>
                <w:tcPr>
                  <w:tcW w:w="319" w:type="pct"/>
                  <w:vAlign w:val="center"/>
                </w:tcPr>
                <w:p w14:paraId="0CCCA20F">
                  <w:pPr>
                    <w:widowControl/>
                    <w:adjustRightInd w:val="0"/>
                    <w:snapToGrid w:val="0"/>
                    <w:jc w:val="center"/>
                    <w:rPr>
                      <w:rFonts w:hAnsi="宋体"/>
                      <w:color w:val="auto"/>
                      <w:szCs w:val="21"/>
                      <w:highlight w:val="none"/>
                    </w:rPr>
                  </w:pPr>
                  <w:r>
                    <w:rPr>
                      <w:rFonts w:hint="eastAsia" w:hAnsi="宋体"/>
                      <w:color w:val="auto"/>
                      <w:szCs w:val="21"/>
                      <w:highlight w:val="none"/>
                    </w:rPr>
                    <w:t>设备密闭收集</w:t>
                  </w:r>
                </w:p>
              </w:tc>
              <w:tc>
                <w:tcPr>
                  <w:tcW w:w="272" w:type="pct"/>
                  <w:vAlign w:val="center"/>
                </w:tcPr>
                <w:p w14:paraId="7AD47BDE">
                  <w:pPr>
                    <w:adjustRightInd w:val="0"/>
                    <w:snapToGrid w:val="0"/>
                    <w:jc w:val="center"/>
                    <w:rPr>
                      <w:color w:val="auto"/>
                      <w:szCs w:val="21"/>
                      <w:highlight w:val="none"/>
                    </w:rPr>
                  </w:pPr>
                  <w:r>
                    <w:rPr>
                      <w:rFonts w:hint="eastAsia"/>
                      <w:color w:val="auto"/>
                      <w:szCs w:val="21"/>
                      <w:highlight w:val="none"/>
                    </w:rPr>
                    <w:t>9</w:t>
                  </w:r>
                  <w:r>
                    <w:rPr>
                      <w:color w:val="auto"/>
                      <w:szCs w:val="21"/>
                      <w:highlight w:val="none"/>
                    </w:rPr>
                    <w:t>0%</w:t>
                  </w:r>
                </w:p>
              </w:tc>
              <w:tc>
                <w:tcPr>
                  <w:tcW w:w="324" w:type="pct"/>
                  <w:vMerge w:val="continue"/>
                  <w:vAlign w:val="center"/>
                </w:tcPr>
                <w:p w14:paraId="047572C0">
                  <w:pPr>
                    <w:adjustRightInd w:val="0"/>
                    <w:snapToGrid w:val="0"/>
                    <w:jc w:val="center"/>
                    <w:rPr>
                      <w:rFonts w:hAnsi="宋体"/>
                      <w:color w:val="auto"/>
                      <w:szCs w:val="21"/>
                      <w:highlight w:val="none"/>
                    </w:rPr>
                  </w:pPr>
                </w:p>
              </w:tc>
              <w:tc>
                <w:tcPr>
                  <w:tcW w:w="275" w:type="pct"/>
                  <w:vMerge w:val="continue"/>
                  <w:vAlign w:val="center"/>
                </w:tcPr>
                <w:p w14:paraId="72A18226">
                  <w:pPr>
                    <w:adjustRightInd w:val="0"/>
                    <w:snapToGrid w:val="0"/>
                    <w:jc w:val="center"/>
                    <w:rPr>
                      <w:color w:val="auto"/>
                      <w:szCs w:val="21"/>
                      <w:highlight w:val="none"/>
                    </w:rPr>
                  </w:pPr>
                </w:p>
              </w:tc>
              <w:tc>
                <w:tcPr>
                  <w:tcW w:w="388" w:type="pct"/>
                  <w:vMerge w:val="continue"/>
                  <w:vAlign w:val="center"/>
                </w:tcPr>
                <w:p w14:paraId="5A0A57D4">
                  <w:pPr>
                    <w:adjustRightInd w:val="0"/>
                    <w:snapToGrid w:val="0"/>
                    <w:jc w:val="center"/>
                    <w:rPr>
                      <w:rFonts w:hAnsi="宋体"/>
                      <w:color w:val="auto"/>
                      <w:szCs w:val="21"/>
                      <w:highlight w:val="none"/>
                    </w:rPr>
                  </w:pPr>
                </w:p>
              </w:tc>
              <w:tc>
                <w:tcPr>
                  <w:tcW w:w="312" w:type="pct"/>
                  <w:vMerge w:val="continue"/>
                  <w:vAlign w:val="center"/>
                </w:tcPr>
                <w:p w14:paraId="03C9A5E6">
                  <w:pPr>
                    <w:adjustRightInd w:val="0"/>
                    <w:snapToGrid w:val="0"/>
                    <w:jc w:val="center"/>
                    <w:rPr>
                      <w:color w:val="auto"/>
                      <w:szCs w:val="21"/>
                      <w:highlight w:val="none"/>
                    </w:rPr>
                  </w:pPr>
                </w:p>
              </w:tc>
              <w:tc>
                <w:tcPr>
                  <w:tcW w:w="271" w:type="pct"/>
                  <w:vMerge w:val="continue"/>
                  <w:vAlign w:val="center"/>
                </w:tcPr>
                <w:p w14:paraId="7B02109F">
                  <w:pPr>
                    <w:adjustRightInd w:val="0"/>
                    <w:snapToGrid w:val="0"/>
                    <w:jc w:val="center"/>
                    <w:rPr>
                      <w:color w:val="auto"/>
                      <w:szCs w:val="21"/>
                      <w:highlight w:val="none"/>
                    </w:rPr>
                  </w:pPr>
                </w:p>
              </w:tc>
              <w:tc>
                <w:tcPr>
                  <w:tcW w:w="255" w:type="pct"/>
                  <w:vMerge w:val="continue"/>
                  <w:vAlign w:val="center"/>
                </w:tcPr>
                <w:p w14:paraId="2F1A9C09">
                  <w:pPr>
                    <w:adjustRightInd w:val="0"/>
                    <w:snapToGrid w:val="0"/>
                    <w:jc w:val="center"/>
                    <w:rPr>
                      <w:color w:val="auto"/>
                      <w:szCs w:val="21"/>
                      <w:highlight w:val="none"/>
                    </w:rPr>
                  </w:pPr>
                </w:p>
              </w:tc>
            </w:tr>
            <w:tr w14:paraId="1F668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331" w:type="pct"/>
                  <w:vMerge w:val="restart"/>
                  <w:vAlign w:val="center"/>
                </w:tcPr>
                <w:p w14:paraId="1257DC67">
                  <w:pPr>
                    <w:adjustRightInd w:val="0"/>
                    <w:snapToGrid w:val="0"/>
                    <w:jc w:val="center"/>
                    <w:rPr>
                      <w:rFonts w:hAnsi="宋体"/>
                      <w:color w:val="auto"/>
                      <w:szCs w:val="21"/>
                      <w:highlight w:val="none"/>
                    </w:rPr>
                  </w:pPr>
                  <w:r>
                    <w:rPr>
                      <w:rFonts w:hint="eastAsia" w:hAnsi="宋体"/>
                      <w:color w:val="auto"/>
                      <w:szCs w:val="21"/>
                      <w:highlight w:val="none"/>
                    </w:rPr>
                    <w:t>浸涂树脂粉、固化</w:t>
                  </w:r>
                </w:p>
              </w:tc>
              <w:tc>
                <w:tcPr>
                  <w:tcW w:w="262" w:type="pct"/>
                  <w:vAlign w:val="center"/>
                </w:tcPr>
                <w:p w14:paraId="191EA7A0">
                  <w:pPr>
                    <w:adjustRightInd w:val="0"/>
                    <w:snapToGrid w:val="0"/>
                    <w:jc w:val="center"/>
                    <w:rPr>
                      <w:color w:val="auto"/>
                      <w:szCs w:val="21"/>
                      <w:highlight w:val="none"/>
                    </w:rPr>
                  </w:pPr>
                  <w:r>
                    <w:rPr>
                      <w:rFonts w:hint="eastAsia"/>
                      <w:color w:val="auto"/>
                      <w:szCs w:val="21"/>
                      <w:highlight w:val="none"/>
                    </w:rPr>
                    <w:t>G6</w:t>
                  </w:r>
                </w:p>
              </w:tc>
              <w:tc>
                <w:tcPr>
                  <w:tcW w:w="416" w:type="pct"/>
                  <w:vAlign w:val="center"/>
                </w:tcPr>
                <w:p w14:paraId="28A23501">
                  <w:pPr>
                    <w:widowControl/>
                    <w:adjustRightInd w:val="0"/>
                    <w:snapToGrid w:val="0"/>
                    <w:jc w:val="center"/>
                    <w:rPr>
                      <w:rFonts w:hAnsi="宋体"/>
                      <w:color w:val="auto"/>
                      <w:szCs w:val="21"/>
                      <w:highlight w:val="none"/>
                    </w:rPr>
                  </w:pPr>
                  <w:r>
                    <w:rPr>
                      <w:rFonts w:hint="eastAsia" w:hAnsi="宋体"/>
                      <w:color w:val="auto"/>
                      <w:kern w:val="0"/>
                      <w:sz w:val="24"/>
                      <w:highlight w:val="none"/>
                    </w:rPr>
                    <w:t>VOCs</w:t>
                  </w:r>
                </w:p>
              </w:tc>
              <w:tc>
                <w:tcPr>
                  <w:tcW w:w="344" w:type="pct"/>
                  <w:vAlign w:val="center"/>
                </w:tcPr>
                <w:p w14:paraId="5481E04D">
                  <w:pPr>
                    <w:widowControl/>
                    <w:adjustRightInd w:val="0"/>
                    <w:snapToGrid w:val="0"/>
                    <w:jc w:val="center"/>
                    <w:rPr>
                      <w:color w:val="auto"/>
                      <w:szCs w:val="21"/>
                      <w:highlight w:val="none"/>
                    </w:rPr>
                  </w:pPr>
                  <w:r>
                    <w:rPr>
                      <w:rFonts w:hint="eastAsia"/>
                      <w:color w:val="auto"/>
                      <w:szCs w:val="21"/>
                      <w:highlight w:val="none"/>
                    </w:rPr>
                    <w:t>0.0072</w:t>
                  </w:r>
                </w:p>
              </w:tc>
              <w:tc>
                <w:tcPr>
                  <w:tcW w:w="1226" w:type="pct"/>
                  <w:vAlign w:val="center"/>
                </w:tcPr>
                <w:p w14:paraId="50D2CF6E">
                  <w:pPr>
                    <w:widowControl/>
                    <w:adjustRightInd w:val="0"/>
                    <w:snapToGrid w:val="0"/>
                    <w:jc w:val="center"/>
                    <w:rPr>
                      <w:color w:val="auto"/>
                      <w:szCs w:val="21"/>
                      <w:highlight w:val="none"/>
                    </w:rPr>
                  </w:pPr>
                  <w:r>
                    <w:rPr>
                      <w:rFonts w:hint="eastAsia" w:hAnsi="宋体"/>
                      <w:color w:val="auto"/>
                      <w:kern w:val="0"/>
                      <w:szCs w:val="21"/>
                      <w:highlight w:val="none"/>
                    </w:rPr>
                    <w:t>参考《第二次全国污染源普查产排污核算系数手册（试用版）工业源》机械行业系数手册中喷塑后烘干产物系数为1.2kg/t原料</w:t>
                  </w:r>
                </w:p>
              </w:tc>
              <w:tc>
                <w:tcPr>
                  <w:tcW w:w="319" w:type="pct"/>
                  <w:vAlign w:val="center"/>
                </w:tcPr>
                <w:p w14:paraId="15E73F40">
                  <w:pPr>
                    <w:widowControl/>
                    <w:adjustRightInd w:val="0"/>
                    <w:snapToGrid w:val="0"/>
                    <w:jc w:val="center"/>
                    <w:rPr>
                      <w:rFonts w:hAnsi="宋体"/>
                      <w:color w:val="auto"/>
                      <w:szCs w:val="21"/>
                      <w:highlight w:val="none"/>
                    </w:rPr>
                  </w:pPr>
                  <w:r>
                    <w:rPr>
                      <w:rFonts w:hint="eastAsia" w:hAnsi="宋体"/>
                      <w:color w:val="auto"/>
                      <w:szCs w:val="21"/>
                      <w:highlight w:val="none"/>
                    </w:rPr>
                    <w:t>设备密闭收集</w:t>
                  </w:r>
                </w:p>
              </w:tc>
              <w:tc>
                <w:tcPr>
                  <w:tcW w:w="272" w:type="pct"/>
                  <w:vAlign w:val="center"/>
                </w:tcPr>
                <w:p w14:paraId="4DE71C01">
                  <w:pPr>
                    <w:adjustRightInd w:val="0"/>
                    <w:snapToGrid w:val="0"/>
                    <w:jc w:val="center"/>
                    <w:rPr>
                      <w:color w:val="auto"/>
                      <w:szCs w:val="21"/>
                      <w:highlight w:val="none"/>
                    </w:rPr>
                  </w:pPr>
                  <w:r>
                    <w:rPr>
                      <w:rFonts w:hint="eastAsia"/>
                      <w:color w:val="auto"/>
                      <w:szCs w:val="21"/>
                      <w:highlight w:val="none"/>
                    </w:rPr>
                    <w:t>90%</w:t>
                  </w:r>
                </w:p>
              </w:tc>
              <w:tc>
                <w:tcPr>
                  <w:tcW w:w="324" w:type="pct"/>
                  <w:vMerge w:val="continue"/>
                  <w:vAlign w:val="center"/>
                </w:tcPr>
                <w:p w14:paraId="74120A38">
                  <w:pPr>
                    <w:adjustRightInd w:val="0"/>
                    <w:snapToGrid w:val="0"/>
                    <w:jc w:val="center"/>
                    <w:rPr>
                      <w:rFonts w:hAnsi="宋体"/>
                      <w:color w:val="auto"/>
                      <w:szCs w:val="21"/>
                      <w:highlight w:val="none"/>
                    </w:rPr>
                  </w:pPr>
                </w:p>
              </w:tc>
              <w:tc>
                <w:tcPr>
                  <w:tcW w:w="275" w:type="pct"/>
                  <w:vMerge w:val="continue"/>
                  <w:vAlign w:val="center"/>
                </w:tcPr>
                <w:p w14:paraId="3F2291AE">
                  <w:pPr>
                    <w:adjustRightInd w:val="0"/>
                    <w:snapToGrid w:val="0"/>
                    <w:jc w:val="center"/>
                    <w:rPr>
                      <w:color w:val="auto"/>
                      <w:szCs w:val="21"/>
                      <w:highlight w:val="none"/>
                    </w:rPr>
                  </w:pPr>
                </w:p>
              </w:tc>
              <w:tc>
                <w:tcPr>
                  <w:tcW w:w="388" w:type="pct"/>
                  <w:vMerge w:val="continue"/>
                  <w:vAlign w:val="center"/>
                </w:tcPr>
                <w:p w14:paraId="4F57D921">
                  <w:pPr>
                    <w:adjustRightInd w:val="0"/>
                    <w:snapToGrid w:val="0"/>
                    <w:jc w:val="center"/>
                    <w:rPr>
                      <w:rFonts w:hAnsi="宋体"/>
                      <w:color w:val="auto"/>
                      <w:szCs w:val="21"/>
                      <w:highlight w:val="none"/>
                    </w:rPr>
                  </w:pPr>
                </w:p>
              </w:tc>
              <w:tc>
                <w:tcPr>
                  <w:tcW w:w="312" w:type="pct"/>
                  <w:vMerge w:val="continue"/>
                  <w:vAlign w:val="center"/>
                </w:tcPr>
                <w:p w14:paraId="66C4A31B">
                  <w:pPr>
                    <w:adjustRightInd w:val="0"/>
                    <w:snapToGrid w:val="0"/>
                    <w:jc w:val="center"/>
                    <w:rPr>
                      <w:color w:val="auto"/>
                      <w:szCs w:val="21"/>
                      <w:highlight w:val="none"/>
                    </w:rPr>
                  </w:pPr>
                </w:p>
              </w:tc>
              <w:tc>
                <w:tcPr>
                  <w:tcW w:w="271" w:type="pct"/>
                  <w:vMerge w:val="continue"/>
                  <w:vAlign w:val="center"/>
                </w:tcPr>
                <w:p w14:paraId="46E75768">
                  <w:pPr>
                    <w:adjustRightInd w:val="0"/>
                    <w:snapToGrid w:val="0"/>
                    <w:jc w:val="center"/>
                    <w:rPr>
                      <w:color w:val="auto"/>
                      <w:szCs w:val="21"/>
                      <w:highlight w:val="none"/>
                    </w:rPr>
                  </w:pPr>
                </w:p>
              </w:tc>
              <w:tc>
                <w:tcPr>
                  <w:tcW w:w="255" w:type="pct"/>
                  <w:vMerge w:val="continue"/>
                  <w:vAlign w:val="center"/>
                </w:tcPr>
                <w:p w14:paraId="63640C6E">
                  <w:pPr>
                    <w:adjustRightInd w:val="0"/>
                    <w:snapToGrid w:val="0"/>
                    <w:jc w:val="center"/>
                    <w:rPr>
                      <w:color w:val="auto"/>
                      <w:szCs w:val="21"/>
                      <w:highlight w:val="none"/>
                    </w:rPr>
                  </w:pPr>
                </w:p>
              </w:tc>
            </w:tr>
            <w:tr w14:paraId="67251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331" w:type="pct"/>
                  <w:vMerge w:val="continue"/>
                  <w:vAlign w:val="center"/>
                </w:tcPr>
                <w:p w14:paraId="22225E02">
                  <w:pPr>
                    <w:adjustRightInd w:val="0"/>
                    <w:snapToGrid w:val="0"/>
                    <w:jc w:val="center"/>
                    <w:rPr>
                      <w:rFonts w:hAnsi="宋体"/>
                      <w:color w:val="auto"/>
                      <w:szCs w:val="21"/>
                      <w:highlight w:val="none"/>
                    </w:rPr>
                  </w:pPr>
                </w:p>
              </w:tc>
              <w:tc>
                <w:tcPr>
                  <w:tcW w:w="262" w:type="pct"/>
                  <w:vAlign w:val="center"/>
                </w:tcPr>
                <w:p w14:paraId="5BEC7402">
                  <w:pPr>
                    <w:adjustRightInd w:val="0"/>
                    <w:snapToGrid w:val="0"/>
                    <w:jc w:val="center"/>
                    <w:rPr>
                      <w:color w:val="auto"/>
                      <w:szCs w:val="21"/>
                      <w:highlight w:val="none"/>
                    </w:rPr>
                  </w:pPr>
                  <w:r>
                    <w:rPr>
                      <w:rFonts w:hint="eastAsia"/>
                      <w:color w:val="auto"/>
                      <w:szCs w:val="21"/>
                      <w:highlight w:val="none"/>
                    </w:rPr>
                    <w:t>G7</w:t>
                  </w:r>
                </w:p>
              </w:tc>
              <w:tc>
                <w:tcPr>
                  <w:tcW w:w="416" w:type="pct"/>
                  <w:vAlign w:val="center"/>
                </w:tcPr>
                <w:p w14:paraId="7C4F7074">
                  <w:pPr>
                    <w:widowControl/>
                    <w:adjustRightInd w:val="0"/>
                    <w:snapToGrid w:val="0"/>
                    <w:jc w:val="center"/>
                    <w:rPr>
                      <w:rFonts w:hAnsi="宋体"/>
                      <w:color w:val="auto"/>
                      <w:szCs w:val="21"/>
                      <w:highlight w:val="none"/>
                    </w:rPr>
                  </w:pPr>
                  <w:r>
                    <w:rPr>
                      <w:rFonts w:hint="eastAsia" w:hAnsi="宋体"/>
                      <w:color w:val="auto"/>
                      <w:szCs w:val="21"/>
                      <w:highlight w:val="none"/>
                    </w:rPr>
                    <w:t>颗粒物</w:t>
                  </w:r>
                </w:p>
              </w:tc>
              <w:tc>
                <w:tcPr>
                  <w:tcW w:w="344" w:type="pct"/>
                  <w:vAlign w:val="center"/>
                </w:tcPr>
                <w:p w14:paraId="41A4970D">
                  <w:pPr>
                    <w:widowControl/>
                    <w:adjustRightInd w:val="0"/>
                    <w:snapToGrid w:val="0"/>
                    <w:jc w:val="center"/>
                    <w:rPr>
                      <w:color w:val="auto"/>
                      <w:szCs w:val="21"/>
                      <w:highlight w:val="none"/>
                    </w:rPr>
                  </w:pPr>
                  <w:r>
                    <w:rPr>
                      <w:rFonts w:hint="eastAsia"/>
                      <w:color w:val="auto"/>
                      <w:szCs w:val="21"/>
                      <w:highlight w:val="none"/>
                    </w:rPr>
                    <w:t>1.8</w:t>
                  </w:r>
                </w:p>
              </w:tc>
              <w:tc>
                <w:tcPr>
                  <w:tcW w:w="1226" w:type="pct"/>
                  <w:vAlign w:val="center"/>
                </w:tcPr>
                <w:p w14:paraId="5DB91980">
                  <w:pPr>
                    <w:widowControl/>
                    <w:adjustRightInd w:val="0"/>
                    <w:snapToGrid w:val="0"/>
                    <w:jc w:val="center"/>
                    <w:rPr>
                      <w:rFonts w:hAnsi="宋体"/>
                      <w:color w:val="auto"/>
                      <w:kern w:val="0"/>
                      <w:szCs w:val="21"/>
                      <w:highlight w:val="none"/>
                    </w:rPr>
                  </w:pPr>
                  <w:r>
                    <w:rPr>
                      <w:rFonts w:hint="eastAsia" w:hAnsi="宋体"/>
                      <w:color w:val="auto"/>
                      <w:kern w:val="0"/>
                      <w:szCs w:val="21"/>
                      <w:highlight w:val="none"/>
                    </w:rPr>
                    <w:t>参考《第二次全国污染源普查产排污核算系数手册（试用版）工业源》机械行业系数手册中喷塑颗粒物产物系数为300kg/t原料</w:t>
                  </w:r>
                </w:p>
              </w:tc>
              <w:tc>
                <w:tcPr>
                  <w:tcW w:w="319" w:type="pct"/>
                  <w:vAlign w:val="center"/>
                </w:tcPr>
                <w:p w14:paraId="34AB5ACE">
                  <w:pPr>
                    <w:widowControl/>
                    <w:adjustRightInd w:val="0"/>
                    <w:snapToGrid w:val="0"/>
                    <w:jc w:val="center"/>
                    <w:rPr>
                      <w:rFonts w:hAnsi="宋体"/>
                      <w:color w:val="auto"/>
                      <w:szCs w:val="21"/>
                      <w:highlight w:val="none"/>
                    </w:rPr>
                  </w:pPr>
                  <w:r>
                    <w:rPr>
                      <w:rFonts w:hint="eastAsia" w:hAnsi="宋体"/>
                      <w:color w:val="auto"/>
                      <w:szCs w:val="21"/>
                      <w:highlight w:val="none"/>
                    </w:rPr>
                    <w:t>设备密闭收集</w:t>
                  </w:r>
                </w:p>
              </w:tc>
              <w:tc>
                <w:tcPr>
                  <w:tcW w:w="272" w:type="pct"/>
                  <w:vAlign w:val="center"/>
                </w:tcPr>
                <w:p w14:paraId="618A645F">
                  <w:pPr>
                    <w:adjustRightInd w:val="0"/>
                    <w:snapToGrid w:val="0"/>
                    <w:jc w:val="center"/>
                    <w:rPr>
                      <w:color w:val="auto"/>
                      <w:szCs w:val="21"/>
                      <w:highlight w:val="none"/>
                    </w:rPr>
                  </w:pPr>
                  <w:r>
                    <w:rPr>
                      <w:rFonts w:hint="eastAsia"/>
                      <w:color w:val="auto"/>
                      <w:szCs w:val="21"/>
                      <w:highlight w:val="none"/>
                    </w:rPr>
                    <w:t>90%</w:t>
                  </w:r>
                </w:p>
              </w:tc>
              <w:tc>
                <w:tcPr>
                  <w:tcW w:w="324" w:type="pct"/>
                  <w:vAlign w:val="center"/>
                </w:tcPr>
                <w:p w14:paraId="58D290D9">
                  <w:pPr>
                    <w:adjustRightInd w:val="0"/>
                    <w:snapToGrid w:val="0"/>
                    <w:jc w:val="center"/>
                    <w:rPr>
                      <w:rFonts w:hAnsi="宋体"/>
                      <w:color w:val="auto"/>
                      <w:szCs w:val="21"/>
                      <w:highlight w:val="none"/>
                    </w:rPr>
                  </w:pPr>
                  <w:r>
                    <w:rPr>
                      <w:rFonts w:hint="eastAsia" w:hAnsi="宋体"/>
                      <w:color w:val="auto"/>
                      <w:szCs w:val="21"/>
                      <w:highlight w:val="none"/>
                    </w:rPr>
                    <w:t>设备自带过滤装置</w:t>
                  </w:r>
                </w:p>
              </w:tc>
              <w:tc>
                <w:tcPr>
                  <w:tcW w:w="275" w:type="pct"/>
                  <w:vAlign w:val="center"/>
                </w:tcPr>
                <w:p w14:paraId="67E5A4DB">
                  <w:pPr>
                    <w:adjustRightInd w:val="0"/>
                    <w:snapToGrid w:val="0"/>
                    <w:jc w:val="center"/>
                    <w:rPr>
                      <w:color w:val="auto"/>
                      <w:szCs w:val="21"/>
                      <w:highlight w:val="none"/>
                    </w:rPr>
                  </w:pPr>
                  <w:r>
                    <w:rPr>
                      <w:rFonts w:hint="eastAsia"/>
                      <w:color w:val="auto"/>
                      <w:szCs w:val="21"/>
                      <w:highlight w:val="none"/>
                    </w:rPr>
                    <w:t>95%</w:t>
                  </w:r>
                </w:p>
              </w:tc>
              <w:tc>
                <w:tcPr>
                  <w:tcW w:w="388" w:type="pct"/>
                  <w:vAlign w:val="center"/>
                </w:tcPr>
                <w:p w14:paraId="13589811">
                  <w:pPr>
                    <w:adjustRightInd w:val="0"/>
                    <w:snapToGrid w:val="0"/>
                    <w:jc w:val="center"/>
                    <w:rPr>
                      <w:rFonts w:hAnsi="宋体"/>
                      <w:color w:val="auto"/>
                      <w:szCs w:val="21"/>
                      <w:highlight w:val="none"/>
                    </w:rPr>
                  </w:pPr>
                  <w:r>
                    <w:rPr>
                      <w:rFonts w:hint="eastAsia" w:hAnsi="宋体"/>
                      <w:color w:val="auto"/>
                      <w:szCs w:val="21"/>
                      <w:highlight w:val="none"/>
                    </w:rPr>
                    <w:t>是</w:t>
                  </w:r>
                </w:p>
              </w:tc>
              <w:tc>
                <w:tcPr>
                  <w:tcW w:w="312" w:type="pct"/>
                  <w:vAlign w:val="center"/>
                </w:tcPr>
                <w:p w14:paraId="1FDC4F08">
                  <w:pPr>
                    <w:adjustRightInd w:val="0"/>
                    <w:snapToGrid w:val="0"/>
                    <w:jc w:val="center"/>
                    <w:rPr>
                      <w:color w:val="auto"/>
                      <w:szCs w:val="21"/>
                      <w:highlight w:val="none"/>
                    </w:rPr>
                  </w:pPr>
                  <w:r>
                    <w:rPr>
                      <w:rFonts w:hint="eastAsia"/>
                      <w:color w:val="auto"/>
                      <w:szCs w:val="21"/>
                      <w:highlight w:val="none"/>
                    </w:rPr>
                    <w:t>2000</w:t>
                  </w:r>
                </w:p>
              </w:tc>
              <w:tc>
                <w:tcPr>
                  <w:tcW w:w="271" w:type="pct"/>
                  <w:vAlign w:val="center"/>
                </w:tcPr>
                <w:p w14:paraId="13F51897">
                  <w:pPr>
                    <w:adjustRightInd w:val="0"/>
                    <w:snapToGrid w:val="0"/>
                    <w:jc w:val="center"/>
                    <w:rPr>
                      <w:color w:val="auto"/>
                      <w:szCs w:val="21"/>
                      <w:highlight w:val="none"/>
                    </w:rPr>
                  </w:pPr>
                  <w:r>
                    <w:rPr>
                      <w:rFonts w:hint="eastAsia"/>
                      <w:color w:val="auto"/>
                      <w:szCs w:val="21"/>
                      <w:highlight w:val="none"/>
                    </w:rPr>
                    <w:t>√</w:t>
                  </w:r>
                </w:p>
              </w:tc>
              <w:tc>
                <w:tcPr>
                  <w:tcW w:w="255" w:type="pct"/>
                  <w:vAlign w:val="center"/>
                </w:tcPr>
                <w:p w14:paraId="7069A2B2">
                  <w:pPr>
                    <w:adjustRightInd w:val="0"/>
                    <w:snapToGrid w:val="0"/>
                    <w:jc w:val="center"/>
                    <w:rPr>
                      <w:color w:val="auto"/>
                      <w:szCs w:val="21"/>
                      <w:highlight w:val="none"/>
                    </w:rPr>
                  </w:pPr>
                  <w:r>
                    <w:rPr>
                      <w:rFonts w:hint="eastAsia"/>
                      <w:color w:val="auto"/>
                      <w:szCs w:val="21"/>
                      <w:highlight w:val="none"/>
                    </w:rPr>
                    <w:t>√</w:t>
                  </w:r>
                </w:p>
              </w:tc>
            </w:tr>
            <w:tr w14:paraId="7ACE9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1" w:type="pct"/>
                  <w:vAlign w:val="center"/>
                </w:tcPr>
                <w:p w14:paraId="4CC29AE1">
                  <w:pPr>
                    <w:adjustRightInd w:val="0"/>
                    <w:snapToGrid w:val="0"/>
                    <w:jc w:val="center"/>
                    <w:rPr>
                      <w:rFonts w:hAnsi="宋体"/>
                      <w:color w:val="auto"/>
                      <w:szCs w:val="21"/>
                      <w:highlight w:val="none"/>
                    </w:rPr>
                  </w:pPr>
                  <w:r>
                    <w:rPr>
                      <w:rFonts w:hint="eastAsia" w:hAnsi="宋体"/>
                      <w:color w:val="auto"/>
                      <w:szCs w:val="21"/>
                      <w:highlight w:val="none"/>
                    </w:rPr>
                    <w:t>焊接</w:t>
                  </w:r>
                </w:p>
              </w:tc>
              <w:tc>
                <w:tcPr>
                  <w:tcW w:w="262" w:type="pct"/>
                  <w:vAlign w:val="center"/>
                </w:tcPr>
                <w:p w14:paraId="15C85810">
                  <w:pPr>
                    <w:adjustRightInd w:val="0"/>
                    <w:snapToGrid w:val="0"/>
                    <w:jc w:val="center"/>
                    <w:rPr>
                      <w:color w:val="auto"/>
                      <w:szCs w:val="21"/>
                      <w:highlight w:val="none"/>
                    </w:rPr>
                  </w:pPr>
                  <w:r>
                    <w:rPr>
                      <w:rFonts w:hint="eastAsia"/>
                      <w:color w:val="auto"/>
                      <w:szCs w:val="21"/>
                      <w:highlight w:val="none"/>
                    </w:rPr>
                    <w:t>G3、G4</w:t>
                  </w:r>
                </w:p>
              </w:tc>
              <w:tc>
                <w:tcPr>
                  <w:tcW w:w="416" w:type="pct"/>
                  <w:vAlign w:val="center"/>
                </w:tcPr>
                <w:p w14:paraId="62500E7A">
                  <w:pPr>
                    <w:widowControl/>
                    <w:adjustRightInd w:val="0"/>
                    <w:snapToGrid w:val="0"/>
                    <w:jc w:val="center"/>
                    <w:rPr>
                      <w:rFonts w:hAnsi="宋体"/>
                      <w:color w:val="auto"/>
                      <w:szCs w:val="21"/>
                      <w:highlight w:val="none"/>
                    </w:rPr>
                  </w:pPr>
                  <w:r>
                    <w:rPr>
                      <w:rFonts w:hint="eastAsia" w:hAnsi="宋体"/>
                      <w:color w:val="auto"/>
                      <w:szCs w:val="21"/>
                      <w:highlight w:val="none"/>
                    </w:rPr>
                    <w:t>颗粒物</w:t>
                  </w:r>
                </w:p>
              </w:tc>
              <w:tc>
                <w:tcPr>
                  <w:tcW w:w="344" w:type="pct"/>
                  <w:vAlign w:val="center"/>
                </w:tcPr>
                <w:p w14:paraId="329B4468">
                  <w:pPr>
                    <w:widowControl/>
                    <w:adjustRightInd w:val="0"/>
                    <w:snapToGrid w:val="0"/>
                    <w:jc w:val="center"/>
                    <w:rPr>
                      <w:color w:val="auto"/>
                      <w:szCs w:val="21"/>
                      <w:highlight w:val="none"/>
                    </w:rPr>
                  </w:pPr>
                  <w:r>
                    <w:rPr>
                      <w:rFonts w:hint="eastAsia"/>
                      <w:color w:val="auto"/>
                      <w:szCs w:val="21"/>
                      <w:highlight w:val="none"/>
                    </w:rPr>
                    <w:t>0.48</w:t>
                  </w:r>
                </w:p>
              </w:tc>
              <w:tc>
                <w:tcPr>
                  <w:tcW w:w="1226" w:type="pct"/>
                  <w:vAlign w:val="center"/>
                </w:tcPr>
                <w:p w14:paraId="57CF7299">
                  <w:pPr>
                    <w:widowControl/>
                    <w:adjustRightInd w:val="0"/>
                    <w:snapToGrid w:val="0"/>
                    <w:jc w:val="center"/>
                    <w:rPr>
                      <w:color w:val="auto"/>
                      <w:szCs w:val="21"/>
                      <w:highlight w:val="none"/>
                    </w:rPr>
                  </w:pPr>
                  <w:r>
                    <w:rPr>
                      <w:rFonts w:hint="eastAsia"/>
                      <w:color w:val="auto"/>
                      <w:szCs w:val="21"/>
                      <w:highlight w:val="none"/>
                    </w:rPr>
                    <w:t>类比</w:t>
                  </w:r>
                </w:p>
              </w:tc>
              <w:tc>
                <w:tcPr>
                  <w:tcW w:w="319" w:type="pct"/>
                  <w:vAlign w:val="center"/>
                </w:tcPr>
                <w:p w14:paraId="736D8144">
                  <w:pPr>
                    <w:widowControl/>
                    <w:adjustRightInd w:val="0"/>
                    <w:snapToGrid w:val="0"/>
                    <w:jc w:val="center"/>
                    <w:rPr>
                      <w:rFonts w:hAnsi="宋体"/>
                      <w:color w:val="auto"/>
                      <w:szCs w:val="21"/>
                      <w:highlight w:val="none"/>
                    </w:rPr>
                  </w:pPr>
                  <w:r>
                    <w:rPr>
                      <w:rFonts w:hint="eastAsia" w:hAnsi="宋体"/>
                      <w:color w:val="auto"/>
                      <w:szCs w:val="21"/>
                      <w:highlight w:val="none"/>
                    </w:rPr>
                    <w:t>移动式吸风管</w:t>
                  </w:r>
                </w:p>
              </w:tc>
              <w:tc>
                <w:tcPr>
                  <w:tcW w:w="272" w:type="pct"/>
                  <w:vAlign w:val="center"/>
                </w:tcPr>
                <w:p w14:paraId="5A4A7EE4">
                  <w:pPr>
                    <w:adjustRightInd w:val="0"/>
                    <w:snapToGrid w:val="0"/>
                    <w:jc w:val="center"/>
                    <w:rPr>
                      <w:color w:val="auto"/>
                      <w:szCs w:val="21"/>
                      <w:highlight w:val="none"/>
                    </w:rPr>
                  </w:pPr>
                  <w:r>
                    <w:rPr>
                      <w:rFonts w:hint="eastAsia"/>
                      <w:color w:val="auto"/>
                      <w:szCs w:val="21"/>
                      <w:highlight w:val="none"/>
                    </w:rPr>
                    <w:t>75</w:t>
                  </w:r>
                  <w:r>
                    <w:rPr>
                      <w:color w:val="auto"/>
                      <w:szCs w:val="21"/>
                      <w:highlight w:val="none"/>
                    </w:rPr>
                    <w:t>%</w:t>
                  </w:r>
                </w:p>
              </w:tc>
              <w:tc>
                <w:tcPr>
                  <w:tcW w:w="324" w:type="pct"/>
                  <w:vAlign w:val="center"/>
                </w:tcPr>
                <w:p w14:paraId="1DCB1EB7">
                  <w:pPr>
                    <w:adjustRightInd w:val="0"/>
                    <w:snapToGrid w:val="0"/>
                    <w:jc w:val="center"/>
                    <w:rPr>
                      <w:rFonts w:hAnsi="宋体"/>
                      <w:color w:val="auto"/>
                      <w:szCs w:val="21"/>
                      <w:highlight w:val="none"/>
                    </w:rPr>
                  </w:pPr>
                  <w:r>
                    <w:rPr>
                      <w:rFonts w:hint="eastAsia" w:hAnsi="宋体"/>
                      <w:color w:val="auto"/>
                      <w:szCs w:val="21"/>
                      <w:highlight w:val="none"/>
                    </w:rPr>
                    <w:t>移动式焊接烟尘净化器</w:t>
                  </w:r>
                </w:p>
              </w:tc>
              <w:tc>
                <w:tcPr>
                  <w:tcW w:w="275" w:type="pct"/>
                  <w:vAlign w:val="center"/>
                </w:tcPr>
                <w:p w14:paraId="4A5FDE9B">
                  <w:pPr>
                    <w:adjustRightInd w:val="0"/>
                    <w:snapToGrid w:val="0"/>
                    <w:jc w:val="center"/>
                    <w:rPr>
                      <w:color w:val="auto"/>
                      <w:szCs w:val="21"/>
                      <w:highlight w:val="none"/>
                    </w:rPr>
                  </w:pPr>
                  <w:r>
                    <w:rPr>
                      <w:rFonts w:hint="eastAsia"/>
                      <w:color w:val="auto"/>
                      <w:szCs w:val="21"/>
                      <w:highlight w:val="none"/>
                    </w:rPr>
                    <w:t>8</w:t>
                  </w:r>
                  <w:r>
                    <w:rPr>
                      <w:color w:val="auto"/>
                      <w:szCs w:val="21"/>
                      <w:highlight w:val="none"/>
                    </w:rPr>
                    <w:t>0%</w:t>
                  </w:r>
                </w:p>
              </w:tc>
              <w:tc>
                <w:tcPr>
                  <w:tcW w:w="388" w:type="pct"/>
                  <w:vAlign w:val="center"/>
                </w:tcPr>
                <w:p w14:paraId="066FE1F5">
                  <w:pPr>
                    <w:adjustRightInd w:val="0"/>
                    <w:snapToGrid w:val="0"/>
                    <w:jc w:val="center"/>
                    <w:rPr>
                      <w:rFonts w:hAnsi="宋体"/>
                      <w:color w:val="auto"/>
                      <w:szCs w:val="21"/>
                      <w:highlight w:val="none"/>
                    </w:rPr>
                  </w:pPr>
                  <w:r>
                    <w:rPr>
                      <w:rFonts w:hAnsi="宋体"/>
                      <w:color w:val="auto"/>
                      <w:szCs w:val="21"/>
                      <w:highlight w:val="none"/>
                    </w:rPr>
                    <w:t>是</w:t>
                  </w:r>
                </w:p>
              </w:tc>
              <w:tc>
                <w:tcPr>
                  <w:tcW w:w="312" w:type="pct"/>
                  <w:vAlign w:val="center"/>
                </w:tcPr>
                <w:p w14:paraId="09D558B0">
                  <w:pPr>
                    <w:adjustRightInd w:val="0"/>
                    <w:snapToGrid w:val="0"/>
                    <w:jc w:val="center"/>
                    <w:rPr>
                      <w:color w:val="auto"/>
                      <w:szCs w:val="21"/>
                      <w:highlight w:val="none"/>
                    </w:rPr>
                  </w:pPr>
                  <w:r>
                    <w:rPr>
                      <w:rFonts w:hint="eastAsia"/>
                      <w:color w:val="auto"/>
                      <w:szCs w:val="21"/>
                      <w:highlight w:val="none"/>
                    </w:rPr>
                    <w:t>2000</w:t>
                  </w:r>
                </w:p>
              </w:tc>
              <w:tc>
                <w:tcPr>
                  <w:tcW w:w="271" w:type="pct"/>
                  <w:vAlign w:val="center"/>
                </w:tcPr>
                <w:p w14:paraId="4BC2B662">
                  <w:pPr>
                    <w:adjustRightInd w:val="0"/>
                    <w:snapToGrid w:val="0"/>
                    <w:jc w:val="center"/>
                    <w:rPr>
                      <w:color w:val="auto"/>
                      <w:szCs w:val="21"/>
                      <w:highlight w:val="none"/>
                    </w:rPr>
                  </w:pPr>
                  <w:r>
                    <w:rPr>
                      <w:rFonts w:hint="eastAsia"/>
                      <w:color w:val="auto"/>
                      <w:szCs w:val="21"/>
                      <w:highlight w:val="none"/>
                    </w:rPr>
                    <w:t>/</w:t>
                  </w:r>
                </w:p>
              </w:tc>
              <w:tc>
                <w:tcPr>
                  <w:tcW w:w="255" w:type="pct"/>
                  <w:vAlign w:val="center"/>
                </w:tcPr>
                <w:p w14:paraId="5E1BBB98">
                  <w:pPr>
                    <w:adjustRightInd w:val="0"/>
                    <w:snapToGrid w:val="0"/>
                    <w:jc w:val="center"/>
                    <w:rPr>
                      <w:color w:val="auto"/>
                      <w:szCs w:val="21"/>
                      <w:highlight w:val="none"/>
                    </w:rPr>
                  </w:pPr>
                  <w:r>
                    <w:rPr>
                      <w:rFonts w:hint="eastAsia"/>
                      <w:color w:val="auto"/>
                      <w:szCs w:val="21"/>
                      <w:highlight w:val="none"/>
                    </w:rPr>
                    <w:t>√</w:t>
                  </w:r>
                </w:p>
              </w:tc>
            </w:tr>
            <w:tr w14:paraId="076C1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31" w:type="pct"/>
                  <w:vAlign w:val="center"/>
                </w:tcPr>
                <w:p w14:paraId="0D2E6181">
                  <w:pPr>
                    <w:adjustRightInd w:val="0"/>
                    <w:snapToGrid w:val="0"/>
                    <w:jc w:val="center"/>
                    <w:rPr>
                      <w:rFonts w:hAnsi="宋体"/>
                      <w:color w:val="auto"/>
                      <w:szCs w:val="21"/>
                      <w:highlight w:val="none"/>
                      <w:lang w:eastAsia="zh-Hans"/>
                    </w:rPr>
                  </w:pPr>
                  <w:r>
                    <w:rPr>
                      <w:rFonts w:hint="eastAsia" w:hAnsi="宋体"/>
                      <w:color w:val="auto"/>
                      <w:szCs w:val="21"/>
                      <w:highlight w:val="none"/>
                      <w:lang w:eastAsia="zh-Hans"/>
                    </w:rPr>
                    <w:t>危废仓库</w:t>
                  </w:r>
                </w:p>
              </w:tc>
              <w:tc>
                <w:tcPr>
                  <w:tcW w:w="262" w:type="pct"/>
                  <w:vAlign w:val="center"/>
                </w:tcPr>
                <w:p w14:paraId="07D9ADEA">
                  <w:pPr>
                    <w:adjustRightInd w:val="0"/>
                    <w:snapToGrid w:val="0"/>
                    <w:jc w:val="center"/>
                    <w:rPr>
                      <w:color w:val="auto"/>
                      <w:szCs w:val="21"/>
                      <w:highlight w:val="none"/>
                      <w:lang w:eastAsia="zh-Hans"/>
                    </w:rPr>
                  </w:pPr>
                  <w:r>
                    <w:rPr>
                      <w:rFonts w:hint="eastAsia"/>
                      <w:color w:val="auto"/>
                      <w:szCs w:val="21"/>
                      <w:highlight w:val="none"/>
                      <w:lang w:eastAsia="zh-Hans"/>
                    </w:rPr>
                    <w:t>—</w:t>
                  </w:r>
                </w:p>
              </w:tc>
              <w:tc>
                <w:tcPr>
                  <w:tcW w:w="416" w:type="pct"/>
                  <w:vAlign w:val="center"/>
                </w:tcPr>
                <w:p w14:paraId="0B30C488">
                  <w:pPr>
                    <w:widowControl/>
                    <w:adjustRightInd w:val="0"/>
                    <w:snapToGrid w:val="0"/>
                    <w:jc w:val="center"/>
                    <w:rPr>
                      <w:rFonts w:hAnsi="宋体"/>
                      <w:color w:val="auto"/>
                      <w:szCs w:val="21"/>
                      <w:highlight w:val="none"/>
                      <w:lang w:eastAsia="zh-Hans"/>
                    </w:rPr>
                  </w:pPr>
                  <w:r>
                    <w:rPr>
                      <w:rFonts w:hint="eastAsia" w:hAnsi="宋体"/>
                      <w:color w:val="auto"/>
                      <w:szCs w:val="21"/>
                      <w:highlight w:val="none"/>
                      <w:lang w:eastAsia="zh-Hans"/>
                    </w:rPr>
                    <w:t>VOCs</w:t>
                  </w:r>
                </w:p>
              </w:tc>
              <w:tc>
                <w:tcPr>
                  <w:tcW w:w="344" w:type="pct"/>
                  <w:vAlign w:val="center"/>
                </w:tcPr>
                <w:p w14:paraId="5DD8EF45">
                  <w:pPr>
                    <w:widowControl/>
                    <w:adjustRightInd w:val="0"/>
                    <w:snapToGrid w:val="0"/>
                    <w:jc w:val="center"/>
                    <w:rPr>
                      <w:color w:val="auto"/>
                      <w:szCs w:val="21"/>
                      <w:highlight w:val="none"/>
                    </w:rPr>
                  </w:pPr>
                  <w:r>
                    <w:rPr>
                      <w:color w:val="auto"/>
                      <w:szCs w:val="21"/>
                      <w:highlight w:val="none"/>
                    </w:rPr>
                    <w:t>0.1089</w:t>
                  </w:r>
                </w:p>
              </w:tc>
              <w:tc>
                <w:tcPr>
                  <w:tcW w:w="1226" w:type="pct"/>
                  <w:vAlign w:val="center"/>
                </w:tcPr>
                <w:p w14:paraId="644DFC07">
                  <w:pPr>
                    <w:widowControl/>
                    <w:adjustRightInd w:val="0"/>
                    <w:snapToGrid w:val="0"/>
                    <w:jc w:val="center"/>
                    <w:rPr>
                      <w:color w:val="auto"/>
                      <w:szCs w:val="21"/>
                      <w:highlight w:val="none"/>
                      <w:lang w:eastAsia="zh-Hans"/>
                    </w:rPr>
                  </w:pPr>
                  <w:r>
                    <w:rPr>
                      <w:rFonts w:hint="eastAsia"/>
                      <w:color w:val="auto"/>
                      <w:szCs w:val="21"/>
                      <w:highlight w:val="none"/>
                      <w:lang w:eastAsia="zh-Hans"/>
                    </w:rPr>
                    <w:t>类比</w:t>
                  </w:r>
                </w:p>
              </w:tc>
              <w:tc>
                <w:tcPr>
                  <w:tcW w:w="319" w:type="pct"/>
                  <w:vAlign w:val="center"/>
                </w:tcPr>
                <w:p w14:paraId="7E36F41D">
                  <w:pPr>
                    <w:widowControl/>
                    <w:adjustRightInd w:val="0"/>
                    <w:snapToGrid w:val="0"/>
                    <w:jc w:val="center"/>
                    <w:rPr>
                      <w:rFonts w:hAnsi="宋体"/>
                      <w:color w:val="auto"/>
                      <w:szCs w:val="21"/>
                      <w:highlight w:val="none"/>
                      <w:lang w:eastAsia="zh-Hans"/>
                    </w:rPr>
                  </w:pPr>
                  <w:r>
                    <w:rPr>
                      <w:rFonts w:hint="eastAsia" w:hAnsi="宋体"/>
                      <w:color w:val="auto"/>
                      <w:szCs w:val="21"/>
                      <w:highlight w:val="none"/>
                      <w:lang w:eastAsia="zh-Hans"/>
                    </w:rPr>
                    <w:t>负压收集</w:t>
                  </w:r>
                </w:p>
              </w:tc>
              <w:tc>
                <w:tcPr>
                  <w:tcW w:w="272" w:type="pct"/>
                  <w:vAlign w:val="center"/>
                </w:tcPr>
                <w:p w14:paraId="05142D62">
                  <w:pPr>
                    <w:adjustRightInd w:val="0"/>
                    <w:snapToGrid w:val="0"/>
                    <w:jc w:val="center"/>
                    <w:rPr>
                      <w:color w:val="auto"/>
                      <w:szCs w:val="21"/>
                      <w:highlight w:val="none"/>
                    </w:rPr>
                  </w:pPr>
                  <w:r>
                    <w:rPr>
                      <w:color w:val="auto"/>
                      <w:szCs w:val="21"/>
                      <w:highlight w:val="none"/>
                    </w:rPr>
                    <w:t>75%</w:t>
                  </w:r>
                </w:p>
              </w:tc>
              <w:tc>
                <w:tcPr>
                  <w:tcW w:w="324" w:type="pct"/>
                  <w:vAlign w:val="center"/>
                </w:tcPr>
                <w:p w14:paraId="4BA433E6">
                  <w:pPr>
                    <w:adjustRightInd w:val="0"/>
                    <w:snapToGrid w:val="0"/>
                    <w:jc w:val="center"/>
                    <w:rPr>
                      <w:rFonts w:hAnsi="宋体"/>
                      <w:color w:val="auto"/>
                      <w:szCs w:val="21"/>
                      <w:highlight w:val="none"/>
                      <w:lang w:eastAsia="zh-Hans"/>
                    </w:rPr>
                  </w:pPr>
                  <w:r>
                    <w:rPr>
                      <w:rFonts w:hint="eastAsia" w:hAnsi="宋体"/>
                      <w:color w:val="auto"/>
                      <w:szCs w:val="21"/>
                      <w:highlight w:val="none"/>
                      <w:lang w:eastAsia="zh-Hans"/>
                    </w:rPr>
                    <w:t>一级活性炭</w:t>
                  </w:r>
                </w:p>
              </w:tc>
              <w:tc>
                <w:tcPr>
                  <w:tcW w:w="275" w:type="pct"/>
                  <w:vAlign w:val="center"/>
                </w:tcPr>
                <w:p w14:paraId="4A3A5614">
                  <w:pPr>
                    <w:adjustRightInd w:val="0"/>
                    <w:snapToGrid w:val="0"/>
                    <w:jc w:val="center"/>
                    <w:rPr>
                      <w:color w:val="auto"/>
                      <w:szCs w:val="21"/>
                      <w:highlight w:val="none"/>
                    </w:rPr>
                  </w:pPr>
                  <w:r>
                    <w:rPr>
                      <w:color w:val="auto"/>
                      <w:szCs w:val="21"/>
                      <w:highlight w:val="none"/>
                    </w:rPr>
                    <w:t>75%</w:t>
                  </w:r>
                </w:p>
              </w:tc>
              <w:tc>
                <w:tcPr>
                  <w:tcW w:w="388" w:type="pct"/>
                  <w:vAlign w:val="center"/>
                </w:tcPr>
                <w:p w14:paraId="2756E587">
                  <w:pPr>
                    <w:adjustRightInd w:val="0"/>
                    <w:snapToGrid w:val="0"/>
                    <w:jc w:val="center"/>
                    <w:rPr>
                      <w:rFonts w:hAnsi="宋体"/>
                      <w:color w:val="auto"/>
                      <w:szCs w:val="21"/>
                      <w:highlight w:val="none"/>
                      <w:lang w:eastAsia="zh-Hans"/>
                    </w:rPr>
                  </w:pPr>
                  <w:r>
                    <w:rPr>
                      <w:rFonts w:hint="eastAsia" w:hAnsi="宋体"/>
                      <w:color w:val="auto"/>
                      <w:szCs w:val="21"/>
                      <w:highlight w:val="none"/>
                      <w:lang w:eastAsia="zh-Hans"/>
                    </w:rPr>
                    <w:t>是</w:t>
                  </w:r>
                </w:p>
              </w:tc>
              <w:tc>
                <w:tcPr>
                  <w:tcW w:w="312" w:type="pct"/>
                  <w:vAlign w:val="center"/>
                </w:tcPr>
                <w:p w14:paraId="638BBFEA">
                  <w:pPr>
                    <w:adjustRightInd w:val="0"/>
                    <w:snapToGrid w:val="0"/>
                    <w:jc w:val="center"/>
                    <w:rPr>
                      <w:color w:val="auto"/>
                      <w:szCs w:val="21"/>
                      <w:highlight w:val="none"/>
                    </w:rPr>
                  </w:pPr>
                  <w:r>
                    <w:rPr>
                      <w:color w:val="auto"/>
                      <w:szCs w:val="21"/>
                      <w:highlight w:val="none"/>
                    </w:rPr>
                    <w:t>3000</w:t>
                  </w:r>
                </w:p>
              </w:tc>
              <w:tc>
                <w:tcPr>
                  <w:tcW w:w="271" w:type="pct"/>
                  <w:vAlign w:val="center"/>
                </w:tcPr>
                <w:p w14:paraId="0F020CE6">
                  <w:pPr>
                    <w:adjustRightInd w:val="0"/>
                    <w:snapToGrid w:val="0"/>
                    <w:jc w:val="center"/>
                    <w:rPr>
                      <w:color w:val="auto"/>
                      <w:szCs w:val="21"/>
                      <w:highlight w:val="none"/>
                    </w:rPr>
                  </w:pPr>
                  <w:r>
                    <w:rPr>
                      <w:color w:val="auto"/>
                      <w:szCs w:val="21"/>
                      <w:highlight w:val="none"/>
                    </w:rPr>
                    <w:t>/</w:t>
                  </w:r>
                </w:p>
              </w:tc>
              <w:tc>
                <w:tcPr>
                  <w:tcW w:w="255" w:type="pct"/>
                  <w:vAlign w:val="center"/>
                </w:tcPr>
                <w:p w14:paraId="73110699">
                  <w:pPr>
                    <w:adjustRightInd w:val="0"/>
                    <w:snapToGrid w:val="0"/>
                    <w:jc w:val="center"/>
                    <w:rPr>
                      <w:color w:val="auto"/>
                      <w:szCs w:val="21"/>
                      <w:highlight w:val="none"/>
                    </w:rPr>
                  </w:pPr>
                  <w:r>
                    <w:rPr>
                      <w:rFonts w:hint="eastAsia"/>
                      <w:color w:val="auto"/>
                      <w:szCs w:val="21"/>
                      <w:highlight w:val="none"/>
                    </w:rPr>
                    <w:t>√</w:t>
                  </w:r>
                </w:p>
              </w:tc>
            </w:tr>
          </w:tbl>
          <w:p w14:paraId="2449F15D">
            <w:pPr>
              <w:adjustRightInd w:val="0"/>
              <w:snapToGrid w:val="0"/>
              <w:spacing w:line="360" w:lineRule="auto"/>
              <w:ind w:firstLine="482" w:firstLineChars="200"/>
              <w:rPr>
                <w:b/>
                <w:color w:val="auto"/>
                <w:kern w:val="0"/>
                <w:sz w:val="24"/>
                <w:highlight w:val="none"/>
              </w:rPr>
            </w:pPr>
            <w:r>
              <w:rPr>
                <w:rFonts w:hAnsi="宋体"/>
                <w:b/>
                <w:color w:val="auto"/>
                <w:kern w:val="0"/>
                <w:sz w:val="24"/>
                <w:highlight w:val="none"/>
              </w:rPr>
              <w:t>（</w:t>
            </w:r>
            <w:r>
              <w:rPr>
                <w:b/>
                <w:color w:val="auto"/>
                <w:kern w:val="0"/>
                <w:sz w:val="24"/>
                <w:highlight w:val="none"/>
              </w:rPr>
              <w:t>2</w:t>
            </w:r>
            <w:r>
              <w:rPr>
                <w:rFonts w:hAnsi="宋体"/>
                <w:b/>
                <w:color w:val="auto"/>
                <w:kern w:val="0"/>
                <w:sz w:val="24"/>
                <w:highlight w:val="none"/>
              </w:rPr>
              <w:t>）有组织废气产生和排放情况</w:t>
            </w:r>
          </w:p>
          <w:p w14:paraId="6FE783F3">
            <w:pPr>
              <w:adjustRightInd w:val="0"/>
              <w:snapToGrid w:val="0"/>
              <w:spacing w:line="360" w:lineRule="auto"/>
              <w:ind w:firstLine="480" w:firstLineChars="200"/>
              <w:jc w:val="left"/>
              <w:rPr>
                <w:rFonts w:hint="default" w:ascii="Times New Roman Regular" w:hAnsi="Times New Roman Regular" w:cs="Times New Roman Regular"/>
                <w:b/>
                <w:bCs/>
                <w:color w:val="auto"/>
                <w:kern w:val="0"/>
                <w:sz w:val="24"/>
                <w:highlight w:val="none"/>
              </w:rPr>
            </w:pPr>
            <w:r>
              <w:rPr>
                <w:rFonts w:hAnsi="宋体"/>
                <w:color w:val="auto"/>
                <w:kern w:val="0"/>
                <w:sz w:val="24"/>
                <w:highlight w:val="none"/>
              </w:rPr>
              <w:t>建设项目有组织废</w:t>
            </w:r>
            <w:r>
              <w:rPr>
                <w:rFonts w:hint="default" w:ascii="Times New Roman Regular" w:hAnsi="Times New Roman Regular" w:cs="Times New Roman Regular"/>
                <w:color w:val="auto"/>
                <w:kern w:val="0"/>
                <w:sz w:val="24"/>
                <w:highlight w:val="none"/>
              </w:rPr>
              <w:t>气产生及排放情况一览表见表4-3。</w:t>
            </w:r>
          </w:p>
          <w:p w14:paraId="7C17E179">
            <w:pPr>
              <w:adjustRightInd w:val="0"/>
              <w:snapToGrid w:val="0"/>
              <w:ind w:firstLine="482" w:firstLineChars="200"/>
              <w:jc w:val="center"/>
              <w:rPr>
                <w:rFonts w:hint="default" w:ascii="Times New Roman Regular" w:hAnsi="Times New Roman Regular" w:cs="Times New Roman Regular"/>
                <w:b/>
                <w:bCs/>
                <w:color w:val="auto"/>
                <w:kern w:val="0"/>
                <w:sz w:val="24"/>
                <w:highlight w:val="none"/>
              </w:rPr>
            </w:pPr>
            <w:r>
              <w:rPr>
                <w:rFonts w:hint="default" w:ascii="Times New Roman Regular" w:hAnsi="Times New Roman Regular" w:cs="Times New Roman Regular"/>
                <w:b/>
                <w:bCs/>
                <w:color w:val="auto"/>
                <w:kern w:val="0"/>
                <w:sz w:val="24"/>
                <w:highlight w:val="none"/>
              </w:rPr>
              <w:t>表4-3 建设项目有组织废气产生及排放情况一览表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9"/>
              <w:gridCol w:w="558"/>
              <w:gridCol w:w="733"/>
              <w:gridCol w:w="694"/>
              <w:gridCol w:w="663"/>
              <w:gridCol w:w="665"/>
              <w:gridCol w:w="825"/>
              <w:gridCol w:w="780"/>
              <w:gridCol w:w="671"/>
              <w:gridCol w:w="575"/>
              <w:gridCol w:w="518"/>
              <w:gridCol w:w="444"/>
              <w:gridCol w:w="704"/>
              <w:gridCol w:w="852"/>
              <w:gridCol w:w="720"/>
              <w:gridCol w:w="616"/>
            </w:tblGrid>
            <w:tr w14:paraId="64E3B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Merge w:val="restart"/>
                  <w:vAlign w:val="center"/>
                </w:tcPr>
                <w:p w14:paraId="243536BE">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序号</w:t>
                  </w:r>
                </w:p>
              </w:tc>
              <w:tc>
                <w:tcPr>
                  <w:tcW w:w="272" w:type="pct"/>
                  <w:vMerge w:val="restart"/>
                  <w:vAlign w:val="center"/>
                </w:tcPr>
                <w:p w14:paraId="3336E8EE">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废气产污环节</w:t>
                  </w:r>
                </w:p>
              </w:tc>
              <w:tc>
                <w:tcPr>
                  <w:tcW w:w="357" w:type="pct"/>
                  <w:vMerge w:val="restart"/>
                  <w:vAlign w:val="center"/>
                </w:tcPr>
                <w:p w14:paraId="4BB60DB0">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污染物种类</w:t>
                  </w:r>
                </w:p>
              </w:tc>
              <w:tc>
                <w:tcPr>
                  <w:tcW w:w="985" w:type="pct"/>
                  <w:gridSpan w:val="3"/>
                  <w:vAlign w:val="center"/>
                </w:tcPr>
                <w:p w14:paraId="008A269B">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产生情况</w:t>
                  </w:r>
                </w:p>
              </w:tc>
              <w:tc>
                <w:tcPr>
                  <w:tcW w:w="1109" w:type="pct"/>
                  <w:gridSpan w:val="3"/>
                  <w:vAlign w:val="center"/>
                </w:tcPr>
                <w:p w14:paraId="54FE4531">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排放情况</w:t>
                  </w:r>
                </w:p>
              </w:tc>
              <w:tc>
                <w:tcPr>
                  <w:tcW w:w="1507" w:type="pct"/>
                  <w:gridSpan w:val="5"/>
                  <w:vAlign w:val="center"/>
                </w:tcPr>
                <w:p w14:paraId="20AE0A18">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排放口基本情况</w:t>
                  </w:r>
                </w:p>
              </w:tc>
              <w:tc>
                <w:tcPr>
                  <w:tcW w:w="651" w:type="pct"/>
                  <w:gridSpan w:val="2"/>
                  <w:vAlign w:val="center"/>
                </w:tcPr>
                <w:p w14:paraId="4CB8B538">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排放标准</w:t>
                  </w:r>
                </w:p>
              </w:tc>
            </w:tr>
            <w:tr w14:paraId="4001A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Merge w:val="continue"/>
                  <w:vAlign w:val="center"/>
                </w:tcPr>
                <w:p w14:paraId="6B0426BF">
                  <w:pPr>
                    <w:adjustRightInd w:val="0"/>
                    <w:snapToGrid w:val="0"/>
                    <w:jc w:val="center"/>
                    <w:rPr>
                      <w:rFonts w:hint="default" w:ascii="Times New Roman Regular" w:hAnsi="Times New Roman Regular" w:cs="Times New Roman Regular"/>
                      <w:b/>
                      <w:bCs/>
                      <w:color w:val="auto"/>
                      <w:szCs w:val="21"/>
                      <w:highlight w:val="none"/>
                    </w:rPr>
                  </w:pPr>
                </w:p>
              </w:tc>
              <w:tc>
                <w:tcPr>
                  <w:tcW w:w="272" w:type="pct"/>
                  <w:vMerge w:val="continue"/>
                  <w:vAlign w:val="center"/>
                </w:tcPr>
                <w:p w14:paraId="31E92F96">
                  <w:pPr>
                    <w:adjustRightInd w:val="0"/>
                    <w:snapToGrid w:val="0"/>
                    <w:jc w:val="center"/>
                    <w:rPr>
                      <w:rFonts w:hint="default" w:ascii="Times New Roman Regular" w:hAnsi="Times New Roman Regular" w:cs="Times New Roman Regular"/>
                      <w:b/>
                      <w:bCs/>
                      <w:color w:val="auto"/>
                      <w:szCs w:val="21"/>
                      <w:highlight w:val="none"/>
                    </w:rPr>
                  </w:pPr>
                </w:p>
              </w:tc>
              <w:tc>
                <w:tcPr>
                  <w:tcW w:w="357" w:type="pct"/>
                  <w:vMerge w:val="continue"/>
                  <w:vAlign w:val="center"/>
                </w:tcPr>
                <w:p w14:paraId="761CDC31">
                  <w:pPr>
                    <w:adjustRightInd w:val="0"/>
                    <w:snapToGrid w:val="0"/>
                    <w:jc w:val="center"/>
                    <w:rPr>
                      <w:rFonts w:hint="default" w:ascii="Times New Roman Regular" w:hAnsi="Times New Roman Regular" w:cs="Times New Roman Regular"/>
                      <w:b/>
                      <w:bCs/>
                      <w:color w:val="auto"/>
                      <w:szCs w:val="21"/>
                      <w:highlight w:val="none"/>
                    </w:rPr>
                  </w:pPr>
                </w:p>
              </w:tc>
              <w:tc>
                <w:tcPr>
                  <w:tcW w:w="338" w:type="pct"/>
                  <w:vAlign w:val="center"/>
                </w:tcPr>
                <w:p w14:paraId="468821ED">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浓度(mg/m</w:t>
                  </w:r>
                  <w:r>
                    <w:rPr>
                      <w:rFonts w:hint="default" w:ascii="Times New Roman Regular" w:hAnsi="Times New Roman Regular" w:cs="Times New Roman Regular"/>
                      <w:b/>
                      <w:bCs/>
                      <w:color w:val="auto"/>
                      <w:szCs w:val="21"/>
                      <w:highlight w:val="none"/>
                      <w:vertAlign w:val="superscript"/>
                    </w:rPr>
                    <w:t>3</w:t>
                  </w:r>
                  <w:r>
                    <w:rPr>
                      <w:rFonts w:hint="default" w:ascii="Times New Roman Regular" w:hAnsi="Times New Roman Regular" w:cs="Times New Roman Regular"/>
                      <w:b/>
                      <w:bCs/>
                      <w:color w:val="auto"/>
                      <w:szCs w:val="21"/>
                      <w:highlight w:val="none"/>
                    </w:rPr>
                    <w:t>)</w:t>
                  </w:r>
                </w:p>
              </w:tc>
              <w:tc>
                <w:tcPr>
                  <w:tcW w:w="323" w:type="pct"/>
                  <w:vAlign w:val="center"/>
                </w:tcPr>
                <w:p w14:paraId="0FE0BEFF">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速率(kg/h)</w:t>
                  </w:r>
                </w:p>
              </w:tc>
              <w:tc>
                <w:tcPr>
                  <w:tcW w:w="324" w:type="pct"/>
                  <w:vAlign w:val="center"/>
                </w:tcPr>
                <w:p w14:paraId="2D135F36">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产生量(t/a)</w:t>
                  </w:r>
                </w:p>
              </w:tc>
              <w:tc>
                <w:tcPr>
                  <w:tcW w:w="402" w:type="pct"/>
                  <w:vAlign w:val="center"/>
                </w:tcPr>
                <w:p w14:paraId="54C57E14">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浓度(mg/m</w:t>
                  </w:r>
                  <w:r>
                    <w:rPr>
                      <w:rFonts w:hint="default" w:ascii="Times New Roman Regular" w:hAnsi="Times New Roman Regular" w:cs="Times New Roman Regular"/>
                      <w:b/>
                      <w:bCs/>
                      <w:color w:val="auto"/>
                      <w:szCs w:val="21"/>
                      <w:highlight w:val="none"/>
                      <w:vertAlign w:val="superscript"/>
                    </w:rPr>
                    <w:t>3</w:t>
                  </w:r>
                  <w:r>
                    <w:rPr>
                      <w:rFonts w:hint="default" w:ascii="Times New Roman Regular" w:hAnsi="Times New Roman Regular" w:cs="Times New Roman Regular"/>
                      <w:b/>
                      <w:bCs/>
                      <w:color w:val="auto"/>
                      <w:szCs w:val="21"/>
                      <w:highlight w:val="none"/>
                    </w:rPr>
                    <w:t>)</w:t>
                  </w:r>
                </w:p>
              </w:tc>
              <w:tc>
                <w:tcPr>
                  <w:tcW w:w="380" w:type="pct"/>
                  <w:vAlign w:val="center"/>
                </w:tcPr>
                <w:p w14:paraId="5689FD43">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速率(kg/h)</w:t>
                  </w:r>
                </w:p>
              </w:tc>
              <w:tc>
                <w:tcPr>
                  <w:tcW w:w="327" w:type="pct"/>
                  <w:vAlign w:val="center"/>
                </w:tcPr>
                <w:p w14:paraId="66A8A532">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排放量(t/a)</w:t>
                  </w:r>
                </w:p>
              </w:tc>
              <w:tc>
                <w:tcPr>
                  <w:tcW w:w="280" w:type="pct"/>
                  <w:vAlign w:val="center"/>
                </w:tcPr>
                <w:p w14:paraId="08FF214A">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排气筒高度(m)</w:t>
                  </w:r>
                </w:p>
              </w:tc>
              <w:tc>
                <w:tcPr>
                  <w:tcW w:w="252" w:type="pct"/>
                  <w:vAlign w:val="center"/>
                </w:tcPr>
                <w:p w14:paraId="1134046B">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内径(m)</w:t>
                  </w:r>
                </w:p>
              </w:tc>
              <w:tc>
                <w:tcPr>
                  <w:tcW w:w="216" w:type="pct"/>
                  <w:vAlign w:val="center"/>
                </w:tcPr>
                <w:p w14:paraId="1265F027">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编号及名称</w:t>
                  </w:r>
                </w:p>
              </w:tc>
              <w:tc>
                <w:tcPr>
                  <w:tcW w:w="343" w:type="pct"/>
                  <w:vAlign w:val="center"/>
                </w:tcPr>
                <w:p w14:paraId="4C03E887">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类型</w:t>
                  </w:r>
                </w:p>
              </w:tc>
              <w:tc>
                <w:tcPr>
                  <w:tcW w:w="415" w:type="pct"/>
                  <w:vAlign w:val="center"/>
                </w:tcPr>
                <w:p w14:paraId="3E8F095A">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地理坐标</w:t>
                  </w:r>
                </w:p>
              </w:tc>
              <w:tc>
                <w:tcPr>
                  <w:tcW w:w="350" w:type="pct"/>
                  <w:vAlign w:val="center"/>
                </w:tcPr>
                <w:p w14:paraId="7FC92763">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浓度(mg/m</w:t>
                  </w:r>
                  <w:r>
                    <w:rPr>
                      <w:rFonts w:hint="default" w:ascii="Times New Roman Regular" w:hAnsi="Times New Roman Regular" w:cs="Times New Roman Regular"/>
                      <w:b/>
                      <w:bCs/>
                      <w:color w:val="auto"/>
                      <w:szCs w:val="21"/>
                      <w:highlight w:val="none"/>
                      <w:vertAlign w:val="superscript"/>
                    </w:rPr>
                    <w:t>3</w:t>
                  </w:r>
                  <w:r>
                    <w:rPr>
                      <w:rFonts w:hint="default" w:ascii="Times New Roman Regular" w:hAnsi="Times New Roman Regular" w:cs="Times New Roman Regular"/>
                      <w:b/>
                      <w:bCs/>
                      <w:color w:val="auto"/>
                      <w:szCs w:val="21"/>
                      <w:highlight w:val="none"/>
                    </w:rPr>
                    <w:t>)</w:t>
                  </w:r>
                </w:p>
              </w:tc>
              <w:tc>
                <w:tcPr>
                  <w:tcW w:w="300" w:type="pct"/>
                  <w:vAlign w:val="center"/>
                </w:tcPr>
                <w:p w14:paraId="599A82E8">
                  <w:pPr>
                    <w:adjustRightInd w:val="0"/>
                    <w:snapToGrid w:val="0"/>
                    <w:jc w:val="center"/>
                    <w:rPr>
                      <w:rFonts w:hint="default" w:ascii="Times New Roman Regular" w:hAnsi="Times New Roman Regular" w:cs="Times New Roman Regular"/>
                      <w:b/>
                      <w:bCs/>
                      <w:color w:val="auto"/>
                      <w:szCs w:val="21"/>
                      <w:highlight w:val="none"/>
                    </w:rPr>
                  </w:pPr>
                  <w:r>
                    <w:rPr>
                      <w:rFonts w:hint="default" w:ascii="Times New Roman Regular" w:hAnsi="Times New Roman Regular" w:cs="Times New Roman Regular"/>
                      <w:b/>
                      <w:bCs/>
                      <w:color w:val="auto"/>
                      <w:szCs w:val="21"/>
                      <w:highlight w:val="none"/>
                    </w:rPr>
                    <w:t>速率(kg/h)</w:t>
                  </w:r>
                </w:p>
              </w:tc>
            </w:tr>
            <w:tr w14:paraId="259EC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Merge w:val="restart"/>
                  <w:vAlign w:val="center"/>
                </w:tcPr>
                <w:p w14:paraId="27DB42EC">
                  <w:pPr>
                    <w:adjustRightInd w:val="0"/>
                    <w:snapToGrid w:val="0"/>
                    <w:jc w:val="center"/>
                    <w:rPr>
                      <w:rFonts w:hint="default" w:ascii="Times New Roman Regular" w:hAnsi="Times New Roman Regular" w:cs="Times New Roman Regular"/>
                      <w:bCs/>
                      <w:color w:val="auto"/>
                      <w:szCs w:val="21"/>
                      <w:highlight w:val="none"/>
                    </w:rPr>
                  </w:pPr>
                  <w:r>
                    <w:rPr>
                      <w:rFonts w:hint="default" w:ascii="Times New Roman Regular" w:hAnsi="Times New Roman Regular" w:cs="Times New Roman Regular"/>
                      <w:bCs/>
                      <w:color w:val="auto"/>
                      <w:szCs w:val="21"/>
                      <w:highlight w:val="none"/>
                    </w:rPr>
                    <w:t>1</w:t>
                  </w:r>
                </w:p>
              </w:tc>
              <w:tc>
                <w:tcPr>
                  <w:tcW w:w="272" w:type="pct"/>
                  <w:vMerge w:val="restart"/>
                  <w:vAlign w:val="center"/>
                </w:tcPr>
                <w:p w14:paraId="192086AE">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涂聚酯树脂胶、固化</w:t>
                  </w:r>
                </w:p>
              </w:tc>
              <w:tc>
                <w:tcPr>
                  <w:tcW w:w="357" w:type="pct"/>
                  <w:vAlign w:val="center"/>
                </w:tcPr>
                <w:p w14:paraId="6936E72B">
                  <w:pPr>
                    <w:adjustRightInd w:val="0"/>
                    <w:snapToGrid w:val="0"/>
                    <w:jc w:val="center"/>
                    <w:rPr>
                      <w:rFonts w:hint="default" w:ascii="Times New Roman Regular" w:hAnsi="Times New Roman Regular" w:cs="Times New Roman Regular"/>
                      <w:color w:val="auto"/>
                      <w:szCs w:val="21"/>
                      <w:highlight w:val="none"/>
                      <w:lang w:eastAsia="zh-Hans"/>
                    </w:rPr>
                  </w:pPr>
                  <w:r>
                    <w:rPr>
                      <w:rFonts w:hint="default" w:ascii="Times New Roman Regular" w:hAnsi="Times New Roman Regular" w:cs="Times New Roman Regular"/>
                      <w:color w:val="auto"/>
                      <w:szCs w:val="21"/>
                      <w:highlight w:val="none"/>
                      <w:lang w:eastAsia="zh-Hans"/>
                    </w:rPr>
                    <w:t>二甲苯</w:t>
                  </w:r>
                </w:p>
              </w:tc>
              <w:tc>
                <w:tcPr>
                  <w:tcW w:w="694" w:type="dxa"/>
                  <w:vAlign w:val="center"/>
                </w:tcPr>
                <w:p w14:paraId="6FBF16A9">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0.4861 </w:t>
                  </w:r>
                </w:p>
              </w:tc>
              <w:tc>
                <w:tcPr>
                  <w:tcW w:w="663" w:type="dxa"/>
                  <w:vAlign w:val="center"/>
                </w:tcPr>
                <w:p w14:paraId="082BC7E0">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0.0005 </w:t>
                  </w:r>
                </w:p>
              </w:tc>
              <w:tc>
                <w:tcPr>
                  <w:tcW w:w="665" w:type="dxa"/>
                  <w:vAlign w:val="center"/>
                </w:tcPr>
                <w:p w14:paraId="123AF138">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0.0035</w:t>
                  </w:r>
                </w:p>
              </w:tc>
              <w:tc>
                <w:tcPr>
                  <w:tcW w:w="825" w:type="dxa"/>
                  <w:vAlign w:val="center"/>
                </w:tcPr>
                <w:p w14:paraId="5491A52F">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0.0340 </w:t>
                  </w:r>
                </w:p>
              </w:tc>
              <w:tc>
                <w:tcPr>
                  <w:tcW w:w="780" w:type="dxa"/>
                  <w:vAlign w:val="center"/>
                </w:tcPr>
                <w:p w14:paraId="792DE2B9">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0.00003 </w:t>
                  </w:r>
                </w:p>
              </w:tc>
              <w:tc>
                <w:tcPr>
                  <w:tcW w:w="671" w:type="dxa"/>
                  <w:vAlign w:val="center"/>
                </w:tcPr>
                <w:p w14:paraId="4E6C42A5">
                  <w:pPr>
                    <w:keepNext w:val="0"/>
                    <w:keepLines w:val="0"/>
                    <w:widowControl/>
                    <w:suppressLineNumbers w:val="0"/>
                    <w:jc w:val="center"/>
                    <w:textAlignment w:val="center"/>
                    <w:rPr>
                      <w:rFonts w:hint="default" w:ascii="Times New Roman Regular" w:hAnsi="Times New Roman Regular" w:cs="Times New Roman Regular"/>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0.0002 </w:t>
                  </w:r>
                </w:p>
              </w:tc>
              <w:tc>
                <w:tcPr>
                  <w:tcW w:w="280" w:type="pct"/>
                  <w:vMerge w:val="restart"/>
                  <w:vAlign w:val="center"/>
                </w:tcPr>
                <w:p w14:paraId="13923530">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15</w:t>
                  </w:r>
                </w:p>
              </w:tc>
              <w:tc>
                <w:tcPr>
                  <w:tcW w:w="252" w:type="pct"/>
                  <w:vMerge w:val="restart"/>
                  <w:vAlign w:val="center"/>
                </w:tcPr>
                <w:p w14:paraId="4D2B69B0">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0.5</w:t>
                  </w:r>
                </w:p>
              </w:tc>
              <w:tc>
                <w:tcPr>
                  <w:tcW w:w="216" w:type="pct"/>
                  <w:vMerge w:val="restart"/>
                  <w:vAlign w:val="center"/>
                </w:tcPr>
                <w:p w14:paraId="072E82E5">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FQ-1</w:t>
                  </w:r>
                </w:p>
              </w:tc>
              <w:tc>
                <w:tcPr>
                  <w:tcW w:w="343" w:type="pct"/>
                  <w:vMerge w:val="restart"/>
                  <w:vAlign w:val="center"/>
                </w:tcPr>
                <w:p w14:paraId="24074A1B">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一般排放口</w:t>
                  </w:r>
                </w:p>
              </w:tc>
              <w:tc>
                <w:tcPr>
                  <w:tcW w:w="415" w:type="pct"/>
                  <w:vMerge w:val="restart"/>
                  <w:vAlign w:val="center"/>
                </w:tcPr>
                <w:p w14:paraId="57742853">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121.1174，31.8450</w:t>
                  </w:r>
                </w:p>
              </w:tc>
              <w:tc>
                <w:tcPr>
                  <w:tcW w:w="350" w:type="pct"/>
                  <w:vAlign w:val="center"/>
                </w:tcPr>
                <w:p w14:paraId="0A1454EA">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10</w:t>
                  </w:r>
                </w:p>
              </w:tc>
              <w:tc>
                <w:tcPr>
                  <w:tcW w:w="300" w:type="pct"/>
                  <w:vAlign w:val="center"/>
                </w:tcPr>
                <w:p w14:paraId="1B53BB44">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0.72</w:t>
                  </w:r>
                </w:p>
              </w:tc>
            </w:tr>
            <w:tr w14:paraId="56ED0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Merge w:val="continue"/>
                  <w:vAlign w:val="center"/>
                </w:tcPr>
                <w:p w14:paraId="601A34E9">
                  <w:pPr>
                    <w:adjustRightInd w:val="0"/>
                    <w:snapToGrid w:val="0"/>
                    <w:jc w:val="center"/>
                    <w:rPr>
                      <w:rFonts w:hint="default" w:ascii="Times New Roman Regular" w:hAnsi="Times New Roman Regular" w:cs="Times New Roman Regular"/>
                      <w:bCs/>
                      <w:color w:val="auto"/>
                      <w:szCs w:val="21"/>
                      <w:highlight w:val="none"/>
                    </w:rPr>
                  </w:pPr>
                </w:p>
              </w:tc>
              <w:tc>
                <w:tcPr>
                  <w:tcW w:w="272" w:type="pct"/>
                  <w:vMerge w:val="continue"/>
                  <w:vAlign w:val="center"/>
                </w:tcPr>
                <w:p w14:paraId="026D6384">
                  <w:pPr>
                    <w:adjustRightInd w:val="0"/>
                    <w:snapToGrid w:val="0"/>
                    <w:jc w:val="center"/>
                    <w:rPr>
                      <w:rFonts w:hint="default" w:ascii="Times New Roman Regular" w:hAnsi="Times New Roman Regular" w:cs="Times New Roman Regular"/>
                      <w:color w:val="auto"/>
                      <w:szCs w:val="21"/>
                      <w:highlight w:val="none"/>
                    </w:rPr>
                  </w:pPr>
                </w:p>
              </w:tc>
              <w:tc>
                <w:tcPr>
                  <w:tcW w:w="357" w:type="pct"/>
                  <w:vAlign w:val="center"/>
                </w:tcPr>
                <w:p w14:paraId="78EA1060">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VOCs</w:t>
                  </w:r>
                  <w:r>
                    <w:rPr>
                      <w:rFonts w:hint="default" w:ascii="Times New Roman Regular" w:hAnsi="Times New Roman Regular" w:cs="Times New Roman Regular"/>
                      <w:color w:val="auto"/>
                      <w:szCs w:val="21"/>
                      <w:highlight w:val="none"/>
                      <w:lang w:eastAsia="zh-Hans"/>
                    </w:rPr>
                    <w:t>（含二甲苯）</w:t>
                  </w:r>
                </w:p>
              </w:tc>
              <w:tc>
                <w:tcPr>
                  <w:tcW w:w="694" w:type="dxa"/>
                  <w:vAlign w:val="center"/>
                </w:tcPr>
                <w:p w14:paraId="75658F2C">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0.4861 </w:t>
                  </w:r>
                </w:p>
              </w:tc>
              <w:tc>
                <w:tcPr>
                  <w:tcW w:w="663" w:type="dxa"/>
                  <w:vAlign w:val="center"/>
                </w:tcPr>
                <w:p w14:paraId="64DFF7A0">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0.0005 </w:t>
                  </w:r>
                </w:p>
              </w:tc>
              <w:tc>
                <w:tcPr>
                  <w:tcW w:w="665" w:type="dxa"/>
                  <w:vAlign w:val="center"/>
                </w:tcPr>
                <w:p w14:paraId="33965122">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0.0035</w:t>
                  </w:r>
                </w:p>
              </w:tc>
              <w:tc>
                <w:tcPr>
                  <w:tcW w:w="825" w:type="dxa"/>
                  <w:vAlign w:val="center"/>
                </w:tcPr>
                <w:p w14:paraId="5AEED415">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0.0340 </w:t>
                  </w:r>
                </w:p>
              </w:tc>
              <w:tc>
                <w:tcPr>
                  <w:tcW w:w="780" w:type="dxa"/>
                  <w:vAlign w:val="center"/>
                </w:tcPr>
                <w:p w14:paraId="47CE4DD7">
                  <w:pPr>
                    <w:keepNext w:val="0"/>
                    <w:keepLines w:val="0"/>
                    <w:widowControl/>
                    <w:suppressLineNumbers w:val="0"/>
                    <w:jc w:val="center"/>
                    <w:textAlignment w:val="center"/>
                    <w:rPr>
                      <w:rFonts w:hint="default" w:ascii="Times New Roman Regular" w:hAnsi="Times New Roman Regular" w:cs="Times New Roman Regular"/>
                      <w:bCs/>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0.00003 </w:t>
                  </w:r>
                </w:p>
              </w:tc>
              <w:tc>
                <w:tcPr>
                  <w:tcW w:w="671" w:type="dxa"/>
                  <w:vAlign w:val="center"/>
                </w:tcPr>
                <w:p w14:paraId="354306E5">
                  <w:pPr>
                    <w:keepNext w:val="0"/>
                    <w:keepLines w:val="0"/>
                    <w:widowControl/>
                    <w:suppressLineNumbers w:val="0"/>
                    <w:jc w:val="center"/>
                    <w:textAlignment w:val="center"/>
                    <w:rPr>
                      <w:rFonts w:hint="default" w:ascii="Times New Roman Regular" w:hAnsi="Times New Roman Regular" w:cs="Times New Roman Regular"/>
                      <w:color w:val="auto"/>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0.0002 </w:t>
                  </w:r>
                </w:p>
              </w:tc>
              <w:tc>
                <w:tcPr>
                  <w:tcW w:w="280" w:type="pct"/>
                  <w:vMerge w:val="continue"/>
                  <w:vAlign w:val="center"/>
                </w:tcPr>
                <w:p w14:paraId="5900A30E">
                  <w:pPr>
                    <w:adjustRightInd w:val="0"/>
                    <w:snapToGrid w:val="0"/>
                    <w:jc w:val="center"/>
                    <w:rPr>
                      <w:rFonts w:hint="default" w:ascii="Times New Roman Regular" w:hAnsi="Times New Roman Regular" w:cs="Times New Roman Regular"/>
                      <w:color w:val="auto"/>
                      <w:szCs w:val="21"/>
                      <w:highlight w:val="none"/>
                    </w:rPr>
                  </w:pPr>
                </w:p>
              </w:tc>
              <w:tc>
                <w:tcPr>
                  <w:tcW w:w="252" w:type="pct"/>
                  <w:vMerge w:val="continue"/>
                  <w:vAlign w:val="center"/>
                </w:tcPr>
                <w:p w14:paraId="503751B5">
                  <w:pPr>
                    <w:adjustRightInd w:val="0"/>
                    <w:snapToGrid w:val="0"/>
                    <w:jc w:val="center"/>
                    <w:rPr>
                      <w:rFonts w:hint="default" w:ascii="Times New Roman Regular" w:hAnsi="Times New Roman Regular" w:cs="Times New Roman Regular"/>
                      <w:color w:val="auto"/>
                      <w:szCs w:val="21"/>
                      <w:highlight w:val="none"/>
                    </w:rPr>
                  </w:pPr>
                </w:p>
              </w:tc>
              <w:tc>
                <w:tcPr>
                  <w:tcW w:w="216" w:type="pct"/>
                  <w:vMerge w:val="continue"/>
                  <w:vAlign w:val="center"/>
                </w:tcPr>
                <w:p w14:paraId="5EFF6D73">
                  <w:pPr>
                    <w:adjustRightInd w:val="0"/>
                    <w:snapToGrid w:val="0"/>
                    <w:jc w:val="center"/>
                    <w:rPr>
                      <w:rFonts w:hint="default" w:ascii="Times New Roman Regular" w:hAnsi="Times New Roman Regular" w:cs="Times New Roman Regular"/>
                      <w:color w:val="auto"/>
                      <w:szCs w:val="21"/>
                      <w:highlight w:val="none"/>
                    </w:rPr>
                  </w:pPr>
                </w:p>
              </w:tc>
              <w:tc>
                <w:tcPr>
                  <w:tcW w:w="343" w:type="pct"/>
                  <w:vMerge w:val="continue"/>
                  <w:vAlign w:val="center"/>
                </w:tcPr>
                <w:p w14:paraId="2A8B4084">
                  <w:pPr>
                    <w:adjustRightInd w:val="0"/>
                    <w:snapToGrid w:val="0"/>
                    <w:jc w:val="center"/>
                    <w:rPr>
                      <w:rFonts w:hint="default" w:ascii="Times New Roman Regular" w:hAnsi="Times New Roman Regular" w:cs="Times New Roman Regular"/>
                      <w:color w:val="auto"/>
                      <w:szCs w:val="21"/>
                      <w:highlight w:val="none"/>
                    </w:rPr>
                  </w:pPr>
                </w:p>
              </w:tc>
              <w:tc>
                <w:tcPr>
                  <w:tcW w:w="415" w:type="pct"/>
                  <w:vMerge w:val="continue"/>
                  <w:vAlign w:val="center"/>
                </w:tcPr>
                <w:p w14:paraId="39260CD0">
                  <w:pPr>
                    <w:adjustRightInd w:val="0"/>
                    <w:snapToGrid w:val="0"/>
                    <w:jc w:val="center"/>
                    <w:rPr>
                      <w:rFonts w:hint="default" w:ascii="Times New Roman Regular" w:hAnsi="Times New Roman Regular" w:cs="Times New Roman Regular"/>
                      <w:color w:val="auto"/>
                      <w:szCs w:val="21"/>
                      <w:highlight w:val="none"/>
                    </w:rPr>
                  </w:pPr>
                </w:p>
              </w:tc>
              <w:tc>
                <w:tcPr>
                  <w:tcW w:w="350" w:type="pct"/>
                  <w:vMerge w:val="restart"/>
                  <w:vAlign w:val="center"/>
                </w:tcPr>
                <w:p w14:paraId="5C9C1B07">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60</w:t>
                  </w:r>
                </w:p>
              </w:tc>
              <w:tc>
                <w:tcPr>
                  <w:tcW w:w="300" w:type="pct"/>
                  <w:vMerge w:val="restart"/>
                  <w:vAlign w:val="center"/>
                </w:tcPr>
                <w:p w14:paraId="269603A2">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3</w:t>
                  </w:r>
                </w:p>
              </w:tc>
            </w:tr>
            <w:tr w14:paraId="21A0B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Align w:val="center"/>
                </w:tcPr>
                <w:p w14:paraId="1B8B819D">
                  <w:pPr>
                    <w:adjustRightInd w:val="0"/>
                    <w:snapToGrid w:val="0"/>
                    <w:jc w:val="center"/>
                    <w:rPr>
                      <w:rFonts w:hint="default" w:ascii="Times New Roman Regular" w:hAnsi="Times New Roman Regular" w:cs="Times New Roman Regular"/>
                      <w:bCs/>
                      <w:color w:val="auto"/>
                      <w:szCs w:val="21"/>
                      <w:highlight w:val="none"/>
                    </w:rPr>
                  </w:pPr>
                  <w:r>
                    <w:rPr>
                      <w:rFonts w:hint="default" w:ascii="Times New Roman Regular" w:hAnsi="Times New Roman Regular" w:cs="Times New Roman Regular"/>
                      <w:bCs/>
                      <w:color w:val="auto"/>
                      <w:szCs w:val="21"/>
                      <w:highlight w:val="none"/>
                    </w:rPr>
                    <w:t>2</w:t>
                  </w:r>
                </w:p>
              </w:tc>
              <w:tc>
                <w:tcPr>
                  <w:tcW w:w="272" w:type="pct"/>
                  <w:vAlign w:val="center"/>
                </w:tcPr>
                <w:p w14:paraId="571EFC41">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滴浸渍树脂胶</w:t>
                  </w:r>
                </w:p>
              </w:tc>
              <w:tc>
                <w:tcPr>
                  <w:tcW w:w="357" w:type="pct"/>
                  <w:vAlign w:val="center"/>
                </w:tcPr>
                <w:p w14:paraId="57D34342">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VOCs</w:t>
                  </w:r>
                </w:p>
              </w:tc>
              <w:tc>
                <w:tcPr>
                  <w:tcW w:w="338" w:type="pct"/>
                  <w:vAlign w:val="center"/>
                </w:tcPr>
                <w:p w14:paraId="3FEF93EB">
                  <w:pPr>
                    <w:keepNext w:val="0"/>
                    <w:keepLines w:val="0"/>
                    <w:widowControl/>
                    <w:suppressLineNumbers w:val="0"/>
                    <w:jc w:val="center"/>
                    <w:textAlignment w:val="center"/>
                    <w:rPr>
                      <w:rFonts w:hint="default" w:ascii="Times New Roman Regular" w:hAnsi="Times New Roman Regular" w:cs="Times New Roman Regular"/>
                      <w:color w:val="auto"/>
                      <w:kern w:val="0"/>
                      <w:sz w:val="21"/>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51 </w:t>
                  </w:r>
                </w:p>
              </w:tc>
              <w:tc>
                <w:tcPr>
                  <w:tcW w:w="323" w:type="pct"/>
                  <w:vAlign w:val="center"/>
                </w:tcPr>
                <w:p w14:paraId="54A42B9D">
                  <w:pPr>
                    <w:keepNext w:val="0"/>
                    <w:keepLines w:val="0"/>
                    <w:widowControl/>
                    <w:suppressLineNumbers w:val="0"/>
                    <w:jc w:val="center"/>
                    <w:textAlignment w:val="center"/>
                    <w:rPr>
                      <w:rFonts w:hint="default" w:ascii="Times New Roman Regular" w:hAnsi="Times New Roman Regular" w:cs="Times New Roman Regular"/>
                      <w:color w:val="auto"/>
                      <w:kern w:val="0"/>
                      <w:sz w:val="21"/>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0.0509 </w:t>
                  </w:r>
                </w:p>
              </w:tc>
              <w:tc>
                <w:tcPr>
                  <w:tcW w:w="324" w:type="pct"/>
                  <w:vAlign w:val="center"/>
                </w:tcPr>
                <w:p w14:paraId="14C516FF">
                  <w:pPr>
                    <w:keepNext w:val="0"/>
                    <w:keepLines w:val="0"/>
                    <w:widowControl/>
                    <w:suppressLineNumbers w:val="0"/>
                    <w:jc w:val="center"/>
                    <w:textAlignment w:val="center"/>
                    <w:rPr>
                      <w:rFonts w:hint="default" w:ascii="Times New Roman Regular" w:hAnsi="Times New Roman Regular" w:cs="Times New Roman Regular"/>
                      <w:color w:val="auto"/>
                      <w:kern w:val="0"/>
                      <w:sz w:val="21"/>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0.3661 </w:t>
                  </w:r>
                </w:p>
              </w:tc>
              <w:tc>
                <w:tcPr>
                  <w:tcW w:w="402" w:type="pct"/>
                  <w:vAlign w:val="center"/>
                </w:tcPr>
                <w:p w14:paraId="61AA3BB3">
                  <w:pPr>
                    <w:keepNext w:val="0"/>
                    <w:keepLines w:val="0"/>
                    <w:widowControl/>
                    <w:suppressLineNumbers w:val="0"/>
                    <w:jc w:val="center"/>
                    <w:textAlignment w:val="center"/>
                    <w:rPr>
                      <w:rFonts w:hint="default" w:ascii="Times New Roman Regular" w:hAnsi="Times New Roman Regular" w:cs="Times New Roman Regular"/>
                      <w:color w:val="auto"/>
                      <w:kern w:val="0"/>
                      <w:sz w:val="21"/>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3.6 </w:t>
                  </w:r>
                </w:p>
              </w:tc>
              <w:tc>
                <w:tcPr>
                  <w:tcW w:w="380" w:type="pct"/>
                  <w:vAlign w:val="center"/>
                </w:tcPr>
                <w:p w14:paraId="030FB248">
                  <w:pPr>
                    <w:keepNext w:val="0"/>
                    <w:keepLines w:val="0"/>
                    <w:widowControl/>
                    <w:suppressLineNumbers w:val="0"/>
                    <w:jc w:val="center"/>
                    <w:textAlignment w:val="center"/>
                    <w:rPr>
                      <w:rFonts w:hint="default" w:ascii="Times New Roman Regular" w:hAnsi="Times New Roman Regular" w:cs="Times New Roman Regular"/>
                      <w:color w:val="auto"/>
                      <w:kern w:val="0"/>
                      <w:sz w:val="21"/>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0.0036 </w:t>
                  </w:r>
                </w:p>
              </w:tc>
              <w:tc>
                <w:tcPr>
                  <w:tcW w:w="327" w:type="pct"/>
                  <w:vAlign w:val="center"/>
                </w:tcPr>
                <w:p w14:paraId="2BDB2B23">
                  <w:pPr>
                    <w:keepNext w:val="0"/>
                    <w:keepLines w:val="0"/>
                    <w:widowControl/>
                    <w:suppressLineNumbers w:val="0"/>
                    <w:jc w:val="center"/>
                    <w:textAlignment w:val="center"/>
                    <w:rPr>
                      <w:rFonts w:hint="default" w:ascii="Times New Roman Regular" w:hAnsi="Times New Roman Regular" w:cs="Times New Roman Regular"/>
                      <w:color w:val="auto"/>
                      <w:kern w:val="0"/>
                      <w:sz w:val="21"/>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0.0256 </w:t>
                  </w:r>
                </w:p>
              </w:tc>
              <w:tc>
                <w:tcPr>
                  <w:tcW w:w="280" w:type="pct"/>
                  <w:vMerge w:val="continue"/>
                  <w:vAlign w:val="center"/>
                </w:tcPr>
                <w:p w14:paraId="081860AD">
                  <w:pPr>
                    <w:adjustRightInd w:val="0"/>
                    <w:snapToGrid w:val="0"/>
                    <w:jc w:val="center"/>
                    <w:rPr>
                      <w:rFonts w:hint="default" w:ascii="Times New Roman Regular" w:hAnsi="Times New Roman Regular" w:cs="Times New Roman Regular"/>
                      <w:color w:val="auto"/>
                      <w:szCs w:val="21"/>
                      <w:highlight w:val="none"/>
                    </w:rPr>
                  </w:pPr>
                </w:p>
              </w:tc>
              <w:tc>
                <w:tcPr>
                  <w:tcW w:w="252" w:type="pct"/>
                  <w:vMerge w:val="continue"/>
                  <w:vAlign w:val="center"/>
                </w:tcPr>
                <w:p w14:paraId="53D1276F">
                  <w:pPr>
                    <w:adjustRightInd w:val="0"/>
                    <w:snapToGrid w:val="0"/>
                    <w:jc w:val="center"/>
                    <w:rPr>
                      <w:rFonts w:hint="default" w:ascii="Times New Roman Regular" w:hAnsi="Times New Roman Regular" w:cs="Times New Roman Regular"/>
                      <w:color w:val="auto"/>
                      <w:szCs w:val="21"/>
                      <w:highlight w:val="none"/>
                    </w:rPr>
                  </w:pPr>
                </w:p>
              </w:tc>
              <w:tc>
                <w:tcPr>
                  <w:tcW w:w="216" w:type="pct"/>
                  <w:vMerge w:val="continue"/>
                  <w:vAlign w:val="center"/>
                </w:tcPr>
                <w:p w14:paraId="7FDE667C">
                  <w:pPr>
                    <w:adjustRightInd w:val="0"/>
                    <w:snapToGrid w:val="0"/>
                    <w:jc w:val="center"/>
                    <w:rPr>
                      <w:rFonts w:hint="default" w:ascii="Times New Roman Regular" w:hAnsi="Times New Roman Regular" w:cs="Times New Roman Regular"/>
                      <w:color w:val="auto"/>
                      <w:szCs w:val="21"/>
                      <w:highlight w:val="none"/>
                    </w:rPr>
                  </w:pPr>
                </w:p>
              </w:tc>
              <w:tc>
                <w:tcPr>
                  <w:tcW w:w="343" w:type="pct"/>
                  <w:vMerge w:val="continue"/>
                  <w:vAlign w:val="center"/>
                </w:tcPr>
                <w:p w14:paraId="561094D2">
                  <w:pPr>
                    <w:adjustRightInd w:val="0"/>
                    <w:snapToGrid w:val="0"/>
                    <w:jc w:val="center"/>
                    <w:rPr>
                      <w:rFonts w:hint="default" w:ascii="Times New Roman Regular" w:hAnsi="Times New Roman Regular" w:cs="Times New Roman Regular"/>
                      <w:color w:val="auto"/>
                      <w:szCs w:val="21"/>
                      <w:highlight w:val="none"/>
                    </w:rPr>
                  </w:pPr>
                </w:p>
              </w:tc>
              <w:tc>
                <w:tcPr>
                  <w:tcW w:w="415" w:type="pct"/>
                  <w:vMerge w:val="continue"/>
                  <w:vAlign w:val="center"/>
                </w:tcPr>
                <w:p w14:paraId="771B7346">
                  <w:pPr>
                    <w:adjustRightInd w:val="0"/>
                    <w:snapToGrid w:val="0"/>
                    <w:jc w:val="center"/>
                    <w:rPr>
                      <w:rFonts w:hint="default" w:ascii="Times New Roman Regular" w:hAnsi="Times New Roman Regular" w:cs="Times New Roman Regular"/>
                      <w:color w:val="auto"/>
                      <w:szCs w:val="21"/>
                      <w:highlight w:val="none"/>
                    </w:rPr>
                  </w:pPr>
                </w:p>
              </w:tc>
              <w:tc>
                <w:tcPr>
                  <w:tcW w:w="350" w:type="pct"/>
                  <w:vMerge w:val="continue"/>
                  <w:vAlign w:val="center"/>
                </w:tcPr>
                <w:p w14:paraId="34143C5A">
                  <w:pPr>
                    <w:adjustRightInd w:val="0"/>
                    <w:snapToGrid w:val="0"/>
                    <w:jc w:val="center"/>
                    <w:rPr>
                      <w:rFonts w:hint="default" w:ascii="Times New Roman Regular" w:hAnsi="Times New Roman Regular" w:cs="Times New Roman Regular"/>
                      <w:color w:val="auto"/>
                      <w:szCs w:val="21"/>
                      <w:highlight w:val="none"/>
                    </w:rPr>
                  </w:pPr>
                </w:p>
              </w:tc>
              <w:tc>
                <w:tcPr>
                  <w:tcW w:w="300" w:type="pct"/>
                  <w:vMerge w:val="continue"/>
                  <w:vAlign w:val="center"/>
                </w:tcPr>
                <w:p w14:paraId="0E6F0436">
                  <w:pPr>
                    <w:adjustRightInd w:val="0"/>
                    <w:snapToGrid w:val="0"/>
                    <w:jc w:val="center"/>
                    <w:rPr>
                      <w:rFonts w:hint="default" w:ascii="Times New Roman Regular" w:hAnsi="Times New Roman Regular" w:cs="Times New Roman Regular"/>
                      <w:color w:val="auto"/>
                      <w:szCs w:val="21"/>
                      <w:highlight w:val="none"/>
                    </w:rPr>
                  </w:pPr>
                </w:p>
              </w:tc>
            </w:tr>
            <w:tr w14:paraId="4EB2A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Align w:val="center"/>
                </w:tcPr>
                <w:p w14:paraId="128629A8">
                  <w:pPr>
                    <w:adjustRightInd w:val="0"/>
                    <w:snapToGrid w:val="0"/>
                    <w:jc w:val="center"/>
                    <w:rPr>
                      <w:rFonts w:hint="default" w:ascii="Times New Roman Regular" w:hAnsi="Times New Roman Regular" w:cs="Times New Roman Regular"/>
                      <w:bCs/>
                      <w:color w:val="auto"/>
                      <w:szCs w:val="21"/>
                      <w:highlight w:val="none"/>
                    </w:rPr>
                  </w:pPr>
                  <w:r>
                    <w:rPr>
                      <w:rFonts w:hint="default" w:ascii="Times New Roman Regular" w:hAnsi="Times New Roman Regular" w:cs="Times New Roman Regular"/>
                      <w:bCs/>
                      <w:color w:val="auto"/>
                      <w:szCs w:val="21"/>
                      <w:highlight w:val="none"/>
                    </w:rPr>
                    <w:t>3</w:t>
                  </w:r>
                </w:p>
              </w:tc>
              <w:tc>
                <w:tcPr>
                  <w:tcW w:w="272" w:type="pct"/>
                  <w:vMerge w:val="restart"/>
                  <w:vAlign w:val="center"/>
                </w:tcPr>
                <w:p w14:paraId="62CC15BE">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浸涂树脂粉、固化</w:t>
                  </w:r>
                </w:p>
              </w:tc>
              <w:tc>
                <w:tcPr>
                  <w:tcW w:w="357" w:type="pct"/>
                  <w:vAlign w:val="center"/>
                </w:tcPr>
                <w:p w14:paraId="5582BD49">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VOCs</w:t>
                  </w:r>
                </w:p>
              </w:tc>
              <w:tc>
                <w:tcPr>
                  <w:tcW w:w="338" w:type="pct"/>
                  <w:vAlign w:val="center"/>
                </w:tcPr>
                <w:p w14:paraId="22C80A38">
                  <w:pPr>
                    <w:keepNext w:val="0"/>
                    <w:keepLines w:val="0"/>
                    <w:widowControl/>
                    <w:suppressLineNumbers w:val="0"/>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0.9444 </w:t>
                  </w:r>
                </w:p>
              </w:tc>
              <w:tc>
                <w:tcPr>
                  <w:tcW w:w="323" w:type="pct"/>
                  <w:vAlign w:val="center"/>
                </w:tcPr>
                <w:p w14:paraId="3DAFEF69">
                  <w:pPr>
                    <w:keepNext w:val="0"/>
                    <w:keepLines w:val="0"/>
                    <w:widowControl/>
                    <w:suppressLineNumbers w:val="0"/>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0.0009 </w:t>
                  </w:r>
                </w:p>
              </w:tc>
              <w:tc>
                <w:tcPr>
                  <w:tcW w:w="324" w:type="pct"/>
                  <w:vAlign w:val="center"/>
                </w:tcPr>
                <w:p w14:paraId="7DA81243">
                  <w:pPr>
                    <w:keepNext w:val="0"/>
                    <w:keepLines w:val="0"/>
                    <w:widowControl/>
                    <w:suppressLineNumbers w:val="0"/>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0.0068</w:t>
                  </w:r>
                </w:p>
              </w:tc>
              <w:tc>
                <w:tcPr>
                  <w:tcW w:w="402" w:type="pct"/>
                  <w:vAlign w:val="center"/>
                </w:tcPr>
                <w:p w14:paraId="71862529">
                  <w:pPr>
                    <w:keepNext w:val="0"/>
                    <w:keepLines w:val="0"/>
                    <w:widowControl/>
                    <w:suppressLineNumbers w:val="0"/>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0.0661 </w:t>
                  </w:r>
                </w:p>
              </w:tc>
              <w:tc>
                <w:tcPr>
                  <w:tcW w:w="380" w:type="pct"/>
                  <w:vAlign w:val="center"/>
                </w:tcPr>
                <w:p w14:paraId="57CFB714">
                  <w:pPr>
                    <w:keepNext w:val="0"/>
                    <w:keepLines w:val="0"/>
                    <w:widowControl/>
                    <w:suppressLineNumbers w:val="0"/>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0.0001 </w:t>
                  </w:r>
                </w:p>
              </w:tc>
              <w:tc>
                <w:tcPr>
                  <w:tcW w:w="327" w:type="pct"/>
                  <w:vAlign w:val="center"/>
                </w:tcPr>
                <w:p w14:paraId="10B6455B">
                  <w:pPr>
                    <w:keepNext w:val="0"/>
                    <w:keepLines w:val="0"/>
                    <w:widowControl/>
                    <w:suppressLineNumbers w:val="0"/>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0.0005 </w:t>
                  </w:r>
                </w:p>
              </w:tc>
              <w:tc>
                <w:tcPr>
                  <w:tcW w:w="280" w:type="pct"/>
                  <w:vMerge w:val="continue"/>
                  <w:vAlign w:val="center"/>
                </w:tcPr>
                <w:p w14:paraId="14C345F2">
                  <w:pPr>
                    <w:adjustRightInd w:val="0"/>
                    <w:snapToGrid w:val="0"/>
                    <w:jc w:val="center"/>
                    <w:rPr>
                      <w:rFonts w:hint="default" w:ascii="Times New Roman Regular" w:hAnsi="Times New Roman Regular" w:cs="Times New Roman Regular"/>
                      <w:color w:val="auto"/>
                      <w:szCs w:val="21"/>
                      <w:highlight w:val="none"/>
                    </w:rPr>
                  </w:pPr>
                </w:p>
              </w:tc>
              <w:tc>
                <w:tcPr>
                  <w:tcW w:w="252" w:type="pct"/>
                  <w:vMerge w:val="continue"/>
                  <w:vAlign w:val="center"/>
                </w:tcPr>
                <w:p w14:paraId="103481B6">
                  <w:pPr>
                    <w:adjustRightInd w:val="0"/>
                    <w:snapToGrid w:val="0"/>
                    <w:jc w:val="center"/>
                    <w:rPr>
                      <w:rFonts w:hint="default" w:ascii="Times New Roman Regular" w:hAnsi="Times New Roman Regular" w:cs="Times New Roman Regular"/>
                      <w:color w:val="auto"/>
                      <w:szCs w:val="21"/>
                      <w:highlight w:val="none"/>
                    </w:rPr>
                  </w:pPr>
                </w:p>
              </w:tc>
              <w:tc>
                <w:tcPr>
                  <w:tcW w:w="216" w:type="pct"/>
                  <w:vMerge w:val="continue"/>
                  <w:vAlign w:val="center"/>
                </w:tcPr>
                <w:p w14:paraId="2CAE057E">
                  <w:pPr>
                    <w:adjustRightInd w:val="0"/>
                    <w:snapToGrid w:val="0"/>
                    <w:jc w:val="center"/>
                    <w:rPr>
                      <w:rFonts w:hint="default" w:ascii="Times New Roman Regular" w:hAnsi="Times New Roman Regular" w:cs="Times New Roman Regular"/>
                      <w:color w:val="auto"/>
                      <w:szCs w:val="21"/>
                      <w:highlight w:val="none"/>
                    </w:rPr>
                  </w:pPr>
                </w:p>
              </w:tc>
              <w:tc>
                <w:tcPr>
                  <w:tcW w:w="343" w:type="pct"/>
                  <w:vMerge w:val="continue"/>
                  <w:vAlign w:val="center"/>
                </w:tcPr>
                <w:p w14:paraId="0FFD06BE">
                  <w:pPr>
                    <w:adjustRightInd w:val="0"/>
                    <w:snapToGrid w:val="0"/>
                    <w:jc w:val="center"/>
                    <w:rPr>
                      <w:rFonts w:hint="default" w:ascii="Times New Roman Regular" w:hAnsi="Times New Roman Regular" w:cs="Times New Roman Regular"/>
                      <w:color w:val="auto"/>
                      <w:szCs w:val="21"/>
                      <w:highlight w:val="none"/>
                    </w:rPr>
                  </w:pPr>
                </w:p>
              </w:tc>
              <w:tc>
                <w:tcPr>
                  <w:tcW w:w="415" w:type="pct"/>
                  <w:vMerge w:val="continue"/>
                  <w:vAlign w:val="center"/>
                </w:tcPr>
                <w:p w14:paraId="0B1FD094">
                  <w:pPr>
                    <w:adjustRightInd w:val="0"/>
                    <w:snapToGrid w:val="0"/>
                    <w:jc w:val="center"/>
                    <w:rPr>
                      <w:rFonts w:hint="default" w:ascii="Times New Roman Regular" w:hAnsi="Times New Roman Regular" w:cs="Times New Roman Regular"/>
                      <w:color w:val="auto"/>
                      <w:szCs w:val="21"/>
                      <w:highlight w:val="none"/>
                    </w:rPr>
                  </w:pPr>
                </w:p>
              </w:tc>
              <w:tc>
                <w:tcPr>
                  <w:tcW w:w="350" w:type="pct"/>
                  <w:vMerge w:val="continue"/>
                  <w:vAlign w:val="center"/>
                </w:tcPr>
                <w:p w14:paraId="03F2D112">
                  <w:pPr>
                    <w:adjustRightInd w:val="0"/>
                    <w:snapToGrid w:val="0"/>
                    <w:jc w:val="center"/>
                    <w:rPr>
                      <w:rFonts w:hint="default" w:ascii="Times New Roman Regular" w:hAnsi="Times New Roman Regular" w:cs="Times New Roman Regular"/>
                      <w:color w:val="auto"/>
                      <w:szCs w:val="21"/>
                      <w:highlight w:val="none"/>
                    </w:rPr>
                  </w:pPr>
                </w:p>
              </w:tc>
              <w:tc>
                <w:tcPr>
                  <w:tcW w:w="300" w:type="pct"/>
                  <w:vMerge w:val="continue"/>
                  <w:vAlign w:val="center"/>
                </w:tcPr>
                <w:p w14:paraId="2E47242C">
                  <w:pPr>
                    <w:adjustRightInd w:val="0"/>
                    <w:snapToGrid w:val="0"/>
                    <w:jc w:val="center"/>
                    <w:rPr>
                      <w:rFonts w:hint="default" w:ascii="Times New Roman Regular" w:hAnsi="Times New Roman Regular" w:cs="Times New Roman Regular"/>
                      <w:color w:val="auto"/>
                      <w:szCs w:val="21"/>
                      <w:highlight w:val="none"/>
                    </w:rPr>
                  </w:pPr>
                </w:p>
              </w:tc>
            </w:tr>
            <w:tr w14:paraId="5C616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6" w:type="pct"/>
                  <w:vAlign w:val="center"/>
                </w:tcPr>
                <w:p w14:paraId="385C93F2">
                  <w:pPr>
                    <w:adjustRightInd w:val="0"/>
                    <w:snapToGrid w:val="0"/>
                    <w:jc w:val="center"/>
                    <w:rPr>
                      <w:rFonts w:hint="default" w:ascii="Times New Roman Regular" w:hAnsi="Times New Roman Regular" w:cs="Times New Roman Regular"/>
                      <w:bCs/>
                      <w:color w:val="auto"/>
                      <w:szCs w:val="21"/>
                      <w:highlight w:val="none"/>
                    </w:rPr>
                  </w:pPr>
                  <w:r>
                    <w:rPr>
                      <w:rFonts w:hint="default" w:ascii="Times New Roman Regular" w:hAnsi="Times New Roman Regular" w:cs="Times New Roman Regular"/>
                      <w:bCs/>
                      <w:color w:val="auto"/>
                      <w:szCs w:val="21"/>
                      <w:highlight w:val="none"/>
                    </w:rPr>
                    <w:t>4</w:t>
                  </w:r>
                </w:p>
              </w:tc>
              <w:tc>
                <w:tcPr>
                  <w:tcW w:w="272" w:type="pct"/>
                  <w:vMerge w:val="continue"/>
                  <w:vAlign w:val="center"/>
                </w:tcPr>
                <w:p w14:paraId="211847AA">
                  <w:pPr>
                    <w:adjustRightInd w:val="0"/>
                    <w:snapToGrid w:val="0"/>
                    <w:jc w:val="center"/>
                    <w:rPr>
                      <w:rFonts w:hint="default" w:ascii="Times New Roman Regular" w:hAnsi="Times New Roman Regular" w:cs="Times New Roman Regular"/>
                      <w:color w:val="auto"/>
                      <w:szCs w:val="21"/>
                      <w:highlight w:val="none"/>
                    </w:rPr>
                  </w:pPr>
                </w:p>
              </w:tc>
              <w:tc>
                <w:tcPr>
                  <w:tcW w:w="357" w:type="pct"/>
                  <w:vAlign w:val="center"/>
                </w:tcPr>
                <w:p w14:paraId="2AC61115">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颗粒物</w:t>
                  </w:r>
                </w:p>
              </w:tc>
              <w:tc>
                <w:tcPr>
                  <w:tcW w:w="338" w:type="pct"/>
                  <w:vAlign w:val="center"/>
                </w:tcPr>
                <w:p w14:paraId="44A9AE39">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75 </w:t>
                  </w:r>
                </w:p>
              </w:tc>
              <w:tc>
                <w:tcPr>
                  <w:tcW w:w="323" w:type="pct"/>
                  <w:vAlign w:val="center"/>
                </w:tcPr>
                <w:p w14:paraId="0504A9B8">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0.2250 </w:t>
                  </w:r>
                </w:p>
              </w:tc>
              <w:tc>
                <w:tcPr>
                  <w:tcW w:w="324" w:type="pct"/>
                  <w:vAlign w:val="center"/>
                </w:tcPr>
                <w:p w14:paraId="14A43AEB">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1.62</w:t>
                  </w:r>
                </w:p>
              </w:tc>
              <w:tc>
                <w:tcPr>
                  <w:tcW w:w="402" w:type="pct"/>
                  <w:vAlign w:val="center"/>
                </w:tcPr>
                <w:p w14:paraId="3CFB0CDD">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3.8 </w:t>
                  </w:r>
                </w:p>
              </w:tc>
              <w:tc>
                <w:tcPr>
                  <w:tcW w:w="380" w:type="pct"/>
                  <w:vAlign w:val="center"/>
                </w:tcPr>
                <w:p w14:paraId="4D54E643">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0.0113 </w:t>
                  </w:r>
                </w:p>
              </w:tc>
              <w:tc>
                <w:tcPr>
                  <w:tcW w:w="327" w:type="pct"/>
                  <w:vAlign w:val="center"/>
                </w:tcPr>
                <w:p w14:paraId="285A5E6D">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0.0810 </w:t>
                  </w:r>
                </w:p>
              </w:tc>
              <w:tc>
                <w:tcPr>
                  <w:tcW w:w="280" w:type="pct"/>
                  <w:vMerge w:val="continue"/>
                  <w:vAlign w:val="center"/>
                </w:tcPr>
                <w:p w14:paraId="404D334F">
                  <w:pPr>
                    <w:adjustRightInd w:val="0"/>
                    <w:snapToGrid w:val="0"/>
                    <w:jc w:val="center"/>
                    <w:rPr>
                      <w:rFonts w:hint="default" w:ascii="Times New Roman Regular" w:hAnsi="Times New Roman Regular" w:cs="Times New Roman Regular"/>
                      <w:color w:val="auto"/>
                      <w:szCs w:val="21"/>
                      <w:highlight w:val="none"/>
                    </w:rPr>
                  </w:pPr>
                </w:p>
              </w:tc>
              <w:tc>
                <w:tcPr>
                  <w:tcW w:w="252" w:type="pct"/>
                  <w:vMerge w:val="continue"/>
                  <w:vAlign w:val="center"/>
                </w:tcPr>
                <w:p w14:paraId="2DDE25F6">
                  <w:pPr>
                    <w:adjustRightInd w:val="0"/>
                    <w:snapToGrid w:val="0"/>
                    <w:jc w:val="center"/>
                    <w:rPr>
                      <w:rFonts w:hint="default" w:ascii="Times New Roman Regular" w:hAnsi="Times New Roman Regular" w:cs="Times New Roman Regular"/>
                      <w:color w:val="auto"/>
                      <w:szCs w:val="21"/>
                      <w:highlight w:val="none"/>
                    </w:rPr>
                  </w:pPr>
                </w:p>
              </w:tc>
              <w:tc>
                <w:tcPr>
                  <w:tcW w:w="216" w:type="pct"/>
                  <w:vMerge w:val="continue"/>
                  <w:vAlign w:val="center"/>
                </w:tcPr>
                <w:p w14:paraId="7A75F4C4">
                  <w:pPr>
                    <w:adjustRightInd w:val="0"/>
                    <w:snapToGrid w:val="0"/>
                    <w:jc w:val="center"/>
                    <w:rPr>
                      <w:rFonts w:hint="default" w:ascii="Times New Roman Regular" w:hAnsi="Times New Roman Regular" w:cs="Times New Roman Regular"/>
                      <w:color w:val="auto"/>
                      <w:szCs w:val="21"/>
                      <w:highlight w:val="none"/>
                    </w:rPr>
                  </w:pPr>
                </w:p>
              </w:tc>
              <w:tc>
                <w:tcPr>
                  <w:tcW w:w="343" w:type="pct"/>
                  <w:vMerge w:val="continue"/>
                  <w:vAlign w:val="center"/>
                </w:tcPr>
                <w:p w14:paraId="0E813ABA">
                  <w:pPr>
                    <w:adjustRightInd w:val="0"/>
                    <w:snapToGrid w:val="0"/>
                    <w:jc w:val="center"/>
                    <w:rPr>
                      <w:rFonts w:hint="default" w:ascii="Times New Roman Regular" w:hAnsi="Times New Roman Regular" w:cs="Times New Roman Regular"/>
                      <w:color w:val="auto"/>
                      <w:szCs w:val="21"/>
                      <w:highlight w:val="none"/>
                    </w:rPr>
                  </w:pPr>
                </w:p>
              </w:tc>
              <w:tc>
                <w:tcPr>
                  <w:tcW w:w="415" w:type="pct"/>
                  <w:vMerge w:val="continue"/>
                  <w:vAlign w:val="center"/>
                </w:tcPr>
                <w:p w14:paraId="7C1486CA">
                  <w:pPr>
                    <w:adjustRightInd w:val="0"/>
                    <w:snapToGrid w:val="0"/>
                    <w:jc w:val="center"/>
                    <w:rPr>
                      <w:rFonts w:hint="default" w:ascii="Times New Roman Regular" w:hAnsi="Times New Roman Regular" w:cs="Times New Roman Regular"/>
                      <w:color w:val="auto"/>
                      <w:szCs w:val="21"/>
                      <w:highlight w:val="none"/>
                    </w:rPr>
                  </w:pPr>
                </w:p>
              </w:tc>
              <w:tc>
                <w:tcPr>
                  <w:tcW w:w="350" w:type="pct"/>
                  <w:vAlign w:val="center"/>
                </w:tcPr>
                <w:p w14:paraId="4A020357">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20</w:t>
                  </w:r>
                </w:p>
              </w:tc>
              <w:tc>
                <w:tcPr>
                  <w:tcW w:w="300" w:type="pct"/>
                  <w:vAlign w:val="center"/>
                </w:tcPr>
                <w:p w14:paraId="72A4572E">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w:t>
                  </w:r>
                </w:p>
              </w:tc>
            </w:tr>
            <w:tr w14:paraId="327BA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 w:type="pct"/>
                  <w:gridSpan w:val="2"/>
                  <w:vMerge w:val="restart"/>
                  <w:vAlign w:val="center"/>
                </w:tcPr>
                <w:p w14:paraId="1C063333">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合计</w:t>
                  </w:r>
                </w:p>
              </w:tc>
              <w:tc>
                <w:tcPr>
                  <w:tcW w:w="357" w:type="pct"/>
                  <w:vAlign w:val="center"/>
                </w:tcPr>
                <w:p w14:paraId="4F6010AD">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VOCs</w:t>
                  </w:r>
                </w:p>
              </w:tc>
              <w:tc>
                <w:tcPr>
                  <w:tcW w:w="694" w:type="dxa"/>
                  <w:vAlign w:val="center"/>
                </w:tcPr>
                <w:p w14:paraId="223A3AA8">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highlight w:val="none"/>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52.2806 </w:t>
                  </w:r>
                </w:p>
              </w:tc>
              <w:tc>
                <w:tcPr>
                  <w:tcW w:w="663" w:type="dxa"/>
                  <w:vAlign w:val="center"/>
                </w:tcPr>
                <w:p w14:paraId="1B1EE84F">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highlight w:val="none"/>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0.0523 </w:t>
                  </w:r>
                </w:p>
              </w:tc>
              <w:tc>
                <w:tcPr>
                  <w:tcW w:w="665" w:type="dxa"/>
                  <w:vAlign w:val="center"/>
                </w:tcPr>
                <w:p w14:paraId="446DE179">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highlight w:val="none"/>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0.3764</w:t>
                  </w:r>
                </w:p>
              </w:tc>
              <w:tc>
                <w:tcPr>
                  <w:tcW w:w="825" w:type="dxa"/>
                  <w:vAlign w:val="center"/>
                </w:tcPr>
                <w:p w14:paraId="61019918">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highlight w:val="none"/>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3.6596 </w:t>
                  </w:r>
                </w:p>
              </w:tc>
              <w:tc>
                <w:tcPr>
                  <w:tcW w:w="780" w:type="dxa"/>
                  <w:vAlign w:val="center"/>
                </w:tcPr>
                <w:p w14:paraId="5D85C8FE">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highlight w:val="none"/>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0.0037 </w:t>
                  </w:r>
                </w:p>
              </w:tc>
              <w:tc>
                <w:tcPr>
                  <w:tcW w:w="671" w:type="dxa"/>
                  <w:vAlign w:val="center"/>
                </w:tcPr>
                <w:p w14:paraId="73DE5DB8">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highlight w:val="none"/>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0.0263 </w:t>
                  </w:r>
                </w:p>
              </w:tc>
              <w:tc>
                <w:tcPr>
                  <w:tcW w:w="280" w:type="pct"/>
                  <w:vMerge w:val="restart"/>
                  <w:vAlign w:val="center"/>
                </w:tcPr>
                <w:p w14:paraId="03ED4D57">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15</w:t>
                  </w:r>
                </w:p>
              </w:tc>
              <w:tc>
                <w:tcPr>
                  <w:tcW w:w="252" w:type="pct"/>
                  <w:vMerge w:val="restart"/>
                  <w:vAlign w:val="center"/>
                </w:tcPr>
                <w:p w14:paraId="70E7A904">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0.5</w:t>
                  </w:r>
                </w:p>
              </w:tc>
              <w:tc>
                <w:tcPr>
                  <w:tcW w:w="216" w:type="pct"/>
                  <w:vMerge w:val="restart"/>
                  <w:vAlign w:val="center"/>
                </w:tcPr>
                <w:p w14:paraId="72F106F0">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FQ-1</w:t>
                  </w:r>
                </w:p>
              </w:tc>
              <w:tc>
                <w:tcPr>
                  <w:tcW w:w="343" w:type="pct"/>
                  <w:vMerge w:val="restart"/>
                  <w:vAlign w:val="center"/>
                </w:tcPr>
                <w:p w14:paraId="6368A2AD">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一般排放口</w:t>
                  </w:r>
                </w:p>
              </w:tc>
              <w:tc>
                <w:tcPr>
                  <w:tcW w:w="415" w:type="pct"/>
                  <w:vMerge w:val="restart"/>
                  <w:vAlign w:val="center"/>
                </w:tcPr>
                <w:p w14:paraId="29C081DB">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121.1174，31.8450</w:t>
                  </w:r>
                </w:p>
              </w:tc>
              <w:tc>
                <w:tcPr>
                  <w:tcW w:w="350" w:type="pct"/>
                  <w:vAlign w:val="center"/>
                </w:tcPr>
                <w:p w14:paraId="137392B8">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60</w:t>
                  </w:r>
                </w:p>
              </w:tc>
              <w:tc>
                <w:tcPr>
                  <w:tcW w:w="300" w:type="pct"/>
                  <w:vAlign w:val="center"/>
                </w:tcPr>
                <w:p w14:paraId="66DA98FD">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3</w:t>
                  </w:r>
                </w:p>
              </w:tc>
            </w:tr>
            <w:tr w14:paraId="4D620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 w:type="pct"/>
                  <w:gridSpan w:val="2"/>
                  <w:vMerge w:val="continue"/>
                  <w:vAlign w:val="center"/>
                </w:tcPr>
                <w:p w14:paraId="5B5E6775">
                  <w:pPr>
                    <w:adjustRightInd w:val="0"/>
                    <w:snapToGrid w:val="0"/>
                    <w:jc w:val="center"/>
                    <w:rPr>
                      <w:rFonts w:hint="default" w:ascii="Times New Roman Regular" w:hAnsi="Times New Roman Regular" w:cs="Times New Roman Regular"/>
                      <w:color w:val="auto"/>
                      <w:szCs w:val="21"/>
                      <w:highlight w:val="none"/>
                    </w:rPr>
                  </w:pPr>
                </w:p>
              </w:tc>
              <w:tc>
                <w:tcPr>
                  <w:tcW w:w="357" w:type="pct"/>
                  <w:vAlign w:val="center"/>
                </w:tcPr>
                <w:p w14:paraId="188B650F">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颗粒物</w:t>
                  </w:r>
                </w:p>
              </w:tc>
              <w:tc>
                <w:tcPr>
                  <w:tcW w:w="338" w:type="pct"/>
                  <w:vAlign w:val="center"/>
                </w:tcPr>
                <w:p w14:paraId="44F6F14F">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75 </w:t>
                  </w:r>
                </w:p>
              </w:tc>
              <w:tc>
                <w:tcPr>
                  <w:tcW w:w="323" w:type="pct"/>
                  <w:vAlign w:val="center"/>
                </w:tcPr>
                <w:p w14:paraId="5741E160">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0.2250 </w:t>
                  </w:r>
                </w:p>
              </w:tc>
              <w:tc>
                <w:tcPr>
                  <w:tcW w:w="324" w:type="pct"/>
                  <w:vAlign w:val="center"/>
                </w:tcPr>
                <w:p w14:paraId="48BD430C">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1.62</w:t>
                  </w:r>
                </w:p>
              </w:tc>
              <w:tc>
                <w:tcPr>
                  <w:tcW w:w="402" w:type="pct"/>
                  <w:vAlign w:val="center"/>
                </w:tcPr>
                <w:p w14:paraId="535A3A02">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3.8 </w:t>
                  </w:r>
                </w:p>
              </w:tc>
              <w:tc>
                <w:tcPr>
                  <w:tcW w:w="380" w:type="pct"/>
                  <w:vAlign w:val="center"/>
                </w:tcPr>
                <w:p w14:paraId="2155B7F5">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0.0113 </w:t>
                  </w:r>
                </w:p>
              </w:tc>
              <w:tc>
                <w:tcPr>
                  <w:tcW w:w="327" w:type="pct"/>
                  <w:vAlign w:val="center"/>
                </w:tcPr>
                <w:p w14:paraId="5C681A1F">
                  <w:pPr>
                    <w:widowControl/>
                    <w:jc w:val="center"/>
                    <w:textAlignment w:val="center"/>
                    <w:rPr>
                      <w:rFonts w:hint="default" w:ascii="Times New Roman Regular" w:hAnsi="Times New Roman Regular" w:cs="Times New Roman Regular"/>
                      <w:color w:val="auto"/>
                      <w:kern w:val="0"/>
                      <w:szCs w:val="21"/>
                      <w:highlight w:val="none"/>
                    </w:rPr>
                  </w:pPr>
                  <w:r>
                    <w:rPr>
                      <w:rFonts w:hint="default" w:ascii="Times New Roman Regular" w:hAnsi="Times New Roman Regular" w:cs="Times New Roman Regular"/>
                      <w:color w:val="auto"/>
                      <w:kern w:val="0"/>
                      <w:szCs w:val="21"/>
                      <w:highlight w:val="none"/>
                    </w:rPr>
                    <w:t xml:space="preserve">0.0810 </w:t>
                  </w:r>
                </w:p>
              </w:tc>
              <w:tc>
                <w:tcPr>
                  <w:tcW w:w="280" w:type="pct"/>
                  <w:vMerge w:val="continue"/>
                  <w:vAlign w:val="center"/>
                </w:tcPr>
                <w:p w14:paraId="2BF7046A">
                  <w:pPr>
                    <w:adjustRightInd w:val="0"/>
                    <w:snapToGrid w:val="0"/>
                    <w:jc w:val="center"/>
                    <w:rPr>
                      <w:rFonts w:hint="default" w:ascii="Times New Roman Regular" w:hAnsi="Times New Roman Regular" w:cs="Times New Roman Regular"/>
                      <w:color w:val="auto"/>
                      <w:szCs w:val="21"/>
                      <w:highlight w:val="none"/>
                    </w:rPr>
                  </w:pPr>
                </w:p>
              </w:tc>
              <w:tc>
                <w:tcPr>
                  <w:tcW w:w="252" w:type="pct"/>
                  <w:vMerge w:val="continue"/>
                  <w:vAlign w:val="center"/>
                </w:tcPr>
                <w:p w14:paraId="61372459">
                  <w:pPr>
                    <w:adjustRightInd w:val="0"/>
                    <w:snapToGrid w:val="0"/>
                    <w:jc w:val="center"/>
                    <w:rPr>
                      <w:rFonts w:hint="default" w:ascii="Times New Roman Regular" w:hAnsi="Times New Roman Regular" w:cs="Times New Roman Regular"/>
                      <w:color w:val="auto"/>
                      <w:szCs w:val="21"/>
                      <w:highlight w:val="none"/>
                    </w:rPr>
                  </w:pPr>
                </w:p>
              </w:tc>
              <w:tc>
                <w:tcPr>
                  <w:tcW w:w="216" w:type="pct"/>
                  <w:vMerge w:val="continue"/>
                  <w:vAlign w:val="center"/>
                </w:tcPr>
                <w:p w14:paraId="16E319F7">
                  <w:pPr>
                    <w:adjustRightInd w:val="0"/>
                    <w:snapToGrid w:val="0"/>
                    <w:jc w:val="center"/>
                    <w:rPr>
                      <w:rFonts w:hint="default" w:ascii="Times New Roman Regular" w:hAnsi="Times New Roman Regular" w:cs="Times New Roman Regular"/>
                      <w:color w:val="auto"/>
                      <w:szCs w:val="21"/>
                      <w:highlight w:val="none"/>
                    </w:rPr>
                  </w:pPr>
                </w:p>
              </w:tc>
              <w:tc>
                <w:tcPr>
                  <w:tcW w:w="343" w:type="pct"/>
                  <w:vMerge w:val="continue"/>
                  <w:vAlign w:val="center"/>
                </w:tcPr>
                <w:p w14:paraId="7D47F8D3">
                  <w:pPr>
                    <w:adjustRightInd w:val="0"/>
                    <w:snapToGrid w:val="0"/>
                    <w:jc w:val="center"/>
                    <w:rPr>
                      <w:rFonts w:hint="default" w:ascii="Times New Roman Regular" w:hAnsi="Times New Roman Regular" w:cs="Times New Roman Regular"/>
                      <w:color w:val="auto"/>
                      <w:szCs w:val="21"/>
                      <w:highlight w:val="none"/>
                    </w:rPr>
                  </w:pPr>
                </w:p>
              </w:tc>
              <w:tc>
                <w:tcPr>
                  <w:tcW w:w="415" w:type="pct"/>
                  <w:vMerge w:val="continue"/>
                  <w:vAlign w:val="center"/>
                </w:tcPr>
                <w:p w14:paraId="50113B93">
                  <w:pPr>
                    <w:adjustRightInd w:val="0"/>
                    <w:snapToGrid w:val="0"/>
                    <w:jc w:val="center"/>
                    <w:rPr>
                      <w:rFonts w:hint="default" w:ascii="Times New Roman Regular" w:hAnsi="Times New Roman Regular" w:cs="Times New Roman Regular"/>
                      <w:color w:val="auto"/>
                      <w:szCs w:val="21"/>
                      <w:highlight w:val="none"/>
                    </w:rPr>
                  </w:pPr>
                </w:p>
              </w:tc>
              <w:tc>
                <w:tcPr>
                  <w:tcW w:w="350" w:type="pct"/>
                  <w:vAlign w:val="center"/>
                </w:tcPr>
                <w:p w14:paraId="4F9F9FFE">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20</w:t>
                  </w:r>
                </w:p>
              </w:tc>
              <w:tc>
                <w:tcPr>
                  <w:tcW w:w="300" w:type="pct"/>
                  <w:vAlign w:val="center"/>
                </w:tcPr>
                <w:p w14:paraId="2CDA0DD8">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w:t>
                  </w:r>
                </w:p>
              </w:tc>
            </w:tr>
          </w:tbl>
          <w:p w14:paraId="4445791D">
            <w:pPr>
              <w:adjustRightInd w:val="0"/>
              <w:snapToGrid w:val="0"/>
              <w:rPr>
                <w:rFonts w:hint="default" w:ascii="Times New Roman Regular" w:hAnsi="Times New Roman Regular" w:cs="Times New Roman Regular"/>
                <w:color w:val="auto"/>
                <w:kern w:val="0"/>
                <w:sz w:val="10"/>
                <w:szCs w:val="10"/>
                <w:highlight w:val="none"/>
              </w:rPr>
            </w:pPr>
          </w:p>
          <w:p w14:paraId="6D611684">
            <w:pPr>
              <w:adjustRightInd w:val="0"/>
              <w:snapToGrid w:val="0"/>
              <w:spacing w:line="360" w:lineRule="auto"/>
              <w:ind w:firstLine="480" w:firstLineChars="200"/>
              <w:jc w:val="left"/>
              <w:rPr>
                <w:rFonts w:hint="default" w:ascii="Times New Roman Regular" w:hAnsi="Times New Roman Regular" w:cs="Times New Roman Regular"/>
                <w:color w:val="auto"/>
                <w:kern w:val="0"/>
                <w:sz w:val="24"/>
              </w:rPr>
            </w:pPr>
            <w:r>
              <w:rPr>
                <w:rFonts w:hint="default" w:ascii="Times New Roman Regular" w:hAnsi="Times New Roman Regular" w:cs="Times New Roman Regular"/>
                <w:color w:val="auto"/>
                <w:kern w:val="0"/>
                <w:sz w:val="24"/>
              </w:rPr>
              <w:t>本次</w:t>
            </w:r>
            <w:r>
              <w:rPr>
                <w:rFonts w:hint="default" w:ascii="Times New Roman Regular" w:hAnsi="Times New Roman Regular" w:cs="Times New Roman Regular"/>
                <w:color w:val="auto"/>
                <w:kern w:val="0"/>
                <w:sz w:val="24"/>
                <w:lang w:val="en-US" w:eastAsia="zh-Hans"/>
              </w:rPr>
              <w:t>改建</w:t>
            </w:r>
            <w:r>
              <w:rPr>
                <w:rFonts w:hint="default" w:ascii="Times New Roman Regular" w:hAnsi="Times New Roman Regular" w:cs="Times New Roman Regular"/>
                <w:color w:val="auto"/>
                <w:kern w:val="0"/>
                <w:sz w:val="24"/>
              </w:rPr>
              <w:t>项目建成后，全厂有组织废气排放情况见下表。</w:t>
            </w:r>
          </w:p>
          <w:p w14:paraId="0236E5DC">
            <w:pPr>
              <w:adjustRightInd w:val="0"/>
              <w:snapToGrid w:val="0"/>
              <w:ind w:firstLine="482" w:firstLineChars="200"/>
              <w:jc w:val="center"/>
              <w:rPr>
                <w:rFonts w:hint="default" w:ascii="Times New Roman Regular" w:hAnsi="Times New Roman Regular" w:cs="Times New Roman Regular"/>
                <w:b/>
                <w:bCs/>
                <w:color w:val="auto"/>
                <w:kern w:val="0"/>
                <w:sz w:val="24"/>
              </w:rPr>
            </w:pPr>
            <w:r>
              <w:rPr>
                <w:rFonts w:hint="default" w:ascii="Times New Roman Regular" w:hAnsi="Times New Roman Regular" w:cs="Times New Roman Regular"/>
                <w:b/>
                <w:bCs/>
                <w:color w:val="auto"/>
                <w:kern w:val="0"/>
                <w:sz w:val="24"/>
              </w:rPr>
              <w:t>表4-4 全厂有组织废气排放情况一览表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0"/>
              <w:gridCol w:w="599"/>
              <w:gridCol w:w="798"/>
              <w:gridCol w:w="1068"/>
              <w:gridCol w:w="931"/>
              <w:gridCol w:w="845"/>
              <w:gridCol w:w="867"/>
              <w:gridCol w:w="640"/>
              <w:gridCol w:w="619"/>
              <w:gridCol w:w="765"/>
              <w:gridCol w:w="1126"/>
              <w:gridCol w:w="916"/>
              <w:gridCol w:w="791"/>
            </w:tblGrid>
            <w:tr w14:paraId="25127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 w:type="pct"/>
                  <w:vMerge w:val="restart"/>
                  <w:noWrap w:val="0"/>
                  <w:vAlign w:val="center"/>
                </w:tcPr>
                <w:p w14:paraId="5C664692">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序号</w:t>
                  </w:r>
                </w:p>
              </w:tc>
              <w:tc>
                <w:tcPr>
                  <w:tcW w:w="292" w:type="pct"/>
                  <w:vMerge w:val="restart"/>
                  <w:noWrap w:val="0"/>
                  <w:vAlign w:val="center"/>
                </w:tcPr>
                <w:p w14:paraId="2BCBB207">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废气产污环节</w:t>
                  </w:r>
                </w:p>
              </w:tc>
              <w:tc>
                <w:tcPr>
                  <w:tcW w:w="389" w:type="pct"/>
                  <w:vMerge w:val="restart"/>
                  <w:noWrap w:val="0"/>
                  <w:vAlign w:val="center"/>
                </w:tcPr>
                <w:p w14:paraId="30D5706E">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污染物种类</w:t>
                  </w:r>
                </w:p>
              </w:tc>
              <w:tc>
                <w:tcPr>
                  <w:tcW w:w="1387" w:type="pct"/>
                  <w:gridSpan w:val="3"/>
                  <w:noWrap w:val="0"/>
                  <w:vAlign w:val="center"/>
                </w:tcPr>
                <w:p w14:paraId="1EB6B233">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排放情况</w:t>
                  </w:r>
                </w:p>
              </w:tc>
              <w:tc>
                <w:tcPr>
                  <w:tcW w:w="1960" w:type="pct"/>
                  <w:gridSpan w:val="5"/>
                  <w:noWrap w:val="0"/>
                  <w:vAlign w:val="center"/>
                </w:tcPr>
                <w:p w14:paraId="033236A8">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排放口基本情况</w:t>
                  </w:r>
                </w:p>
              </w:tc>
              <w:tc>
                <w:tcPr>
                  <w:tcW w:w="833" w:type="pct"/>
                  <w:gridSpan w:val="2"/>
                  <w:noWrap w:val="0"/>
                  <w:vAlign w:val="center"/>
                </w:tcPr>
                <w:p w14:paraId="744555E5">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排放标准</w:t>
                  </w:r>
                </w:p>
              </w:tc>
            </w:tr>
            <w:tr w14:paraId="09DDA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 w:type="pct"/>
                  <w:vMerge w:val="continue"/>
                  <w:noWrap w:val="0"/>
                  <w:vAlign w:val="center"/>
                </w:tcPr>
                <w:p w14:paraId="05204DF2">
                  <w:pPr>
                    <w:adjustRightInd w:val="0"/>
                    <w:snapToGrid w:val="0"/>
                    <w:jc w:val="center"/>
                    <w:rPr>
                      <w:rFonts w:hint="default" w:ascii="Times New Roman Regular" w:hAnsi="Times New Roman Regular" w:cs="Times New Roman Regular"/>
                      <w:b/>
                      <w:bCs/>
                      <w:color w:val="auto"/>
                      <w:szCs w:val="21"/>
                    </w:rPr>
                  </w:pPr>
                </w:p>
              </w:tc>
              <w:tc>
                <w:tcPr>
                  <w:tcW w:w="292" w:type="pct"/>
                  <w:vMerge w:val="continue"/>
                  <w:noWrap w:val="0"/>
                  <w:vAlign w:val="center"/>
                </w:tcPr>
                <w:p w14:paraId="2776188A">
                  <w:pPr>
                    <w:adjustRightInd w:val="0"/>
                    <w:snapToGrid w:val="0"/>
                    <w:jc w:val="center"/>
                    <w:rPr>
                      <w:rFonts w:hint="default" w:ascii="Times New Roman Regular" w:hAnsi="Times New Roman Regular" w:cs="Times New Roman Regular"/>
                      <w:b/>
                      <w:bCs/>
                      <w:color w:val="auto"/>
                      <w:szCs w:val="21"/>
                    </w:rPr>
                  </w:pPr>
                </w:p>
              </w:tc>
              <w:tc>
                <w:tcPr>
                  <w:tcW w:w="389" w:type="pct"/>
                  <w:vMerge w:val="continue"/>
                  <w:noWrap w:val="0"/>
                  <w:vAlign w:val="center"/>
                </w:tcPr>
                <w:p w14:paraId="4CAEA004">
                  <w:pPr>
                    <w:adjustRightInd w:val="0"/>
                    <w:snapToGrid w:val="0"/>
                    <w:jc w:val="center"/>
                    <w:rPr>
                      <w:rFonts w:hint="default" w:ascii="Times New Roman Regular" w:hAnsi="Times New Roman Regular" w:cs="Times New Roman Regular"/>
                      <w:b/>
                      <w:bCs/>
                      <w:color w:val="auto"/>
                      <w:szCs w:val="21"/>
                    </w:rPr>
                  </w:pPr>
                </w:p>
              </w:tc>
              <w:tc>
                <w:tcPr>
                  <w:tcW w:w="521" w:type="pct"/>
                  <w:noWrap w:val="0"/>
                  <w:vAlign w:val="center"/>
                </w:tcPr>
                <w:p w14:paraId="124E2911">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浓度(mg/m</w:t>
                  </w:r>
                  <w:r>
                    <w:rPr>
                      <w:rFonts w:hint="default" w:ascii="Times New Roman Regular" w:hAnsi="Times New Roman Regular" w:cs="Times New Roman Regular"/>
                      <w:b/>
                      <w:bCs/>
                      <w:color w:val="auto"/>
                      <w:szCs w:val="21"/>
                      <w:vertAlign w:val="superscript"/>
                    </w:rPr>
                    <w:t>3</w:t>
                  </w:r>
                  <w:r>
                    <w:rPr>
                      <w:rFonts w:hint="default" w:ascii="Times New Roman Regular" w:hAnsi="Times New Roman Regular" w:cs="Times New Roman Regular"/>
                      <w:b/>
                      <w:bCs/>
                      <w:color w:val="auto"/>
                      <w:szCs w:val="21"/>
                    </w:rPr>
                    <w:t>)</w:t>
                  </w:r>
                </w:p>
              </w:tc>
              <w:tc>
                <w:tcPr>
                  <w:tcW w:w="454" w:type="pct"/>
                  <w:noWrap w:val="0"/>
                  <w:vAlign w:val="center"/>
                </w:tcPr>
                <w:p w14:paraId="25F6587C">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速率(kg/h)</w:t>
                  </w:r>
                </w:p>
              </w:tc>
              <w:tc>
                <w:tcPr>
                  <w:tcW w:w="412" w:type="pct"/>
                  <w:noWrap w:val="0"/>
                  <w:vAlign w:val="center"/>
                </w:tcPr>
                <w:p w14:paraId="5AFB0D79">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排放量(t/a)</w:t>
                  </w:r>
                </w:p>
              </w:tc>
              <w:tc>
                <w:tcPr>
                  <w:tcW w:w="423" w:type="pct"/>
                  <w:noWrap w:val="0"/>
                  <w:vAlign w:val="center"/>
                </w:tcPr>
                <w:p w14:paraId="531A7244">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排气筒高度(m)</w:t>
                  </w:r>
                </w:p>
              </w:tc>
              <w:tc>
                <w:tcPr>
                  <w:tcW w:w="312" w:type="pct"/>
                  <w:noWrap w:val="0"/>
                  <w:vAlign w:val="center"/>
                </w:tcPr>
                <w:p w14:paraId="5DFDF998">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内径(m)</w:t>
                  </w:r>
                </w:p>
              </w:tc>
              <w:tc>
                <w:tcPr>
                  <w:tcW w:w="302" w:type="pct"/>
                  <w:noWrap w:val="0"/>
                  <w:vAlign w:val="center"/>
                </w:tcPr>
                <w:p w14:paraId="73FD2FB4">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编号及名称</w:t>
                  </w:r>
                </w:p>
              </w:tc>
              <w:tc>
                <w:tcPr>
                  <w:tcW w:w="373" w:type="pct"/>
                  <w:noWrap w:val="0"/>
                  <w:vAlign w:val="center"/>
                </w:tcPr>
                <w:p w14:paraId="0915164D">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类型</w:t>
                  </w:r>
                </w:p>
              </w:tc>
              <w:tc>
                <w:tcPr>
                  <w:tcW w:w="549" w:type="pct"/>
                  <w:noWrap w:val="0"/>
                  <w:vAlign w:val="center"/>
                </w:tcPr>
                <w:p w14:paraId="0CC6251D">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地理坐标</w:t>
                  </w:r>
                </w:p>
              </w:tc>
              <w:tc>
                <w:tcPr>
                  <w:tcW w:w="447" w:type="pct"/>
                  <w:noWrap w:val="0"/>
                  <w:vAlign w:val="center"/>
                </w:tcPr>
                <w:p w14:paraId="0E417EF9">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浓度(mg/m</w:t>
                  </w:r>
                  <w:r>
                    <w:rPr>
                      <w:rFonts w:hint="default" w:ascii="Times New Roman Regular" w:hAnsi="Times New Roman Regular" w:cs="Times New Roman Regular"/>
                      <w:b/>
                      <w:bCs/>
                      <w:color w:val="auto"/>
                      <w:szCs w:val="21"/>
                      <w:vertAlign w:val="superscript"/>
                    </w:rPr>
                    <w:t>3</w:t>
                  </w:r>
                  <w:r>
                    <w:rPr>
                      <w:rFonts w:hint="default" w:ascii="Times New Roman Regular" w:hAnsi="Times New Roman Regular" w:cs="Times New Roman Regular"/>
                      <w:b/>
                      <w:bCs/>
                      <w:color w:val="auto"/>
                      <w:szCs w:val="21"/>
                    </w:rPr>
                    <w:t>)</w:t>
                  </w:r>
                </w:p>
              </w:tc>
              <w:tc>
                <w:tcPr>
                  <w:tcW w:w="386" w:type="pct"/>
                  <w:noWrap w:val="0"/>
                  <w:vAlign w:val="center"/>
                </w:tcPr>
                <w:p w14:paraId="684D5462">
                  <w:pPr>
                    <w:adjustRightInd w:val="0"/>
                    <w:snapToGrid w:val="0"/>
                    <w:jc w:val="center"/>
                    <w:rPr>
                      <w:rFonts w:hint="default" w:ascii="Times New Roman Regular" w:hAnsi="Times New Roman Regular" w:cs="Times New Roman Regular"/>
                      <w:b/>
                      <w:bCs/>
                      <w:color w:val="auto"/>
                      <w:szCs w:val="21"/>
                    </w:rPr>
                  </w:pPr>
                  <w:r>
                    <w:rPr>
                      <w:rFonts w:hint="default" w:ascii="Times New Roman Regular" w:hAnsi="Times New Roman Regular" w:cs="Times New Roman Regular"/>
                      <w:b/>
                      <w:bCs/>
                      <w:color w:val="auto"/>
                      <w:szCs w:val="21"/>
                    </w:rPr>
                    <w:t>速率(kg/h)</w:t>
                  </w:r>
                </w:p>
              </w:tc>
            </w:tr>
            <w:tr w14:paraId="37DC6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428" w:type="pct"/>
                  <w:gridSpan w:val="2"/>
                  <w:noWrap w:val="0"/>
                  <w:vAlign w:val="center"/>
                </w:tcPr>
                <w:p w14:paraId="6F4852E3">
                  <w:pPr>
                    <w:adjustRightInd w:val="0"/>
                    <w:snapToGrid w:val="0"/>
                    <w:jc w:val="center"/>
                    <w:rPr>
                      <w:rFonts w:hint="default" w:ascii="Times New Roman Regular" w:hAnsi="Times New Roman Regular" w:eastAsia="宋体" w:cs="Times New Roman Regular"/>
                      <w:color w:val="auto"/>
                      <w:szCs w:val="21"/>
                      <w:lang w:eastAsia="zh-Hans"/>
                    </w:rPr>
                  </w:pPr>
                  <w:r>
                    <w:rPr>
                      <w:rFonts w:hint="default" w:ascii="Times New Roman Regular" w:hAnsi="Times New Roman Regular" w:cs="Times New Roman Regular"/>
                      <w:color w:val="auto"/>
                      <w:szCs w:val="21"/>
                      <w:lang w:val="en-US" w:eastAsia="zh-Hans"/>
                    </w:rPr>
                    <w:t>现有项目</w:t>
                  </w:r>
                </w:p>
              </w:tc>
              <w:tc>
                <w:tcPr>
                  <w:tcW w:w="389" w:type="pct"/>
                  <w:noWrap w:val="0"/>
                  <w:vAlign w:val="center"/>
                </w:tcPr>
                <w:p w14:paraId="2E5E4040">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VOCs</w:t>
                  </w:r>
                </w:p>
              </w:tc>
              <w:tc>
                <w:tcPr>
                  <w:tcW w:w="521" w:type="pct"/>
                  <w:noWrap w:val="0"/>
                  <w:vAlign w:val="center"/>
                </w:tcPr>
                <w:p w14:paraId="27B1458F">
                  <w:pPr>
                    <w:widowControl/>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cs="Times New Roman Regular"/>
                      <w:color w:val="auto"/>
                      <w:kern w:val="0"/>
                      <w:szCs w:val="21"/>
                      <w:lang w:bidi="ar"/>
                    </w:rPr>
                    <w:t>0.29</w:t>
                  </w:r>
                </w:p>
              </w:tc>
              <w:tc>
                <w:tcPr>
                  <w:tcW w:w="454" w:type="pct"/>
                  <w:noWrap w:val="0"/>
                  <w:vAlign w:val="center"/>
                </w:tcPr>
                <w:p w14:paraId="31B5B3DE">
                  <w:pPr>
                    <w:widowControl/>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cs="Times New Roman Regular"/>
                      <w:color w:val="auto"/>
                      <w:kern w:val="0"/>
                      <w:szCs w:val="21"/>
                      <w:lang w:bidi="ar"/>
                    </w:rPr>
                    <w:t xml:space="preserve">0.0029 </w:t>
                  </w:r>
                </w:p>
              </w:tc>
              <w:tc>
                <w:tcPr>
                  <w:tcW w:w="412" w:type="pct"/>
                  <w:noWrap w:val="0"/>
                  <w:vAlign w:val="center"/>
                </w:tcPr>
                <w:p w14:paraId="31A0A78B">
                  <w:pPr>
                    <w:widowControl/>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cs="Times New Roman Regular"/>
                      <w:color w:val="auto"/>
                      <w:kern w:val="0"/>
                      <w:szCs w:val="21"/>
                      <w:lang w:bidi="ar"/>
                    </w:rPr>
                    <w:t>0.0105</w:t>
                  </w:r>
                </w:p>
              </w:tc>
              <w:tc>
                <w:tcPr>
                  <w:tcW w:w="423" w:type="pct"/>
                  <w:noWrap w:val="0"/>
                  <w:vAlign w:val="center"/>
                </w:tcPr>
                <w:p w14:paraId="0163B8AC">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15</w:t>
                  </w:r>
                </w:p>
              </w:tc>
              <w:tc>
                <w:tcPr>
                  <w:tcW w:w="312" w:type="pct"/>
                  <w:noWrap w:val="0"/>
                  <w:vAlign w:val="center"/>
                </w:tcPr>
                <w:p w14:paraId="385417F3">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0.5</w:t>
                  </w:r>
                </w:p>
              </w:tc>
              <w:tc>
                <w:tcPr>
                  <w:tcW w:w="302" w:type="pct"/>
                  <w:noWrap w:val="0"/>
                  <w:vAlign w:val="center"/>
                </w:tcPr>
                <w:p w14:paraId="50A1D15A">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FQ-1</w:t>
                  </w:r>
                </w:p>
              </w:tc>
              <w:tc>
                <w:tcPr>
                  <w:tcW w:w="373" w:type="pct"/>
                  <w:noWrap w:val="0"/>
                  <w:vAlign w:val="center"/>
                </w:tcPr>
                <w:p w14:paraId="20550472">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一般排放口</w:t>
                  </w:r>
                </w:p>
              </w:tc>
              <w:tc>
                <w:tcPr>
                  <w:tcW w:w="549" w:type="pct"/>
                  <w:noWrap w:val="0"/>
                  <w:vAlign w:val="center"/>
                </w:tcPr>
                <w:p w14:paraId="3EF7CDCD">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highlight w:val="none"/>
                    </w:rPr>
                    <w:t>121.1174，31.8450</w:t>
                  </w:r>
                </w:p>
              </w:tc>
              <w:tc>
                <w:tcPr>
                  <w:tcW w:w="447" w:type="pct"/>
                  <w:noWrap w:val="0"/>
                  <w:vAlign w:val="center"/>
                </w:tcPr>
                <w:p w14:paraId="16238D77">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60</w:t>
                  </w:r>
                </w:p>
              </w:tc>
              <w:tc>
                <w:tcPr>
                  <w:tcW w:w="386" w:type="pct"/>
                  <w:noWrap w:val="0"/>
                  <w:vAlign w:val="center"/>
                </w:tcPr>
                <w:p w14:paraId="2D44A27C">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3</w:t>
                  </w:r>
                </w:p>
              </w:tc>
            </w:tr>
            <w:tr w14:paraId="3C6D1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28" w:type="pct"/>
                  <w:gridSpan w:val="2"/>
                  <w:vMerge w:val="restart"/>
                  <w:noWrap w:val="0"/>
                  <w:vAlign w:val="center"/>
                </w:tcPr>
                <w:p w14:paraId="0700F255">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lang w:val="en-US" w:eastAsia="zh-Hans"/>
                    </w:rPr>
                    <w:t>改建</w:t>
                  </w:r>
                  <w:r>
                    <w:rPr>
                      <w:rFonts w:hint="default" w:ascii="Times New Roman Regular" w:hAnsi="Times New Roman Regular" w:cs="Times New Roman Regular"/>
                      <w:color w:val="auto"/>
                      <w:szCs w:val="21"/>
                    </w:rPr>
                    <w:t>项目</w:t>
                  </w:r>
                </w:p>
              </w:tc>
              <w:tc>
                <w:tcPr>
                  <w:tcW w:w="389" w:type="pct"/>
                  <w:noWrap w:val="0"/>
                  <w:vAlign w:val="center"/>
                </w:tcPr>
                <w:p w14:paraId="11528B25">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VOCs</w:t>
                  </w:r>
                  <w:r>
                    <w:rPr>
                      <w:rFonts w:hint="default" w:ascii="Times New Roman Regular" w:hAnsi="Times New Roman Regular" w:cs="Times New Roman Regular"/>
                      <w:color w:val="auto"/>
                      <w:szCs w:val="21"/>
                      <w:lang w:eastAsia="zh-Hans"/>
                    </w:rPr>
                    <w:t>（</w:t>
                  </w:r>
                  <w:r>
                    <w:rPr>
                      <w:rFonts w:hint="default" w:ascii="Times New Roman Regular" w:hAnsi="Times New Roman Regular" w:cs="Times New Roman Regular"/>
                      <w:color w:val="auto"/>
                      <w:szCs w:val="21"/>
                      <w:lang w:val="en-US" w:eastAsia="zh-Hans"/>
                    </w:rPr>
                    <w:t>含二甲苯</w:t>
                  </w:r>
                  <w:r>
                    <w:rPr>
                      <w:rFonts w:hint="default" w:ascii="Times New Roman Regular" w:hAnsi="Times New Roman Regular" w:cs="Times New Roman Regular"/>
                      <w:color w:val="auto"/>
                      <w:szCs w:val="21"/>
                      <w:lang w:eastAsia="zh-Hans"/>
                    </w:rPr>
                    <w:t>）</w:t>
                  </w:r>
                </w:p>
              </w:tc>
              <w:tc>
                <w:tcPr>
                  <w:tcW w:w="521" w:type="pct"/>
                  <w:noWrap w:val="0"/>
                  <w:vAlign w:val="center"/>
                </w:tcPr>
                <w:p w14:paraId="555E46E9">
                  <w:pPr>
                    <w:keepNext w:val="0"/>
                    <w:keepLines w:val="0"/>
                    <w:widowControl/>
                    <w:suppressLineNumbers w:val="0"/>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3.6596 </w:t>
                  </w:r>
                </w:p>
              </w:tc>
              <w:tc>
                <w:tcPr>
                  <w:tcW w:w="454" w:type="pct"/>
                  <w:noWrap w:val="0"/>
                  <w:vAlign w:val="center"/>
                </w:tcPr>
                <w:p w14:paraId="4385639C">
                  <w:pPr>
                    <w:keepNext w:val="0"/>
                    <w:keepLines w:val="0"/>
                    <w:widowControl/>
                    <w:suppressLineNumbers w:val="0"/>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0.0037 </w:t>
                  </w:r>
                </w:p>
              </w:tc>
              <w:tc>
                <w:tcPr>
                  <w:tcW w:w="412" w:type="pct"/>
                  <w:noWrap w:val="0"/>
                  <w:vAlign w:val="center"/>
                </w:tcPr>
                <w:p w14:paraId="234E5224">
                  <w:pPr>
                    <w:keepNext w:val="0"/>
                    <w:keepLines w:val="0"/>
                    <w:widowControl/>
                    <w:suppressLineNumbers w:val="0"/>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0.0263 </w:t>
                  </w:r>
                </w:p>
              </w:tc>
              <w:tc>
                <w:tcPr>
                  <w:tcW w:w="423" w:type="pct"/>
                  <w:vMerge w:val="restart"/>
                  <w:noWrap w:val="0"/>
                  <w:vAlign w:val="center"/>
                </w:tcPr>
                <w:p w14:paraId="08C8ECAB">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15</w:t>
                  </w:r>
                </w:p>
              </w:tc>
              <w:tc>
                <w:tcPr>
                  <w:tcW w:w="312" w:type="pct"/>
                  <w:vMerge w:val="restart"/>
                  <w:noWrap w:val="0"/>
                  <w:vAlign w:val="center"/>
                </w:tcPr>
                <w:p w14:paraId="47CCE01A">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0.5</w:t>
                  </w:r>
                </w:p>
              </w:tc>
              <w:tc>
                <w:tcPr>
                  <w:tcW w:w="302" w:type="pct"/>
                  <w:vMerge w:val="restart"/>
                  <w:noWrap w:val="0"/>
                  <w:vAlign w:val="center"/>
                </w:tcPr>
                <w:p w14:paraId="5B194662">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FQ-1</w:t>
                  </w:r>
                </w:p>
              </w:tc>
              <w:tc>
                <w:tcPr>
                  <w:tcW w:w="373" w:type="pct"/>
                  <w:vMerge w:val="restart"/>
                  <w:noWrap w:val="0"/>
                  <w:vAlign w:val="center"/>
                </w:tcPr>
                <w:p w14:paraId="75AB0067">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一般排放口</w:t>
                  </w:r>
                </w:p>
              </w:tc>
              <w:tc>
                <w:tcPr>
                  <w:tcW w:w="549" w:type="pct"/>
                  <w:vMerge w:val="restart"/>
                  <w:noWrap w:val="0"/>
                  <w:vAlign w:val="center"/>
                </w:tcPr>
                <w:p w14:paraId="18447D36">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highlight w:val="none"/>
                    </w:rPr>
                    <w:t>121.1174，31.8450</w:t>
                  </w:r>
                </w:p>
              </w:tc>
              <w:tc>
                <w:tcPr>
                  <w:tcW w:w="447" w:type="pct"/>
                  <w:noWrap w:val="0"/>
                  <w:vAlign w:val="center"/>
                </w:tcPr>
                <w:p w14:paraId="6AC41F6B">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highlight w:val="none"/>
                    </w:rPr>
                    <w:t>60</w:t>
                  </w:r>
                </w:p>
              </w:tc>
              <w:tc>
                <w:tcPr>
                  <w:tcW w:w="386" w:type="pct"/>
                  <w:noWrap w:val="0"/>
                  <w:vAlign w:val="center"/>
                </w:tcPr>
                <w:p w14:paraId="599ECEF1">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highlight w:val="none"/>
                    </w:rPr>
                    <w:t>3</w:t>
                  </w:r>
                </w:p>
              </w:tc>
            </w:tr>
            <w:tr w14:paraId="508E3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28" w:type="pct"/>
                  <w:gridSpan w:val="2"/>
                  <w:vMerge w:val="continue"/>
                  <w:noWrap w:val="0"/>
                  <w:vAlign w:val="center"/>
                </w:tcPr>
                <w:p w14:paraId="45561B94">
                  <w:pPr>
                    <w:adjustRightInd w:val="0"/>
                    <w:snapToGrid w:val="0"/>
                    <w:jc w:val="center"/>
                    <w:rPr>
                      <w:rFonts w:hint="default" w:ascii="Times New Roman Regular" w:hAnsi="Times New Roman Regular" w:cs="Times New Roman Regular"/>
                      <w:color w:val="auto"/>
                      <w:szCs w:val="21"/>
                      <w:lang w:val="en-US" w:eastAsia="zh-Hans"/>
                    </w:rPr>
                  </w:pPr>
                </w:p>
              </w:tc>
              <w:tc>
                <w:tcPr>
                  <w:tcW w:w="389" w:type="pct"/>
                  <w:noWrap w:val="0"/>
                  <w:vAlign w:val="center"/>
                </w:tcPr>
                <w:p w14:paraId="284D5110">
                  <w:pPr>
                    <w:adjustRightInd w:val="0"/>
                    <w:snapToGrid w:val="0"/>
                    <w:jc w:val="center"/>
                    <w:rPr>
                      <w:rFonts w:hint="default" w:ascii="Times New Roman Regular" w:hAnsi="Times New Roman Regular" w:eastAsia="宋体" w:cs="Times New Roman Regular"/>
                      <w:color w:val="auto"/>
                      <w:szCs w:val="21"/>
                      <w:lang w:val="en-US" w:eastAsia="zh-Hans"/>
                    </w:rPr>
                  </w:pPr>
                  <w:r>
                    <w:rPr>
                      <w:rFonts w:hint="default" w:ascii="Times New Roman Regular" w:hAnsi="Times New Roman Regular" w:cs="Times New Roman Regular"/>
                      <w:color w:val="auto"/>
                      <w:szCs w:val="21"/>
                      <w:lang w:val="en-US" w:eastAsia="zh-Hans"/>
                    </w:rPr>
                    <w:t>二甲苯</w:t>
                  </w:r>
                </w:p>
              </w:tc>
              <w:tc>
                <w:tcPr>
                  <w:tcW w:w="1068" w:type="dxa"/>
                  <w:noWrap w:val="0"/>
                  <w:vAlign w:val="center"/>
                </w:tcPr>
                <w:p w14:paraId="31A384AB">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0.0340 </w:t>
                  </w:r>
                </w:p>
              </w:tc>
              <w:tc>
                <w:tcPr>
                  <w:tcW w:w="931" w:type="dxa"/>
                  <w:noWrap w:val="0"/>
                  <w:vAlign w:val="center"/>
                </w:tcPr>
                <w:p w14:paraId="7A043202">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0.00003 </w:t>
                  </w:r>
                </w:p>
              </w:tc>
              <w:tc>
                <w:tcPr>
                  <w:tcW w:w="845" w:type="dxa"/>
                  <w:noWrap w:val="0"/>
                  <w:vAlign w:val="center"/>
                </w:tcPr>
                <w:p w14:paraId="1B69BA98">
                  <w:pPr>
                    <w:keepNext w:val="0"/>
                    <w:keepLines w:val="0"/>
                    <w:widowControl/>
                    <w:suppressLineNumbers w:val="0"/>
                    <w:jc w:val="center"/>
                    <w:textAlignment w:val="center"/>
                    <w:rPr>
                      <w:rFonts w:hint="default" w:ascii="Times New Roman Regular" w:hAnsi="Times New Roman Regular" w:eastAsia="宋体" w:cs="Times New Roman Regular"/>
                      <w:i w:val="0"/>
                      <w:color w:val="auto"/>
                      <w:kern w:val="0"/>
                      <w:sz w:val="21"/>
                      <w:szCs w:val="21"/>
                      <w:u w:val="none"/>
                      <w:lang w:val="en-US" w:eastAsia="zh-CN" w:bidi="ar"/>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0.0002 </w:t>
                  </w:r>
                </w:p>
              </w:tc>
              <w:tc>
                <w:tcPr>
                  <w:tcW w:w="423" w:type="pct"/>
                  <w:vMerge w:val="continue"/>
                  <w:noWrap w:val="0"/>
                  <w:vAlign w:val="center"/>
                </w:tcPr>
                <w:p w14:paraId="5918A6CF">
                  <w:pPr>
                    <w:adjustRightInd w:val="0"/>
                    <w:snapToGrid w:val="0"/>
                    <w:jc w:val="center"/>
                    <w:rPr>
                      <w:rFonts w:hint="default" w:ascii="Times New Roman Regular" w:hAnsi="Times New Roman Regular" w:cs="Times New Roman Regular"/>
                      <w:color w:val="auto"/>
                      <w:szCs w:val="21"/>
                    </w:rPr>
                  </w:pPr>
                </w:p>
              </w:tc>
              <w:tc>
                <w:tcPr>
                  <w:tcW w:w="312" w:type="pct"/>
                  <w:vMerge w:val="continue"/>
                  <w:noWrap w:val="0"/>
                  <w:vAlign w:val="center"/>
                </w:tcPr>
                <w:p w14:paraId="2D36FD7C">
                  <w:pPr>
                    <w:adjustRightInd w:val="0"/>
                    <w:snapToGrid w:val="0"/>
                    <w:jc w:val="center"/>
                    <w:rPr>
                      <w:rFonts w:hint="default" w:ascii="Times New Roman Regular" w:hAnsi="Times New Roman Regular" w:cs="Times New Roman Regular"/>
                      <w:color w:val="auto"/>
                      <w:szCs w:val="21"/>
                    </w:rPr>
                  </w:pPr>
                </w:p>
              </w:tc>
              <w:tc>
                <w:tcPr>
                  <w:tcW w:w="302" w:type="pct"/>
                  <w:vMerge w:val="continue"/>
                  <w:noWrap w:val="0"/>
                  <w:vAlign w:val="center"/>
                </w:tcPr>
                <w:p w14:paraId="57BE145A">
                  <w:pPr>
                    <w:adjustRightInd w:val="0"/>
                    <w:snapToGrid w:val="0"/>
                    <w:jc w:val="center"/>
                    <w:rPr>
                      <w:rFonts w:hint="default" w:ascii="Times New Roman Regular" w:hAnsi="Times New Roman Regular" w:cs="Times New Roman Regular"/>
                      <w:color w:val="auto"/>
                      <w:szCs w:val="21"/>
                    </w:rPr>
                  </w:pPr>
                </w:p>
              </w:tc>
              <w:tc>
                <w:tcPr>
                  <w:tcW w:w="373" w:type="pct"/>
                  <w:vMerge w:val="continue"/>
                  <w:noWrap w:val="0"/>
                  <w:vAlign w:val="center"/>
                </w:tcPr>
                <w:p w14:paraId="4764A35B">
                  <w:pPr>
                    <w:adjustRightInd w:val="0"/>
                    <w:snapToGrid w:val="0"/>
                    <w:jc w:val="center"/>
                    <w:rPr>
                      <w:rFonts w:hint="default" w:ascii="Times New Roman Regular" w:hAnsi="Times New Roman Regular" w:cs="Times New Roman Regular"/>
                      <w:color w:val="auto"/>
                      <w:szCs w:val="21"/>
                    </w:rPr>
                  </w:pPr>
                </w:p>
              </w:tc>
              <w:tc>
                <w:tcPr>
                  <w:tcW w:w="549" w:type="pct"/>
                  <w:vMerge w:val="continue"/>
                  <w:noWrap w:val="0"/>
                  <w:vAlign w:val="center"/>
                </w:tcPr>
                <w:p w14:paraId="5158EB59">
                  <w:pPr>
                    <w:adjustRightInd w:val="0"/>
                    <w:snapToGrid w:val="0"/>
                    <w:jc w:val="center"/>
                    <w:rPr>
                      <w:rFonts w:hint="default" w:ascii="Times New Roman Regular" w:hAnsi="Times New Roman Regular" w:cs="Times New Roman Regular"/>
                      <w:color w:val="auto"/>
                      <w:szCs w:val="21"/>
                      <w:highlight w:val="none"/>
                    </w:rPr>
                  </w:pPr>
                </w:p>
              </w:tc>
              <w:tc>
                <w:tcPr>
                  <w:tcW w:w="916" w:type="dxa"/>
                  <w:noWrap w:val="0"/>
                  <w:vAlign w:val="center"/>
                </w:tcPr>
                <w:p w14:paraId="294BD784">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10</w:t>
                  </w:r>
                </w:p>
              </w:tc>
              <w:tc>
                <w:tcPr>
                  <w:tcW w:w="791" w:type="dxa"/>
                  <w:noWrap w:val="0"/>
                  <w:vAlign w:val="center"/>
                </w:tcPr>
                <w:p w14:paraId="004A59D6">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0.72</w:t>
                  </w:r>
                </w:p>
              </w:tc>
            </w:tr>
            <w:tr w14:paraId="6F13B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28" w:type="pct"/>
                  <w:gridSpan w:val="2"/>
                  <w:vMerge w:val="continue"/>
                  <w:noWrap w:val="0"/>
                  <w:vAlign w:val="center"/>
                </w:tcPr>
                <w:p w14:paraId="67C5A15C">
                  <w:pPr>
                    <w:adjustRightInd w:val="0"/>
                    <w:snapToGrid w:val="0"/>
                    <w:jc w:val="center"/>
                    <w:rPr>
                      <w:rFonts w:hint="default" w:ascii="Times New Roman Regular" w:hAnsi="Times New Roman Regular" w:cs="Times New Roman Regular"/>
                      <w:color w:val="auto"/>
                      <w:szCs w:val="21"/>
                    </w:rPr>
                  </w:pPr>
                </w:p>
              </w:tc>
              <w:tc>
                <w:tcPr>
                  <w:tcW w:w="389" w:type="pct"/>
                  <w:noWrap w:val="0"/>
                  <w:vAlign w:val="center"/>
                </w:tcPr>
                <w:p w14:paraId="1B58313D">
                  <w:pPr>
                    <w:adjustRightInd w:val="0"/>
                    <w:snapToGrid w:val="0"/>
                    <w:jc w:val="center"/>
                    <w:rPr>
                      <w:rFonts w:hint="default" w:ascii="Times New Roman Regular" w:hAnsi="Times New Roman Regular" w:eastAsia="宋体" w:cs="Times New Roman Regular"/>
                      <w:color w:val="auto"/>
                      <w:szCs w:val="21"/>
                      <w:lang w:val="en-US" w:eastAsia="zh-Hans"/>
                    </w:rPr>
                  </w:pPr>
                  <w:r>
                    <w:rPr>
                      <w:rFonts w:hint="default" w:ascii="Times New Roman Regular" w:hAnsi="Times New Roman Regular" w:cs="Times New Roman Regular"/>
                      <w:color w:val="auto"/>
                      <w:szCs w:val="21"/>
                      <w:lang w:val="en-US" w:eastAsia="zh-Hans"/>
                    </w:rPr>
                    <w:t>颗粒物</w:t>
                  </w:r>
                </w:p>
              </w:tc>
              <w:tc>
                <w:tcPr>
                  <w:tcW w:w="521" w:type="pct"/>
                  <w:noWrap w:val="0"/>
                  <w:vAlign w:val="center"/>
                </w:tcPr>
                <w:p w14:paraId="4700D49D">
                  <w:pPr>
                    <w:widowControl/>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cs="Times New Roman Regular"/>
                      <w:color w:val="auto"/>
                      <w:kern w:val="0"/>
                      <w:szCs w:val="21"/>
                      <w:highlight w:val="none"/>
                    </w:rPr>
                    <w:t xml:space="preserve">3.8 </w:t>
                  </w:r>
                </w:p>
              </w:tc>
              <w:tc>
                <w:tcPr>
                  <w:tcW w:w="454" w:type="pct"/>
                  <w:noWrap w:val="0"/>
                  <w:vAlign w:val="center"/>
                </w:tcPr>
                <w:p w14:paraId="09DA9B5C">
                  <w:pPr>
                    <w:widowControl/>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cs="Times New Roman Regular"/>
                      <w:color w:val="auto"/>
                      <w:kern w:val="0"/>
                      <w:szCs w:val="21"/>
                      <w:highlight w:val="none"/>
                    </w:rPr>
                    <w:t xml:space="preserve">0.0113 </w:t>
                  </w:r>
                </w:p>
              </w:tc>
              <w:tc>
                <w:tcPr>
                  <w:tcW w:w="412" w:type="pct"/>
                  <w:noWrap w:val="0"/>
                  <w:vAlign w:val="center"/>
                </w:tcPr>
                <w:p w14:paraId="18E803CC">
                  <w:pPr>
                    <w:widowControl/>
                    <w:jc w:val="center"/>
                    <w:textAlignment w:val="center"/>
                    <w:rPr>
                      <w:rFonts w:hint="default" w:ascii="Times New Roman Regular" w:hAnsi="Times New Roman Regular" w:cs="Times New Roman Regular"/>
                      <w:color w:val="auto"/>
                      <w:kern w:val="0"/>
                      <w:szCs w:val="21"/>
                      <w:lang w:bidi="ar"/>
                    </w:rPr>
                  </w:pPr>
                  <w:r>
                    <w:rPr>
                      <w:rFonts w:hint="default" w:ascii="Times New Roman Regular" w:hAnsi="Times New Roman Regular" w:cs="Times New Roman Regular"/>
                      <w:color w:val="auto"/>
                      <w:kern w:val="0"/>
                      <w:szCs w:val="21"/>
                      <w:highlight w:val="none"/>
                    </w:rPr>
                    <w:t xml:space="preserve">0.0810 </w:t>
                  </w:r>
                </w:p>
              </w:tc>
              <w:tc>
                <w:tcPr>
                  <w:tcW w:w="423" w:type="pct"/>
                  <w:vMerge w:val="continue"/>
                  <w:noWrap w:val="0"/>
                  <w:vAlign w:val="center"/>
                </w:tcPr>
                <w:p w14:paraId="038C2F91">
                  <w:pPr>
                    <w:adjustRightInd w:val="0"/>
                    <w:snapToGrid w:val="0"/>
                    <w:jc w:val="center"/>
                    <w:rPr>
                      <w:rFonts w:hint="default" w:ascii="Times New Roman Regular" w:hAnsi="Times New Roman Regular" w:cs="Times New Roman Regular"/>
                      <w:color w:val="auto"/>
                      <w:szCs w:val="21"/>
                    </w:rPr>
                  </w:pPr>
                </w:p>
              </w:tc>
              <w:tc>
                <w:tcPr>
                  <w:tcW w:w="312" w:type="pct"/>
                  <w:vMerge w:val="continue"/>
                  <w:noWrap w:val="0"/>
                  <w:vAlign w:val="center"/>
                </w:tcPr>
                <w:p w14:paraId="27317F35">
                  <w:pPr>
                    <w:adjustRightInd w:val="0"/>
                    <w:snapToGrid w:val="0"/>
                    <w:jc w:val="center"/>
                    <w:rPr>
                      <w:rFonts w:hint="default" w:ascii="Times New Roman Regular" w:hAnsi="Times New Roman Regular" w:cs="Times New Roman Regular"/>
                      <w:color w:val="auto"/>
                      <w:szCs w:val="21"/>
                    </w:rPr>
                  </w:pPr>
                </w:p>
              </w:tc>
              <w:tc>
                <w:tcPr>
                  <w:tcW w:w="302" w:type="pct"/>
                  <w:vMerge w:val="continue"/>
                  <w:noWrap w:val="0"/>
                  <w:vAlign w:val="center"/>
                </w:tcPr>
                <w:p w14:paraId="61B3C47D">
                  <w:pPr>
                    <w:adjustRightInd w:val="0"/>
                    <w:snapToGrid w:val="0"/>
                    <w:jc w:val="center"/>
                    <w:rPr>
                      <w:rFonts w:hint="default" w:ascii="Times New Roman Regular" w:hAnsi="Times New Roman Regular" w:cs="Times New Roman Regular"/>
                      <w:color w:val="auto"/>
                      <w:szCs w:val="21"/>
                    </w:rPr>
                  </w:pPr>
                </w:p>
              </w:tc>
              <w:tc>
                <w:tcPr>
                  <w:tcW w:w="373" w:type="pct"/>
                  <w:vMerge w:val="continue"/>
                  <w:noWrap w:val="0"/>
                  <w:vAlign w:val="center"/>
                </w:tcPr>
                <w:p w14:paraId="70CB6BF6">
                  <w:pPr>
                    <w:adjustRightInd w:val="0"/>
                    <w:snapToGrid w:val="0"/>
                    <w:jc w:val="center"/>
                    <w:rPr>
                      <w:rFonts w:hint="default" w:ascii="Times New Roman Regular" w:hAnsi="Times New Roman Regular" w:cs="Times New Roman Regular"/>
                      <w:color w:val="auto"/>
                      <w:szCs w:val="21"/>
                    </w:rPr>
                  </w:pPr>
                </w:p>
              </w:tc>
              <w:tc>
                <w:tcPr>
                  <w:tcW w:w="549" w:type="pct"/>
                  <w:vMerge w:val="continue"/>
                  <w:noWrap w:val="0"/>
                  <w:vAlign w:val="center"/>
                </w:tcPr>
                <w:p w14:paraId="52AFB756">
                  <w:pPr>
                    <w:adjustRightInd w:val="0"/>
                    <w:snapToGrid w:val="0"/>
                    <w:jc w:val="center"/>
                    <w:rPr>
                      <w:rFonts w:hint="default" w:ascii="Times New Roman Regular" w:hAnsi="Times New Roman Regular" w:cs="Times New Roman Regular"/>
                      <w:color w:val="auto"/>
                      <w:szCs w:val="21"/>
                    </w:rPr>
                  </w:pPr>
                </w:p>
              </w:tc>
              <w:tc>
                <w:tcPr>
                  <w:tcW w:w="447" w:type="pct"/>
                  <w:noWrap w:val="0"/>
                  <w:vAlign w:val="center"/>
                </w:tcPr>
                <w:p w14:paraId="665D5271">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highlight w:val="none"/>
                    </w:rPr>
                    <w:t>20</w:t>
                  </w:r>
                </w:p>
              </w:tc>
              <w:tc>
                <w:tcPr>
                  <w:tcW w:w="386" w:type="pct"/>
                  <w:noWrap w:val="0"/>
                  <w:vAlign w:val="center"/>
                </w:tcPr>
                <w:p w14:paraId="56877790">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highlight w:val="none"/>
                    </w:rPr>
                    <w:t>1</w:t>
                  </w:r>
                </w:p>
              </w:tc>
            </w:tr>
            <w:tr w14:paraId="65B47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28" w:type="pct"/>
                  <w:gridSpan w:val="2"/>
                  <w:vMerge w:val="restart"/>
                  <w:noWrap w:val="0"/>
                  <w:vAlign w:val="center"/>
                </w:tcPr>
                <w:p w14:paraId="33E1CB27">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全厂合计</w:t>
                  </w:r>
                </w:p>
              </w:tc>
              <w:tc>
                <w:tcPr>
                  <w:tcW w:w="389" w:type="pct"/>
                  <w:noWrap w:val="0"/>
                  <w:vAlign w:val="center"/>
                </w:tcPr>
                <w:p w14:paraId="11EE1F55">
                  <w:pPr>
                    <w:adjustRightInd w:val="0"/>
                    <w:snapToGrid w:val="0"/>
                    <w:jc w:val="center"/>
                    <w:rPr>
                      <w:rFonts w:hint="default" w:ascii="Times New Roman Regular" w:hAnsi="Times New Roman Regular" w:cs="Times New Roman Regular"/>
                      <w:color w:val="auto"/>
                      <w:szCs w:val="21"/>
                    </w:rPr>
                  </w:pPr>
                  <w:r>
                    <w:rPr>
                      <w:rFonts w:hint="default" w:ascii="Times New Roman Regular" w:hAnsi="Times New Roman Regular" w:cs="Times New Roman Regular"/>
                      <w:color w:val="auto"/>
                      <w:szCs w:val="21"/>
                    </w:rPr>
                    <w:t>VOCs</w:t>
                  </w:r>
                  <w:r>
                    <w:rPr>
                      <w:rFonts w:hint="default" w:ascii="Times New Roman Regular" w:hAnsi="Times New Roman Regular" w:cs="Times New Roman Regular"/>
                      <w:color w:val="auto"/>
                      <w:szCs w:val="21"/>
                      <w:lang w:eastAsia="zh-Hans"/>
                    </w:rPr>
                    <w:t>（</w:t>
                  </w:r>
                  <w:r>
                    <w:rPr>
                      <w:rFonts w:hint="default" w:ascii="Times New Roman Regular" w:hAnsi="Times New Roman Regular" w:cs="Times New Roman Regular"/>
                      <w:color w:val="auto"/>
                      <w:szCs w:val="21"/>
                      <w:lang w:val="en-US" w:eastAsia="zh-Hans"/>
                    </w:rPr>
                    <w:t>含二甲苯</w:t>
                  </w:r>
                  <w:r>
                    <w:rPr>
                      <w:rFonts w:hint="default" w:ascii="Times New Roman Regular" w:hAnsi="Times New Roman Regular" w:cs="Times New Roman Regular"/>
                      <w:color w:val="auto"/>
                      <w:szCs w:val="21"/>
                      <w:lang w:eastAsia="zh-Hans"/>
                    </w:rPr>
                    <w:t>）</w:t>
                  </w:r>
                </w:p>
              </w:tc>
              <w:tc>
                <w:tcPr>
                  <w:tcW w:w="521" w:type="pct"/>
                  <w:noWrap w:val="0"/>
                  <w:vAlign w:val="center"/>
                </w:tcPr>
                <w:p w14:paraId="4CDF4F7F">
                  <w:pPr>
                    <w:pStyle w:val="5"/>
                    <w:spacing w:before="0" w:after="0" w:line="240" w:lineRule="auto"/>
                    <w:ind w:right="0"/>
                    <w:jc w:val="center"/>
                    <w:rPr>
                      <w:rFonts w:hint="default" w:ascii="Times New Roman Regular" w:hAnsi="Times New Roman Regular" w:cs="Times New Roman Regular"/>
                      <w:color w:val="auto"/>
                      <w:sz w:val="21"/>
                      <w:szCs w:val="21"/>
                      <w:lang w:eastAsia="zh-CN"/>
                    </w:rPr>
                  </w:pPr>
                  <w:r>
                    <w:rPr>
                      <w:rFonts w:hint="default" w:ascii="Times New Roman Regular" w:hAnsi="Times New Roman Regular" w:cs="Times New Roman Regular"/>
                      <w:color w:val="auto"/>
                      <w:sz w:val="21"/>
                      <w:szCs w:val="21"/>
                      <w:lang w:eastAsia="zh-CN"/>
                    </w:rPr>
                    <w:t>3.9496</w:t>
                  </w:r>
                </w:p>
              </w:tc>
              <w:tc>
                <w:tcPr>
                  <w:tcW w:w="454" w:type="pct"/>
                  <w:noWrap w:val="0"/>
                  <w:vAlign w:val="center"/>
                </w:tcPr>
                <w:p w14:paraId="5420B390">
                  <w:pPr>
                    <w:pStyle w:val="5"/>
                    <w:spacing w:before="0" w:after="0" w:line="240" w:lineRule="auto"/>
                    <w:ind w:right="0"/>
                    <w:jc w:val="center"/>
                    <w:rPr>
                      <w:rFonts w:hint="default" w:ascii="Times New Roman Regular" w:hAnsi="Times New Roman Regular" w:cs="Times New Roman Regular"/>
                      <w:color w:val="auto"/>
                      <w:sz w:val="21"/>
                      <w:szCs w:val="21"/>
                      <w:lang w:eastAsia="zh-CN"/>
                    </w:rPr>
                  </w:pPr>
                  <w:r>
                    <w:rPr>
                      <w:rFonts w:hint="default" w:ascii="Times New Roman Regular" w:hAnsi="Times New Roman Regular" w:cs="Times New Roman Regular"/>
                      <w:color w:val="auto"/>
                      <w:sz w:val="21"/>
                      <w:szCs w:val="21"/>
                      <w:lang w:eastAsia="zh-CN"/>
                    </w:rPr>
                    <w:t>0.0066</w:t>
                  </w:r>
                </w:p>
              </w:tc>
              <w:tc>
                <w:tcPr>
                  <w:tcW w:w="412" w:type="pct"/>
                  <w:noWrap w:val="0"/>
                  <w:vAlign w:val="center"/>
                </w:tcPr>
                <w:p w14:paraId="5AE23A82">
                  <w:pPr>
                    <w:pStyle w:val="5"/>
                    <w:spacing w:before="0" w:after="0" w:line="240" w:lineRule="auto"/>
                    <w:ind w:right="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 w:val="21"/>
                      <w:szCs w:val="21"/>
                      <w:lang w:val="en-US" w:eastAsia="zh-CN"/>
                    </w:rPr>
                    <w:t>0.0</w:t>
                  </w:r>
                  <w:r>
                    <w:rPr>
                      <w:rFonts w:hint="default" w:ascii="Times New Roman Regular" w:hAnsi="Times New Roman Regular" w:cs="Times New Roman Regular"/>
                      <w:color w:val="auto"/>
                      <w:sz w:val="21"/>
                      <w:szCs w:val="21"/>
                      <w:lang w:eastAsia="zh-CN"/>
                    </w:rPr>
                    <w:t>368</w:t>
                  </w:r>
                </w:p>
              </w:tc>
              <w:tc>
                <w:tcPr>
                  <w:tcW w:w="423" w:type="pct"/>
                  <w:vMerge w:val="restart"/>
                  <w:noWrap w:val="0"/>
                  <w:vAlign w:val="center"/>
                </w:tcPr>
                <w:p w14:paraId="38B5C263">
                  <w:pPr>
                    <w:pStyle w:val="5"/>
                    <w:spacing w:before="0" w:after="0" w:line="240" w:lineRule="auto"/>
                    <w:ind w:right="0"/>
                    <w:jc w:val="center"/>
                    <w:rPr>
                      <w:rFonts w:hint="default" w:ascii="Times New Roman Regular" w:hAnsi="Times New Roman Regular" w:cs="Times New Roman Regular"/>
                      <w:color w:val="auto"/>
                      <w:sz w:val="21"/>
                      <w:szCs w:val="21"/>
                      <w:lang w:eastAsia="zh-CN"/>
                    </w:rPr>
                  </w:pPr>
                  <w:r>
                    <w:rPr>
                      <w:rFonts w:hint="default" w:ascii="Times New Roman Regular" w:hAnsi="Times New Roman Regular" w:cs="Times New Roman Regular"/>
                      <w:color w:val="auto"/>
                      <w:sz w:val="21"/>
                      <w:szCs w:val="21"/>
                      <w:lang w:eastAsia="zh-CN"/>
                    </w:rPr>
                    <w:t>15</w:t>
                  </w:r>
                </w:p>
              </w:tc>
              <w:tc>
                <w:tcPr>
                  <w:tcW w:w="312" w:type="pct"/>
                  <w:vMerge w:val="restart"/>
                  <w:noWrap w:val="0"/>
                  <w:vAlign w:val="center"/>
                </w:tcPr>
                <w:p w14:paraId="2710AF9C">
                  <w:pPr>
                    <w:pStyle w:val="5"/>
                    <w:spacing w:before="0" w:after="0" w:line="240" w:lineRule="auto"/>
                    <w:ind w:right="0"/>
                    <w:jc w:val="center"/>
                    <w:rPr>
                      <w:rFonts w:hint="default" w:ascii="Times New Roman Regular" w:hAnsi="Times New Roman Regular" w:cs="Times New Roman Regular"/>
                      <w:color w:val="auto"/>
                      <w:sz w:val="21"/>
                      <w:szCs w:val="21"/>
                      <w:lang w:eastAsia="zh-CN"/>
                    </w:rPr>
                  </w:pPr>
                  <w:r>
                    <w:rPr>
                      <w:rFonts w:hint="default" w:ascii="Times New Roman Regular" w:hAnsi="Times New Roman Regular" w:cs="Times New Roman Regular"/>
                      <w:color w:val="auto"/>
                      <w:sz w:val="21"/>
                      <w:szCs w:val="21"/>
                      <w:lang w:eastAsia="zh-CN"/>
                    </w:rPr>
                    <w:t>0.5</w:t>
                  </w:r>
                </w:p>
              </w:tc>
              <w:tc>
                <w:tcPr>
                  <w:tcW w:w="302" w:type="pct"/>
                  <w:vMerge w:val="restart"/>
                  <w:noWrap w:val="0"/>
                  <w:vAlign w:val="center"/>
                </w:tcPr>
                <w:p w14:paraId="6F11E451">
                  <w:pPr>
                    <w:pStyle w:val="5"/>
                    <w:spacing w:before="0" w:after="0" w:line="240" w:lineRule="auto"/>
                    <w:ind w:right="0"/>
                    <w:jc w:val="center"/>
                    <w:rPr>
                      <w:rFonts w:hint="default" w:ascii="Times New Roman Regular" w:hAnsi="Times New Roman Regular" w:eastAsia="宋体" w:cs="Times New Roman Regular"/>
                      <w:color w:val="auto"/>
                      <w:sz w:val="21"/>
                      <w:szCs w:val="21"/>
                      <w:lang w:val="en-US" w:eastAsia="zh-Hans"/>
                    </w:rPr>
                  </w:pPr>
                  <w:r>
                    <w:rPr>
                      <w:rFonts w:hint="default" w:ascii="Times New Roman Regular" w:hAnsi="Times New Roman Regular" w:cs="Times New Roman Regular"/>
                      <w:color w:val="auto"/>
                      <w:sz w:val="21"/>
                      <w:szCs w:val="21"/>
                      <w:lang w:val="en-US" w:eastAsia="zh-Hans"/>
                    </w:rPr>
                    <w:t>FQ</w:t>
                  </w:r>
                  <w:r>
                    <w:rPr>
                      <w:rFonts w:hint="default" w:ascii="Times New Roman Regular" w:hAnsi="Times New Roman Regular" w:cs="Times New Roman Regular"/>
                      <w:color w:val="auto"/>
                      <w:sz w:val="21"/>
                      <w:szCs w:val="21"/>
                      <w:lang w:eastAsia="zh-Hans"/>
                    </w:rPr>
                    <w:t>-1</w:t>
                  </w:r>
                </w:p>
              </w:tc>
              <w:tc>
                <w:tcPr>
                  <w:tcW w:w="765" w:type="dxa"/>
                  <w:vMerge w:val="restart"/>
                  <w:noWrap w:val="0"/>
                  <w:vAlign w:val="center"/>
                </w:tcPr>
                <w:p w14:paraId="6B4DED75">
                  <w:pPr>
                    <w:adjustRightInd w:val="0"/>
                    <w:snapToGrid w:val="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Cs w:val="21"/>
                    </w:rPr>
                    <w:t>一般排放口</w:t>
                  </w:r>
                </w:p>
              </w:tc>
              <w:tc>
                <w:tcPr>
                  <w:tcW w:w="1126" w:type="dxa"/>
                  <w:vMerge w:val="restart"/>
                  <w:noWrap w:val="0"/>
                  <w:vAlign w:val="center"/>
                </w:tcPr>
                <w:p w14:paraId="07568F17">
                  <w:pPr>
                    <w:adjustRightInd w:val="0"/>
                    <w:snapToGrid w:val="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Cs w:val="21"/>
                      <w:highlight w:val="none"/>
                    </w:rPr>
                    <w:t>121.1174，31.8450</w:t>
                  </w:r>
                </w:p>
              </w:tc>
              <w:tc>
                <w:tcPr>
                  <w:tcW w:w="916" w:type="dxa"/>
                  <w:noWrap w:val="0"/>
                  <w:vAlign w:val="center"/>
                </w:tcPr>
                <w:p w14:paraId="6DD4C57D">
                  <w:pPr>
                    <w:adjustRightInd w:val="0"/>
                    <w:snapToGrid w:val="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Cs w:val="21"/>
                      <w:highlight w:val="none"/>
                    </w:rPr>
                    <w:t>60</w:t>
                  </w:r>
                </w:p>
              </w:tc>
              <w:tc>
                <w:tcPr>
                  <w:tcW w:w="791" w:type="dxa"/>
                  <w:noWrap w:val="0"/>
                  <w:vAlign w:val="center"/>
                </w:tcPr>
                <w:p w14:paraId="28CCD040">
                  <w:pPr>
                    <w:adjustRightInd w:val="0"/>
                    <w:snapToGrid w:val="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Cs w:val="21"/>
                      <w:highlight w:val="none"/>
                    </w:rPr>
                    <w:t>3</w:t>
                  </w:r>
                </w:p>
              </w:tc>
            </w:tr>
            <w:tr w14:paraId="71C53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28" w:type="pct"/>
                  <w:gridSpan w:val="2"/>
                  <w:vMerge w:val="continue"/>
                  <w:noWrap w:val="0"/>
                  <w:vAlign w:val="center"/>
                </w:tcPr>
                <w:p w14:paraId="137A62BB">
                  <w:pPr>
                    <w:adjustRightInd w:val="0"/>
                    <w:snapToGrid w:val="0"/>
                    <w:jc w:val="center"/>
                    <w:rPr>
                      <w:rFonts w:hint="default" w:ascii="Times New Roman Regular" w:hAnsi="Times New Roman Regular" w:cs="Times New Roman Regular"/>
                      <w:color w:val="auto"/>
                      <w:szCs w:val="21"/>
                    </w:rPr>
                  </w:pPr>
                </w:p>
              </w:tc>
              <w:tc>
                <w:tcPr>
                  <w:tcW w:w="389" w:type="pct"/>
                  <w:noWrap w:val="0"/>
                  <w:vAlign w:val="center"/>
                </w:tcPr>
                <w:p w14:paraId="065E439D">
                  <w:pPr>
                    <w:adjustRightInd w:val="0"/>
                    <w:snapToGrid w:val="0"/>
                    <w:jc w:val="center"/>
                    <w:rPr>
                      <w:rFonts w:hint="default" w:ascii="Times New Roman Regular" w:hAnsi="Times New Roman Regular" w:eastAsia="宋体" w:cs="Times New Roman Regular"/>
                      <w:color w:val="auto"/>
                      <w:szCs w:val="21"/>
                      <w:lang w:val="en-US" w:eastAsia="zh-Hans"/>
                    </w:rPr>
                  </w:pPr>
                  <w:r>
                    <w:rPr>
                      <w:rFonts w:hint="default" w:ascii="Times New Roman Regular" w:hAnsi="Times New Roman Regular" w:cs="Times New Roman Regular"/>
                      <w:color w:val="auto"/>
                      <w:szCs w:val="21"/>
                      <w:lang w:val="en-US" w:eastAsia="zh-Hans"/>
                    </w:rPr>
                    <w:t>二甲苯</w:t>
                  </w:r>
                </w:p>
              </w:tc>
              <w:tc>
                <w:tcPr>
                  <w:tcW w:w="1068" w:type="dxa"/>
                  <w:noWrap w:val="0"/>
                  <w:vAlign w:val="center"/>
                </w:tcPr>
                <w:p w14:paraId="155A357A">
                  <w:pPr>
                    <w:keepNext w:val="0"/>
                    <w:keepLines w:val="0"/>
                    <w:widowControl/>
                    <w:suppressLineNumbers w:val="0"/>
                    <w:jc w:val="center"/>
                    <w:textAlignment w:val="center"/>
                    <w:rPr>
                      <w:rFonts w:hint="default" w:ascii="Times New Roman Regular" w:hAnsi="Times New Roman Regular" w:cs="Times New Roman Regular"/>
                      <w:color w:val="auto"/>
                      <w:sz w:val="21"/>
                      <w:szCs w:val="21"/>
                      <w:lang w:eastAsia="zh-CN"/>
                    </w:rPr>
                  </w:pPr>
                  <w:r>
                    <w:rPr>
                      <w:rFonts w:hint="default" w:ascii="Times New Roman Regular" w:hAnsi="Times New Roman Regular" w:eastAsia="宋体" w:cs="Times New Roman Regular"/>
                      <w:i w:val="0"/>
                      <w:color w:val="auto"/>
                      <w:kern w:val="0"/>
                      <w:sz w:val="21"/>
                      <w:szCs w:val="21"/>
                      <w:u w:val="none"/>
                      <w:lang w:val="en-US" w:eastAsia="zh-CN" w:bidi="ar"/>
                    </w:rPr>
                    <w:t xml:space="preserve">0.0340 </w:t>
                  </w:r>
                </w:p>
              </w:tc>
              <w:tc>
                <w:tcPr>
                  <w:tcW w:w="931" w:type="dxa"/>
                  <w:noWrap w:val="0"/>
                  <w:vAlign w:val="center"/>
                </w:tcPr>
                <w:p w14:paraId="4AA19B36">
                  <w:pPr>
                    <w:keepNext w:val="0"/>
                    <w:keepLines w:val="0"/>
                    <w:widowControl/>
                    <w:suppressLineNumbers w:val="0"/>
                    <w:jc w:val="center"/>
                    <w:textAlignment w:val="center"/>
                    <w:rPr>
                      <w:rFonts w:hint="default" w:ascii="Times New Roman Regular" w:hAnsi="Times New Roman Regular" w:cs="Times New Roman Regular"/>
                      <w:color w:val="auto"/>
                      <w:sz w:val="21"/>
                      <w:szCs w:val="21"/>
                      <w:lang w:eastAsia="zh-CN"/>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0.00003 </w:t>
                  </w:r>
                </w:p>
              </w:tc>
              <w:tc>
                <w:tcPr>
                  <w:tcW w:w="845" w:type="dxa"/>
                  <w:noWrap w:val="0"/>
                  <w:vAlign w:val="center"/>
                </w:tcPr>
                <w:p w14:paraId="22CE87BD">
                  <w:pPr>
                    <w:keepNext w:val="0"/>
                    <w:keepLines w:val="0"/>
                    <w:widowControl/>
                    <w:suppressLineNumbers w:val="0"/>
                    <w:jc w:val="center"/>
                    <w:textAlignment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eastAsia="宋体" w:cs="Times New Roman Regular"/>
                      <w:i w:val="0"/>
                      <w:color w:val="auto"/>
                      <w:kern w:val="0"/>
                      <w:sz w:val="21"/>
                      <w:szCs w:val="21"/>
                      <w:u w:val="none"/>
                      <w:lang w:val="en-US" w:eastAsia="zh-CN" w:bidi="ar"/>
                    </w:rPr>
                    <w:t xml:space="preserve">0.0002 </w:t>
                  </w:r>
                </w:p>
              </w:tc>
              <w:tc>
                <w:tcPr>
                  <w:tcW w:w="423" w:type="pct"/>
                  <w:vMerge w:val="continue"/>
                  <w:noWrap w:val="0"/>
                  <w:vAlign w:val="center"/>
                </w:tcPr>
                <w:p w14:paraId="1873CEF9">
                  <w:pPr>
                    <w:pStyle w:val="5"/>
                    <w:spacing w:before="0" w:after="0" w:line="240" w:lineRule="auto"/>
                    <w:ind w:right="0"/>
                    <w:jc w:val="center"/>
                    <w:rPr>
                      <w:rFonts w:hint="default" w:ascii="Times New Roman Regular" w:hAnsi="Times New Roman Regular" w:cs="Times New Roman Regular"/>
                      <w:color w:val="auto"/>
                      <w:sz w:val="21"/>
                      <w:szCs w:val="21"/>
                      <w:lang w:eastAsia="zh-CN"/>
                    </w:rPr>
                  </w:pPr>
                </w:p>
              </w:tc>
              <w:tc>
                <w:tcPr>
                  <w:tcW w:w="312" w:type="pct"/>
                  <w:vMerge w:val="continue"/>
                  <w:noWrap w:val="0"/>
                  <w:vAlign w:val="center"/>
                </w:tcPr>
                <w:p w14:paraId="144C52E0">
                  <w:pPr>
                    <w:pStyle w:val="5"/>
                    <w:spacing w:before="0" w:after="0" w:line="240" w:lineRule="auto"/>
                    <w:ind w:right="0"/>
                    <w:jc w:val="center"/>
                    <w:rPr>
                      <w:rFonts w:hint="default" w:ascii="Times New Roman Regular" w:hAnsi="Times New Roman Regular" w:cs="Times New Roman Regular"/>
                      <w:color w:val="auto"/>
                      <w:sz w:val="21"/>
                      <w:szCs w:val="21"/>
                      <w:lang w:eastAsia="zh-CN"/>
                    </w:rPr>
                  </w:pPr>
                </w:p>
              </w:tc>
              <w:tc>
                <w:tcPr>
                  <w:tcW w:w="302" w:type="pct"/>
                  <w:vMerge w:val="continue"/>
                  <w:noWrap w:val="0"/>
                  <w:vAlign w:val="center"/>
                </w:tcPr>
                <w:p w14:paraId="16727ECB">
                  <w:pPr>
                    <w:pStyle w:val="5"/>
                    <w:spacing w:before="0" w:after="0" w:line="240" w:lineRule="auto"/>
                    <w:ind w:right="0"/>
                    <w:jc w:val="center"/>
                    <w:rPr>
                      <w:rFonts w:hint="default" w:ascii="Times New Roman Regular" w:hAnsi="Times New Roman Regular" w:cs="Times New Roman Regular"/>
                      <w:color w:val="auto"/>
                      <w:sz w:val="21"/>
                      <w:szCs w:val="21"/>
                      <w:lang w:val="en-US" w:eastAsia="zh-Hans"/>
                    </w:rPr>
                  </w:pPr>
                </w:p>
              </w:tc>
              <w:tc>
                <w:tcPr>
                  <w:tcW w:w="765" w:type="dxa"/>
                  <w:vMerge w:val="continue"/>
                  <w:noWrap w:val="0"/>
                  <w:vAlign w:val="center"/>
                </w:tcPr>
                <w:p w14:paraId="5B096680">
                  <w:pPr>
                    <w:adjustRightInd w:val="0"/>
                    <w:snapToGrid w:val="0"/>
                    <w:jc w:val="center"/>
                    <w:rPr>
                      <w:rFonts w:hint="default" w:ascii="Times New Roman Regular" w:hAnsi="Times New Roman Regular" w:cs="Times New Roman Regular"/>
                      <w:color w:val="auto"/>
                      <w:szCs w:val="21"/>
                    </w:rPr>
                  </w:pPr>
                </w:p>
              </w:tc>
              <w:tc>
                <w:tcPr>
                  <w:tcW w:w="1126" w:type="dxa"/>
                  <w:vMerge w:val="continue"/>
                  <w:noWrap w:val="0"/>
                  <w:vAlign w:val="center"/>
                </w:tcPr>
                <w:p w14:paraId="62E8AD98">
                  <w:pPr>
                    <w:adjustRightInd w:val="0"/>
                    <w:snapToGrid w:val="0"/>
                    <w:jc w:val="center"/>
                    <w:rPr>
                      <w:rFonts w:hint="default" w:ascii="Times New Roman Regular" w:hAnsi="Times New Roman Regular" w:cs="Times New Roman Regular"/>
                      <w:color w:val="auto"/>
                      <w:szCs w:val="21"/>
                      <w:highlight w:val="none"/>
                    </w:rPr>
                  </w:pPr>
                </w:p>
              </w:tc>
              <w:tc>
                <w:tcPr>
                  <w:tcW w:w="916" w:type="dxa"/>
                  <w:noWrap w:val="0"/>
                  <w:vAlign w:val="center"/>
                </w:tcPr>
                <w:p w14:paraId="042EC4EE">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10</w:t>
                  </w:r>
                </w:p>
              </w:tc>
              <w:tc>
                <w:tcPr>
                  <w:tcW w:w="791" w:type="dxa"/>
                  <w:noWrap w:val="0"/>
                  <w:vAlign w:val="center"/>
                </w:tcPr>
                <w:p w14:paraId="7F94A6E5">
                  <w:pPr>
                    <w:adjustRightInd w:val="0"/>
                    <w:snapToGrid w:val="0"/>
                    <w:jc w:val="center"/>
                    <w:rPr>
                      <w:rFonts w:hint="default" w:ascii="Times New Roman Regular" w:hAnsi="Times New Roman Regular" w:cs="Times New Roman Regular"/>
                      <w:color w:val="auto"/>
                      <w:szCs w:val="21"/>
                      <w:highlight w:val="none"/>
                    </w:rPr>
                  </w:pPr>
                  <w:r>
                    <w:rPr>
                      <w:rFonts w:hint="default" w:ascii="Times New Roman Regular" w:hAnsi="Times New Roman Regular" w:cs="Times New Roman Regular"/>
                      <w:color w:val="auto"/>
                      <w:szCs w:val="21"/>
                      <w:highlight w:val="none"/>
                    </w:rPr>
                    <w:t>0.72</w:t>
                  </w:r>
                </w:p>
              </w:tc>
            </w:tr>
            <w:tr w14:paraId="0E7F0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28" w:type="pct"/>
                  <w:gridSpan w:val="2"/>
                  <w:vMerge w:val="continue"/>
                  <w:noWrap w:val="0"/>
                  <w:vAlign w:val="center"/>
                </w:tcPr>
                <w:p w14:paraId="65F9CE31">
                  <w:pPr>
                    <w:adjustRightInd w:val="0"/>
                    <w:snapToGrid w:val="0"/>
                    <w:jc w:val="center"/>
                    <w:rPr>
                      <w:rFonts w:hint="default" w:ascii="Times New Roman Regular" w:hAnsi="Times New Roman Regular" w:cs="Times New Roman Regular"/>
                      <w:color w:val="auto"/>
                      <w:szCs w:val="21"/>
                    </w:rPr>
                  </w:pPr>
                </w:p>
              </w:tc>
              <w:tc>
                <w:tcPr>
                  <w:tcW w:w="389" w:type="pct"/>
                  <w:noWrap w:val="0"/>
                  <w:vAlign w:val="center"/>
                </w:tcPr>
                <w:p w14:paraId="33C4DCDB">
                  <w:pPr>
                    <w:adjustRightInd w:val="0"/>
                    <w:snapToGrid w:val="0"/>
                    <w:jc w:val="center"/>
                    <w:rPr>
                      <w:rFonts w:hint="default" w:ascii="Times New Roman Regular" w:hAnsi="Times New Roman Regular" w:eastAsia="宋体" w:cs="Times New Roman Regular"/>
                      <w:color w:val="auto"/>
                      <w:szCs w:val="21"/>
                      <w:lang w:val="en-US" w:eastAsia="zh-Hans"/>
                    </w:rPr>
                  </w:pPr>
                  <w:r>
                    <w:rPr>
                      <w:rFonts w:hint="default" w:ascii="Times New Roman Regular" w:hAnsi="Times New Roman Regular" w:cs="Times New Roman Regular"/>
                      <w:color w:val="auto"/>
                      <w:szCs w:val="21"/>
                      <w:lang w:val="en-US" w:eastAsia="zh-Hans"/>
                    </w:rPr>
                    <w:t>颗粒物</w:t>
                  </w:r>
                </w:p>
              </w:tc>
              <w:tc>
                <w:tcPr>
                  <w:tcW w:w="521" w:type="pct"/>
                  <w:noWrap w:val="0"/>
                  <w:vAlign w:val="center"/>
                </w:tcPr>
                <w:p w14:paraId="6C6BE147">
                  <w:pPr>
                    <w:widowControl/>
                    <w:jc w:val="center"/>
                    <w:textAlignment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kern w:val="0"/>
                      <w:szCs w:val="21"/>
                      <w:highlight w:val="none"/>
                    </w:rPr>
                    <w:t xml:space="preserve">3.8 </w:t>
                  </w:r>
                </w:p>
              </w:tc>
              <w:tc>
                <w:tcPr>
                  <w:tcW w:w="454" w:type="pct"/>
                  <w:noWrap w:val="0"/>
                  <w:vAlign w:val="center"/>
                </w:tcPr>
                <w:p w14:paraId="204E55B8">
                  <w:pPr>
                    <w:widowControl/>
                    <w:jc w:val="center"/>
                    <w:textAlignment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kern w:val="0"/>
                      <w:szCs w:val="21"/>
                      <w:highlight w:val="none"/>
                    </w:rPr>
                    <w:t xml:space="preserve">0.0113 </w:t>
                  </w:r>
                </w:p>
              </w:tc>
              <w:tc>
                <w:tcPr>
                  <w:tcW w:w="412" w:type="pct"/>
                  <w:noWrap w:val="0"/>
                  <w:vAlign w:val="center"/>
                </w:tcPr>
                <w:p w14:paraId="03F91AAA">
                  <w:pPr>
                    <w:widowControl/>
                    <w:jc w:val="center"/>
                    <w:textAlignment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kern w:val="0"/>
                      <w:szCs w:val="21"/>
                      <w:highlight w:val="none"/>
                    </w:rPr>
                    <w:t xml:space="preserve">0.0810 </w:t>
                  </w:r>
                </w:p>
              </w:tc>
              <w:tc>
                <w:tcPr>
                  <w:tcW w:w="423" w:type="pct"/>
                  <w:vMerge w:val="continue"/>
                  <w:noWrap w:val="0"/>
                  <w:vAlign w:val="center"/>
                </w:tcPr>
                <w:p w14:paraId="48B60230">
                  <w:pPr>
                    <w:pStyle w:val="5"/>
                    <w:spacing w:before="0" w:after="0" w:line="240" w:lineRule="auto"/>
                    <w:ind w:right="0"/>
                    <w:jc w:val="center"/>
                    <w:rPr>
                      <w:rFonts w:hint="default" w:ascii="Times New Roman Regular" w:hAnsi="Times New Roman Regular" w:cs="Times New Roman Regular"/>
                      <w:color w:val="auto"/>
                      <w:sz w:val="21"/>
                      <w:szCs w:val="21"/>
                      <w:lang w:val="en-US" w:eastAsia="zh-CN"/>
                    </w:rPr>
                  </w:pPr>
                </w:p>
              </w:tc>
              <w:tc>
                <w:tcPr>
                  <w:tcW w:w="312" w:type="pct"/>
                  <w:vMerge w:val="continue"/>
                  <w:noWrap w:val="0"/>
                  <w:vAlign w:val="center"/>
                </w:tcPr>
                <w:p w14:paraId="057F7F14">
                  <w:pPr>
                    <w:pStyle w:val="5"/>
                    <w:spacing w:before="0" w:after="0" w:line="240" w:lineRule="auto"/>
                    <w:ind w:right="0"/>
                    <w:jc w:val="center"/>
                    <w:rPr>
                      <w:rFonts w:hint="default" w:ascii="Times New Roman Regular" w:hAnsi="Times New Roman Regular" w:cs="Times New Roman Regular"/>
                      <w:color w:val="auto"/>
                      <w:sz w:val="21"/>
                      <w:szCs w:val="21"/>
                      <w:lang w:val="en-US" w:eastAsia="zh-CN"/>
                    </w:rPr>
                  </w:pPr>
                </w:p>
              </w:tc>
              <w:tc>
                <w:tcPr>
                  <w:tcW w:w="302" w:type="pct"/>
                  <w:vMerge w:val="continue"/>
                  <w:noWrap w:val="0"/>
                  <w:vAlign w:val="center"/>
                </w:tcPr>
                <w:p w14:paraId="42726DCA">
                  <w:pPr>
                    <w:pStyle w:val="5"/>
                    <w:spacing w:before="0" w:after="0" w:line="240" w:lineRule="auto"/>
                    <w:ind w:right="0"/>
                    <w:jc w:val="center"/>
                    <w:rPr>
                      <w:rFonts w:hint="default" w:ascii="Times New Roman Regular" w:hAnsi="Times New Roman Regular" w:cs="Times New Roman Regular"/>
                      <w:color w:val="auto"/>
                      <w:sz w:val="21"/>
                      <w:szCs w:val="21"/>
                      <w:lang w:val="en-US" w:eastAsia="zh-CN"/>
                    </w:rPr>
                  </w:pPr>
                </w:p>
              </w:tc>
              <w:tc>
                <w:tcPr>
                  <w:tcW w:w="765" w:type="dxa"/>
                  <w:vMerge w:val="continue"/>
                  <w:noWrap w:val="0"/>
                  <w:vAlign w:val="center"/>
                </w:tcPr>
                <w:p w14:paraId="49FEDD05">
                  <w:pPr>
                    <w:adjustRightInd w:val="0"/>
                    <w:snapToGrid w:val="0"/>
                    <w:jc w:val="center"/>
                    <w:rPr>
                      <w:rFonts w:hint="default" w:ascii="Times New Roman Regular" w:hAnsi="Times New Roman Regular" w:cs="Times New Roman Regular"/>
                      <w:color w:val="auto"/>
                      <w:sz w:val="21"/>
                      <w:szCs w:val="21"/>
                      <w:lang w:val="en-US" w:eastAsia="zh-CN"/>
                    </w:rPr>
                  </w:pPr>
                </w:p>
              </w:tc>
              <w:tc>
                <w:tcPr>
                  <w:tcW w:w="1126" w:type="dxa"/>
                  <w:vMerge w:val="continue"/>
                  <w:noWrap w:val="0"/>
                  <w:vAlign w:val="center"/>
                </w:tcPr>
                <w:p w14:paraId="600DD8F5">
                  <w:pPr>
                    <w:adjustRightInd w:val="0"/>
                    <w:snapToGrid w:val="0"/>
                    <w:jc w:val="center"/>
                    <w:rPr>
                      <w:rFonts w:hint="default" w:ascii="Times New Roman Regular" w:hAnsi="Times New Roman Regular" w:cs="Times New Roman Regular"/>
                      <w:color w:val="auto"/>
                      <w:sz w:val="21"/>
                      <w:szCs w:val="21"/>
                      <w:lang w:val="en-US" w:eastAsia="zh-CN"/>
                    </w:rPr>
                  </w:pPr>
                </w:p>
              </w:tc>
              <w:tc>
                <w:tcPr>
                  <w:tcW w:w="916" w:type="dxa"/>
                  <w:noWrap w:val="0"/>
                  <w:vAlign w:val="center"/>
                </w:tcPr>
                <w:p w14:paraId="478CBD5A">
                  <w:pPr>
                    <w:adjustRightInd w:val="0"/>
                    <w:snapToGrid w:val="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Cs w:val="21"/>
                      <w:highlight w:val="none"/>
                    </w:rPr>
                    <w:t>20</w:t>
                  </w:r>
                </w:p>
              </w:tc>
              <w:tc>
                <w:tcPr>
                  <w:tcW w:w="791" w:type="dxa"/>
                  <w:noWrap w:val="0"/>
                  <w:vAlign w:val="center"/>
                </w:tcPr>
                <w:p w14:paraId="0B7CDE17">
                  <w:pPr>
                    <w:adjustRightInd w:val="0"/>
                    <w:snapToGrid w:val="0"/>
                    <w:jc w:val="center"/>
                    <w:rPr>
                      <w:rFonts w:hint="default" w:ascii="Times New Roman Regular" w:hAnsi="Times New Roman Regular" w:cs="Times New Roman Regular"/>
                      <w:color w:val="auto"/>
                      <w:sz w:val="21"/>
                      <w:szCs w:val="21"/>
                      <w:lang w:val="en-US" w:eastAsia="zh-CN"/>
                    </w:rPr>
                  </w:pPr>
                  <w:r>
                    <w:rPr>
                      <w:rFonts w:hint="default" w:ascii="Times New Roman Regular" w:hAnsi="Times New Roman Regular" w:cs="Times New Roman Regular"/>
                      <w:color w:val="auto"/>
                      <w:szCs w:val="21"/>
                      <w:highlight w:val="none"/>
                    </w:rPr>
                    <w:t>1</w:t>
                  </w:r>
                </w:p>
              </w:tc>
            </w:tr>
          </w:tbl>
          <w:p w14:paraId="44D672D7">
            <w:pPr>
              <w:adjustRightInd w:val="0"/>
              <w:snapToGrid w:val="0"/>
              <w:spacing w:line="360" w:lineRule="auto"/>
              <w:ind w:firstLine="482" w:firstLineChars="200"/>
              <w:rPr>
                <w:rFonts w:hint="default" w:ascii="Times New Roman Regular" w:hAnsi="Times New Roman Regular" w:cs="Times New Roman Regular"/>
                <w:b/>
                <w:color w:val="auto"/>
                <w:kern w:val="0"/>
                <w:sz w:val="24"/>
                <w:highlight w:val="none"/>
              </w:rPr>
            </w:pPr>
            <w:r>
              <w:rPr>
                <w:rFonts w:hint="default" w:ascii="Times New Roman Regular" w:hAnsi="Times New Roman Regular" w:cs="Times New Roman Regular"/>
                <w:b/>
                <w:color w:val="auto"/>
                <w:kern w:val="0"/>
                <w:sz w:val="24"/>
                <w:highlight w:val="none"/>
              </w:rPr>
              <w:t>（3）无组织废气产生和排放情况表</w:t>
            </w:r>
          </w:p>
          <w:p w14:paraId="2399761C">
            <w:pPr>
              <w:adjustRightInd w:val="0"/>
              <w:snapToGrid w:val="0"/>
              <w:spacing w:line="360" w:lineRule="auto"/>
              <w:ind w:firstLine="480" w:firstLineChars="200"/>
              <w:rPr>
                <w:snapToGrid w:val="0"/>
                <w:color w:val="auto"/>
                <w:kern w:val="0"/>
                <w:sz w:val="24"/>
                <w:highlight w:val="none"/>
              </w:rPr>
            </w:pPr>
            <w:r>
              <w:rPr>
                <w:rFonts w:hint="default" w:ascii="Times New Roman Regular" w:hAnsi="Times New Roman Regular" w:cs="Times New Roman Regular"/>
                <w:snapToGrid w:val="0"/>
                <w:color w:val="auto"/>
                <w:kern w:val="0"/>
                <w:sz w:val="24"/>
                <w:highlight w:val="none"/>
              </w:rPr>
              <w:t>建设项目无组织废气主要为涂胶、固化、滴</w:t>
            </w:r>
            <w:r>
              <w:rPr>
                <w:rFonts w:hint="eastAsia" w:hAnsi="宋体"/>
                <w:snapToGrid w:val="0"/>
                <w:color w:val="auto"/>
                <w:kern w:val="0"/>
                <w:sz w:val="24"/>
                <w:highlight w:val="none"/>
              </w:rPr>
              <w:t>胶、涂粉固化过程未捕集的有机废气以及焊接工段产生的焊接烟尘</w:t>
            </w:r>
            <w:r>
              <w:rPr>
                <w:rFonts w:hAnsi="宋体"/>
                <w:snapToGrid w:val="0"/>
                <w:color w:val="auto"/>
                <w:kern w:val="0"/>
                <w:sz w:val="24"/>
                <w:highlight w:val="none"/>
              </w:rPr>
              <w:t>。</w:t>
            </w:r>
          </w:p>
          <w:p w14:paraId="23235BC4">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建设项目无组织废气产生及排放情况见表</w:t>
            </w:r>
            <w:r>
              <w:rPr>
                <w:snapToGrid w:val="0"/>
                <w:color w:val="auto"/>
                <w:kern w:val="0"/>
                <w:sz w:val="24"/>
                <w:highlight w:val="none"/>
              </w:rPr>
              <w:t>4-</w:t>
            </w:r>
            <w:r>
              <w:rPr>
                <w:rFonts w:hint="default"/>
                <w:snapToGrid w:val="0"/>
                <w:color w:val="auto"/>
                <w:kern w:val="0"/>
                <w:sz w:val="24"/>
                <w:highlight w:val="none"/>
              </w:rPr>
              <w:t>5</w:t>
            </w:r>
            <w:r>
              <w:rPr>
                <w:rFonts w:hAnsi="宋体"/>
                <w:snapToGrid w:val="0"/>
                <w:color w:val="auto"/>
                <w:kern w:val="0"/>
                <w:sz w:val="24"/>
                <w:highlight w:val="none"/>
              </w:rPr>
              <w:t>。</w:t>
            </w:r>
          </w:p>
          <w:p w14:paraId="79865F4C">
            <w:pPr>
              <w:pStyle w:val="63"/>
              <w:adjustRightInd w:val="0"/>
              <w:snapToGrid w:val="0"/>
              <w:spacing w:line="240" w:lineRule="auto"/>
              <w:ind w:firstLine="0" w:firstLineChars="0"/>
              <w:jc w:val="center"/>
              <w:rPr>
                <w:b/>
                <w:bCs/>
                <w:snapToGrid w:val="0"/>
                <w:color w:val="auto"/>
                <w:kern w:val="0"/>
                <w:szCs w:val="24"/>
                <w:highlight w:val="none"/>
              </w:rPr>
            </w:pPr>
            <w:r>
              <w:rPr>
                <w:rFonts w:hAnsi="宋体"/>
                <w:b/>
                <w:bCs/>
                <w:snapToGrid w:val="0"/>
                <w:color w:val="auto"/>
                <w:kern w:val="0"/>
                <w:szCs w:val="24"/>
                <w:highlight w:val="none"/>
              </w:rPr>
              <w:t>表</w:t>
            </w:r>
            <w:r>
              <w:rPr>
                <w:b/>
                <w:bCs/>
                <w:snapToGrid w:val="0"/>
                <w:color w:val="auto"/>
                <w:kern w:val="0"/>
                <w:szCs w:val="24"/>
                <w:highlight w:val="none"/>
              </w:rPr>
              <w:t>4-</w:t>
            </w:r>
            <w:r>
              <w:rPr>
                <w:rFonts w:hint="default"/>
                <w:b/>
                <w:bCs/>
                <w:snapToGrid w:val="0"/>
                <w:color w:val="auto"/>
                <w:kern w:val="0"/>
                <w:szCs w:val="24"/>
                <w:highlight w:val="none"/>
              </w:rPr>
              <w:t>5</w:t>
            </w:r>
            <w:r>
              <w:rPr>
                <w:b/>
                <w:bCs/>
                <w:snapToGrid w:val="0"/>
                <w:color w:val="auto"/>
                <w:kern w:val="0"/>
                <w:szCs w:val="24"/>
                <w:highlight w:val="none"/>
              </w:rPr>
              <w:t xml:space="preserve">  </w:t>
            </w:r>
            <w:r>
              <w:rPr>
                <w:rFonts w:hAnsi="宋体"/>
                <w:b/>
                <w:bCs/>
                <w:snapToGrid w:val="0"/>
                <w:color w:val="auto"/>
                <w:kern w:val="0"/>
                <w:szCs w:val="24"/>
                <w:highlight w:val="none"/>
              </w:rPr>
              <w:t>建设项目无组织废气产生及排放情况一览表</w:t>
            </w:r>
          </w:p>
          <w:tbl>
            <w:tblPr>
              <w:tblStyle w:val="24"/>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12"/>
              <w:gridCol w:w="1081"/>
              <w:gridCol w:w="1204"/>
              <w:gridCol w:w="1096"/>
              <w:gridCol w:w="1075"/>
              <w:gridCol w:w="1110"/>
              <w:gridCol w:w="1100"/>
              <w:gridCol w:w="1036"/>
              <w:gridCol w:w="1037"/>
            </w:tblGrid>
            <w:tr w14:paraId="190E1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7" w:type="pct"/>
                  <w:tcBorders>
                    <w:top w:val="single" w:color="auto" w:sz="12" w:space="0"/>
                  </w:tcBorders>
                  <w:vAlign w:val="center"/>
                </w:tcPr>
                <w:p w14:paraId="2BED0374">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ascii="Times New Roman" w:hAnsi="宋体" w:eastAsia="宋体"/>
                      <w:b/>
                      <w:bCs/>
                      <w:snapToGrid w:val="0"/>
                      <w:color w:val="auto"/>
                      <w:sz w:val="21"/>
                      <w:szCs w:val="21"/>
                      <w:highlight w:val="none"/>
                      <w:lang w:val="en-US"/>
                    </w:rPr>
                    <w:t>来源</w:t>
                  </w:r>
                </w:p>
              </w:tc>
              <w:tc>
                <w:tcPr>
                  <w:tcW w:w="527" w:type="pct"/>
                  <w:tcBorders>
                    <w:top w:val="single" w:color="auto" w:sz="12" w:space="0"/>
                  </w:tcBorders>
                  <w:vAlign w:val="center"/>
                </w:tcPr>
                <w:p w14:paraId="0E82FD42">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ascii="Times New Roman" w:hAnsi="宋体" w:eastAsia="宋体"/>
                      <w:b/>
                      <w:bCs/>
                      <w:snapToGrid w:val="0"/>
                      <w:color w:val="auto"/>
                      <w:sz w:val="21"/>
                      <w:szCs w:val="21"/>
                      <w:highlight w:val="none"/>
                      <w:lang w:val="en-US"/>
                    </w:rPr>
                    <w:t>污染物名称</w:t>
                  </w:r>
                </w:p>
              </w:tc>
              <w:tc>
                <w:tcPr>
                  <w:tcW w:w="587" w:type="pct"/>
                  <w:tcBorders>
                    <w:top w:val="single" w:color="auto" w:sz="12" w:space="0"/>
                  </w:tcBorders>
                  <w:vAlign w:val="center"/>
                </w:tcPr>
                <w:p w14:paraId="1298A48C">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ascii="Times New Roman" w:hAnsi="宋体" w:eastAsia="宋体"/>
                      <w:b/>
                      <w:bCs/>
                      <w:snapToGrid w:val="0"/>
                      <w:color w:val="auto"/>
                      <w:sz w:val="21"/>
                      <w:szCs w:val="21"/>
                      <w:highlight w:val="none"/>
                      <w:lang w:val="en-US"/>
                    </w:rPr>
                    <w:t>产生量</w:t>
                  </w:r>
                  <w:r>
                    <w:rPr>
                      <w:rFonts w:ascii="Times New Roman" w:hAnsi="Times New Roman" w:eastAsia="宋体"/>
                      <w:b/>
                      <w:bCs/>
                      <w:snapToGrid w:val="0"/>
                      <w:color w:val="auto"/>
                      <w:sz w:val="21"/>
                      <w:szCs w:val="21"/>
                      <w:highlight w:val="none"/>
                      <w:lang w:val="en-US"/>
                    </w:rPr>
                    <w:t>t/a</w:t>
                  </w:r>
                </w:p>
              </w:tc>
              <w:tc>
                <w:tcPr>
                  <w:tcW w:w="534" w:type="pct"/>
                  <w:tcBorders>
                    <w:top w:val="single" w:color="auto" w:sz="12" w:space="0"/>
                  </w:tcBorders>
                  <w:vAlign w:val="center"/>
                </w:tcPr>
                <w:p w14:paraId="5116EDAB">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hint="eastAsia" w:ascii="Times New Roman" w:hAnsi="宋体" w:eastAsia="宋体"/>
                      <w:b/>
                      <w:bCs/>
                      <w:snapToGrid w:val="0"/>
                      <w:color w:val="auto"/>
                      <w:sz w:val="21"/>
                      <w:szCs w:val="21"/>
                      <w:highlight w:val="none"/>
                      <w:lang w:val="en-US"/>
                    </w:rPr>
                    <w:t>面源长度m</w:t>
                  </w:r>
                </w:p>
              </w:tc>
              <w:tc>
                <w:tcPr>
                  <w:tcW w:w="524" w:type="pct"/>
                  <w:tcBorders>
                    <w:top w:val="single" w:color="auto" w:sz="12" w:space="0"/>
                  </w:tcBorders>
                  <w:vAlign w:val="center"/>
                </w:tcPr>
                <w:p w14:paraId="011FB245">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hint="eastAsia" w:ascii="Times New Roman" w:hAnsi="宋体" w:eastAsia="宋体"/>
                      <w:b/>
                      <w:bCs/>
                      <w:snapToGrid w:val="0"/>
                      <w:color w:val="auto"/>
                      <w:sz w:val="21"/>
                      <w:szCs w:val="21"/>
                      <w:highlight w:val="none"/>
                      <w:lang w:val="en-US"/>
                    </w:rPr>
                    <w:t>面源宽度m</w:t>
                  </w:r>
                </w:p>
              </w:tc>
              <w:tc>
                <w:tcPr>
                  <w:tcW w:w="541" w:type="pct"/>
                  <w:tcBorders>
                    <w:top w:val="single" w:color="auto" w:sz="12" w:space="0"/>
                  </w:tcBorders>
                  <w:vAlign w:val="center"/>
                </w:tcPr>
                <w:p w14:paraId="3BF6EA20">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hint="eastAsia" w:ascii="Times New Roman" w:hAnsi="宋体" w:eastAsia="宋体"/>
                      <w:b/>
                      <w:bCs/>
                      <w:snapToGrid w:val="0"/>
                      <w:color w:val="auto"/>
                      <w:sz w:val="21"/>
                      <w:szCs w:val="21"/>
                      <w:highlight w:val="none"/>
                      <w:lang w:val="en-US"/>
                    </w:rPr>
                    <w:t>面源高度m</w:t>
                  </w:r>
                </w:p>
              </w:tc>
              <w:tc>
                <w:tcPr>
                  <w:tcW w:w="536" w:type="pct"/>
                  <w:tcBorders>
                    <w:top w:val="single" w:color="auto" w:sz="12" w:space="0"/>
                  </w:tcBorders>
                  <w:vAlign w:val="center"/>
                </w:tcPr>
                <w:p w14:paraId="3BD5F91F">
                  <w:pPr>
                    <w:pStyle w:val="58"/>
                    <w:adjustRightInd w:val="0"/>
                    <w:snapToGrid w:val="0"/>
                    <w:spacing w:before="0" w:after="0" w:line="240" w:lineRule="auto"/>
                    <w:jc w:val="center"/>
                    <w:rPr>
                      <w:rFonts w:ascii="Times New Roman" w:hAnsi="Times New Roman" w:eastAsia="宋体"/>
                      <w:b/>
                      <w:bCs/>
                      <w:snapToGrid w:val="0"/>
                      <w:color w:val="auto"/>
                      <w:sz w:val="21"/>
                      <w:szCs w:val="21"/>
                      <w:highlight w:val="none"/>
                      <w:lang w:val="en-US"/>
                    </w:rPr>
                  </w:pPr>
                  <w:r>
                    <w:rPr>
                      <w:rFonts w:hint="eastAsia" w:ascii="Times New Roman" w:hAnsi="宋体" w:eastAsia="宋体"/>
                      <w:b/>
                      <w:bCs/>
                      <w:snapToGrid w:val="0"/>
                      <w:color w:val="auto"/>
                      <w:sz w:val="21"/>
                      <w:szCs w:val="21"/>
                      <w:highlight w:val="none"/>
                      <w:lang w:val="en-US"/>
                    </w:rPr>
                    <w:t>排放工况</w:t>
                  </w:r>
                </w:p>
              </w:tc>
              <w:tc>
                <w:tcPr>
                  <w:tcW w:w="505" w:type="pct"/>
                  <w:tcBorders>
                    <w:top w:val="single" w:color="auto" w:sz="12" w:space="0"/>
                  </w:tcBorders>
                  <w:vAlign w:val="center"/>
                </w:tcPr>
                <w:p w14:paraId="2066CF1C">
                  <w:pPr>
                    <w:pStyle w:val="58"/>
                    <w:adjustRightInd w:val="0"/>
                    <w:snapToGrid w:val="0"/>
                    <w:spacing w:before="0" w:after="0" w:line="240" w:lineRule="auto"/>
                    <w:jc w:val="center"/>
                    <w:rPr>
                      <w:rFonts w:ascii="宋体" w:hAnsi="宋体" w:eastAsia="宋体"/>
                      <w:b/>
                      <w:bCs/>
                      <w:color w:val="auto"/>
                      <w:sz w:val="21"/>
                      <w:szCs w:val="21"/>
                      <w:highlight w:val="none"/>
                      <w:lang w:val="en-US"/>
                    </w:rPr>
                  </w:pPr>
                  <w:r>
                    <w:rPr>
                      <w:rFonts w:hint="eastAsia" w:ascii="宋体" w:hAnsi="宋体" w:eastAsia="宋体"/>
                      <w:b/>
                      <w:bCs/>
                      <w:color w:val="auto"/>
                      <w:sz w:val="21"/>
                      <w:szCs w:val="21"/>
                      <w:highlight w:val="none"/>
                      <w:lang w:val="en-US"/>
                    </w:rPr>
                    <w:t>排放量</w:t>
                  </w:r>
                  <w:r>
                    <w:rPr>
                      <w:rFonts w:ascii="Times New Roman" w:hAnsi="Times New Roman" w:eastAsia="宋体"/>
                      <w:b/>
                      <w:bCs/>
                      <w:snapToGrid w:val="0"/>
                      <w:color w:val="auto"/>
                      <w:sz w:val="21"/>
                      <w:szCs w:val="21"/>
                      <w:highlight w:val="none"/>
                      <w:lang w:val="en-US"/>
                    </w:rPr>
                    <w:t>t/a</w:t>
                  </w:r>
                </w:p>
              </w:tc>
              <w:tc>
                <w:tcPr>
                  <w:tcW w:w="505" w:type="pct"/>
                  <w:tcBorders>
                    <w:top w:val="single" w:color="auto" w:sz="12" w:space="0"/>
                  </w:tcBorders>
                  <w:vAlign w:val="center"/>
                </w:tcPr>
                <w:p w14:paraId="4B62379A">
                  <w:pPr>
                    <w:pStyle w:val="58"/>
                    <w:adjustRightInd w:val="0"/>
                    <w:snapToGrid w:val="0"/>
                    <w:spacing w:before="0" w:after="0" w:line="240" w:lineRule="auto"/>
                    <w:jc w:val="center"/>
                    <w:rPr>
                      <w:rFonts w:ascii="宋体" w:hAnsi="宋体" w:eastAsia="宋体"/>
                      <w:b/>
                      <w:bCs/>
                      <w:snapToGrid w:val="0"/>
                      <w:color w:val="auto"/>
                      <w:sz w:val="21"/>
                      <w:szCs w:val="21"/>
                      <w:highlight w:val="none"/>
                      <w:lang w:val="en-US"/>
                    </w:rPr>
                  </w:pPr>
                  <w:r>
                    <w:rPr>
                      <w:rFonts w:ascii="宋体" w:hAnsi="宋体" w:eastAsia="宋体"/>
                      <w:b/>
                      <w:bCs/>
                      <w:color w:val="auto"/>
                      <w:sz w:val="21"/>
                      <w:szCs w:val="21"/>
                      <w:highlight w:val="none"/>
                    </w:rPr>
                    <w:t>排放</w:t>
                  </w:r>
                  <w:r>
                    <w:rPr>
                      <w:rFonts w:hint="eastAsia" w:ascii="宋体" w:hAnsi="宋体" w:eastAsia="宋体"/>
                      <w:b/>
                      <w:bCs/>
                      <w:color w:val="auto"/>
                      <w:sz w:val="21"/>
                      <w:szCs w:val="21"/>
                      <w:highlight w:val="none"/>
                    </w:rPr>
                    <w:t>速率</w:t>
                  </w:r>
                  <w:r>
                    <w:rPr>
                      <w:rFonts w:ascii="Times New Roman" w:hAnsi="Times New Roman" w:eastAsia="宋体"/>
                      <w:b/>
                      <w:bCs/>
                      <w:color w:val="auto"/>
                      <w:sz w:val="21"/>
                      <w:szCs w:val="21"/>
                      <w:highlight w:val="none"/>
                    </w:rPr>
                    <w:t>kg/h</w:t>
                  </w:r>
                </w:p>
              </w:tc>
            </w:tr>
            <w:tr w14:paraId="2819C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7" w:type="pct"/>
                  <w:vMerge w:val="restart"/>
                  <w:vAlign w:val="center"/>
                </w:tcPr>
                <w:p w14:paraId="38EDFFBC">
                  <w:pPr>
                    <w:adjustRightInd w:val="0"/>
                    <w:snapToGrid w:val="0"/>
                    <w:jc w:val="center"/>
                    <w:rPr>
                      <w:snapToGrid w:val="0"/>
                      <w:color w:val="auto"/>
                      <w:kern w:val="0"/>
                      <w:szCs w:val="21"/>
                      <w:highlight w:val="none"/>
                    </w:rPr>
                  </w:pPr>
                  <w:r>
                    <w:rPr>
                      <w:rFonts w:hint="eastAsia" w:hAnsi="宋体"/>
                      <w:snapToGrid w:val="0"/>
                      <w:color w:val="auto"/>
                      <w:kern w:val="0"/>
                      <w:szCs w:val="21"/>
                      <w:highlight w:val="none"/>
                    </w:rPr>
                    <w:t>涂聚酯树脂胶、固化、滴浸渍树脂胶、浸涂树脂粉、固化</w:t>
                  </w:r>
                </w:p>
              </w:tc>
              <w:tc>
                <w:tcPr>
                  <w:tcW w:w="527" w:type="pct"/>
                  <w:vAlign w:val="center"/>
                </w:tcPr>
                <w:p w14:paraId="2BEBC451">
                  <w:pPr>
                    <w:adjustRightInd w:val="0"/>
                    <w:snapToGrid w:val="0"/>
                    <w:jc w:val="center"/>
                    <w:rPr>
                      <w:snapToGrid w:val="0"/>
                      <w:color w:val="auto"/>
                      <w:kern w:val="0"/>
                      <w:szCs w:val="21"/>
                      <w:highlight w:val="none"/>
                      <w:lang w:eastAsia="zh-Hans"/>
                    </w:rPr>
                  </w:pPr>
                  <w:r>
                    <w:rPr>
                      <w:rFonts w:hint="eastAsia"/>
                      <w:snapToGrid w:val="0"/>
                      <w:color w:val="auto"/>
                      <w:kern w:val="0"/>
                      <w:szCs w:val="21"/>
                      <w:highlight w:val="none"/>
                      <w:lang w:eastAsia="zh-Hans"/>
                    </w:rPr>
                    <w:t>二甲苯</w:t>
                  </w:r>
                </w:p>
              </w:tc>
              <w:tc>
                <w:tcPr>
                  <w:tcW w:w="587" w:type="pct"/>
                  <w:vAlign w:val="center"/>
                </w:tcPr>
                <w:p w14:paraId="73576522">
                  <w:pPr>
                    <w:adjustRightInd w:val="0"/>
                    <w:snapToGrid w:val="0"/>
                    <w:jc w:val="center"/>
                    <w:rPr>
                      <w:snapToGrid w:val="0"/>
                      <w:color w:val="auto"/>
                      <w:kern w:val="0"/>
                      <w:szCs w:val="21"/>
                      <w:highlight w:val="none"/>
                    </w:rPr>
                  </w:pPr>
                  <w:r>
                    <w:rPr>
                      <w:snapToGrid w:val="0"/>
                      <w:color w:val="auto"/>
                      <w:kern w:val="0"/>
                      <w:szCs w:val="21"/>
                      <w:highlight w:val="none"/>
                    </w:rPr>
                    <w:t>0.0004</w:t>
                  </w:r>
                </w:p>
              </w:tc>
              <w:tc>
                <w:tcPr>
                  <w:tcW w:w="534" w:type="pct"/>
                  <w:vMerge w:val="restart"/>
                  <w:vAlign w:val="center"/>
                </w:tcPr>
                <w:p w14:paraId="2E5CA08E">
                  <w:pPr>
                    <w:adjustRightInd w:val="0"/>
                    <w:snapToGrid w:val="0"/>
                    <w:jc w:val="center"/>
                    <w:rPr>
                      <w:snapToGrid w:val="0"/>
                      <w:color w:val="auto"/>
                      <w:kern w:val="0"/>
                      <w:szCs w:val="21"/>
                      <w:highlight w:val="none"/>
                    </w:rPr>
                  </w:pPr>
                  <w:r>
                    <w:rPr>
                      <w:rFonts w:hint="eastAsia"/>
                      <w:snapToGrid w:val="0"/>
                      <w:color w:val="auto"/>
                      <w:kern w:val="0"/>
                      <w:szCs w:val="21"/>
                      <w:highlight w:val="none"/>
                    </w:rPr>
                    <w:t>90</w:t>
                  </w:r>
                </w:p>
              </w:tc>
              <w:tc>
                <w:tcPr>
                  <w:tcW w:w="524" w:type="pct"/>
                  <w:vMerge w:val="restart"/>
                  <w:vAlign w:val="center"/>
                </w:tcPr>
                <w:p w14:paraId="26C0EB4C">
                  <w:pPr>
                    <w:adjustRightInd w:val="0"/>
                    <w:snapToGrid w:val="0"/>
                    <w:jc w:val="center"/>
                    <w:rPr>
                      <w:snapToGrid w:val="0"/>
                      <w:color w:val="auto"/>
                      <w:kern w:val="0"/>
                      <w:szCs w:val="21"/>
                      <w:highlight w:val="none"/>
                    </w:rPr>
                  </w:pPr>
                  <w:r>
                    <w:rPr>
                      <w:rFonts w:hint="eastAsia"/>
                      <w:snapToGrid w:val="0"/>
                      <w:color w:val="auto"/>
                      <w:kern w:val="0"/>
                      <w:szCs w:val="21"/>
                      <w:highlight w:val="none"/>
                    </w:rPr>
                    <w:t>80</w:t>
                  </w:r>
                </w:p>
              </w:tc>
              <w:tc>
                <w:tcPr>
                  <w:tcW w:w="541" w:type="pct"/>
                  <w:vMerge w:val="restart"/>
                  <w:vAlign w:val="center"/>
                </w:tcPr>
                <w:p w14:paraId="0FA66CD0">
                  <w:pPr>
                    <w:adjustRightInd w:val="0"/>
                    <w:snapToGrid w:val="0"/>
                    <w:jc w:val="center"/>
                    <w:rPr>
                      <w:snapToGrid w:val="0"/>
                      <w:color w:val="auto"/>
                      <w:kern w:val="0"/>
                      <w:szCs w:val="21"/>
                      <w:highlight w:val="none"/>
                    </w:rPr>
                  </w:pPr>
                  <w:r>
                    <w:rPr>
                      <w:rFonts w:hint="eastAsia"/>
                      <w:snapToGrid w:val="0"/>
                      <w:color w:val="auto"/>
                      <w:kern w:val="0"/>
                      <w:szCs w:val="21"/>
                      <w:highlight w:val="none"/>
                    </w:rPr>
                    <w:t>12</w:t>
                  </w:r>
                </w:p>
              </w:tc>
              <w:tc>
                <w:tcPr>
                  <w:tcW w:w="536" w:type="pct"/>
                  <w:vMerge w:val="restart"/>
                  <w:vAlign w:val="center"/>
                </w:tcPr>
                <w:p w14:paraId="2CE6C419">
                  <w:pPr>
                    <w:adjustRightInd w:val="0"/>
                    <w:snapToGrid w:val="0"/>
                    <w:jc w:val="center"/>
                    <w:rPr>
                      <w:snapToGrid w:val="0"/>
                      <w:color w:val="auto"/>
                      <w:kern w:val="0"/>
                      <w:szCs w:val="21"/>
                      <w:highlight w:val="none"/>
                    </w:rPr>
                  </w:pPr>
                  <w:r>
                    <w:rPr>
                      <w:rFonts w:hint="eastAsia" w:hAnsi="宋体"/>
                      <w:snapToGrid w:val="0"/>
                      <w:color w:val="auto"/>
                      <w:kern w:val="0"/>
                      <w:szCs w:val="21"/>
                      <w:highlight w:val="none"/>
                    </w:rPr>
                    <w:t>连续</w:t>
                  </w:r>
                </w:p>
              </w:tc>
              <w:tc>
                <w:tcPr>
                  <w:tcW w:w="505" w:type="pct"/>
                  <w:vAlign w:val="center"/>
                </w:tcPr>
                <w:p w14:paraId="60DB29C4">
                  <w:pPr>
                    <w:adjustRightInd w:val="0"/>
                    <w:snapToGrid w:val="0"/>
                    <w:jc w:val="center"/>
                    <w:rPr>
                      <w:snapToGrid w:val="0"/>
                      <w:color w:val="auto"/>
                      <w:kern w:val="0"/>
                      <w:szCs w:val="21"/>
                      <w:highlight w:val="none"/>
                    </w:rPr>
                  </w:pPr>
                  <w:r>
                    <w:rPr>
                      <w:snapToGrid w:val="0"/>
                      <w:color w:val="auto"/>
                      <w:kern w:val="0"/>
                      <w:szCs w:val="21"/>
                      <w:highlight w:val="none"/>
                    </w:rPr>
                    <w:t>0.0004</w:t>
                  </w:r>
                </w:p>
              </w:tc>
              <w:tc>
                <w:tcPr>
                  <w:tcW w:w="505" w:type="pct"/>
                  <w:vAlign w:val="center"/>
                </w:tcPr>
                <w:p w14:paraId="453343B2">
                  <w:pPr>
                    <w:adjustRightInd w:val="0"/>
                    <w:snapToGrid w:val="0"/>
                    <w:jc w:val="center"/>
                    <w:rPr>
                      <w:snapToGrid w:val="0"/>
                      <w:color w:val="auto"/>
                      <w:kern w:val="0"/>
                      <w:szCs w:val="21"/>
                      <w:highlight w:val="none"/>
                    </w:rPr>
                  </w:pPr>
                  <w:r>
                    <w:rPr>
                      <w:snapToGrid w:val="0"/>
                      <w:color w:val="auto"/>
                      <w:kern w:val="0"/>
                      <w:szCs w:val="21"/>
                      <w:highlight w:val="none"/>
                    </w:rPr>
                    <w:t>0.00002</w:t>
                  </w:r>
                </w:p>
              </w:tc>
            </w:tr>
            <w:tr w14:paraId="23B92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1" w:hRule="atLeast"/>
              </w:trPr>
              <w:tc>
                <w:tcPr>
                  <w:tcW w:w="737" w:type="pct"/>
                  <w:vMerge w:val="continue"/>
                  <w:vAlign w:val="center"/>
                </w:tcPr>
                <w:p w14:paraId="45AC4C9E">
                  <w:pPr>
                    <w:adjustRightInd w:val="0"/>
                    <w:snapToGrid w:val="0"/>
                    <w:jc w:val="center"/>
                    <w:rPr>
                      <w:rFonts w:hAnsi="宋体"/>
                      <w:snapToGrid w:val="0"/>
                      <w:color w:val="auto"/>
                      <w:kern w:val="0"/>
                      <w:szCs w:val="21"/>
                      <w:highlight w:val="none"/>
                    </w:rPr>
                  </w:pPr>
                </w:p>
              </w:tc>
              <w:tc>
                <w:tcPr>
                  <w:tcW w:w="527" w:type="pct"/>
                  <w:vAlign w:val="center"/>
                </w:tcPr>
                <w:p w14:paraId="3D37141A">
                  <w:pPr>
                    <w:adjustRightInd w:val="0"/>
                    <w:snapToGrid w:val="0"/>
                    <w:jc w:val="center"/>
                    <w:rPr>
                      <w:snapToGrid w:val="0"/>
                      <w:color w:val="auto"/>
                      <w:kern w:val="0"/>
                      <w:szCs w:val="21"/>
                      <w:highlight w:val="none"/>
                    </w:rPr>
                  </w:pPr>
                  <w:r>
                    <w:rPr>
                      <w:rFonts w:hint="eastAsia" w:hAnsi="宋体"/>
                      <w:snapToGrid w:val="0"/>
                      <w:color w:val="auto"/>
                      <w:kern w:val="0"/>
                      <w:szCs w:val="21"/>
                      <w:highlight w:val="none"/>
                    </w:rPr>
                    <w:t>VOCs</w:t>
                  </w:r>
                  <w:r>
                    <w:rPr>
                      <w:rFonts w:hint="eastAsia" w:hAnsi="宋体"/>
                      <w:snapToGrid w:val="0"/>
                      <w:color w:val="auto"/>
                      <w:kern w:val="0"/>
                      <w:szCs w:val="21"/>
                      <w:highlight w:val="none"/>
                      <w:lang w:eastAsia="zh-Hans"/>
                    </w:rPr>
                    <w:t>（含二甲苯）</w:t>
                  </w:r>
                </w:p>
              </w:tc>
              <w:tc>
                <w:tcPr>
                  <w:tcW w:w="587" w:type="pct"/>
                  <w:vAlign w:val="center"/>
                </w:tcPr>
                <w:p w14:paraId="34F00C71">
                  <w:pPr>
                    <w:adjustRightInd w:val="0"/>
                    <w:snapToGrid w:val="0"/>
                    <w:jc w:val="center"/>
                    <w:rPr>
                      <w:snapToGrid w:val="0"/>
                      <w:color w:val="auto"/>
                      <w:kern w:val="0"/>
                      <w:szCs w:val="21"/>
                      <w:highlight w:val="none"/>
                    </w:rPr>
                  </w:pPr>
                  <w:r>
                    <w:rPr>
                      <w:rFonts w:hint="eastAsia"/>
                      <w:snapToGrid w:val="0"/>
                      <w:color w:val="auto"/>
                      <w:kern w:val="0"/>
                      <w:szCs w:val="21"/>
                      <w:highlight w:val="none"/>
                    </w:rPr>
                    <w:t>0.0</w:t>
                  </w:r>
                  <w:r>
                    <w:rPr>
                      <w:rFonts w:hint="default"/>
                      <w:snapToGrid w:val="0"/>
                      <w:color w:val="auto"/>
                      <w:kern w:val="0"/>
                      <w:szCs w:val="21"/>
                      <w:highlight w:val="none"/>
                    </w:rPr>
                    <w:t>418</w:t>
                  </w:r>
                </w:p>
              </w:tc>
              <w:tc>
                <w:tcPr>
                  <w:tcW w:w="534" w:type="pct"/>
                  <w:vMerge w:val="continue"/>
                  <w:vAlign w:val="center"/>
                </w:tcPr>
                <w:p w14:paraId="4C633EB8">
                  <w:pPr>
                    <w:adjustRightInd w:val="0"/>
                    <w:snapToGrid w:val="0"/>
                    <w:jc w:val="center"/>
                    <w:rPr>
                      <w:snapToGrid w:val="0"/>
                      <w:color w:val="auto"/>
                      <w:kern w:val="0"/>
                      <w:szCs w:val="21"/>
                      <w:highlight w:val="none"/>
                    </w:rPr>
                  </w:pPr>
                </w:p>
              </w:tc>
              <w:tc>
                <w:tcPr>
                  <w:tcW w:w="524" w:type="pct"/>
                  <w:vMerge w:val="continue"/>
                  <w:vAlign w:val="center"/>
                </w:tcPr>
                <w:p w14:paraId="255A5ACC">
                  <w:pPr>
                    <w:adjustRightInd w:val="0"/>
                    <w:snapToGrid w:val="0"/>
                    <w:jc w:val="center"/>
                    <w:rPr>
                      <w:snapToGrid w:val="0"/>
                      <w:color w:val="auto"/>
                      <w:kern w:val="0"/>
                      <w:szCs w:val="21"/>
                      <w:highlight w:val="none"/>
                    </w:rPr>
                  </w:pPr>
                </w:p>
              </w:tc>
              <w:tc>
                <w:tcPr>
                  <w:tcW w:w="541" w:type="pct"/>
                  <w:vMerge w:val="continue"/>
                  <w:vAlign w:val="center"/>
                </w:tcPr>
                <w:p w14:paraId="52A90999">
                  <w:pPr>
                    <w:adjustRightInd w:val="0"/>
                    <w:snapToGrid w:val="0"/>
                    <w:jc w:val="center"/>
                    <w:rPr>
                      <w:snapToGrid w:val="0"/>
                      <w:color w:val="auto"/>
                      <w:kern w:val="0"/>
                      <w:szCs w:val="21"/>
                      <w:highlight w:val="none"/>
                    </w:rPr>
                  </w:pPr>
                </w:p>
              </w:tc>
              <w:tc>
                <w:tcPr>
                  <w:tcW w:w="536" w:type="pct"/>
                  <w:vMerge w:val="continue"/>
                  <w:vAlign w:val="center"/>
                </w:tcPr>
                <w:p w14:paraId="01753E07">
                  <w:pPr>
                    <w:adjustRightInd w:val="0"/>
                    <w:snapToGrid w:val="0"/>
                    <w:jc w:val="center"/>
                    <w:rPr>
                      <w:rFonts w:hAnsi="宋体"/>
                      <w:snapToGrid w:val="0"/>
                      <w:color w:val="auto"/>
                      <w:kern w:val="0"/>
                      <w:szCs w:val="21"/>
                      <w:highlight w:val="none"/>
                    </w:rPr>
                  </w:pPr>
                </w:p>
              </w:tc>
              <w:tc>
                <w:tcPr>
                  <w:tcW w:w="505" w:type="pct"/>
                  <w:vAlign w:val="center"/>
                </w:tcPr>
                <w:p w14:paraId="69122FE0">
                  <w:pPr>
                    <w:adjustRightInd w:val="0"/>
                    <w:snapToGrid w:val="0"/>
                    <w:jc w:val="center"/>
                    <w:rPr>
                      <w:snapToGrid w:val="0"/>
                      <w:color w:val="auto"/>
                      <w:kern w:val="0"/>
                      <w:szCs w:val="21"/>
                      <w:highlight w:val="none"/>
                    </w:rPr>
                  </w:pPr>
                  <w:r>
                    <w:rPr>
                      <w:rFonts w:hint="eastAsia"/>
                      <w:snapToGrid w:val="0"/>
                      <w:color w:val="auto"/>
                      <w:kern w:val="0"/>
                      <w:szCs w:val="21"/>
                      <w:highlight w:val="none"/>
                    </w:rPr>
                    <w:t>0.0</w:t>
                  </w:r>
                  <w:r>
                    <w:rPr>
                      <w:rFonts w:hint="default"/>
                      <w:snapToGrid w:val="0"/>
                      <w:color w:val="auto"/>
                      <w:kern w:val="0"/>
                      <w:szCs w:val="21"/>
                      <w:highlight w:val="none"/>
                    </w:rPr>
                    <w:t>418</w:t>
                  </w:r>
                </w:p>
              </w:tc>
              <w:tc>
                <w:tcPr>
                  <w:tcW w:w="505" w:type="pct"/>
                  <w:vAlign w:val="center"/>
                </w:tcPr>
                <w:p w14:paraId="437B7097">
                  <w:pPr>
                    <w:adjustRightInd w:val="0"/>
                    <w:snapToGrid w:val="0"/>
                    <w:jc w:val="center"/>
                    <w:rPr>
                      <w:snapToGrid w:val="0"/>
                      <w:color w:val="auto"/>
                      <w:kern w:val="0"/>
                      <w:szCs w:val="21"/>
                      <w:highlight w:val="none"/>
                    </w:rPr>
                  </w:pPr>
                  <w:r>
                    <w:rPr>
                      <w:rFonts w:hint="eastAsia"/>
                      <w:snapToGrid w:val="0"/>
                      <w:color w:val="auto"/>
                      <w:kern w:val="0"/>
                      <w:szCs w:val="21"/>
                      <w:highlight w:val="none"/>
                    </w:rPr>
                    <w:t>0.00</w:t>
                  </w:r>
                  <w:r>
                    <w:rPr>
                      <w:rFonts w:hint="default"/>
                      <w:snapToGrid w:val="0"/>
                      <w:color w:val="auto"/>
                      <w:kern w:val="0"/>
                      <w:szCs w:val="21"/>
                      <w:highlight w:val="none"/>
                    </w:rPr>
                    <w:t>58</w:t>
                  </w:r>
                </w:p>
              </w:tc>
            </w:tr>
            <w:tr w14:paraId="2A4A0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7" w:type="pct"/>
                  <w:vAlign w:val="center"/>
                </w:tcPr>
                <w:p w14:paraId="1BDBCEF9">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浸涂树脂粉、固化</w:t>
                  </w:r>
                </w:p>
              </w:tc>
              <w:tc>
                <w:tcPr>
                  <w:tcW w:w="527" w:type="pct"/>
                  <w:vAlign w:val="center"/>
                </w:tcPr>
                <w:p w14:paraId="113D5DC9">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颗粒物</w:t>
                  </w:r>
                </w:p>
              </w:tc>
              <w:tc>
                <w:tcPr>
                  <w:tcW w:w="587" w:type="pct"/>
                  <w:vAlign w:val="center"/>
                </w:tcPr>
                <w:p w14:paraId="602265FE">
                  <w:pPr>
                    <w:adjustRightInd w:val="0"/>
                    <w:snapToGrid w:val="0"/>
                    <w:jc w:val="center"/>
                    <w:rPr>
                      <w:snapToGrid w:val="0"/>
                      <w:color w:val="auto"/>
                      <w:kern w:val="0"/>
                      <w:szCs w:val="21"/>
                      <w:highlight w:val="none"/>
                    </w:rPr>
                  </w:pPr>
                  <w:r>
                    <w:rPr>
                      <w:rFonts w:hint="eastAsia"/>
                      <w:snapToGrid w:val="0"/>
                      <w:color w:val="auto"/>
                      <w:kern w:val="0"/>
                      <w:szCs w:val="21"/>
                      <w:highlight w:val="none"/>
                    </w:rPr>
                    <w:t>0.18</w:t>
                  </w:r>
                </w:p>
              </w:tc>
              <w:tc>
                <w:tcPr>
                  <w:tcW w:w="534" w:type="pct"/>
                  <w:vMerge w:val="continue"/>
                  <w:vAlign w:val="center"/>
                </w:tcPr>
                <w:p w14:paraId="61DFB26F">
                  <w:pPr>
                    <w:adjustRightInd w:val="0"/>
                    <w:snapToGrid w:val="0"/>
                    <w:jc w:val="center"/>
                    <w:rPr>
                      <w:snapToGrid w:val="0"/>
                      <w:color w:val="auto"/>
                      <w:kern w:val="0"/>
                      <w:szCs w:val="21"/>
                      <w:highlight w:val="none"/>
                    </w:rPr>
                  </w:pPr>
                </w:p>
              </w:tc>
              <w:tc>
                <w:tcPr>
                  <w:tcW w:w="524" w:type="pct"/>
                  <w:vMerge w:val="continue"/>
                  <w:vAlign w:val="center"/>
                </w:tcPr>
                <w:p w14:paraId="2FA15B1A">
                  <w:pPr>
                    <w:adjustRightInd w:val="0"/>
                    <w:snapToGrid w:val="0"/>
                    <w:jc w:val="center"/>
                    <w:rPr>
                      <w:snapToGrid w:val="0"/>
                      <w:color w:val="auto"/>
                      <w:kern w:val="0"/>
                      <w:szCs w:val="21"/>
                      <w:highlight w:val="none"/>
                    </w:rPr>
                  </w:pPr>
                </w:p>
              </w:tc>
              <w:tc>
                <w:tcPr>
                  <w:tcW w:w="541" w:type="pct"/>
                  <w:vMerge w:val="continue"/>
                  <w:vAlign w:val="center"/>
                </w:tcPr>
                <w:p w14:paraId="078CDF59">
                  <w:pPr>
                    <w:adjustRightInd w:val="0"/>
                    <w:snapToGrid w:val="0"/>
                    <w:jc w:val="center"/>
                    <w:rPr>
                      <w:snapToGrid w:val="0"/>
                      <w:color w:val="auto"/>
                      <w:kern w:val="0"/>
                      <w:szCs w:val="21"/>
                      <w:highlight w:val="none"/>
                    </w:rPr>
                  </w:pPr>
                </w:p>
              </w:tc>
              <w:tc>
                <w:tcPr>
                  <w:tcW w:w="536" w:type="pct"/>
                  <w:vMerge w:val="continue"/>
                  <w:vAlign w:val="center"/>
                </w:tcPr>
                <w:p w14:paraId="07C24795">
                  <w:pPr>
                    <w:adjustRightInd w:val="0"/>
                    <w:snapToGrid w:val="0"/>
                    <w:jc w:val="center"/>
                    <w:rPr>
                      <w:rFonts w:hAnsi="宋体"/>
                      <w:snapToGrid w:val="0"/>
                      <w:color w:val="auto"/>
                      <w:kern w:val="0"/>
                      <w:szCs w:val="21"/>
                      <w:highlight w:val="none"/>
                    </w:rPr>
                  </w:pPr>
                </w:p>
              </w:tc>
              <w:tc>
                <w:tcPr>
                  <w:tcW w:w="505" w:type="pct"/>
                  <w:vAlign w:val="center"/>
                </w:tcPr>
                <w:p w14:paraId="6E2363C7">
                  <w:pPr>
                    <w:adjustRightInd w:val="0"/>
                    <w:snapToGrid w:val="0"/>
                    <w:jc w:val="center"/>
                    <w:rPr>
                      <w:snapToGrid w:val="0"/>
                      <w:color w:val="auto"/>
                      <w:kern w:val="0"/>
                      <w:szCs w:val="21"/>
                      <w:highlight w:val="none"/>
                    </w:rPr>
                  </w:pPr>
                  <w:r>
                    <w:rPr>
                      <w:rFonts w:hint="eastAsia"/>
                      <w:snapToGrid w:val="0"/>
                      <w:color w:val="auto"/>
                      <w:kern w:val="0"/>
                      <w:szCs w:val="21"/>
                      <w:highlight w:val="none"/>
                    </w:rPr>
                    <w:t>0.18</w:t>
                  </w:r>
                </w:p>
              </w:tc>
              <w:tc>
                <w:tcPr>
                  <w:tcW w:w="505" w:type="pct"/>
                  <w:vAlign w:val="center"/>
                </w:tcPr>
                <w:p w14:paraId="168C486D">
                  <w:pPr>
                    <w:adjustRightInd w:val="0"/>
                    <w:snapToGrid w:val="0"/>
                    <w:jc w:val="center"/>
                    <w:rPr>
                      <w:snapToGrid w:val="0"/>
                      <w:color w:val="auto"/>
                      <w:kern w:val="0"/>
                      <w:szCs w:val="21"/>
                      <w:highlight w:val="none"/>
                    </w:rPr>
                  </w:pPr>
                  <w:r>
                    <w:rPr>
                      <w:rFonts w:hint="eastAsia"/>
                      <w:snapToGrid w:val="0"/>
                      <w:color w:val="auto"/>
                      <w:kern w:val="0"/>
                      <w:szCs w:val="21"/>
                      <w:highlight w:val="none"/>
                    </w:rPr>
                    <w:t>0.025</w:t>
                  </w:r>
                </w:p>
              </w:tc>
            </w:tr>
            <w:tr w14:paraId="58E47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7" w:type="pct"/>
                  <w:vAlign w:val="center"/>
                </w:tcPr>
                <w:p w14:paraId="33F8752F">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焊接</w:t>
                  </w:r>
                </w:p>
              </w:tc>
              <w:tc>
                <w:tcPr>
                  <w:tcW w:w="527" w:type="pct"/>
                  <w:vAlign w:val="center"/>
                </w:tcPr>
                <w:p w14:paraId="37F0C4F9">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颗粒物</w:t>
                  </w:r>
                </w:p>
              </w:tc>
              <w:tc>
                <w:tcPr>
                  <w:tcW w:w="587" w:type="pct"/>
                  <w:vAlign w:val="center"/>
                </w:tcPr>
                <w:p w14:paraId="2E1627EF">
                  <w:pPr>
                    <w:adjustRightInd w:val="0"/>
                    <w:snapToGrid w:val="0"/>
                    <w:jc w:val="center"/>
                    <w:rPr>
                      <w:snapToGrid w:val="0"/>
                      <w:color w:val="auto"/>
                      <w:kern w:val="0"/>
                      <w:szCs w:val="21"/>
                      <w:highlight w:val="none"/>
                    </w:rPr>
                  </w:pPr>
                  <w:r>
                    <w:rPr>
                      <w:rFonts w:hint="eastAsia"/>
                      <w:snapToGrid w:val="0"/>
                      <w:color w:val="auto"/>
                      <w:kern w:val="0"/>
                      <w:szCs w:val="21"/>
                      <w:highlight w:val="none"/>
                    </w:rPr>
                    <w:t>0.48</w:t>
                  </w:r>
                </w:p>
              </w:tc>
              <w:tc>
                <w:tcPr>
                  <w:tcW w:w="534" w:type="pct"/>
                  <w:vMerge w:val="continue"/>
                  <w:vAlign w:val="center"/>
                </w:tcPr>
                <w:p w14:paraId="13F237A4">
                  <w:pPr>
                    <w:adjustRightInd w:val="0"/>
                    <w:snapToGrid w:val="0"/>
                    <w:jc w:val="center"/>
                    <w:rPr>
                      <w:snapToGrid w:val="0"/>
                      <w:color w:val="auto"/>
                      <w:kern w:val="0"/>
                      <w:szCs w:val="21"/>
                      <w:highlight w:val="none"/>
                    </w:rPr>
                  </w:pPr>
                </w:p>
              </w:tc>
              <w:tc>
                <w:tcPr>
                  <w:tcW w:w="524" w:type="pct"/>
                  <w:vMerge w:val="continue"/>
                  <w:vAlign w:val="center"/>
                </w:tcPr>
                <w:p w14:paraId="6854D84E">
                  <w:pPr>
                    <w:adjustRightInd w:val="0"/>
                    <w:snapToGrid w:val="0"/>
                    <w:jc w:val="center"/>
                    <w:rPr>
                      <w:snapToGrid w:val="0"/>
                      <w:color w:val="auto"/>
                      <w:kern w:val="0"/>
                      <w:szCs w:val="21"/>
                      <w:highlight w:val="none"/>
                    </w:rPr>
                  </w:pPr>
                </w:p>
              </w:tc>
              <w:tc>
                <w:tcPr>
                  <w:tcW w:w="541" w:type="pct"/>
                  <w:vMerge w:val="continue"/>
                  <w:vAlign w:val="center"/>
                </w:tcPr>
                <w:p w14:paraId="7922EA84">
                  <w:pPr>
                    <w:adjustRightInd w:val="0"/>
                    <w:snapToGrid w:val="0"/>
                    <w:jc w:val="center"/>
                    <w:rPr>
                      <w:snapToGrid w:val="0"/>
                      <w:color w:val="auto"/>
                      <w:kern w:val="0"/>
                      <w:szCs w:val="21"/>
                      <w:highlight w:val="none"/>
                    </w:rPr>
                  </w:pPr>
                </w:p>
              </w:tc>
              <w:tc>
                <w:tcPr>
                  <w:tcW w:w="536" w:type="pct"/>
                  <w:vMerge w:val="continue"/>
                  <w:vAlign w:val="center"/>
                </w:tcPr>
                <w:p w14:paraId="4870DB37">
                  <w:pPr>
                    <w:adjustRightInd w:val="0"/>
                    <w:snapToGrid w:val="0"/>
                    <w:jc w:val="center"/>
                    <w:rPr>
                      <w:rFonts w:hAnsi="宋体"/>
                      <w:snapToGrid w:val="0"/>
                      <w:color w:val="auto"/>
                      <w:kern w:val="0"/>
                      <w:szCs w:val="21"/>
                      <w:highlight w:val="none"/>
                    </w:rPr>
                  </w:pPr>
                </w:p>
              </w:tc>
              <w:tc>
                <w:tcPr>
                  <w:tcW w:w="505" w:type="pct"/>
                  <w:vAlign w:val="center"/>
                </w:tcPr>
                <w:p w14:paraId="69F0DFBD">
                  <w:pPr>
                    <w:adjustRightInd w:val="0"/>
                    <w:snapToGrid w:val="0"/>
                    <w:jc w:val="center"/>
                    <w:rPr>
                      <w:snapToGrid w:val="0"/>
                      <w:color w:val="auto"/>
                      <w:kern w:val="0"/>
                      <w:szCs w:val="21"/>
                      <w:highlight w:val="none"/>
                    </w:rPr>
                  </w:pPr>
                  <w:r>
                    <w:rPr>
                      <w:rFonts w:hint="eastAsia"/>
                      <w:snapToGrid w:val="0"/>
                      <w:color w:val="auto"/>
                      <w:kern w:val="0"/>
                      <w:szCs w:val="21"/>
                      <w:highlight w:val="none"/>
                    </w:rPr>
                    <w:t>0.192</w:t>
                  </w:r>
                </w:p>
              </w:tc>
              <w:tc>
                <w:tcPr>
                  <w:tcW w:w="505" w:type="pct"/>
                  <w:vAlign w:val="center"/>
                </w:tcPr>
                <w:p w14:paraId="52CB9545">
                  <w:pPr>
                    <w:adjustRightInd w:val="0"/>
                    <w:snapToGrid w:val="0"/>
                    <w:jc w:val="center"/>
                    <w:rPr>
                      <w:snapToGrid w:val="0"/>
                      <w:color w:val="auto"/>
                      <w:kern w:val="0"/>
                      <w:szCs w:val="21"/>
                      <w:highlight w:val="none"/>
                    </w:rPr>
                  </w:pPr>
                  <w:r>
                    <w:rPr>
                      <w:color w:val="auto"/>
                      <w:kern w:val="0"/>
                      <w:sz w:val="22"/>
                      <w:szCs w:val="22"/>
                      <w:highlight w:val="none"/>
                    </w:rPr>
                    <w:t>0.0</w:t>
                  </w:r>
                  <w:r>
                    <w:rPr>
                      <w:rFonts w:hint="eastAsia"/>
                      <w:color w:val="auto"/>
                      <w:kern w:val="0"/>
                      <w:sz w:val="22"/>
                      <w:szCs w:val="22"/>
                      <w:highlight w:val="none"/>
                    </w:rPr>
                    <w:t>533</w:t>
                  </w:r>
                </w:p>
              </w:tc>
            </w:tr>
            <w:tr w14:paraId="54B5F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7" w:type="pct"/>
                  <w:vAlign w:val="center"/>
                </w:tcPr>
                <w:p w14:paraId="48C1BA22">
                  <w:pPr>
                    <w:adjustRightInd w:val="0"/>
                    <w:snapToGrid w:val="0"/>
                    <w:jc w:val="center"/>
                    <w:rPr>
                      <w:rFonts w:hAnsi="宋体"/>
                      <w:snapToGrid w:val="0"/>
                      <w:color w:val="auto"/>
                      <w:kern w:val="0"/>
                      <w:szCs w:val="21"/>
                      <w:highlight w:val="none"/>
                      <w:lang w:eastAsia="zh-Hans"/>
                    </w:rPr>
                  </w:pPr>
                  <w:r>
                    <w:rPr>
                      <w:rFonts w:hint="eastAsia" w:hAnsi="宋体"/>
                      <w:snapToGrid w:val="0"/>
                      <w:color w:val="auto"/>
                      <w:kern w:val="0"/>
                      <w:szCs w:val="21"/>
                      <w:highlight w:val="none"/>
                      <w:lang w:eastAsia="zh-Hans"/>
                    </w:rPr>
                    <w:t>危废仓库</w:t>
                  </w:r>
                </w:p>
              </w:tc>
              <w:tc>
                <w:tcPr>
                  <w:tcW w:w="527" w:type="pct"/>
                  <w:vAlign w:val="center"/>
                </w:tcPr>
                <w:p w14:paraId="106B12E4">
                  <w:pPr>
                    <w:adjustRightInd w:val="0"/>
                    <w:snapToGrid w:val="0"/>
                    <w:jc w:val="center"/>
                    <w:rPr>
                      <w:rFonts w:hAnsi="宋体"/>
                      <w:snapToGrid w:val="0"/>
                      <w:color w:val="auto"/>
                      <w:kern w:val="0"/>
                      <w:szCs w:val="21"/>
                      <w:highlight w:val="none"/>
                      <w:lang w:eastAsia="zh-Hans"/>
                    </w:rPr>
                  </w:pPr>
                  <w:r>
                    <w:rPr>
                      <w:rFonts w:hint="eastAsia" w:hAnsi="宋体"/>
                      <w:snapToGrid w:val="0"/>
                      <w:color w:val="auto"/>
                      <w:kern w:val="0"/>
                      <w:szCs w:val="21"/>
                      <w:highlight w:val="none"/>
                      <w:lang w:eastAsia="zh-Hans"/>
                    </w:rPr>
                    <w:t>VOCs</w:t>
                  </w:r>
                </w:p>
              </w:tc>
              <w:tc>
                <w:tcPr>
                  <w:tcW w:w="587" w:type="pct"/>
                  <w:vAlign w:val="center"/>
                </w:tcPr>
                <w:p w14:paraId="2E771D60">
                  <w:pPr>
                    <w:adjustRightInd w:val="0"/>
                    <w:snapToGrid w:val="0"/>
                    <w:jc w:val="center"/>
                    <w:rPr>
                      <w:snapToGrid w:val="0"/>
                      <w:color w:val="auto"/>
                      <w:kern w:val="0"/>
                      <w:szCs w:val="21"/>
                      <w:highlight w:val="none"/>
                    </w:rPr>
                  </w:pPr>
                  <w:r>
                    <w:rPr>
                      <w:snapToGrid w:val="0"/>
                      <w:color w:val="auto"/>
                      <w:kern w:val="0"/>
                      <w:szCs w:val="21"/>
                      <w:highlight w:val="none"/>
                    </w:rPr>
                    <w:t>0.1089</w:t>
                  </w:r>
                </w:p>
              </w:tc>
              <w:tc>
                <w:tcPr>
                  <w:tcW w:w="534" w:type="pct"/>
                  <w:vAlign w:val="center"/>
                </w:tcPr>
                <w:p w14:paraId="10ED7D1B">
                  <w:pPr>
                    <w:adjustRightInd w:val="0"/>
                    <w:snapToGrid w:val="0"/>
                    <w:jc w:val="center"/>
                    <w:rPr>
                      <w:snapToGrid w:val="0"/>
                      <w:color w:val="auto"/>
                      <w:kern w:val="0"/>
                      <w:szCs w:val="21"/>
                      <w:highlight w:val="none"/>
                    </w:rPr>
                  </w:pPr>
                  <w:r>
                    <w:rPr>
                      <w:snapToGrid w:val="0"/>
                      <w:color w:val="auto"/>
                      <w:kern w:val="0"/>
                      <w:szCs w:val="21"/>
                      <w:highlight w:val="none"/>
                    </w:rPr>
                    <w:t>6</w:t>
                  </w:r>
                </w:p>
              </w:tc>
              <w:tc>
                <w:tcPr>
                  <w:tcW w:w="524" w:type="pct"/>
                  <w:vAlign w:val="center"/>
                </w:tcPr>
                <w:p w14:paraId="1B9527D5">
                  <w:pPr>
                    <w:adjustRightInd w:val="0"/>
                    <w:snapToGrid w:val="0"/>
                    <w:jc w:val="center"/>
                    <w:rPr>
                      <w:snapToGrid w:val="0"/>
                      <w:color w:val="auto"/>
                      <w:kern w:val="0"/>
                      <w:szCs w:val="21"/>
                      <w:highlight w:val="none"/>
                    </w:rPr>
                  </w:pPr>
                  <w:r>
                    <w:rPr>
                      <w:snapToGrid w:val="0"/>
                      <w:color w:val="auto"/>
                      <w:kern w:val="0"/>
                      <w:szCs w:val="21"/>
                      <w:highlight w:val="none"/>
                    </w:rPr>
                    <w:t>5</w:t>
                  </w:r>
                </w:p>
              </w:tc>
              <w:tc>
                <w:tcPr>
                  <w:tcW w:w="541" w:type="pct"/>
                  <w:vAlign w:val="center"/>
                </w:tcPr>
                <w:p w14:paraId="493CBA4B">
                  <w:pPr>
                    <w:adjustRightInd w:val="0"/>
                    <w:snapToGrid w:val="0"/>
                    <w:jc w:val="center"/>
                    <w:rPr>
                      <w:snapToGrid w:val="0"/>
                      <w:color w:val="auto"/>
                      <w:kern w:val="0"/>
                      <w:szCs w:val="21"/>
                      <w:highlight w:val="none"/>
                    </w:rPr>
                  </w:pPr>
                  <w:r>
                    <w:rPr>
                      <w:snapToGrid w:val="0"/>
                      <w:color w:val="auto"/>
                      <w:kern w:val="0"/>
                      <w:szCs w:val="21"/>
                      <w:highlight w:val="none"/>
                    </w:rPr>
                    <w:t>6</w:t>
                  </w:r>
                </w:p>
              </w:tc>
              <w:tc>
                <w:tcPr>
                  <w:tcW w:w="536" w:type="pct"/>
                  <w:vAlign w:val="center"/>
                </w:tcPr>
                <w:p w14:paraId="21F67C7B">
                  <w:pPr>
                    <w:adjustRightInd w:val="0"/>
                    <w:snapToGrid w:val="0"/>
                    <w:jc w:val="center"/>
                    <w:rPr>
                      <w:rFonts w:hAnsi="宋体"/>
                      <w:snapToGrid w:val="0"/>
                      <w:color w:val="auto"/>
                      <w:kern w:val="0"/>
                      <w:szCs w:val="21"/>
                      <w:highlight w:val="none"/>
                      <w:lang w:eastAsia="zh-Hans"/>
                    </w:rPr>
                  </w:pPr>
                  <w:r>
                    <w:rPr>
                      <w:rFonts w:hint="eastAsia" w:hAnsi="宋体"/>
                      <w:snapToGrid w:val="0"/>
                      <w:color w:val="auto"/>
                      <w:kern w:val="0"/>
                      <w:szCs w:val="21"/>
                      <w:highlight w:val="none"/>
                      <w:lang w:eastAsia="zh-Hans"/>
                    </w:rPr>
                    <w:t>连续</w:t>
                  </w:r>
                </w:p>
              </w:tc>
              <w:tc>
                <w:tcPr>
                  <w:tcW w:w="505" w:type="pct"/>
                  <w:vAlign w:val="center"/>
                </w:tcPr>
                <w:p w14:paraId="39993672">
                  <w:pPr>
                    <w:adjustRightInd w:val="0"/>
                    <w:snapToGrid w:val="0"/>
                    <w:jc w:val="center"/>
                    <w:rPr>
                      <w:snapToGrid w:val="0"/>
                      <w:color w:val="auto"/>
                      <w:kern w:val="0"/>
                      <w:szCs w:val="21"/>
                      <w:highlight w:val="none"/>
                    </w:rPr>
                  </w:pPr>
                  <w:r>
                    <w:rPr>
                      <w:snapToGrid w:val="0"/>
                      <w:color w:val="auto"/>
                      <w:kern w:val="0"/>
                      <w:szCs w:val="21"/>
                      <w:highlight w:val="none"/>
                    </w:rPr>
                    <w:t>0.0476</w:t>
                  </w:r>
                </w:p>
              </w:tc>
              <w:tc>
                <w:tcPr>
                  <w:tcW w:w="505" w:type="pct"/>
                  <w:vAlign w:val="center"/>
                </w:tcPr>
                <w:p w14:paraId="129B952D">
                  <w:pPr>
                    <w:adjustRightInd w:val="0"/>
                    <w:snapToGrid w:val="0"/>
                    <w:jc w:val="center"/>
                    <w:rPr>
                      <w:color w:val="auto"/>
                      <w:kern w:val="0"/>
                      <w:sz w:val="22"/>
                      <w:szCs w:val="22"/>
                      <w:highlight w:val="none"/>
                    </w:rPr>
                  </w:pPr>
                  <w:r>
                    <w:rPr>
                      <w:color w:val="auto"/>
                      <w:kern w:val="0"/>
                      <w:sz w:val="22"/>
                      <w:szCs w:val="22"/>
                      <w:highlight w:val="none"/>
                    </w:rPr>
                    <w:t>0.0066</w:t>
                  </w:r>
                </w:p>
              </w:tc>
            </w:tr>
            <w:tr w14:paraId="143BB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7" w:type="pct"/>
                  <w:vMerge w:val="restart"/>
                  <w:vAlign w:val="center"/>
                </w:tcPr>
                <w:p w14:paraId="27EBDB97">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合计</w:t>
                  </w:r>
                </w:p>
              </w:tc>
              <w:tc>
                <w:tcPr>
                  <w:tcW w:w="527" w:type="pct"/>
                  <w:vAlign w:val="center"/>
                </w:tcPr>
                <w:p w14:paraId="22C12B93">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颗粒物</w:t>
                  </w:r>
                </w:p>
              </w:tc>
              <w:tc>
                <w:tcPr>
                  <w:tcW w:w="587" w:type="pct"/>
                  <w:vAlign w:val="center"/>
                </w:tcPr>
                <w:p w14:paraId="520B6B5E">
                  <w:pPr>
                    <w:adjustRightInd w:val="0"/>
                    <w:snapToGrid w:val="0"/>
                    <w:jc w:val="center"/>
                    <w:rPr>
                      <w:snapToGrid w:val="0"/>
                      <w:color w:val="auto"/>
                      <w:kern w:val="0"/>
                      <w:szCs w:val="21"/>
                      <w:highlight w:val="none"/>
                    </w:rPr>
                  </w:pPr>
                  <w:r>
                    <w:rPr>
                      <w:rFonts w:hint="eastAsia"/>
                      <w:snapToGrid w:val="0"/>
                      <w:color w:val="auto"/>
                      <w:kern w:val="0"/>
                      <w:szCs w:val="21"/>
                      <w:highlight w:val="none"/>
                    </w:rPr>
                    <w:t>0.66</w:t>
                  </w:r>
                </w:p>
              </w:tc>
              <w:tc>
                <w:tcPr>
                  <w:tcW w:w="534" w:type="pct"/>
                  <w:vMerge w:val="restart"/>
                  <w:vAlign w:val="center"/>
                </w:tcPr>
                <w:p w14:paraId="6653C82C">
                  <w:pPr>
                    <w:adjustRightInd w:val="0"/>
                    <w:snapToGrid w:val="0"/>
                    <w:jc w:val="center"/>
                    <w:rPr>
                      <w:snapToGrid w:val="0"/>
                      <w:color w:val="auto"/>
                      <w:kern w:val="0"/>
                      <w:szCs w:val="21"/>
                      <w:highlight w:val="none"/>
                    </w:rPr>
                  </w:pPr>
                  <w:r>
                    <w:rPr>
                      <w:snapToGrid w:val="0"/>
                      <w:color w:val="auto"/>
                      <w:kern w:val="0"/>
                      <w:szCs w:val="21"/>
                      <w:highlight w:val="none"/>
                    </w:rPr>
                    <w:t>/</w:t>
                  </w:r>
                </w:p>
              </w:tc>
              <w:tc>
                <w:tcPr>
                  <w:tcW w:w="524" w:type="pct"/>
                  <w:vMerge w:val="restart"/>
                  <w:vAlign w:val="center"/>
                </w:tcPr>
                <w:p w14:paraId="5B597743">
                  <w:pPr>
                    <w:adjustRightInd w:val="0"/>
                    <w:snapToGrid w:val="0"/>
                    <w:jc w:val="center"/>
                    <w:rPr>
                      <w:snapToGrid w:val="0"/>
                      <w:color w:val="auto"/>
                      <w:kern w:val="0"/>
                      <w:szCs w:val="21"/>
                      <w:highlight w:val="none"/>
                    </w:rPr>
                  </w:pPr>
                  <w:r>
                    <w:rPr>
                      <w:snapToGrid w:val="0"/>
                      <w:color w:val="auto"/>
                      <w:kern w:val="0"/>
                      <w:szCs w:val="21"/>
                      <w:highlight w:val="none"/>
                    </w:rPr>
                    <w:t>/</w:t>
                  </w:r>
                </w:p>
              </w:tc>
              <w:tc>
                <w:tcPr>
                  <w:tcW w:w="541" w:type="pct"/>
                  <w:vMerge w:val="restart"/>
                  <w:vAlign w:val="center"/>
                </w:tcPr>
                <w:p w14:paraId="565A9591">
                  <w:pPr>
                    <w:adjustRightInd w:val="0"/>
                    <w:snapToGrid w:val="0"/>
                    <w:jc w:val="center"/>
                    <w:rPr>
                      <w:snapToGrid w:val="0"/>
                      <w:color w:val="auto"/>
                      <w:kern w:val="0"/>
                      <w:szCs w:val="21"/>
                      <w:highlight w:val="none"/>
                    </w:rPr>
                  </w:pPr>
                  <w:r>
                    <w:rPr>
                      <w:snapToGrid w:val="0"/>
                      <w:color w:val="auto"/>
                      <w:kern w:val="0"/>
                      <w:szCs w:val="21"/>
                      <w:highlight w:val="none"/>
                    </w:rPr>
                    <w:t>/</w:t>
                  </w:r>
                </w:p>
              </w:tc>
              <w:tc>
                <w:tcPr>
                  <w:tcW w:w="536" w:type="pct"/>
                  <w:vMerge w:val="restart"/>
                  <w:vAlign w:val="center"/>
                </w:tcPr>
                <w:p w14:paraId="672AA203">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连续</w:t>
                  </w:r>
                </w:p>
              </w:tc>
              <w:tc>
                <w:tcPr>
                  <w:tcW w:w="505" w:type="pct"/>
                  <w:vAlign w:val="center"/>
                </w:tcPr>
                <w:p w14:paraId="7D3B5C89">
                  <w:pPr>
                    <w:widowControl/>
                    <w:jc w:val="center"/>
                    <w:textAlignment w:val="center"/>
                    <w:rPr>
                      <w:snapToGrid w:val="0"/>
                      <w:color w:val="auto"/>
                      <w:kern w:val="0"/>
                      <w:szCs w:val="21"/>
                      <w:highlight w:val="none"/>
                    </w:rPr>
                  </w:pPr>
                  <w:r>
                    <w:rPr>
                      <w:color w:val="auto"/>
                      <w:kern w:val="0"/>
                      <w:sz w:val="22"/>
                      <w:szCs w:val="22"/>
                      <w:highlight w:val="none"/>
                    </w:rPr>
                    <w:t>0.3</w:t>
                  </w:r>
                  <w:r>
                    <w:rPr>
                      <w:rFonts w:hint="eastAsia"/>
                      <w:color w:val="auto"/>
                      <w:kern w:val="0"/>
                      <w:sz w:val="22"/>
                      <w:szCs w:val="22"/>
                      <w:highlight w:val="none"/>
                    </w:rPr>
                    <w:t>72</w:t>
                  </w:r>
                </w:p>
              </w:tc>
              <w:tc>
                <w:tcPr>
                  <w:tcW w:w="505" w:type="pct"/>
                  <w:vAlign w:val="center"/>
                </w:tcPr>
                <w:p w14:paraId="34C9982C">
                  <w:pPr>
                    <w:widowControl/>
                    <w:jc w:val="center"/>
                    <w:textAlignment w:val="center"/>
                    <w:rPr>
                      <w:snapToGrid w:val="0"/>
                      <w:color w:val="auto"/>
                      <w:kern w:val="0"/>
                      <w:szCs w:val="21"/>
                      <w:highlight w:val="none"/>
                    </w:rPr>
                  </w:pPr>
                  <w:r>
                    <w:rPr>
                      <w:rFonts w:hint="eastAsia"/>
                      <w:snapToGrid w:val="0"/>
                      <w:color w:val="auto"/>
                      <w:kern w:val="0"/>
                      <w:szCs w:val="21"/>
                      <w:highlight w:val="none"/>
                    </w:rPr>
                    <w:t>0.0783</w:t>
                  </w:r>
                </w:p>
              </w:tc>
            </w:tr>
            <w:tr w14:paraId="6A936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737" w:type="pct"/>
                  <w:vMerge w:val="continue"/>
                  <w:vAlign w:val="center"/>
                </w:tcPr>
                <w:p w14:paraId="6428DDA9">
                  <w:pPr>
                    <w:adjustRightInd w:val="0"/>
                    <w:snapToGrid w:val="0"/>
                    <w:jc w:val="center"/>
                    <w:rPr>
                      <w:rFonts w:hAnsi="宋体"/>
                      <w:snapToGrid w:val="0"/>
                      <w:color w:val="auto"/>
                      <w:kern w:val="0"/>
                      <w:szCs w:val="21"/>
                      <w:highlight w:val="none"/>
                    </w:rPr>
                  </w:pPr>
                </w:p>
              </w:tc>
              <w:tc>
                <w:tcPr>
                  <w:tcW w:w="527" w:type="pct"/>
                  <w:vAlign w:val="center"/>
                </w:tcPr>
                <w:p w14:paraId="4125E4C2">
                  <w:pPr>
                    <w:adjustRightInd w:val="0"/>
                    <w:snapToGrid w:val="0"/>
                    <w:jc w:val="center"/>
                    <w:rPr>
                      <w:rFonts w:hAnsi="宋体"/>
                      <w:snapToGrid w:val="0"/>
                      <w:color w:val="auto"/>
                      <w:kern w:val="0"/>
                      <w:szCs w:val="21"/>
                      <w:highlight w:val="none"/>
                      <w:lang w:eastAsia="zh-Hans"/>
                    </w:rPr>
                  </w:pPr>
                  <w:r>
                    <w:rPr>
                      <w:rFonts w:hint="eastAsia" w:hAnsi="宋体"/>
                      <w:snapToGrid w:val="0"/>
                      <w:color w:val="auto"/>
                      <w:kern w:val="0"/>
                      <w:szCs w:val="21"/>
                      <w:highlight w:val="none"/>
                      <w:lang w:eastAsia="zh-Hans"/>
                    </w:rPr>
                    <w:t>二甲苯</w:t>
                  </w:r>
                </w:p>
              </w:tc>
              <w:tc>
                <w:tcPr>
                  <w:tcW w:w="587" w:type="pct"/>
                  <w:vAlign w:val="center"/>
                </w:tcPr>
                <w:p w14:paraId="2BB9604F">
                  <w:pPr>
                    <w:adjustRightInd w:val="0"/>
                    <w:snapToGrid w:val="0"/>
                    <w:jc w:val="center"/>
                    <w:rPr>
                      <w:snapToGrid w:val="0"/>
                      <w:color w:val="auto"/>
                      <w:kern w:val="0"/>
                      <w:szCs w:val="21"/>
                      <w:highlight w:val="none"/>
                    </w:rPr>
                  </w:pPr>
                  <w:r>
                    <w:rPr>
                      <w:snapToGrid w:val="0"/>
                      <w:color w:val="auto"/>
                      <w:kern w:val="0"/>
                      <w:szCs w:val="21"/>
                      <w:highlight w:val="none"/>
                    </w:rPr>
                    <w:t>0.0004</w:t>
                  </w:r>
                </w:p>
              </w:tc>
              <w:tc>
                <w:tcPr>
                  <w:tcW w:w="534" w:type="pct"/>
                  <w:vMerge w:val="continue"/>
                  <w:vAlign w:val="center"/>
                </w:tcPr>
                <w:p w14:paraId="32737CD3">
                  <w:pPr>
                    <w:adjustRightInd w:val="0"/>
                    <w:snapToGrid w:val="0"/>
                    <w:jc w:val="center"/>
                    <w:rPr>
                      <w:snapToGrid w:val="0"/>
                      <w:color w:val="auto"/>
                      <w:kern w:val="0"/>
                      <w:szCs w:val="21"/>
                      <w:highlight w:val="none"/>
                    </w:rPr>
                  </w:pPr>
                </w:p>
              </w:tc>
              <w:tc>
                <w:tcPr>
                  <w:tcW w:w="524" w:type="pct"/>
                  <w:vMerge w:val="continue"/>
                  <w:vAlign w:val="center"/>
                </w:tcPr>
                <w:p w14:paraId="5BE3AE4A">
                  <w:pPr>
                    <w:adjustRightInd w:val="0"/>
                    <w:snapToGrid w:val="0"/>
                    <w:jc w:val="center"/>
                    <w:rPr>
                      <w:snapToGrid w:val="0"/>
                      <w:color w:val="auto"/>
                      <w:kern w:val="0"/>
                      <w:szCs w:val="21"/>
                      <w:highlight w:val="none"/>
                    </w:rPr>
                  </w:pPr>
                </w:p>
              </w:tc>
              <w:tc>
                <w:tcPr>
                  <w:tcW w:w="541" w:type="pct"/>
                  <w:vMerge w:val="continue"/>
                  <w:vAlign w:val="center"/>
                </w:tcPr>
                <w:p w14:paraId="67335A95">
                  <w:pPr>
                    <w:adjustRightInd w:val="0"/>
                    <w:snapToGrid w:val="0"/>
                    <w:jc w:val="center"/>
                    <w:rPr>
                      <w:snapToGrid w:val="0"/>
                      <w:color w:val="auto"/>
                      <w:kern w:val="0"/>
                      <w:szCs w:val="21"/>
                      <w:highlight w:val="none"/>
                    </w:rPr>
                  </w:pPr>
                </w:p>
              </w:tc>
              <w:tc>
                <w:tcPr>
                  <w:tcW w:w="536" w:type="pct"/>
                  <w:vMerge w:val="continue"/>
                  <w:vAlign w:val="center"/>
                </w:tcPr>
                <w:p w14:paraId="6A8727C4">
                  <w:pPr>
                    <w:adjustRightInd w:val="0"/>
                    <w:snapToGrid w:val="0"/>
                    <w:jc w:val="center"/>
                    <w:rPr>
                      <w:rFonts w:hAnsi="宋体"/>
                      <w:snapToGrid w:val="0"/>
                      <w:color w:val="auto"/>
                      <w:kern w:val="0"/>
                      <w:szCs w:val="21"/>
                      <w:highlight w:val="none"/>
                    </w:rPr>
                  </w:pPr>
                </w:p>
              </w:tc>
              <w:tc>
                <w:tcPr>
                  <w:tcW w:w="505" w:type="pct"/>
                  <w:vAlign w:val="center"/>
                </w:tcPr>
                <w:p w14:paraId="3B974F70">
                  <w:pPr>
                    <w:adjustRightInd w:val="0"/>
                    <w:snapToGrid w:val="0"/>
                    <w:jc w:val="center"/>
                    <w:rPr>
                      <w:snapToGrid w:val="0"/>
                      <w:color w:val="auto"/>
                      <w:kern w:val="0"/>
                      <w:szCs w:val="21"/>
                      <w:highlight w:val="none"/>
                    </w:rPr>
                  </w:pPr>
                  <w:r>
                    <w:rPr>
                      <w:snapToGrid w:val="0"/>
                      <w:color w:val="auto"/>
                      <w:kern w:val="0"/>
                      <w:szCs w:val="21"/>
                      <w:highlight w:val="none"/>
                    </w:rPr>
                    <w:t>0.0004</w:t>
                  </w:r>
                </w:p>
              </w:tc>
              <w:tc>
                <w:tcPr>
                  <w:tcW w:w="505" w:type="pct"/>
                  <w:vAlign w:val="center"/>
                </w:tcPr>
                <w:p w14:paraId="70552DA8">
                  <w:pPr>
                    <w:adjustRightInd w:val="0"/>
                    <w:snapToGrid w:val="0"/>
                    <w:jc w:val="center"/>
                    <w:rPr>
                      <w:snapToGrid w:val="0"/>
                      <w:color w:val="auto"/>
                      <w:kern w:val="0"/>
                      <w:szCs w:val="21"/>
                      <w:highlight w:val="none"/>
                    </w:rPr>
                  </w:pPr>
                  <w:r>
                    <w:rPr>
                      <w:snapToGrid w:val="0"/>
                      <w:color w:val="auto"/>
                      <w:kern w:val="0"/>
                      <w:szCs w:val="21"/>
                      <w:highlight w:val="none"/>
                    </w:rPr>
                    <w:t>0.00002</w:t>
                  </w:r>
                </w:p>
              </w:tc>
            </w:tr>
            <w:tr w14:paraId="41A27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7" w:type="pct"/>
                  <w:vMerge w:val="continue"/>
                  <w:vAlign w:val="center"/>
                </w:tcPr>
                <w:p w14:paraId="01384D27">
                  <w:pPr>
                    <w:adjustRightInd w:val="0"/>
                    <w:snapToGrid w:val="0"/>
                    <w:jc w:val="center"/>
                    <w:rPr>
                      <w:rFonts w:hAnsi="宋体"/>
                      <w:snapToGrid w:val="0"/>
                      <w:color w:val="auto"/>
                      <w:kern w:val="0"/>
                      <w:szCs w:val="21"/>
                      <w:highlight w:val="none"/>
                    </w:rPr>
                  </w:pPr>
                </w:p>
              </w:tc>
              <w:tc>
                <w:tcPr>
                  <w:tcW w:w="527" w:type="pct"/>
                  <w:vAlign w:val="center"/>
                </w:tcPr>
                <w:p w14:paraId="426A37D6">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VOCs</w:t>
                  </w:r>
                  <w:r>
                    <w:rPr>
                      <w:rFonts w:hint="eastAsia" w:hAnsi="宋体"/>
                      <w:snapToGrid w:val="0"/>
                      <w:color w:val="auto"/>
                      <w:kern w:val="0"/>
                      <w:szCs w:val="21"/>
                      <w:highlight w:val="none"/>
                      <w:lang w:eastAsia="zh-Hans"/>
                    </w:rPr>
                    <w:t>（含二甲苯）</w:t>
                  </w:r>
                </w:p>
              </w:tc>
              <w:tc>
                <w:tcPr>
                  <w:tcW w:w="587" w:type="pct"/>
                  <w:vAlign w:val="center"/>
                </w:tcPr>
                <w:p w14:paraId="15C02762">
                  <w:pPr>
                    <w:adjustRightInd w:val="0"/>
                    <w:snapToGrid w:val="0"/>
                    <w:jc w:val="center"/>
                    <w:rPr>
                      <w:snapToGrid w:val="0"/>
                      <w:color w:val="auto"/>
                      <w:kern w:val="0"/>
                      <w:szCs w:val="21"/>
                      <w:highlight w:val="none"/>
                    </w:rPr>
                  </w:pPr>
                  <w:r>
                    <w:rPr>
                      <w:rFonts w:hint="eastAsia"/>
                      <w:snapToGrid w:val="0"/>
                      <w:color w:val="auto"/>
                      <w:kern w:val="0"/>
                      <w:szCs w:val="21"/>
                      <w:highlight w:val="none"/>
                    </w:rPr>
                    <w:t>0.</w:t>
                  </w:r>
                  <w:r>
                    <w:rPr>
                      <w:rFonts w:hint="default"/>
                      <w:snapToGrid w:val="0"/>
                      <w:color w:val="auto"/>
                      <w:kern w:val="0"/>
                      <w:szCs w:val="21"/>
                      <w:highlight w:val="none"/>
                    </w:rPr>
                    <w:t>1507</w:t>
                  </w:r>
                </w:p>
              </w:tc>
              <w:tc>
                <w:tcPr>
                  <w:tcW w:w="534" w:type="pct"/>
                  <w:vMerge w:val="continue"/>
                  <w:vAlign w:val="center"/>
                </w:tcPr>
                <w:p w14:paraId="45C3BD2F">
                  <w:pPr>
                    <w:adjustRightInd w:val="0"/>
                    <w:snapToGrid w:val="0"/>
                    <w:jc w:val="center"/>
                    <w:rPr>
                      <w:snapToGrid w:val="0"/>
                      <w:color w:val="auto"/>
                      <w:kern w:val="0"/>
                      <w:szCs w:val="21"/>
                      <w:highlight w:val="none"/>
                    </w:rPr>
                  </w:pPr>
                </w:p>
              </w:tc>
              <w:tc>
                <w:tcPr>
                  <w:tcW w:w="524" w:type="pct"/>
                  <w:vMerge w:val="continue"/>
                  <w:vAlign w:val="center"/>
                </w:tcPr>
                <w:p w14:paraId="2B5C5E32">
                  <w:pPr>
                    <w:adjustRightInd w:val="0"/>
                    <w:snapToGrid w:val="0"/>
                    <w:jc w:val="center"/>
                    <w:rPr>
                      <w:snapToGrid w:val="0"/>
                      <w:color w:val="auto"/>
                      <w:kern w:val="0"/>
                      <w:szCs w:val="21"/>
                      <w:highlight w:val="none"/>
                    </w:rPr>
                  </w:pPr>
                </w:p>
              </w:tc>
              <w:tc>
                <w:tcPr>
                  <w:tcW w:w="541" w:type="pct"/>
                  <w:vMerge w:val="continue"/>
                  <w:vAlign w:val="center"/>
                </w:tcPr>
                <w:p w14:paraId="3FE7C72B">
                  <w:pPr>
                    <w:adjustRightInd w:val="0"/>
                    <w:snapToGrid w:val="0"/>
                    <w:jc w:val="center"/>
                    <w:rPr>
                      <w:snapToGrid w:val="0"/>
                      <w:color w:val="auto"/>
                      <w:kern w:val="0"/>
                      <w:szCs w:val="21"/>
                      <w:highlight w:val="none"/>
                    </w:rPr>
                  </w:pPr>
                </w:p>
              </w:tc>
              <w:tc>
                <w:tcPr>
                  <w:tcW w:w="536" w:type="pct"/>
                  <w:vMerge w:val="continue"/>
                  <w:vAlign w:val="center"/>
                </w:tcPr>
                <w:p w14:paraId="4136E225">
                  <w:pPr>
                    <w:adjustRightInd w:val="0"/>
                    <w:snapToGrid w:val="0"/>
                    <w:jc w:val="center"/>
                    <w:rPr>
                      <w:rFonts w:hAnsi="宋体"/>
                      <w:snapToGrid w:val="0"/>
                      <w:color w:val="auto"/>
                      <w:kern w:val="0"/>
                      <w:szCs w:val="21"/>
                      <w:highlight w:val="none"/>
                    </w:rPr>
                  </w:pPr>
                </w:p>
              </w:tc>
              <w:tc>
                <w:tcPr>
                  <w:tcW w:w="505" w:type="pct"/>
                  <w:vAlign w:val="center"/>
                </w:tcPr>
                <w:p w14:paraId="6CD03D26">
                  <w:pPr>
                    <w:adjustRightInd w:val="0"/>
                    <w:snapToGrid w:val="0"/>
                    <w:jc w:val="center"/>
                    <w:rPr>
                      <w:snapToGrid w:val="0"/>
                      <w:color w:val="auto"/>
                      <w:kern w:val="0"/>
                      <w:szCs w:val="21"/>
                      <w:highlight w:val="none"/>
                    </w:rPr>
                  </w:pPr>
                  <w:r>
                    <w:rPr>
                      <w:rFonts w:hint="eastAsia"/>
                      <w:snapToGrid w:val="0"/>
                      <w:color w:val="auto"/>
                      <w:kern w:val="0"/>
                      <w:szCs w:val="21"/>
                      <w:highlight w:val="none"/>
                    </w:rPr>
                    <w:t>0.0</w:t>
                  </w:r>
                  <w:r>
                    <w:rPr>
                      <w:rFonts w:hint="default"/>
                      <w:snapToGrid w:val="0"/>
                      <w:color w:val="auto"/>
                      <w:kern w:val="0"/>
                      <w:szCs w:val="21"/>
                      <w:highlight w:val="none"/>
                    </w:rPr>
                    <w:t>894</w:t>
                  </w:r>
                </w:p>
              </w:tc>
              <w:tc>
                <w:tcPr>
                  <w:tcW w:w="505" w:type="pct"/>
                  <w:vAlign w:val="center"/>
                </w:tcPr>
                <w:p w14:paraId="54546BA7">
                  <w:pPr>
                    <w:adjustRightInd w:val="0"/>
                    <w:snapToGrid w:val="0"/>
                    <w:jc w:val="center"/>
                    <w:rPr>
                      <w:snapToGrid w:val="0"/>
                      <w:color w:val="auto"/>
                      <w:kern w:val="0"/>
                      <w:szCs w:val="21"/>
                      <w:highlight w:val="none"/>
                    </w:rPr>
                  </w:pPr>
                  <w:r>
                    <w:rPr>
                      <w:rFonts w:hint="eastAsia"/>
                      <w:snapToGrid w:val="0"/>
                      <w:color w:val="auto"/>
                      <w:kern w:val="0"/>
                      <w:szCs w:val="21"/>
                      <w:highlight w:val="none"/>
                    </w:rPr>
                    <w:t>0.0</w:t>
                  </w:r>
                  <w:r>
                    <w:rPr>
                      <w:rFonts w:hint="default"/>
                      <w:snapToGrid w:val="0"/>
                      <w:color w:val="auto"/>
                      <w:kern w:val="0"/>
                      <w:szCs w:val="21"/>
                      <w:highlight w:val="none"/>
                    </w:rPr>
                    <w:t>124</w:t>
                  </w:r>
                </w:p>
              </w:tc>
            </w:tr>
          </w:tbl>
          <w:p w14:paraId="5A86B5C7">
            <w:pPr>
              <w:adjustRightInd w:val="0"/>
              <w:snapToGrid w:val="0"/>
              <w:ind w:firstLine="200" w:firstLineChars="200"/>
              <w:rPr>
                <w:rFonts w:hAnsi="宋体"/>
                <w:color w:val="auto"/>
                <w:kern w:val="0"/>
                <w:sz w:val="10"/>
                <w:szCs w:val="10"/>
                <w:highlight w:val="none"/>
              </w:rPr>
            </w:pPr>
          </w:p>
          <w:p w14:paraId="2E6740E7">
            <w:pPr>
              <w:pStyle w:val="63"/>
              <w:adjustRightInd w:val="0"/>
              <w:snapToGrid w:val="0"/>
              <w:spacing w:line="240" w:lineRule="auto"/>
              <w:ind w:firstLine="0" w:firstLineChars="0"/>
              <w:jc w:val="center"/>
              <w:rPr>
                <w:rFonts w:hAnsi="宋体"/>
                <w:b/>
                <w:bCs/>
                <w:snapToGrid w:val="0"/>
                <w:color w:val="auto"/>
                <w:kern w:val="0"/>
                <w:szCs w:val="24"/>
              </w:rPr>
            </w:pPr>
          </w:p>
          <w:p w14:paraId="43F42C09">
            <w:pPr>
              <w:pStyle w:val="63"/>
              <w:adjustRightInd w:val="0"/>
              <w:snapToGrid w:val="0"/>
              <w:spacing w:line="240" w:lineRule="auto"/>
              <w:ind w:firstLine="0" w:firstLineChars="0"/>
              <w:jc w:val="center"/>
              <w:rPr>
                <w:rFonts w:hAnsi="宋体"/>
                <w:b/>
                <w:bCs/>
                <w:snapToGrid w:val="0"/>
                <w:color w:val="auto"/>
                <w:kern w:val="0"/>
                <w:szCs w:val="24"/>
              </w:rPr>
            </w:pPr>
          </w:p>
          <w:p w14:paraId="76CED02D">
            <w:pPr>
              <w:pStyle w:val="63"/>
              <w:adjustRightInd w:val="0"/>
              <w:snapToGrid w:val="0"/>
              <w:spacing w:line="240" w:lineRule="auto"/>
              <w:ind w:firstLine="0" w:firstLineChars="0"/>
              <w:jc w:val="center"/>
              <w:rPr>
                <w:b/>
                <w:bCs/>
                <w:snapToGrid w:val="0"/>
                <w:color w:val="auto"/>
                <w:kern w:val="0"/>
                <w:szCs w:val="24"/>
              </w:rPr>
            </w:pPr>
            <w:r>
              <w:rPr>
                <w:rFonts w:hAnsi="宋体"/>
                <w:b/>
                <w:bCs/>
                <w:snapToGrid w:val="0"/>
                <w:color w:val="auto"/>
                <w:kern w:val="0"/>
                <w:szCs w:val="24"/>
              </w:rPr>
              <w:t>表</w:t>
            </w:r>
            <w:r>
              <w:rPr>
                <w:b/>
                <w:bCs/>
                <w:snapToGrid w:val="0"/>
                <w:color w:val="auto"/>
                <w:kern w:val="0"/>
                <w:szCs w:val="24"/>
              </w:rPr>
              <w:t>4-</w:t>
            </w:r>
            <w:r>
              <w:rPr>
                <w:rFonts w:hint="default"/>
                <w:b/>
                <w:bCs/>
                <w:snapToGrid w:val="0"/>
                <w:color w:val="auto"/>
                <w:kern w:val="0"/>
                <w:szCs w:val="24"/>
              </w:rPr>
              <w:t>6</w:t>
            </w:r>
            <w:r>
              <w:rPr>
                <w:b/>
                <w:bCs/>
                <w:snapToGrid w:val="0"/>
                <w:color w:val="auto"/>
                <w:kern w:val="0"/>
                <w:szCs w:val="24"/>
              </w:rPr>
              <w:t xml:space="preserve">  </w:t>
            </w:r>
            <w:r>
              <w:rPr>
                <w:rFonts w:hint="eastAsia" w:hAnsi="宋体"/>
                <w:b/>
                <w:bCs/>
                <w:snapToGrid w:val="0"/>
                <w:color w:val="auto"/>
                <w:kern w:val="0"/>
                <w:szCs w:val="24"/>
              </w:rPr>
              <w:t>全厂</w:t>
            </w:r>
            <w:r>
              <w:rPr>
                <w:rFonts w:hAnsi="宋体"/>
                <w:b/>
                <w:bCs/>
                <w:snapToGrid w:val="0"/>
                <w:color w:val="auto"/>
                <w:kern w:val="0"/>
                <w:szCs w:val="24"/>
              </w:rPr>
              <w:t>无组织废气排放情况一览表</w:t>
            </w:r>
          </w:p>
          <w:tbl>
            <w:tblPr>
              <w:tblStyle w:val="24"/>
              <w:tblpPr w:leftFromText="180" w:rightFromText="180" w:vertAnchor="text" w:tblpXSpec="center" w:tblpY="1"/>
              <w:tblOverlap w:val="never"/>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15"/>
              <w:gridCol w:w="2374"/>
              <w:gridCol w:w="2278"/>
              <w:gridCol w:w="2280"/>
            </w:tblGrid>
            <w:tr w14:paraId="79855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1617" w:type="pct"/>
                  <w:tcBorders>
                    <w:top w:val="single" w:color="auto" w:sz="12" w:space="0"/>
                  </w:tcBorders>
                  <w:noWrap w:val="0"/>
                  <w:vAlign w:val="center"/>
                </w:tcPr>
                <w:p w14:paraId="42C5CE10">
                  <w:pPr>
                    <w:pStyle w:val="58"/>
                    <w:adjustRightInd w:val="0"/>
                    <w:snapToGrid w:val="0"/>
                    <w:spacing w:before="0" w:after="0" w:line="240" w:lineRule="auto"/>
                    <w:jc w:val="center"/>
                    <w:rPr>
                      <w:rFonts w:ascii="Times New Roman" w:hAnsi="Times New Roman" w:eastAsia="宋体"/>
                      <w:b/>
                      <w:bCs/>
                      <w:snapToGrid w:val="0"/>
                      <w:color w:val="auto"/>
                      <w:sz w:val="21"/>
                      <w:szCs w:val="21"/>
                      <w:lang w:val="en-US" w:eastAsia="zh-CN"/>
                    </w:rPr>
                  </w:pPr>
                  <w:r>
                    <w:rPr>
                      <w:rFonts w:ascii="Times New Roman" w:hAnsi="宋体" w:eastAsia="宋体"/>
                      <w:b/>
                      <w:bCs/>
                      <w:snapToGrid w:val="0"/>
                      <w:color w:val="auto"/>
                      <w:sz w:val="21"/>
                      <w:szCs w:val="21"/>
                      <w:lang w:val="en-US" w:eastAsia="zh-CN"/>
                    </w:rPr>
                    <w:t>来源</w:t>
                  </w:r>
                </w:p>
              </w:tc>
              <w:tc>
                <w:tcPr>
                  <w:tcW w:w="1158" w:type="pct"/>
                  <w:tcBorders>
                    <w:top w:val="single" w:color="auto" w:sz="12" w:space="0"/>
                  </w:tcBorders>
                  <w:noWrap w:val="0"/>
                  <w:vAlign w:val="center"/>
                </w:tcPr>
                <w:p w14:paraId="002F3EC9">
                  <w:pPr>
                    <w:pStyle w:val="58"/>
                    <w:adjustRightInd w:val="0"/>
                    <w:snapToGrid w:val="0"/>
                    <w:spacing w:before="0" w:after="0" w:line="240" w:lineRule="auto"/>
                    <w:jc w:val="center"/>
                    <w:rPr>
                      <w:rFonts w:ascii="Times New Roman" w:hAnsi="Times New Roman" w:eastAsia="宋体"/>
                      <w:b/>
                      <w:bCs/>
                      <w:snapToGrid w:val="0"/>
                      <w:color w:val="auto"/>
                      <w:sz w:val="21"/>
                      <w:szCs w:val="21"/>
                      <w:lang w:val="en-US" w:eastAsia="zh-CN"/>
                    </w:rPr>
                  </w:pPr>
                  <w:r>
                    <w:rPr>
                      <w:rFonts w:ascii="Times New Roman" w:hAnsi="宋体" w:eastAsia="宋体"/>
                      <w:b/>
                      <w:bCs/>
                      <w:snapToGrid w:val="0"/>
                      <w:color w:val="auto"/>
                      <w:sz w:val="21"/>
                      <w:szCs w:val="21"/>
                      <w:lang w:val="en-US" w:eastAsia="zh-CN"/>
                    </w:rPr>
                    <w:t>污染物名称</w:t>
                  </w:r>
                </w:p>
              </w:tc>
              <w:tc>
                <w:tcPr>
                  <w:tcW w:w="1111" w:type="pct"/>
                  <w:tcBorders>
                    <w:top w:val="single" w:color="auto" w:sz="12" w:space="0"/>
                  </w:tcBorders>
                  <w:noWrap w:val="0"/>
                  <w:vAlign w:val="center"/>
                </w:tcPr>
                <w:p w14:paraId="05A3215B">
                  <w:pPr>
                    <w:pStyle w:val="58"/>
                    <w:adjustRightInd w:val="0"/>
                    <w:snapToGrid w:val="0"/>
                    <w:spacing w:before="0" w:after="0" w:line="240" w:lineRule="auto"/>
                    <w:jc w:val="center"/>
                    <w:rPr>
                      <w:rFonts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排放量</w:t>
                  </w:r>
                  <w:r>
                    <w:rPr>
                      <w:rFonts w:ascii="Times New Roman" w:hAnsi="Times New Roman" w:eastAsia="宋体"/>
                      <w:b/>
                      <w:bCs/>
                      <w:snapToGrid w:val="0"/>
                      <w:color w:val="auto"/>
                      <w:sz w:val="21"/>
                      <w:szCs w:val="21"/>
                      <w:lang w:val="en-US" w:eastAsia="zh-CN"/>
                    </w:rPr>
                    <w:t>t/a</w:t>
                  </w:r>
                </w:p>
              </w:tc>
              <w:tc>
                <w:tcPr>
                  <w:tcW w:w="1112" w:type="pct"/>
                  <w:tcBorders>
                    <w:top w:val="single" w:color="auto" w:sz="12" w:space="0"/>
                  </w:tcBorders>
                  <w:noWrap w:val="0"/>
                  <w:vAlign w:val="center"/>
                </w:tcPr>
                <w:p w14:paraId="3B373664">
                  <w:pPr>
                    <w:pStyle w:val="58"/>
                    <w:adjustRightInd w:val="0"/>
                    <w:snapToGrid w:val="0"/>
                    <w:spacing w:before="0" w:after="0" w:line="240" w:lineRule="auto"/>
                    <w:jc w:val="center"/>
                    <w:rPr>
                      <w:rFonts w:ascii="宋体" w:hAnsi="宋体" w:eastAsia="宋体"/>
                      <w:b/>
                      <w:bCs/>
                      <w:snapToGrid w:val="0"/>
                      <w:color w:val="auto"/>
                      <w:sz w:val="21"/>
                      <w:szCs w:val="21"/>
                      <w:lang w:val="en-US" w:eastAsia="zh-CN"/>
                    </w:rPr>
                  </w:pPr>
                  <w:r>
                    <w:rPr>
                      <w:rFonts w:ascii="宋体" w:hAnsi="宋体" w:eastAsia="宋体"/>
                      <w:b/>
                      <w:bCs/>
                      <w:color w:val="auto"/>
                      <w:sz w:val="21"/>
                      <w:szCs w:val="21"/>
                      <w:lang w:val="en-US" w:eastAsia="zh-CN"/>
                    </w:rPr>
                    <w:t>排放</w:t>
                  </w:r>
                  <w:r>
                    <w:rPr>
                      <w:rFonts w:hint="eastAsia" w:ascii="宋体" w:hAnsi="宋体" w:eastAsia="宋体"/>
                      <w:b/>
                      <w:bCs/>
                      <w:color w:val="auto"/>
                      <w:sz w:val="21"/>
                      <w:szCs w:val="21"/>
                      <w:lang w:val="en-US" w:eastAsia="zh-CN"/>
                    </w:rPr>
                    <w:t>速率</w:t>
                  </w:r>
                  <w:r>
                    <w:rPr>
                      <w:rFonts w:ascii="Times New Roman" w:hAnsi="Times New Roman" w:eastAsia="宋体"/>
                      <w:b/>
                      <w:bCs/>
                      <w:color w:val="auto"/>
                      <w:sz w:val="21"/>
                      <w:szCs w:val="21"/>
                      <w:lang w:val="en-US" w:eastAsia="zh-CN"/>
                    </w:rPr>
                    <w:t>kg/h</w:t>
                  </w:r>
                </w:p>
              </w:tc>
            </w:tr>
            <w:tr w14:paraId="02B22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1617" w:type="pct"/>
                  <w:vMerge w:val="restart"/>
                  <w:noWrap w:val="0"/>
                  <w:vAlign w:val="center"/>
                </w:tcPr>
                <w:p w14:paraId="174DFCEF">
                  <w:pPr>
                    <w:adjustRightInd w:val="0"/>
                    <w:snapToGrid w:val="0"/>
                    <w:jc w:val="center"/>
                    <w:rPr>
                      <w:rFonts w:hint="eastAsia" w:hAnsi="宋体" w:eastAsia="宋体"/>
                      <w:snapToGrid w:val="0"/>
                      <w:color w:val="auto"/>
                      <w:kern w:val="0"/>
                      <w:szCs w:val="21"/>
                      <w:lang w:eastAsia="zh-Hans"/>
                    </w:rPr>
                  </w:pPr>
                  <w:r>
                    <w:rPr>
                      <w:rFonts w:hint="eastAsia" w:hAnsi="宋体"/>
                      <w:snapToGrid w:val="0"/>
                      <w:color w:val="auto"/>
                      <w:kern w:val="0"/>
                      <w:szCs w:val="21"/>
                      <w:lang w:val="en-US" w:eastAsia="zh-Hans"/>
                    </w:rPr>
                    <w:t>现有项目</w:t>
                  </w:r>
                </w:p>
              </w:tc>
              <w:tc>
                <w:tcPr>
                  <w:tcW w:w="1158" w:type="pct"/>
                  <w:noWrap w:val="0"/>
                  <w:vAlign w:val="center"/>
                </w:tcPr>
                <w:p w14:paraId="2EE67BF5">
                  <w:pPr>
                    <w:adjustRightInd w:val="0"/>
                    <w:snapToGrid w:val="0"/>
                    <w:jc w:val="center"/>
                    <w:rPr>
                      <w:snapToGrid w:val="0"/>
                      <w:color w:val="auto"/>
                      <w:kern w:val="0"/>
                      <w:szCs w:val="21"/>
                    </w:rPr>
                  </w:pPr>
                  <w:r>
                    <w:rPr>
                      <w:rFonts w:hint="eastAsia" w:hAnsi="宋体"/>
                      <w:snapToGrid w:val="0"/>
                      <w:color w:val="auto"/>
                      <w:kern w:val="0"/>
                      <w:szCs w:val="21"/>
                    </w:rPr>
                    <w:t>VOCs</w:t>
                  </w:r>
                </w:p>
              </w:tc>
              <w:tc>
                <w:tcPr>
                  <w:tcW w:w="1111" w:type="pct"/>
                  <w:noWrap w:val="0"/>
                  <w:vAlign w:val="center"/>
                </w:tcPr>
                <w:p w14:paraId="262B8CC5">
                  <w:pPr>
                    <w:adjustRightInd w:val="0"/>
                    <w:snapToGrid w:val="0"/>
                    <w:jc w:val="center"/>
                    <w:rPr>
                      <w:snapToGrid w:val="0"/>
                      <w:color w:val="auto"/>
                      <w:kern w:val="0"/>
                      <w:szCs w:val="21"/>
                    </w:rPr>
                  </w:pPr>
                  <w:r>
                    <w:rPr>
                      <w:rFonts w:hint="default"/>
                      <w:snapToGrid w:val="0"/>
                      <w:color w:val="auto"/>
                      <w:kern w:val="0"/>
                      <w:szCs w:val="21"/>
                    </w:rPr>
                    <w:t>0.018</w:t>
                  </w:r>
                </w:p>
              </w:tc>
              <w:tc>
                <w:tcPr>
                  <w:tcW w:w="1112" w:type="pct"/>
                  <w:noWrap w:val="0"/>
                  <w:vAlign w:val="center"/>
                </w:tcPr>
                <w:p w14:paraId="2E84852E">
                  <w:pPr>
                    <w:adjustRightInd w:val="0"/>
                    <w:snapToGrid w:val="0"/>
                    <w:jc w:val="center"/>
                    <w:rPr>
                      <w:snapToGrid w:val="0"/>
                      <w:color w:val="auto"/>
                      <w:kern w:val="0"/>
                      <w:szCs w:val="21"/>
                    </w:rPr>
                  </w:pPr>
                  <w:r>
                    <w:rPr>
                      <w:rFonts w:hint="eastAsia"/>
                      <w:snapToGrid w:val="0"/>
                      <w:color w:val="auto"/>
                      <w:kern w:val="0"/>
                      <w:szCs w:val="21"/>
                    </w:rPr>
                    <w:t>0.0</w:t>
                  </w:r>
                  <w:r>
                    <w:rPr>
                      <w:rFonts w:hint="default"/>
                      <w:snapToGrid w:val="0"/>
                      <w:color w:val="auto"/>
                      <w:kern w:val="0"/>
                      <w:szCs w:val="21"/>
                    </w:rPr>
                    <w:t>05</w:t>
                  </w:r>
                </w:p>
              </w:tc>
            </w:tr>
            <w:tr w14:paraId="3F41F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1617" w:type="pct"/>
                  <w:vMerge w:val="continue"/>
                  <w:noWrap w:val="0"/>
                  <w:vAlign w:val="center"/>
                </w:tcPr>
                <w:p w14:paraId="79326FD6">
                  <w:pPr>
                    <w:adjustRightInd w:val="0"/>
                    <w:snapToGrid w:val="0"/>
                    <w:jc w:val="center"/>
                    <w:rPr>
                      <w:rFonts w:hint="eastAsia" w:hAnsi="宋体"/>
                      <w:snapToGrid w:val="0"/>
                      <w:color w:val="auto"/>
                      <w:kern w:val="0"/>
                      <w:szCs w:val="21"/>
                      <w:lang w:val="en-US" w:eastAsia="zh-Hans"/>
                    </w:rPr>
                  </w:pPr>
                </w:p>
              </w:tc>
              <w:tc>
                <w:tcPr>
                  <w:tcW w:w="1158" w:type="pct"/>
                  <w:noWrap w:val="0"/>
                  <w:vAlign w:val="center"/>
                </w:tcPr>
                <w:p w14:paraId="2E14092C">
                  <w:pPr>
                    <w:adjustRightInd w:val="0"/>
                    <w:snapToGrid w:val="0"/>
                    <w:jc w:val="center"/>
                    <w:rPr>
                      <w:rFonts w:hint="eastAsia" w:hAnsi="宋体" w:eastAsia="宋体"/>
                      <w:snapToGrid w:val="0"/>
                      <w:color w:val="auto"/>
                      <w:kern w:val="0"/>
                      <w:szCs w:val="21"/>
                      <w:lang w:val="en-US" w:eastAsia="zh-Hans"/>
                    </w:rPr>
                  </w:pPr>
                  <w:r>
                    <w:rPr>
                      <w:rFonts w:hint="eastAsia" w:hAnsi="宋体"/>
                      <w:snapToGrid w:val="0"/>
                      <w:color w:val="auto"/>
                      <w:kern w:val="0"/>
                      <w:szCs w:val="21"/>
                      <w:lang w:val="en-US" w:eastAsia="zh-Hans"/>
                    </w:rPr>
                    <w:t>颗粒物</w:t>
                  </w:r>
                </w:p>
              </w:tc>
              <w:tc>
                <w:tcPr>
                  <w:tcW w:w="1111" w:type="pct"/>
                  <w:noWrap w:val="0"/>
                  <w:vAlign w:val="center"/>
                </w:tcPr>
                <w:p w14:paraId="1C183A4E">
                  <w:pPr>
                    <w:adjustRightInd w:val="0"/>
                    <w:snapToGrid w:val="0"/>
                    <w:jc w:val="center"/>
                    <w:rPr>
                      <w:rFonts w:hint="default"/>
                      <w:snapToGrid w:val="0"/>
                      <w:color w:val="auto"/>
                      <w:kern w:val="0"/>
                      <w:szCs w:val="21"/>
                    </w:rPr>
                  </w:pPr>
                  <w:r>
                    <w:rPr>
                      <w:rFonts w:hint="default"/>
                      <w:snapToGrid w:val="0"/>
                      <w:color w:val="auto"/>
                      <w:kern w:val="0"/>
                      <w:szCs w:val="21"/>
                    </w:rPr>
                    <w:t>0.09</w:t>
                  </w:r>
                </w:p>
              </w:tc>
              <w:tc>
                <w:tcPr>
                  <w:tcW w:w="1112" w:type="pct"/>
                  <w:noWrap w:val="0"/>
                  <w:vAlign w:val="center"/>
                </w:tcPr>
                <w:p w14:paraId="28423571">
                  <w:pPr>
                    <w:adjustRightInd w:val="0"/>
                    <w:snapToGrid w:val="0"/>
                    <w:jc w:val="center"/>
                    <w:rPr>
                      <w:rFonts w:hint="eastAsia"/>
                      <w:snapToGrid w:val="0"/>
                      <w:color w:val="auto"/>
                      <w:kern w:val="0"/>
                      <w:szCs w:val="21"/>
                    </w:rPr>
                  </w:pPr>
                  <w:r>
                    <w:rPr>
                      <w:rFonts w:hint="default"/>
                      <w:snapToGrid w:val="0"/>
                      <w:color w:val="auto"/>
                      <w:kern w:val="0"/>
                      <w:szCs w:val="21"/>
                    </w:rPr>
                    <w:t>0.013</w:t>
                  </w:r>
                </w:p>
              </w:tc>
            </w:tr>
            <w:tr w14:paraId="001C6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17" w:type="pct"/>
                  <w:vMerge w:val="restart"/>
                  <w:noWrap w:val="0"/>
                  <w:vAlign w:val="center"/>
                </w:tcPr>
                <w:p w14:paraId="2CA2D5DF">
                  <w:pPr>
                    <w:adjustRightInd w:val="0"/>
                    <w:snapToGrid w:val="0"/>
                    <w:jc w:val="center"/>
                    <w:rPr>
                      <w:rFonts w:hint="eastAsia" w:hAnsi="宋体"/>
                      <w:snapToGrid w:val="0"/>
                      <w:color w:val="auto"/>
                      <w:kern w:val="0"/>
                      <w:szCs w:val="21"/>
                    </w:rPr>
                  </w:pPr>
                  <w:r>
                    <w:rPr>
                      <w:rFonts w:hint="eastAsia" w:hAnsi="宋体"/>
                      <w:snapToGrid w:val="0"/>
                      <w:color w:val="auto"/>
                      <w:kern w:val="0"/>
                      <w:szCs w:val="21"/>
                      <w:lang w:val="en-US" w:eastAsia="zh-Hans"/>
                    </w:rPr>
                    <w:t>改建</w:t>
                  </w:r>
                  <w:r>
                    <w:rPr>
                      <w:rFonts w:hint="eastAsia" w:hAnsi="宋体"/>
                      <w:snapToGrid w:val="0"/>
                      <w:color w:val="auto"/>
                      <w:kern w:val="0"/>
                      <w:szCs w:val="21"/>
                    </w:rPr>
                    <w:t>项目</w:t>
                  </w:r>
                </w:p>
              </w:tc>
              <w:tc>
                <w:tcPr>
                  <w:tcW w:w="1158" w:type="pct"/>
                  <w:noWrap w:val="0"/>
                  <w:vAlign w:val="center"/>
                </w:tcPr>
                <w:p w14:paraId="22BC3CD3">
                  <w:pPr>
                    <w:adjustRightInd w:val="0"/>
                    <w:snapToGrid w:val="0"/>
                    <w:jc w:val="center"/>
                    <w:rPr>
                      <w:rFonts w:hint="eastAsia" w:hAnsi="宋体"/>
                      <w:snapToGrid w:val="0"/>
                      <w:color w:val="auto"/>
                      <w:kern w:val="0"/>
                      <w:szCs w:val="21"/>
                    </w:rPr>
                  </w:pPr>
                  <w:r>
                    <w:rPr>
                      <w:rFonts w:hint="eastAsia" w:hAnsi="宋体"/>
                      <w:snapToGrid w:val="0"/>
                      <w:color w:val="auto"/>
                      <w:kern w:val="0"/>
                      <w:szCs w:val="21"/>
                    </w:rPr>
                    <w:t>VOCs</w:t>
                  </w:r>
                  <w:r>
                    <w:rPr>
                      <w:rFonts w:hint="eastAsia" w:hAnsi="宋体"/>
                      <w:snapToGrid w:val="0"/>
                      <w:color w:val="auto"/>
                      <w:kern w:val="0"/>
                      <w:szCs w:val="21"/>
                      <w:lang w:eastAsia="zh-Hans"/>
                    </w:rPr>
                    <w:t>（</w:t>
                  </w:r>
                  <w:r>
                    <w:rPr>
                      <w:rFonts w:hint="eastAsia" w:hAnsi="宋体"/>
                      <w:snapToGrid w:val="0"/>
                      <w:color w:val="auto"/>
                      <w:kern w:val="0"/>
                      <w:szCs w:val="21"/>
                      <w:lang w:val="en-US" w:eastAsia="zh-Hans"/>
                    </w:rPr>
                    <w:t>含二甲苯</w:t>
                  </w:r>
                  <w:r>
                    <w:rPr>
                      <w:rFonts w:hint="eastAsia" w:hAnsi="宋体"/>
                      <w:snapToGrid w:val="0"/>
                      <w:color w:val="auto"/>
                      <w:kern w:val="0"/>
                      <w:szCs w:val="21"/>
                      <w:lang w:eastAsia="zh-Hans"/>
                    </w:rPr>
                    <w:t>）</w:t>
                  </w:r>
                </w:p>
              </w:tc>
              <w:tc>
                <w:tcPr>
                  <w:tcW w:w="2278" w:type="dxa"/>
                  <w:noWrap w:val="0"/>
                  <w:vAlign w:val="center"/>
                </w:tcPr>
                <w:p w14:paraId="7D971C04">
                  <w:pPr>
                    <w:adjustRightInd w:val="0"/>
                    <w:snapToGrid w:val="0"/>
                    <w:jc w:val="center"/>
                    <w:rPr>
                      <w:snapToGrid w:val="0"/>
                      <w:color w:val="auto"/>
                      <w:kern w:val="0"/>
                      <w:szCs w:val="21"/>
                    </w:rPr>
                  </w:pPr>
                  <w:r>
                    <w:rPr>
                      <w:rFonts w:hint="eastAsia"/>
                      <w:snapToGrid w:val="0"/>
                      <w:color w:val="auto"/>
                      <w:kern w:val="0"/>
                      <w:szCs w:val="21"/>
                      <w:highlight w:val="none"/>
                    </w:rPr>
                    <w:t>0.0</w:t>
                  </w:r>
                  <w:r>
                    <w:rPr>
                      <w:rFonts w:hint="default"/>
                      <w:snapToGrid w:val="0"/>
                      <w:color w:val="auto"/>
                      <w:kern w:val="0"/>
                      <w:szCs w:val="21"/>
                      <w:highlight w:val="none"/>
                    </w:rPr>
                    <w:t>894</w:t>
                  </w:r>
                </w:p>
              </w:tc>
              <w:tc>
                <w:tcPr>
                  <w:tcW w:w="2280" w:type="dxa"/>
                  <w:noWrap w:val="0"/>
                  <w:vAlign w:val="center"/>
                </w:tcPr>
                <w:p w14:paraId="1EDC2E49">
                  <w:pPr>
                    <w:adjustRightInd w:val="0"/>
                    <w:snapToGrid w:val="0"/>
                    <w:jc w:val="center"/>
                    <w:rPr>
                      <w:snapToGrid w:val="0"/>
                      <w:color w:val="auto"/>
                      <w:kern w:val="0"/>
                      <w:szCs w:val="21"/>
                    </w:rPr>
                  </w:pPr>
                  <w:r>
                    <w:rPr>
                      <w:rFonts w:hint="eastAsia"/>
                      <w:snapToGrid w:val="0"/>
                      <w:color w:val="auto"/>
                      <w:kern w:val="0"/>
                      <w:szCs w:val="21"/>
                      <w:highlight w:val="none"/>
                    </w:rPr>
                    <w:t>0.0</w:t>
                  </w:r>
                  <w:r>
                    <w:rPr>
                      <w:rFonts w:hint="default"/>
                      <w:snapToGrid w:val="0"/>
                      <w:color w:val="auto"/>
                      <w:kern w:val="0"/>
                      <w:szCs w:val="21"/>
                      <w:highlight w:val="none"/>
                    </w:rPr>
                    <w:t>124</w:t>
                  </w:r>
                </w:p>
              </w:tc>
            </w:tr>
            <w:tr w14:paraId="7CC95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17" w:type="pct"/>
                  <w:vMerge w:val="continue"/>
                  <w:noWrap w:val="0"/>
                  <w:vAlign w:val="center"/>
                </w:tcPr>
                <w:p w14:paraId="0C264025">
                  <w:pPr>
                    <w:adjustRightInd w:val="0"/>
                    <w:snapToGrid w:val="0"/>
                    <w:jc w:val="center"/>
                    <w:rPr>
                      <w:rFonts w:hint="eastAsia" w:hAnsi="宋体"/>
                      <w:snapToGrid w:val="0"/>
                      <w:color w:val="auto"/>
                      <w:kern w:val="0"/>
                      <w:szCs w:val="21"/>
                      <w:lang w:val="en-US" w:eastAsia="zh-Hans"/>
                    </w:rPr>
                  </w:pPr>
                </w:p>
              </w:tc>
              <w:tc>
                <w:tcPr>
                  <w:tcW w:w="1158" w:type="pct"/>
                  <w:noWrap w:val="0"/>
                  <w:vAlign w:val="center"/>
                </w:tcPr>
                <w:p w14:paraId="6BDFE47F">
                  <w:pPr>
                    <w:adjustRightInd w:val="0"/>
                    <w:snapToGrid w:val="0"/>
                    <w:jc w:val="center"/>
                    <w:rPr>
                      <w:rFonts w:hint="eastAsia" w:hAnsi="宋体" w:eastAsia="宋体"/>
                      <w:snapToGrid w:val="0"/>
                      <w:color w:val="auto"/>
                      <w:kern w:val="0"/>
                      <w:szCs w:val="21"/>
                      <w:lang w:val="en-US" w:eastAsia="zh-Hans"/>
                    </w:rPr>
                  </w:pPr>
                  <w:r>
                    <w:rPr>
                      <w:rFonts w:hint="eastAsia" w:hAnsi="宋体"/>
                      <w:snapToGrid w:val="0"/>
                      <w:color w:val="auto"/>
                      <w:kern w:val="0"/>
                      <w:szCs w:val="21"/>
                      <w:lang w:val="en-US" w:eastAsia="zh-Hans"/>
                    </w:rPr>
                    <w:t>二甲苯</w:t>
                  </w:r>
                </w:p>
              </w:tc>
              <w:tc>
                <w:tcPr>
                  <w:tcW w:w="2278" w:type="dxa"/>
                  <w:noWrap w:val="0"/>
                  <w:vAlign w:val="center"/>
                </w:tcPr>
                <w:p w14:paraId="5A6B8F9A">
                  <w:pPr>
                    <w:adjustRightInd w:val="0"/>
                    <w:snapToGrid w:val="0"/>
                    <w:jc w:val="center"/>
                    <w:rPr>
                      <w:rFonts w:hint="eastAsia"/>
                      <w:snapToGrid w:val="0"/>
                      <w:color w:val="auto"/>
                      <w:kern w:val="0"/>
                      <w:szCs w:val="21"/>
                    </w:rPr>
                  </w:pPr>
                  <w:r>
                    <w:rPr>
                      <w:snapToGrid w:val="0"/>
                      <w:color w:val="auto"/>
                      <w:kern w:val="0"/>
                      <w:szCs w:val="21"/>
                      <w:highlight w:val="none"/>
                    </w:rPr>
                    <w:t>0.0004</w:t>
                  </w:r>
                </w:p>
              </w:tc>
              <w:tc>
                <w:tcPr>
                  <w:tcW w:w="2280" w:type="dxa"/>
                  <w:noWrap w:val="0"/>
                  <w:vAlign w:val="center"/>
                </w:tcPr>
                <w:p w14:paraId="22CE3AD8">
                  <w:pPr>
                    <w:adjustRightInd w:val="0"/>
                    <w:snapToGrid w:val="0"/>
                    <w:jc w:val="center"/>
                    <w:rPr>
                      <w:rFonts w:hint="eastAsia"/>
                      <w:snapToGrid w:val="0"/>
                      <w:color w:val="auto"/>
                      <w:kern w:val="0"/>
                      <w:szCs w:val="21"/>
                    </w:rPr>
                  </w:pPr>
                  <w:r>
                    <w:rPr>
                      <w:snapToGrid w:val="0"/>
                      <w:color w:val="auto"/>
                      <w:kern w:val="0"/>
                      <w:szCs w:val="21"/>
                      <w:highlight w:val="none"/>
                    </w:rPr>
                    <w:t>0.00002</w:t>
                  </w:r>
                </w:p>
              </w:tc>
            </w:tr>
            <w:tr w14:paraId="58FE2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17" w:type="pct"/>
                  <w:vMerge w:val="continue"/>
                  <w:noWrap w:val="0"/>
                  <w:vAlign w:val="center"/>
                </w:tcPr>
                <w:p w14:paraId="38A3CD09">
                  <w:pPr>
                    <w:adjustRightInd w:val="0"/>
                    <w:snapToGrid w:val="0"/>
                    <w:jc w:val="center"/>
                    <w:rPr>
                      <w:rFonts w:hAnsi="宋体"/>
                      <w:snapToGrid w:val="0"/>
                      <w:color w:val="auto"/>
                      <w:kern w:val="0"/>
                      <w:szCs w:val="21"/>
                    </w:rPr>
                  </w:pPr>
                </w:p>
              </w:tc>
              <w:tc>
                <w:tcPr>
                  <w:tcW w:w="1158" w:type="pct"/>
                  <w:noWrap w:val="0"/>
                  <w:vAlign w:val="center"/>
                </w:tcPr>
                <w:p w14:paraId="5F2EC2FC">
                  <w:pPr>
                    <w:adjustRightInd w:val="0"/>
                    <w:snapToGrid w:val="0"/>
                    <w:jc w:val="center"/>
                    <w:rPr>
                      <w:rFonts w:hint="eastAsia" w:hAnsi="宋体"/>
                      <w:snapToGrid w:val="0"/>
                      <w:color w:val="auto"/>
                      <w:kern w:val="0"/>
                      <w:szCs w:val="21"/>
                    </w:rPr>
                  </w:pPr>
                  <w:r>
                    <w:rPr>
                      <w:rFonts w:hint="eastAsia" w:hAnsi="宋体"/>
                      <w:snapToGrid w:val="0"/>
                      <w:color w:val="auto"/>
                      <w:kern w:val="0"/>
                      <w:szCs w:val="21"/>
                    </w:rPr>
                    <w:t>颗粒物</w:t>
                  </w:r>
                </w:p>
              </w:tc>
              <w:tc>
                <w:tcPr>
                  <w:tcW w:w="2278" w:type="dxa"/>
                  <w:noWrap w:val="0"/>
                  <w:vAlign w:val="center"/>
                </w:tcPr>
                <w:p w14:paraId="26662E0D">
                  <w:pPr>
                    <w:widowControl/>
                    <w:jc w:val="center"/>
                    <w:textAlignment w:val="center"/>
                    <w:rPr>
                      <w:snapToGrid w:val="0"/>
                      <w:color w:val="auto"/>
                      <w:kern w:val="0"/>
                      <w:szCs w:val="21"/>
                    </w:rPr>
                  </w:pPr>
                  <w:r>
                    <w:rPr>
                      <w:color w:val="auto"/>
                      <w:kern w:val="0"/>
                      <w:sz w:val="22"/>
                      <w:szCs w:val="22"/>
                      <w:highlight w:val="none"/>
                    </w:rPr>
                    <w:t>0.3</w:t>
                  </w:r>
                  <w:r>
                    <w:rPr>
                      <w:rFonts w:hint="eastAsia"/>
                      <w:color w:val="auto"/>
                      <w:kern w:val="0"/>
                      <w:sz w:val="22"/>
                      <w:szCs w:val="22"/>
                      <w:highlight w:val="none"/>
                    </w:rPr>
                    <w:t>72</w:t>
                  </w:r>
                </w:p>
              </w:tc>
              <w:tc>
                <w:tcPr>
                  <w:tcW w:w="2280" w:type="dxa"/>
                  <w:noWrap w:val="0"/>
                  <w:vAlign w:val="center"/>
                </w:tcPr>
                <w:p w14:paraId="077E16E8">
                  <w:pPr>
                    <w:widowControl/>
                    <w:jc w:val="center"/>
                    <w:textAlignment w:val="center"/>
                    <w:rPr>
                      <w:snapToGrid w:val="0"/>
                      <w:color w:val="auto"/>
                      <w:kern w:val="0"/>
                      <w:szCs w:val="21"/>
                    </w:rPr>
                  </w:pPr>
                  <w:r>
                    <w:rPr>
                      <w:rFonts w:hint="eastAsia"/>
                      <w:snapToGrid w:val="0"/>
                      <w:color w:val="auto"/>
                      <w:kern w:val="0"/>
                      <w:szCs w:val="21"/>
                      <w:highlight w:val="none"/>
                    </w:rPr>
                    <w:t>0.0783</w:t>
                  </w:r>
                </w:p>
              </w:tc>
            </w:tr>
            <w:tr w14:paraId="3DA96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17" w:type="pct"/>
                  <w:vMerge w:val="restart"/>
                  <w:noWrap w:val="0"/>
                  <w:vAlign w:val="center"/>
                </w:tcPr>
                <w:p w14:paraId="44682230">
                  <w:pPr>
                    <w:adjustRightInd w:val="0"/>
                    <w:snapToGrid w:val="0"/>
                    <w:jc w:val="center"/>
                    <w:rPr>
                      <w:rFonts w:hAnsi="宋体"/>
                      <w:snapToGrid w:val="0"/>
                      <w:color w:val="auto"/>
                      <w:kern w:val="0"/>
                      <w:szCs w:val="21"/>
                    </w:rPr>
                  </w:pPr>
                  <w:r>
                    <w:rPr>
                      <w:rFonts w:hint="eastAsia" w:hAnsi="宋体"/>
                      <w:snapToGrid w:val="0"/>
                      <w:color w:val="auto"/>
                      <w:kern w:val="0"/>
                      <w:szCs w:val="21"/>
                    </w:rPr>
                    <w:t>全厂合计</w:t>
                  </w:r>
                </w:p>
              </w:tc>
              <w:tc>
                <w:tcPr>
                  <w:tcW w:w="2374" w:type="dxa"/>
                  <w:noWrap w:val="0"/>
                  <w:vAlign w:val="center"/>
                </w:tcPr>
                <w:p w14:paraId="16962270">
                  <w:pPr>
                    <w:adjustRightInd w:val="0"/>
                    <w:snapToGrid w:val="0"/>
                    <w:jc w:val="center"/>
                    <w:rPr>
                      <w:rFonts w:hint="eastAsia" w:hAnsi="宋体"/>
                      <w:snapToGrid w:val="0"/>
                      <w:color w:val="auto"/>
                      <w:kern w:val="0"/>
                      <w:szCs w:val="21"/>
                    </w:rPr>
                  </w:pPr>
                  <w:r>
                    <w:rPr>
                      <w:rFonts w:hint="eastAsia" w:hAnsi="宋体"/>
                      <w:snapToGrid w:val="0"/>
                      <w:color w:val="auto"/>
                      <w:kern w:val="0"/>
                      <w:szCs w:val="21"/>
                    </w:rPr>
                    <w:t>VOCs</w:t>
                  </w:r>
                  <w:r>
                    <w:rPr>
                      <w:rFonts w:hint="eastAsia" w:hAnsi="宋体"/>
                      <w:snapToGrid w:val="0"/>
                      <w:color w:val="auto"/>
                      <w:kern w:val="0"/>
                      <w:szCs w:val="21"/>
                      <w:lang w:eastAsia="zh-Hans"/>
                    </w:rPr>
                    <w:t>（</w:t>
                  </w:r>
                  <w:r>
                    <w:rPr>
                      <w:rFonts w:hint="eastAsia" w:hAnsi="宋体"/>
                      <w:snapToGrid w:val="0"/>
                      <w:color w:val="auto"/>
                      <w:kern w:val="0"/>
                      <w:szCs w:val="21"/>
                      <w:lang w:val="en-US" w:eastAsia="zh-Hans"/>
                    </w:rPr>
                    <w:t>含二甲苯</w:t>
                  </w:r>
                  <w:r>
                    <w:rPr>
                      <w:rFonts w:hint="eastAsia" w:hAnsi="宋体"/>
                      <w:snapToGrid w:val="0"/>
                      <w:color w:val="auto"/>
                      <w:kern w:val="0"/>
                      <w:szCs w:val="21"/>
                      <w:lang w:eastAsia="zh-Hans"/>
                    </w:rPr>
                    <w:t>）</w:t>
                  </w:r>
                </w:p>
              </w:tc>
              <w:tc>
                <w:tcPr>
                  <w:tcW w:w="2278" w:type="dxa"/>
                  <w:noWrap w:val="0"/>
                  <w:vAlign w:val="center"/>
                </w:tcPr>
                <w:p w14:paraId="4E21E3F9">
                  <w:pPr>
                    <w:adjustRightInd w:val="0"/>
                    <w:snapToGrid w:val="0"/>
                    <w:jc w:val="center"/>
                    <w:rPr>
                      <w:snapToGrid w:val="0"/>
                      <w:color w:val="auto"/>
                      <w:kern w:val="0"/>
                      <w:szCs w:val="21"/>
                    </w:rPr>
                  </w:pPr>
                  <w:r>
                    <w:rPr>
                      <w:rFonts w:hint="default"/>
                      <w:snapToGrid w:val="0"/>
                      <w:color w:val="auto"/>
                      <w:kern w:val="0"/>
                      <w:szCs w:val="21"/>
                      <w:highlight w:val="none"/>
                    </w:rPr>
                    <w:t>0.1074</w:t>
                  </w:r>
                </w:p>
              </w:tc>
              <w:tc>
                <w:tcPr>
                  <w:tcW w:w="2280" w:type="dxa"/>
                  <w:noWrap w:val="0"/>
                  <w:vAlign w:val="center"/>
                </w:tcPr>
                <w:p w14:paraId="7DAE5B18">
                  <w:pPr>
                    <w:adjustRightInd w:val="0"/>
                    <w:snapToGrid w:val="0"/>
                    <w:jc w:val="center"/>
                    <w:rPr>
                      <w:snapToGrid w:val="0"/>
                      <w:color w:val="auto"/>
                      <w:kern w:val="0"/>
                      <w:szCs w:val="21"/>
                    </w:rPr>
                  </w:pPr>
                  <w:r>
                    <w:rPr>
                      <w:rFonts w:hint="default"/>
                      <w:snapToGrid w:val="0"/>
                      <w:color w:val="auto"/>
                      <w:kern w:val="0"/>
                      <w:szCs w:val="21"/>
                      <w:highlight w:val="none"/>
                    </w:rPr>
                    <w:t>0.0174</w:t>
                  </w:r>
                </w:p>
              </w:tc>
            </w:tr>
            <w:tr w14:paraId="3B606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17" w:type="pct"/>
                  <w:vMerge w:val="continue"/>
                  <w:noWrap w:val="0"/>
                  <w:vAlign w:val="center"/>
                </w:tcPr>
                <w:p w14:paraId="7D8FE9B2">
                  <w:pPr>
                    <w:adjustRightInd w:val="0"/>
                    <w:snapToGrid w:val="0"/>
                    <w:jc w:val="center"/>
                    <w:rPr>
                      <w:rFonts w:hint="eastAsia" w:hAnsi="宋体"/>
                      <w:snapToGrid w:val="0"/>
                      <w:color w:val="auto"/>
                      <w:kern w:val="0"/>
                      <w:szCs w:val="21"/>
                    </w:rPr>
                  </w:pPr>
                </w:p>
              </w:tc>
              <w:tc>
                <w:tcPr>
                  <w:tcW w:w="2374" w:type="dxa"/>
                  <w:noWrap w:val="0"/>
                  <w:vAlign w:val="center"/>
                </w:tcPr>
                <w:p w14:paraId="2CB05656">
                  <w:pPr>
                    <w:adjustRightInd w:val="0"/>
                    <w:snapToGrid w:val="0"/>
                    <w:jc w:val="center"/>
                    <w:rPr>
                      <w:rFonts w:hint="eastAsia" w:hAnsi="宋体"/>
                      <w:snapToGrid w:val="0"/>
                      <w:color w:val="auto"/>
                      <w:kern w:val="0"/>
                      <w:szCs w:val="21"/>
                    </w:rPr>
                  </w:pPr>
                  <w:r>
                    <w:rPr>
                      <w:rFonts w:hint="eastAsia" w:hAnsi="宋体"/>
                      <w:snapToGrid w:val="0"/>
                      <w:color w:val="auto"/>
                      <w:kern w:val="0"/>
                      <w:szCs w:val="21"/>
                      <w:lang w:val="en-US" w:eastAsia="zh-Hans"/>
                    </w:rPr>
                    <w:t>二甲苯</w:t>
                  </w:r>
                </w:p>
              </w:tc>
              <w:tc>
                <w:tcPr>
                  <w:tcW w:w="2278" w:type="dxa"/>
                  <w:noWrap w:val="0"/>
                  <w:vAlign w:val="center"/>
                </w:tcPr>
                <w:p w14:paraId="5A254C79">
                  <w:pPr>
                    <w:adjustRightInd w:val="0"/>
                    <w:snapToGrid w:val="0"/>
                    <w:jc w:val="center"/>
                    <w:rPr>
                      <w:rFonts w:hint="eastAsia"/>
                      <w:snapToGrid w:val="0"/>
                      <w:color w:val="auto"/>
                      <w:kern w:val="0"/>
                      <w:szCs w:val="21"/>
                    </w:rPr>
                  </w:pPr>
                  <w:r>
                    <w:rPr>
                      <w:snapToGrid w:val="0"/>
                      <w:color w:val="auto"/>
                      <w:kern w:val="0"/>
                      <w:szCs w:val="21"/>
                      <w:highlight w:val="none"/>
                    </w:rPr>
                    <w:t>0.0004</w:t>
                  </w:r>
                </w:p>
              </w:tc>
              <w:tc>
                <w:tcPr>
                  <w:tcW w:w="2280" w:type="dxa"/>
                  <w:noWrap w:val="0"/>
                  <w:vAlign w:val="center"/>
                </w:tcPr>
                <w:p w14:paraId="460812E9">
                  <w:pPr>
                    <w:adjustRightInd w:val="0"/>
                    <w:snapToGrid w:val="0"/>
                    <w:jc w:val="center"/>
                    <w:rPr>
                      <w:rFonts w:hint="eastAsia"/>
                      <w:snapToGrid w:val="0"/>
                      <w:color w:val="auto"/>
                      <w:kern w:val="0"/>
                      <w:szCs w:val="21"/>
                    </w:rPr>
                  </w:pPr>
                  <w:r>
                    <w:rPr>
                      <w:snapToGrid w:val="0"/>
                      <w:color w:val="auto"/>
                      <w:kern w:val="0"/>
                      <w:szCs w:val="21"/>
                      <w:highlight w:val="none"/>
                    </w:rPr>
                    <w:t>0.00002</w:t>
                  </w:r>
                </w:p>
              </w:tc>
            </w:tr>
            <w:tr w14:paraId="0448E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17" w:type="pct"/>
                  <w:vMerge w:val="continue"/>
                  <w:noWrap w:val="0"/>
                  <w:vAlign w:val="center"/>
                </w:tcPr>
                <w:p w14:paraId="310337B7">
                  <w:pPr>
                    <w:adjustRightInd w:val="0"/>
                    <w:snapToGrid w:val="0"/>
                    <w:jc w:val="center"/>
                    <w:rPr>
                      <w:rFonts w:hAnsi="宋体"/>
                      <w:snapToGrid w:val="0"/>
                      <w:color w:val="auto"/>
                      <w:kern w:val="0"/>
                      <w:szCs w:val="21"/>
                    </w:rPr>
                  </w:pPr>
                </w:p>
              </w:tc>
              <w:tc>
                <w:tcPr>
                  <w:tcW w:w="1158" w:type="pct"/>
                  <w:noWrap w:val="0"/>
                  <w:vAlign w:val="center"/>
                </w:tcPr>
                <w:p w14:paraId="7524E1E6">
                  <w:pPr>
                    <w:adjustRightInd w:val="0"/>
                    <w:snapToGrid w:val="0"/>
                    <w:jc w:val="center"/>
                    <w:rPr>
                      <w:rFonts w:hint="eastAsia" w:hAnsi="宋体"/>
                      <w:snapToGrid w:val="0"/>
                      <w:color w:val="auto"/>
                      <w:kern w:val="0"/>
                      <w:szCs w:val="21"/>
                    </w:rPr>
                  </w:pPr>
                  <w:r>
                    <w:rPr>
                      <w:rFonts w:hint="eastAsia" w:hAnsi="宋体"/>
                      <w:snapToGrid w:val="0"/>
                      <w:color w:val="auto"/>
                      <w:kern w:val="0"/>
                      <w:szCs w:val="21"/>
                    </w:rPr>
                    <w:t>颗粒物</w:t>
                  </w:r>
                </w:p>
              </w:tc>
              <w:tc>
                <w:tcPr>
                  <w:tcW w:w="1111" w:type="pct"/>
                  <w:noWrap w:val="0"/>
                  <w:vAlign w:val="center"/>
                </w:tcPr>
                <w:p w14:paraId="05551417">
                  <w:pPr>
                    <w:adjustRightInd w:val="0"/>
                    <w:snapToGrid w:val="0"/>
                    <w:jc w:val="center"/>
                    <w:rPr>
                      <w:snapToGrid w:val="0"/>
                      <w:color w:val="auto"/>
                      <w:kern w:val="0"/>
                      <w:szCs w:val="21"/>
                    </w:rPr>
                  </w:pPr>
                  <w:r>
                    <w:rPr>
                      <w:rFonts w:hint="default"/>
                      <w:snapToGrid w:val="0"/>
                      <w:color w:val="auto"/>
                      <w:kern w:val="0"/>
                      <w:szCs w:val="21"/>
                    </w:rPr>
                    <w:t>0.462</w:t>
                  </w:r>
                </w:p>
              </w:tc>
              <w:tc>
                <w:tcPr>
                  <w:tcW w:w="1112" w:type="pct"/>
                  <w:noWrap w:val="0"/>
                  <w:vAlign w:val="center"/>
                </w:tcPr>
                <w:p w14:paraId="464A9A62">
                  <w:pPr>
                    <w:adjustRightInd w:val="0"/>
                    <w:snapToGrid w:val="0"/>
                    <w:jc w:val="center"/>
                    <w:rPr>
                      <w:snapToGrid w:val="0"/>
                      <w:color w:val="auto"/>
                      <w:kern w:val="0"/>
                      <w:szCs w:val="21"/>
                    </w:rPr>
                  </w:pPr>
                  <w:r>
                    <w:rPr>
                      <w:rFonts w:hint="default"/>
                      <w:snapToGrid w:val="0"/>
                      <w:color w:val="auto"/>
                      <w:kern w:val="0"/>
                      <w:szCs w:val="21"/>
                    </w:rPr>
                    <w:t>0.0913</w:t>
                  </w:r>
                </w:p>
              </w:tc>
            </w:tr>
          </w:tbl>
          <w:p w14:paraId="24C3EC4C">
            <w:pPr>
              <w:adjustRightInd w:val="0"/>
              <w:snapToGrid w:val="0"/>
              <w:spacing w:line="360" w:lineRule="auto"/>
              <w:ind w:firstLine="482" w:firstLineChars="200"/>
              <w:rPr>
                <w:b/>
                <w:color w:val="auto"/>
                <w:kern w:val="0"/>
                <w:sz w:val="24"/>
                <w:highlight w:val="none"/>
              </w:rPr>
            </w:pPr>
            <w:r>
              <w:rPr>
                <w:rFonts w:hAnsi="宋体"/>
                <w:b/>
                <w:color w:val="auto"/>
                <w:kern w:val="0"/>
                <w:sz w:val="24"/>
                <w:highlight w:val="none"/>
              </w:rPr>
              <w:t>（</w:t>
            </w:r>
            <w:r>
              <w:rPr>
                <w:b/>
                <w:color w:val="auto"/>
                <w:kern w:val="0"/>
                <w:sz w:val="24"/>
                <w:highlight w:val="none"/>
              </w:rPr>
              <w:t>4</w:t>
            </w:r>
            <w:r>
              <w:rPr>
                <w:rFonts w:hAnsi="宋体"/>
                <w:b/>
                <w:color w:val="auto"/>
                <w:kern w:val="0"/>
                <w:sz w:val="24"/>
                <w:highlight w:val="none"/>
              </w:rPr>
              <w:t>）大气污染源监测计划</w:t>
            </w:r>
          </w:p>
          <w:p w14:paraId="76947318">
            <w:pPr>
              <w:adjustRightInd w:val="0"/>
              <w:snapToGrid w:val="0"/>
              <w:spacing w:line="360" w:lineRule="auto"/>
              <w:ind w:firstLine="480" w:firstLineChars="200"/>
              <w:rPr>
                <w:b/>
                <w:bCs/>
                <w:color w:val="auto"/>
                <w:kern w:val="0"/>
                <w:sz w:val="24"/>
                <w:highlight w:val="none"/>
              </w:rPr>
            </w:pPr>
            <w:r>
              <w:rPr>
                <w:rFonts w:hAnsi="宋体"/>
                <w:snapToGrid w:val="0"/>
                <w:color w:val="auto"/>
                <w:kern w:val="0"/>
                <w:sz w:val="24"/>
                <w:highlight w:val="none"/>
              </w:rPr>
              <w:t xml:space="preserve">企业应按照企业应按照《排污单位自行监测技术指南总则》、《固定污染源排污许可分类管理目录》和《排污许可证申请与核发技术规范 </w:t>
            </w:r>
            <w:r>
              <w:rPr>
                <w:rFonts w:hint="eastAsia" w:hAnsi="宋体"/>
                <w:snapToGrid w:val="0"/>
                <w:color w:val="auto"/>
                <w:kern w:val="0"/>
                <w:sz w:val="24"/>
                <w:highlight w:val="none"/>
              </w:rPr>
              <w:t>汽车制造业</w:t>
            </w:r>
            <w:r>
              <w:rPr>
                <w:rFonts w:hAnsi="宋体"/>
                <w:snapToGrid w:val="0"/>
                <w:color w:val="auto"/>
                <w:kern w:val="0"/>
                <w:sz w:val="24"/>
                <w:highlight w:val="none"/>
              </w:rPr>
              <w:t>》（HJ</w:t>
            </w:r>
            <w:r>
              <w:rPr>
                <w:rFonts w:hint="eastAsia" w:hAnsi="宋体"/>
                <w:snapToGrid w:val="0"/>
                <w:color w:val="auto"/>
                <w:kern w:val="0"/>
                <w:sz w:val="24"/>
                <w:highlight w:val="none"/>
              </w:rPr>
              <w:t>971</w:t>
            </w:r>
            <w:r>
              <w:rPr>
                <w:rFonts w:hAnsi="宋体"/>
                <w:snapToGrid w:val="0"/>
                <w:color w:val="auto"/>
                <w:kern w:val="0"/>
                <w:sz w:val="24"/>
                <w:highlight w:val="none"/>
              </w:rPr>
              <w:t>—</w:t>
            </w:r>
            <w:r>
              <w:rPr>
                <w:rFonts w:hint="eastAsia" w:hAnsi="宋体"/>
                <w:snapToGrid w:val="0"/>
                <w:color w:val="auto"/>
                <w:kern w:val="0"/>
                <w:sz w:val="24"/>
                <w:highlight w:val="none"/>
              </w:rPr>
              <w:t>2018</w:t>
            </w:r>
            <w:r>
              <w:rPr>
                <w:rFonts w:hAnsi="宋体"/>
                <w:snapToGrid w:val="0"/>
                <w:color w:val="auto"/>
                <w:kern w:val="0"/>
                <w:sz w:val="24"/>
                <w:highlight w:val="none"/>
              </w:rPr>
              <w:t>）相关要求，开展大气污染源监测，大气污染源监测计划见表</w:t>
            </w:r>
            <w:r>
              <w:rPr>
                <w:snapToGrid w:val="0"/>
                <w:color w:val="auto"/>
                <w:kern w:val="0"/>
                <w:sz w:val="24"/>
                <w:highlight w:val="none"/>
              </w:rPr>
              <w:t>4-</w:t>
            </w:r>
            <w:r>
              <w:rPr>
                <w:rFonts w:hint="default"/>
                <w:snapToGrid w:val="0"/>
                <w:color w:val="auto"/>
                <w:kern w:val="0"/>
                <w:sz w:val="24"/>
                <w:highlight w:val="none"/>
              </w:rPr>
              <w:t>7</w:t>
            </w:r>
            <w:r>
              <w:rPr>
                <w:rFonts w:hAnsi="宋体"/>
                <w:snapToGrid w:val="0"/>
                <w:color w:val="auto"/>
                <w:kern w:val="0"/>
                <w:sz w:val="24"/>
                <w:highlight w:val="none"/>
              </w:rPr>
              <w:t>。</w:t>
            </w:r>
          </w:p>
          <w:p w14:paraId="11BE4F1C">
            <w:pPr>
              <w:adjustRightInd w:val="0"/>
              <w:snapToGrid w:val="0"/>
              <w:jc w:val="center"/>
              <w:rPr>
                <w:b/>
                <w:bCs/>
                <w:color w:val="auto"/>
                <w:kern w:val="0"/>
                <w:sz w:val="24"/>
                <w:highlight w:val="none"/>
              </w:rPr>
            </w:pPr>
            <w:r>
              <w:rPr>
                <w:rFonts w:hAnsi="宋体"/>
                <w:b/>
                <w:bCs/>
                <w:color w:val="auto"/>
                <w:kern w:val="0"/>
                <w:sz w:val="24"/>
                <w:highlight w:val="none"/>
              </w:rPr>
              <w:t>表</w:t>
            </w:r>
            <w:r>
              <w:rPr>
                <w:b/>
                <w:bCs/>
                <w:color w:val="auto"/>
                <w:kern w:val="0"/>
                <w:sz w:val="24"/>
                <w:highlight w:val="none"/>
              </w:rPr>
              <w:t>4-</w:t>
            </w:r>
            <w:r>
              <w:rPr>
                <w:rFonts w:hint="default"/>
                <w:b/>
                <w:bCs/>
                <w:color w:val="auto"/>
                <w:kern w:val="0"/>
                <w:sz w:val="24"/>
                <w:highlight w:val="none"/>
              </w:rPr>
              <w:t>7</w:t>
            </w:r>
            <w:r>
              <w:rPr>
                <w:b/>
                <w:bCs/>
                <w:color w:val="auto"/>
                <w:kern w:val="0"/>
                <w:sz w:val="24"/>
                <w:highlight w:val="none"/>
              </w:rPr>
              <w:t xml:space="preserve"> </w:t>
            </w:r>
            <w:r>
              <w:rPr>
                <w:rFonts w:hint="eastAsia"/>
                <w:b/>
                <w:bCs/>
                <w:color w:val="auto"/>
                <w:kern w:val="0"/>
                <w:sz w:val="24"/>
                <w:highlight w:val="none"/>
              </w:rPr>
              <w:t xml:space="preserve"> </w:t>
            </w:r>
            <w:r>
              <w:rPr>
                <w:rFonts w:hAnsi="宋体"/>
                <w:b/>
                <w:bCs/>
                <w:color w:val="auto"/>
                <w:kern w:val="0"/>
                <w:sz w:val="24"/>
                <w:highlight w:val="none"/>
              </w:rPr>
              <w:t>大气污染源监测计划</w:t>
            </w:r>
          </w:p>
          <w:tbl>
            <w:tblPr>
              <w:tblStyle w:val="2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7"/>
              <w:gridCol w:w="2748"/>
              <w:gridCol w:w="1381"/>
              <w:gridCol w:w="1233"/>
              <w:gridCol w:w="4288"/>
            </w:tblGrid>
            <w:tr w14:paraId="5281B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6" w:type="pct"/>
                  <w:vAlign w:val="center"/>
                </w:tcPr>
                <w:p w14:paraId="0CA98281">
                  <w:pPr>
                    <w:pStyle w:val="72"/>
                    <w:adjustRightInd w:val="0"/>
                    <w:snapToGrid w:val="0"/>
                    <w:ind w:firstLine="0" w:firstLineChars="0"/>
                    <w:jc w:val="center"/>
                    <w:rPr>
                      <w:rFonts w:eastAsia="宋体" w:cs="Times New Roman"/>
                      <w:b/>
                      <w:bCs/>
                      <w:snapToGrid w:val="0"/>
                      <w:color w:val="auto"/>
                      <w:kern w:val="0"/>
                      <w:szCs w:val="21"/>
                      <w:highlight w:val="none"/>
                    </w:rPr>
                  </w:pPr>
                  <w:r>
                    <w:rPr>
                      <w:rFonts w:eastAsia="宋体" w:cs="Times New Roman"/>
                      <w:b/>
                      <w:bCs/>
                      <w:snapToGrid w:val="0"/>
                      <w:color w:val="auto"/>
                      <w:kern w:val="0"/>
                      <w:szCs w:val="21"/>
                      <w:highlight w:val="none"/>
                    </w:rPr>
                    <w:t>类别</w:t>
                  </w:r>
                </w:p>
              </w:tc>
              <w:tc>
                <w:tcPr>
                  <w:tcW w:w="1339" w:type="pct"/>
                  <w:vAlign w:val="center"/>
                </w:tcPr>
                <w:p w14:paraId="7BE35168">
                  <w:pPr>
                    <w:pStyle w:val="72"/>
                    <w:adjustRightInd w:val="0"/>
                    <w:snapToGrid w:val="0"/>
                    <w:ind w:firstLine="0" w:firstLineChars="0"/>
                    <w:jc w:val="center"/>
                    <w:rPr>
                      <w:rFonts w:eastAsia="宋体" w:cs="Times New Roman"/>
                      <w:b/>
                      <w:bCs/>
                      <w:snapToGrid w:val="0"/>
                      <w:color w:val="auto"/>
                      <w:kern w:val="0"/>
                      <w:szCs w:val="21"/>
                      <w:highlight w:val="none"/>
                    </w:rPr>
                  </w:pPr>
                  <w:r>
                    <w:rPr>
                      <w:rFonts w:eastAsia="宋体" w:cs="Times New Roman"/>
                      <w:b/>
                      <w:bCs/>
                      <w:snapToGrid w:val="0"/>
                      <w:color w:val="auto"/>
                      <w:kern w:val="0"/>
                      <w:szCs w:val="21"/>
                      <w:highlight w:val="none"/>
                    </w:rPr>
                    <w:t>监测位置</w:t>
                  </w:r>
                </w:p>
              </w:tc>
              <w:tc>
                <w:tcPr>
                  <w:tcW w:w="673" w:type="pct"/>
                  <w:vAlign w:val="center"/>
                </w:tcPr>
                <w:p w14:paraId="4766FEBA">
                  <w:pPr>
                    <w:pStyle w:val="72"/>
                    <w:adjustRightInd w:val="0"/>
                    <w:snapToGrid w:val="0"/>
                    <w:ind w:firstLine="0" w:firstLineChars="0"/>
                    <w:jc w:val="center"/>
                    <w:rPr>
                      <w:rFonts w:eastAsia="宋体" w:cs="Times New Roman"/>
                      <w:b/>
                      <w:bCs/>
                      <w:snapToGrid w:val="0"/>
                      <w:color w:val="auto"/>
                      <w:kern w:val="0"/>
                      <w:szCs w:val="21"/>
                      <w:highlight w:val="none"/>
                    </w:rPr>
                  </w:pPr>
                  <w:r>
                    <w:rPr>
                      <w:rFonts w:eastAsia="宋体" w:cs="Times New Roman"/>
                      <w:b/>
                      <w:bCs/>
                      <w:snapToGrid w:val="0"/>
                      <w:color w:val="auto"/>
                      <w:kern w:val="0"/>
                      <w:szCs w:val="21"/>
                      <w:highlight w:val="none"/>
                    </w:rPr>
                    <w:t>监测项目</w:t>
                  </w:r>
                </w:p>
              </w:tc>
              <w:tc>
                <w:tcPr>
                  <w:tcW w:w="601" w:type="pct"/>
                  <w:vAlign w:val="center"/>
                </w:tcPr>
                <w:p w14:paraId="66505616">
                  <w:pPr>
                    <w:pStyle w:val="72"/>
                    <w:adjustRightInd w:val="0"/>
                    <w:snapToGrid w:val="0"/>
                    <w:ind w:firstLine="0" w:firstLineChars="0"/>
                    <w:jc w:val="center"/>
                    <w:rPr>
                      <w:rFonts w:eastAsia="宋体" w:cs="Times New Roman"/>
                      <w:b/>
                      <w:bCs/>
                      <w:snapToGrid w:val="0"/>
                      <w:color w:val="auto"/>
                      <w:kern w:val="0"/>
                      <w:szCs w:val="21"/>
                      <w:highlight w:val="none"/>
                    </w:rPr>
                  </w:pPr>
                  <w:r>
                    <w:rPr>
                      <w:rFonts w:eastAsia="宋体" w:cs="Times New Roman"/>
                      <w:b/>
                      <w:bCs/>
                      <w:snapToGrid w:val="0"/>
                      <w:color w:val="auto"/>
                      <w:kern w:val="0"/>
                      <w:szCs w:val="21"/>
                      <w:highlight w:val="none"/>
                    </w:rPr>
                    <w:t>监测频次</w:t>
                  </w:r>
                </w:p>
              </w:tc>
              <w:tc>
                <w:tcPr>
                  <w:tcW w:w="2089" w:type="pct"/>
                  <w:vAlign w:val="center"/>
                </w:tcPr>
                <w:p w14:paraId="6F8C2ECF">
                  <w:pPr>
                    <w:pStyle w:val="72"/>
                    <w:adjustRightInd w:val="0"/>
                    <w:snapToGrid w:val="0"/>
                    <w:ind w:firstLine="0" w:firstLineChars="0"/>
                    <w:jc w:val="center"/>
                    <w:rPr>
                      <w:rFonts w:eastAsia="宋体" w:cs="Times New Roman"/>
                      <w:b/>
                      <w:bCs/>
                      <w:snapToGrid w:val="0"/>
                      <w:color w:val="auto"/>
                      <w:kern w:val="0"/>
                      <w:szCs w:val="21"/>
                      <w:highlight w:val="none"/>
                    </w:rPr>
                  </w:pPr>
                  <w:r>
                    <w:rPr>
                      <w:rFonts w:eastAsia="宋体" w:cs="Times New Roman"/>
                      <w:b/>
                      <w:bCs/>
                      <w:snapToGrid w:val="0"/>
                      <w:color w:val="auto"/>
                      <w:kern w:val="0"/>
                      <w:szCs w:val="21"/>
                      <w:highlight w:val="none"/>
                    </w:rPr>
                    <w:t>执行排放标准</w:t>
                  </w:r>
                </w:p>
              </w:tc>
            </w:tr>
            <w:tr w14:paraId="66C38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6" w:type="pct"/>
                  <w:vMerge w:val="restart"/>
                  <w:vAlign w:val="center"/>
                </w:tcPr>
                <w:p w14:paraId="0FDE8BEF">
                  <w:pPr>
                    <w:pStyle w:val="72"/>
                    <w:adjustRightInd w:val="0"/>
                    <w:snapToGrid w:val="0"/>
                    <w:ind w:firstLine="0" w:firstLineChars="0"/>
                    <w:jc w:val="center"/>
                    <w:rPr>
                      <w:rFonts w:eastAsia="宋体" w:cs="Times New Roman"/>
                      <w:snapToGrid w:val="0"/>
                      <w:color w:val="auto"/>
                      <w:kern w:val="0"/>
                      <w:szCs w:val="21"/>
                      <w:highlight w:val="none"/>
                    </w:rPr>
                  </w:pPr>
                  <w:r>
                    <w:rPr>
                      <w:rFonts w:eastAsia="宋体" w:cs="Times New Roman"/>
                      <w:snapToGrid w:val="0"/>
                      <w:color w:val="auto"/>
                      <w:kern w:val="0"/>
                      <w:szCs w:val="21"/>
                      <w:highlight w:val="none"/>
                    </w:rPr>
                    <w:t>废气</w:t>
                  </w:r>
                </w:p>
              </w:tc>
              <w:tc>
                <w:tcPr>
                  <w:tcW w:w="1339" w:type="pct"/>
                  <w:vAlign w:val="center"/>
                </w:tcPr>
                <w:p w14:paraId="6D37F04D">
                  <w:pPr>
                    <w:pStyle w:val="72"/>
                    <w:adjustRightInd w:val="0"/>
                    <w:snapToGrid w:val="0"/>
                    <w:ind w:firstLine="0" w:firstLineChars="0"/>
                    <w:jc w:val="center"/>
                    <w:rPr>
                      <w:rFonts w:eastAsia="宋体" w:cs="Times New Roman"/>
                      <w:snapToGrid w:val="0"/>
                      <w:color w:val="auto"/>
                      <w:kern w:val="0"/>
                      <w:szCs w:val="21"/>
                      <w:highlight w:val="none"/>
                    </w:rPr>
                  </w:pPr>
                  <w:r>
                    <w:rPr>
                      <w:rFonts w:eastAsia="宋体" w:cs="Times New Roman"/>
                      <w:snapToGrid w:val="0"/>
                      <w:color w:val="auto"/>
                      <w:kern w:val="0"/>
                      <w:szCs w:val="21"/>
                      <w:highlight w:val="none"/>
                    </w:rPr>
                    <w:t>废气排放口（FQ-</w:t>
                  </w:r>
                  <w:r>
                    <w:rPr>
                      <w:rFonts w:hint="default" w:eastAsia="宋体" w:cs="Times New Roman"/>
                      <w:snapToGrid w:val="0"/>
                      <w:color w:val="auto"/>
                      <w:kern w:val="0"/>
                      <w:szCs w:val="21"/>
                      <w:highlight w:val="none"/>
                    </w:rPr>
                    <w:t>1</w:t>
                  </w:r>
                  <w:r>
                    <w:rPr>
                      <w:rFonts w:eastAsia="宋体" w:cs="Times New Roman"/>
                      <w:snapToGrid w:val="0"/>
                      <w:color w:val="auto"/>
                      <w:kern w:val="0"/>
                      <w:szCs w:val="21"/>
                      <w:highlight w:val="none"/>
                    </w:rPr>
                    <w:t>）</w:t>
                  </w:r>
                </w:p>
              </w:tc>
              <w:tc>
                <w:tcPr>
                  <w:tcW w:w="673" w:type="pct"/>
                  <w:vAlign w:val="center"/>
                </w:tcPr>
                <w:p w14:paraId="58779CFF">
                  <w:pPr>
                    <w:pStyle w:val="72"/>
                    <w:adjustRightInd w:val="0"/>
                    <w:snapToGrid w:val="0"/>
                    <w:ind w:firstLine="0" w:firstLineChars="0"/>
                    <w:jc w:val="center"/>
                    <w:rPr>
                      <w:rFonts w:eastAsia="宋体" w:cs="Times New Roman"/>
                      <w:snapToGrid w:val="0"/>
                      <w:color w:val="auto"/>
                      <w:kern w:val="0"/>
                      <w:szCs w:val="21"/>
                      <w:highlight w:val="none"/>
                    </w:rPr>
                  </w:pPr>
                  <w:r>
                    <w:rPr>
                      <w:rFonts w:eastAsia="宋体" w:cs="Times New Roman"/>
                      <w:snapToGrid w:val="0"/>
                      <w:color w:val="auto"/>
                      <w:kern w:val="0"/>
                      <w:szCs w:val="21"/>
                      <w:highlight w:val="none"/>
                    </w:rPr>
                    <w:t>VOCs</w:t>
                  </w:r>
                  <w:r>
                    <w:rPr>
                      <w:rFonts w:hint="eastAsia" w:eastAsia="宋体" w:cs="Times New Roman"/>
                      <w:snapToGrid w:val="0"/>
                      <w:color w:val="auto"/>
                      <w:kern w:val="0"/>
                      <w:szCs w:val="21"/>
                      <w:highlight w:val="none"/>
                      <w:lang w:eastAsia="zh-Hans"/>
                    </w:rPr>
                    <w:t>、</w:t>
                  </w:r>
                  <w:r>
                    <w:rPr>
                      <w:rFonts w:hint="eastAsia" w:eastAsia="宋体" w:cs="Times New Roman"/>
                      <w:snapToGrid w:val="0"/>
                      <w:color w:val="auto"/>
                      <w:kern w:val="0"/>
                      <w:szCs w:val="21"/>
                      <w:highlight w:val="none"/>
                      <w:lang w:val="en-US" w:eastAsia="zh-Hans"/>
                    </w:rPr>
                    <w:t>二甲苯</w:t>
                  </w:r>
                  <w:r>
                    <w:rPr>
                      <w:rFonts w:hint="eastAsia" w:eastAsia="宋体" w:cs="Times New Roman"/>
                      <w:snapToGrid w:val="0"/>
                      <w:color w:val="auto"/>
                      <w:kern w:val="0"/>
                      <w:szCs w:val="21"/>
                      <w:highlight w:val="none"/>
                      <w:lang w:eastAsia="zh-Hans"/>
                    </w:rPr>
                    <w:t>、</w:t>
                  </w:r>
                  <w:r>
                    <w:rPr>
                      <w:rFonts w:hint="eastAsia" w:eastAsia="宋体" w:cs="Times New Roman"/>
                      <w:snapToGrid w:val="0"/>
                      <w:color w:val="auto"/>
                      <w:kern w:val="0"/>
                      <w:szCs w:val="21"/>
                      <w:highlight w:val="none"/>
                      <w:lang w:val="en-US" w:eastAsia="zh-Hans"/>
                    </w:rPr>
                    <w:t>颗粒物</w:t>
                  </w:r>
                </w:p>
              </w:tc>
              <w:tc>
                <w:tcPr>
                  <w:tcW w:w="601" w:type="pct"/>
                  <w:vAlign w:val="center"/>
                </w:tcPr>
                <w:p w14:paraId="3C2C6C54">
                  <w:pPr>
                    <w:pStyle w:val="72"/>
                    <w:adjustRightInd w:val="0"/>
                    <w:snapToGrid w:val="0"/>
                    <w:ind w:firstLine="0" w:firstLineChars="0"/>
                    <w:jc w:val="center"/>
                    <w:rPr>
                      <w:rFonts w:eastAsia="宋体" w:cs="Times New Roman"/>
                      <w:snapToGrid w:val="0"/>
                      <w:color w:val="auto"/>
                      <w:kern w:val="0"/>
                      <w:szCs w:val="21"/>
                      <w:highlight w:val="none"/>
                    </w:rPr>
                  </w:pPr>
                  <w:r>
                    <w:rPr>
                      <w:rFonts w:hint="eastAsia" w:eastAsia="宋体" w:cs="Times New Roman"/>
                      <w:snapToGrid w:val="0"/>
                      <w:color w:val="auto"/>
                      <w:kern w:val="0"/>
                      <w:szCs w:val="21"/>
                      <w:highlight w:val="none"/>
                    </w:rPr>
                    <w:t>每季</w:t>
                  </w:r>
                  <w:r>
                    <w:rPr>
                      <w:rFonts w:eastAsia="宋体" w:cs="Times New Roman"/>
                      <w:snapToGrid w:val="0"/>
                      <w:color w:val="auto"/>
                      <w:kern w:val="0"/>
                      <w:szCs w:val="21"/>
                      <w:highlight w:val="none"/>
                    </w:rPr>
                    <w:t>一次</w:t>
                  </w:r>
                </w:p>
              </w:tc>
              <w:tc>
                <w:tcPr>
                  <w:tcW w:w="2089" w:type="pct"/>
                  <w:vAlign w:val="center"/>
                </w:tcPr>
                <w:p w14:paraId="2C2627AE">
                  <w:pPr>
                    <w:pStyle w:val="72"/>
                    <w:adjustRightInd w:val="0"/>
                    <w:snapToGrid w:val="0"/>
                    <w:ind w:firstLine="0" w:firstLineChars="0"/>
                    <w:jc w:val="center"/>
                    <w:rPr>
                      <w:rFonts w:eastAsia="宋体" w:cs="Times New Roman"/>
                      <w:bCs/>
                      <w:snapToGrid w:val="0"/>
                      <w:color w:val="auto"/>
                      <w:kern w:val="0"/>
                      <w:szCs w:val="21"/>
                      <w:highlight w:val="none"/>
                    </w:rPr>
                  </w:pPr>
                  <w:r>
                    <w:rPr>
                      <w:rFonts w:hint="eastAsia" w:eastAsia="宋体" w:cs="Times New Roman"/>
                      <w:bCs/>
                      <w:snapToGrid w:val="0"/>
                      <w:color w:val="auto"/>
                      <w:kern w:val="0"/>
                      <w:szCs w:val="21"/>
                      <w:highlight w:val="none"/>
                    </w:rPr>
                    <w:t>《大气污染物综合排放标准》DB32/4041-2021表1中相关标准</w:t>
                  </w:r>
                </w:p>
              </w:tc>
            </w:tr>
            <w:tr w14:paraId="2D25C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6" w:hRule="atLeast"/>
              </w:trPr>
              <w:tc>
                <w:tcPr>
                  <w:tcW w:w="296" w:type="pct"/>
                  <w:vMerge w:val="continue"/>
                  <w:vAlign w:val="center"/>
                </w:tcPr>
                <w:p w14:paraId="7C1BF47D">
                  <w:pPr>
                    <w:pStyle w:val="72"/>
                    <w:adjustRightInd w:val="0"/>
                    <w:snapToGrid w:val="0"/>
                    <w:ind w:firstLine="0" w:firstLineChars="0"/>
                    <w:jc w:val="center"/>
                    <w:rPr>
                      <w:rFonts w:eastAsia="宋体" w:cs="Times New Roman"/>
                      <w:snapToGrid w:val="0"/>
                      <w:color w:val="auto"/>
                      <w:kern w:val="0"/>
                      <w:szCs w:val="21"/>
                      <w:highlight w:val="none"/>
                    </w:rPr>
                  </w:pPr>
                </w:p>
              </w:tc>
              <w:tc>
                <w:tcPr>
                  <w:tcW w:w="1339" w:type="pct"/>
                  <w:vAlign w:val="center"/>
                </w:tcPr>
                <w:p w14:paraId="6AB19A4F">
                  <w:pPr>
                    <w:pStyle w:val="72"/>
                    <w:adjustRightInd w:val="0"/>
                    <w:snapToGrid w:val="0"/>
                    <w:ind w:firstLine="0" w:firstLineChars="0"/>
                    <w:jc w:val="center"/>
                    <w:rPr>
                      <w:rFonts w:eastAsia="宋体" w:cs="Times New Roman"/>
                      <w:snapToGrid w:val="0"/>
                      <w:color w:val="auto"/>
                      <w:kern w:val="0"/>
                      <w:szCs w:val="21"/>
                      <w:highlight w:val="none"/>
                    </w:rPr>
                  </w:pPr>
                  <w:r>
                    <w:rPr>
                      <w:rFonts w:eastAsia="宋体" w:cs="Times New Roman"/>
                      <w:snapToGrid w:val="0"/>
                      <w:color w:val="auto"/>
                      <w:kern w:val="0"/>
                      <w:szCs w:val="21"/>
                      <w:highlight w:val="none"/>
                    </w:rPr>
                    <w:t>厂界</w:t>
                  </w:r>
                  <w:r>
                    <w:rPr>
                      <w:rFonts w:hint="eastAsia" w:eastAsia="宋体" w:cs="Times New Roman"/>
                      <w:snapToGrid w:val="0"/>
                      <w:color w:val="auto"/>
                      <w:kern w:val="0"/>
                      <w:szCs w:val="21"/>
                      <w:highlight w:val="none"/>
                    </w:rPr>
                    <w:t>（厂界外1m处）</w:t>
                  </w:r>
                </w:p>
              </w:tc>
              <w:tc>
                <w:tcPr>
                  <w:tcW w:w="673" w:type="pct"/>
                  <w:vAlign w:val="center"/>
                </w:tcPr>
                <w:p w14:paraId="34D82467">
                  <w:pPr>
                    <w:pStyle w:val="72"/>
                    <w:adjustRightInd w:val="0"/>
                    <w:snapToGrid w:val="0"/>
                    <w:ind w:firstLine="0" w:firstLineChars="0"/>
                    <w:jc w:val="center"/>
                    <w:rPr>
                      <w:rFonts w:eastAsia="宋体" w:cs="Times New Roman"/>
                      <w:snapToGrid w:val="0"/>
                      <w:color w:val="auto"/>
                      <w:kern w:val="0"/>
                      <w:szCs w:val="21"/>
                      <w:highlight w:val="none"/>
                    </w:rPr>
                  </w:pPr>
                  <w:r>
                    <w:rPr>
                      <w:rFonts w:eastAsia="宋体" w:cs="Times New Roman"/>
                      <w:snapToGrid w:val="0"/>
                      <w:color w:val="auto"/>
                      <w:kern w:val="0"/>
                      <w:szCs w:val="21"/>
                      <w:highlight w:val="none"/>
                    </w:rPr>
                    <w:t>颗粒物</w:t>
                  </w:r>
                  <w:r>
                    <w:rPr>
                      <w:rFonts w:hint="eastAsia" w:eastAsia="宋体" w:cs="Times New Roman"/>
                      <w:snapToGrid w:val="0"/>
                      <w:color w:val="auto"/>
                      <w:kern w:val="0"/>
                      <w:szCs w:val="21"/>
                      <w:highlight w:val="none"/>
                      <w:lang w:eastAsia="zh-Hans"/>
                    </w:rPr>
                    <w:t>、</w:t>
                  </w:r>
                  <w:r>
                    <w:rPr>
                      <w:rFonts w:hint="eastAsia" w:eastAsia="宋体" w:cs="Times New Roman"/>
                      <w:snapToGrid w:val="0"/>
                      <w:color w:val="auto"/>
                      <w:kern w:val="0"/>
                      <w:szCs w:val="21"/>
                      <w:highlight w:val="none"/>
                      <w:lang w:val="en-US" w:eastAsia="zh-Hans"/>
                    </w:rPr>
                    <w:t>二甲苯</w:t>
                  </w:r>
                  <w:r>
                    <w:rPr>
                      <w:rFonts w:hint="eastAsia" w:eastAsia="宋体" w:cs="Times New Roman"/>
                      <w:snapToGrid w:val="0"/>
                      <w:color w:val="auto"/>
                      <w:kern w:val="0"/>
                      <w:szCs w:val="21"/>
                      <w:highlight w:val="none"/>
                    </w:rPr>
                    <w:t>、NMHC</w:t>
                  </w:r>
                </w:p>
              </w:tc>
              <w:tc>
                <w:tcPr>
                  <w:tcW w:w="601" w:type="pct"/>
                  <w:vAlign w:val="center"/>
                </w:tcPr>
                <w:p w14:paraId="33E40CB2">
                  <w:pPr>
                    <w:pStyle w:val="72"/>
                    <w:adjustRightInd w:val="0"/>
                    <w:snapToGrid w:val="0"/>
                    <w:ind w:firstLine="0" w:firstLineChars="0"/>
                    <w:jc w:val="center"/>
                    <w:rPr>
                      <w:rFonts w:eastAsia="宋体" w:cs="Times New Roman"/>
                      <w:snapToGrid w:val="0"/>
                      <w:color w:val="auto"/>
                      <w:kern w:val="0"/>
                      <w:szCs w:val="21"/>
                      <w:highlight w:val="none"/>
                    </w:rPr>
                  </w:pPr>
                  <w:r>
                    <w:rPr>
                      <w:rFonts w:hint="eastAsia" w:eastAsia="宋体" w:cs="Times New Roman"/>
                      <w:snapToGrid w:val="0"/>
                      <w:color w:val="auto"/>
                      <w:kern w:val="0"/>
                      <w:szCs w:val="21"/>
                      <w:highlight w:val="none"/>
                    </w:rPr>
                    <w:t>一</w:t>
                  </w:r>
                  <w:r>
                    <w:rPr>
                      <w:rFonts w:eastAsia="宋体" w:cs="Times New Roman"/>
                      <w:snapToGrid w:val="0"/>
                      <w:color w:val="auto"/>
                      <w:kern w:val="0"/>
                      <w:szCs w:val="21"/>
                      <w:highlight w:val="none"/>
                    </w:rPr>
                    <w:t>年一次</w:t>
                  </w:r>
                </w:p>
              </w:tc>
              <w:tc>
                <w:tcPr>
                  <w:tcW w:w="2089" w:type="pct"/>
                  <w:vAlign w:val="center"/>
                </w:tcPr>
                <w:p w14:paraId="293A87CC">
                  <w:pPr>
                    <w:pStyle w:val="72"/>
                    <w:adjustRightInd w:val="0"/>
                    <w:snapToGrid w:val="0"/>
                    <w:ind w:firstLine="0" w:firstLineChars="0"/>
                    <w:jc w:val="center"/>
                    <w:rPr>
                      <w:rFonts w:eastAsia="宋体" w:cs="Times New Roman"/>
                      <w:snapToGrid w:val="0"/>
                      <w:color w:val="auto"/>
                      <w:kern w:val="0"/>
                      <w:szCs w:val="21"/>
                      <w:highlight w:val="none"/>
                    </w:rPr>
                  </w:pPr>
                  <w:r>
                    <w:rPr>
                      <w:rFonts w:hint="eastAsia" w:eastAsia="宋体" w:cs="Times New Roman"/>
                      <w:bCs/>
                      <w:snapToGrid w:val="0"/>
                      <w:color w:val="auto"/>
                      <w:kern w:val="0"/>
                      <w:szCs w:val="21"/>
                      <w:highlight w:val="none"/>
                    </w:rPr>
                    <w:t>《大气污染物综合排放标准》DB32/4041-2021表3中相关标准</w:t>
                  </w:r>
                </w:p>
              </w:tc>
            </w:tr>
            <w:tr w14:paraId="5F39E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6" w:type="pct"/>
                  <w:vMerge w:val="continue"/>
                  <w:vAlign w:val="center"/>
                </w:tcPr>
                <w:p w14:paraId="28415DD3">
                  <w:pPr>
                    <w:pStyle w:val="72"/>
                    <w:adjustRightInd w:val="0"/>
                    <w:snapToGrid w:val="0"/>
                    <w:ind w:firstLine="0" w:firstLineChars="0"/>
                    <w:jc w:val="center"/>
                    <w:rPr>
                      <w:rFonts w:eastAsia="宋体" w:cs="Times New Roman"/>
                      <w:snapToGrid w:val="0"/>
                      <w:color w:val="auto"/>
                      <w:kern w:val="0"/>
                      <w:szCs w:val="21"/>
                      <w:highlight w:val="none"/>
                    </w:rPr>
                  </w:pPr>
                </w:p>
              </w:tc>
              <w:tc>
                <w:tcPr>
                  <w:tcW w:w="1339" w:type="pct"/>
                  <w:vAlign w:val="center"/>
                </w:tcPr>
                <w:p w14:paraId="458BF84D">
                  <w:pPr>
                    <w:pStyle w:val="72"/>
                    <w:adjustRightInd w:val="0"/>
                    <w:snapToGrid w:val="0"/>
                    <w:ind w:firstLine="0" w:firstLineChars="0"/>
                    <w:jc w:val="center"/>
                    <w:rPr>
                      <w:rFonts w:eastAsia="宋体" w:cs="Times New Roman"/>
                      <w:snapToGrid w:val="0"/>
                      <w:color w:val="auto"/>
                      <w:kern w:val="0"/>
                      <w:szCs w:val="21"/>
                      <w:highlight w:val="none"/>
                    </w:rPr>
                  </w:pPr>
                  <w:r>
                    <w:rPr>
                      <w:rFonts w:eastAsia="宋体" w:cs="Times New Roman"/>
                      <w:snapToGrid w:val="0"/>
                      <w:color w:val="auto"/>
                      <w:kern w:val="0"/>
                      <w:szCs w:val="21"/>
                      <w:highlight w:val="none"/>
                    </w:rPr>
                    <w:t>厂房门窗或通风口、其他开口（孔）等排放口外1m</w:t>
                  </w:r>
                </w:p>
              </w:tc>
              <w:tc>
                <w:tcPr>
                  <w:tcW w:w="673" w:type="pct"/>
                  <w:vAlign w:val="center"/>
                </w:tcPr>
                <w:p w14:paraId="1ECF433F">
                  <w:pPr>
                    <w:pStyle w:val="72"/>
                    <w:adjustRightInd w:val="0"/>
                    <w:snapToGrid w:val="0"/>
                    <w:ind w:firstLine="0" w:firstLineChars="0"/>
                    <w:jc w:val="center"/>
                    <w:rPr>
                      <w:rFonts w:eastAsia="宋体" w:cs="Times New Roman"/>
                      <w:snapToGrid w:val="0"/>
                      <w:color w:val="auto"/>
                      <w:kern w:val="0"/>
                      <w:szCs w:val="21"/>
                      <w:highlight w:val="none"/>
                    </w:rPr>
                  </w:pPr>
                  <w:r>
                    <w:rPr>
                      <w:rFonts w:hint="eastAsia" w:eastAsia="宋体" w:cs="Times New Roman"/>
                      <w:snapToGrid w:val="0"/>
                      <w:color w:val="auto"/>
                      <w:kern w:val="0"/>
                      <w:szCs w:val="21"/>
                      <w:highlight w:val="none"/>
                    </w:rPr>
                    <w:t>NMHC</w:t>
                  </w:r>
                </w:p>
              </w:tc>
              <w:tc>
                <w:tcPr>
                  <w:tcW w:w="601" w:type="pct"/>
                  <w:vAlign w:val="center"/>
                </w:tcPr>
                <w:p w14:paraId="7CE3FB73">
                  <w:pPr>
                    <w:pStyle w:val="72"/>
                    <w:adjustRightInd w:val="0"/>
                    <w:snapToGrid w:val="0"/>
                    <w:ind w:firstLine="0" w:firstLineChars="0"/>
                    <w:jc w:val="center"/>
                    <w:rPr>
                      <w:rFonts w:eastAsia="宋体" w:cs="Times New Roman"/>
                      <w:snapToGrid w:val="0"/>
                      <w:color w:val="auto"/>
                      <w:kern w:val="0"/>
                      <w:szCs w:val="21"/>
                      <w:highlight w:val="none"/>
                    </w:rPr>
                  </w:pPr>
                  <w:r>
                    <w:rPr>
                      <w:rFonts w:hint="eastAsia" w:eastAsia="宋体" w:cs="Times New Roman"/>
                      <w:snapToGrid w:val="0"/>
                      <w:color w:val="auto"/>
                      <w:kern w:val="0"/>
                      <w:szCs w:val="21"/>
                      <w:highlight w:val="none"/>
                    </w:rPr>
                    <w:t>一</w:t>
                  </w:r>
                  <w:r>
                    <w:rPr>
                      <w:rFonts w:eastAsia="宋体" w:cs="Times New Roman"/>
                      <w:snapToGrid w:val="0"/>
                      <w:color w:val="auto"/>
                      <w:kern w:val="0"/>
                      <w:szCs w:val="21"/>
                      <w:highlight w:val="none"/>
                    </w:rPr>
                    <w:t>年一次</w:t>
                  </w:r>
                </w:p>
              </w:tc>
              <w:tc>
                <w:tcPr>
                  <w:tcW w:w="2089" w:type="pct"/>
                  <w:vAlign w:val="center"/>
                </w:tcPr>
                <w:p w14:paraId="37CC890F">
                  <w:pPr>
                    <w:pStyle w:val="72"/>
                    <w:adjustRightInd w:val="0"/>
                    <w:snapToGrid w:val="0"/>
                    <w:ind w:firstLine="0" w:firstLineChars="0"/>
                    <w:jc w:val="center"/>
                    <w:rPr>
                      <w:rFonts w:eastAsia="宋体" w:cs="Times New Roman"/>
                      <w:snapToGrid w:val="0"/>
                      <w:color w:val="auto"/>
                      <w:kern w:val="0"/>
                      <w:szCs w:val="21"/>
                      <w:highlight w:val="none"/>
                    </w:rPr>
                  </w:pPr>
                  <w:r>
                    <w:rPr>
                      <w:rFonts w:hint="eastAsia" w:eastAsia="宋体" w:cs="Times New Roman"/>
                      <w:bCs/>
                      <w:snapToGrid w:val="0"/>
                      <w:color w:val="auto"/>
                      <w:kern w:val="0"/>
                      <w:szCs w:val="21"/>
                      <w:highlight w:val="none"/>
                    </w:rPr>
                    <w:t>《大气污染物综合排放标准》DB32/4041-2021表2中相关标准</w:t>
                  </w:r>
                </w:p>
              </w:tc>
            </w:tr>
          </w:tbl>
          <w:p w14:paraId="4E9C22A6">
            <w:pPr>
              <w:adjustRightInd w:val="0"/>
              <w:snapToGrid w:val="0"/>
              <w:ind w:firstLine="200" w:firstLineChars="200"/>
              <w:rPr>
                <w:rFonts w:hAnsi="宋体"/>
                <w:color w:val="auto"/>
                <w:kern w:val="0"/>
                <w:sz w:val="10"/>
                <w:szCs w:val="10"/>
                <w:highlight w:val="none"/>
              </w:rPr>
            </w:pPr>
          </w:p>
          <w:p w14:paraId="1197966B">
            <w:pPr>
              <w:adjustRightInd w:val="0"/>
              <w:snapToGrid w:val="0"/>
              <w:spacing w:line="360" w:lineRule="auto"/>
              <w:ind w:firstLine="482" w:firstLineChars="200"/>
              <w:rPr>
                <w:b/>
                <w:color w:val="auto"/>
                <w:kern w:val="0"/>
                <w:sz w:val="24"/>
                <w:highlight w:val="none"/>
              </w:rPr>
            </w:pPr>
            <w:r>
              <w:rPr>
                <w:rFonts w:hAnsi="宋体"/>
                <w:b/>
                <w:color w:val="auto"/>
                <w:kern w:val="0"/>
                <w:sz w:val="24"/>
                <w:highlight w:val="none"/>
              </w:rPr>
              <w:t>（</w:t>
            </w:r>
            <w:r>
              <w:rPr>
                <w:b/>
                <w:color w:val="auto"/>
                <w:kern w:val="0"/>
                <w:sz w:val="24"/>
                <w:highlight w:val="none"/>
              </w:rPr>
              <w:t>5</w:t>
            </w:r>
            <w:r>
              <w:rPr>
                <w:rFonts w:hAnsi="宋体"/>
                <w:b/>
                <w:color w:val="auto"/>
                <w:kern w:val="0"/>
                <w:sz w:val="24"/>
                <w:highlight w:val="none"/>
              </w:rPr>
              <w:t>）废气污染治理设施可行性分析</w:t>
            </w:r>
          </w:p>
          <w:p w14:paraId="4F81220D">
            <w:pPr>
              <w:adjustRightInd w:val="0"/>
              <w:snapToGrid w:val="0"/>
              <w:spacing w:line="360" w:lineRule="auto"/>
              <w:ind w:firstLine="480" w:firstLineChars="200"/>
              <w:rPr>
                <w:snapToGrid w:val="0"/>
                <w:color w:val="auto"/>
                <w:kern w:val="0"/>
                <w:sz w:val="24"/>
                <w:highlight w:val="none"/>
              </w:rPr>
            </w:pPr>
            <w:r>
              <w:rPr>
                <w:bCs/>
                <w:snapToGrid w:val="0"/>
                <w:color w:val="auto"/>
                <w:kern w:val="0"/>
                <w:sz w:val="24"/>
                <w:highlight w:val="none"/>
              </w:rPr>
              <w:t>1</w:t>
            </w:r>
            <w:r>
              <w:rPr>
                <w:rFonts w:hAnsi="宋体"/>
                <w:bCs/>
                <w:snapToGrid w:val="0"/>
                <w:color w:val="auto"/>
                <w:kern w:val="0"/>
                <w:sz w:val="24"/>
                <w:highlight w:val="none"/>
              </w:rPr>
              <w:t>）废气收集效果可行性分析</w:t>
            </w:r>
          </w:p>
          <w:p w14:paraId="2F773A0C">
            <w:pPr>
              <w:pStyle w:val="5"/>
              <w:adjustRightInd w:val="0"/>
              <w:spacing w:before="0" w:after="0" w:line="360" w:lineRule="auto"/>
              <w:ind w:right="0"/>
              <w:jc w:val="center"/>
              <w:rPr>
                <w:color w:val="auto"/>
                <w:sz w:val="24"/>
                <w:szCs w:val="24"/>
                <w:highlight w:val="none"/>
              </w:rPr>
            </w:pPr>
            <w:r>
              <w:drawing>
                <wp:inline distT="0" distB="0" distL="114300" distR="114300">
                  <wp:extent cx="6509385" cy="2065020"/>
                  <wp:effectExtent l="0" t="0" r="18415" b="177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6509385" cy="2065020"/>
                          </a:xfrm>
                          <a:prstGeom prst="rect">
                            <a:avLst/>
                          </a:prstGeom>
                          <a:noFill/>
                          <a:ln w="9525">
                            <a:noFill/>
                          </a:ln>
                        </pic:spPr>
                      </pic:pic>
                    </a:graphicData>
                  </a:graphic>
                </wp:inline>
              </w:drawing>
            </w:r>
          </w:p>
          <w:p w14:paraId="7846FE18">
            <w:pPr>
              <w:pStyle w:val="5"/>
              <w:adjustRightInd w:val="0"/>
              <w:spacing w:before="0" w:after="0" w:line="240" w:lineRule="auto"/>
              <w:ind w:right="0"/>
              <w:jc w:val="center"/>
              <w:rPr>
                <w:b/>
                <w:bCs/>
                <w:color w:val="auto"/>
                <w:sz w:val="24"/>
                <w:szCs w:val="24"/>
                <w:highlight w:val="none"/>
              </w:rPr>
            </w:pPr>
            <w:r>
              <w:rPr>
                <w:b/>
                <w:bCs/>
                <w:color w:val="auto"/>
                <w:sz w:val="24"/>
                <w:szCs w:val="24"/>
                <w:highlight w:val="none"/>
              </w:rPr>
              <w:t>图</w:t>
            </w:r>
            <w:r>
              <w:rPr>
                <w:rFonts w:hint="eastAsia"/>
                <w:b/>
                <w:bCs/>
                <w:color w:val="auto"/>
                <w:sz w:val="24"/>
                <w:szCs w:val="24"/>
                <w:highlight w:val="none"/>
              </w:rPr>
              <w:t>4</w:t>
            </w:r>
            <w:r>
              <w:rPr>
                <w:b/>
                <w:bCs/>
                <w:color w:val="auto"/>
                <w:sz w:val="24"/>
                <w:szCs w:val="24"/>
                <w:highlight w:val="none"/>
              </w:rPr>
              <w:t>-</w:t>
            </w:r>
            <w:r>
              <w:rPr>
                <w:rFonts w:hint="eastAsia"/>
                <w:b/>
                <w:bCs/>
                <w:color w:val="auto"/>
                <w:sz w:val="24"/>
                <w:szCs w:val="24"/>
                <w:highlight w:val="none"/>
                <w:lang w:val="en-US"/>
              </w:rPr>
              <w:t>2</w:t>
            </w:r>
            <w:r>
              <w:rPr>
                <w:b/>
                <w:bCs/>
                <w:color w:val="auto"/>
                <w:sz w:val="24"/>
                <w:szCs w:val="24"/>
                <w:highlight w:val="none"/>
              </w:rPr>
              <w:t xml:space="preserve"> </w:t>
            </w:r>
            <w:r>
              <w:rPr>
                <w:rFonts w:hint="eastAsia"/>
                <w:b/>
                <w:bCs/>
                <w:color w:val="auto"/>
                <w:sz w:val="24"/>
                <w:szCs w:val="24"/>
                <w:highlight w:val="none"/>
              </w:rPr>
              <w:t xml:space="preserve"> 本项目</w:t>
            </w:r>
            <w:r>
              <w:rPr>
                <w:b/>
                <w:bCs/>
                <w:color w:val="auto"/>
                <w:sz w:val="24"/>
                <w:szCs w:val="24"/>
                <w:highlight w:val="none"/>
              </w:rPr>
              <w:t>废气处理工艺流程图</w:t>
            </w:r>
          </w:p>
          <w:p w14:paraId="641CC81B">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w:t>
            </w:r>
            <w:r>
              <w:rPr>
                <w:rFonts w:hint="eastAsia" w:hAnsi="宋体"/>
                <w:snapToGrid w:val="0"/>
                <w:color w:val="auto"/>
                <w:kern w:val="0"/>
                <w:sz w:val="24"/>
                <w:highlight w:val="none"/>
              </w:rPr>
              <w:t>涂聚酯树脂胶、固化、滴浸渍树脂胶、浸涂树脂粉、固化</w:t>
            </w:r>
            <w:r>
              <w:rPr>
                <w:rFonts w:hAnsi="宋体"/>
                <w:snapToGrid w:val="0"/>
                <w:color w:val="auto"/>
                <w:kern w:val="0"/>
                <w:sz w:val="24"/>
                <w:highlight w:val="none"/>
              </w:rPr>
              <w:t>工序会</w:t>
            </w:r>
            <w:r>
              <w:rPr>
                <w:rFonts w:hint="eastAsia" w:hAnsi="宋体"/>
                <w:snapToGrid w:val="0"/>
                <w:color w:val="auto"/>
                <w:kern w:val="0"/>
                <w:sz w:val="24"/>
                <w:highlight w:val="none"/>
              </w:rPr>
              <w:t>产生</w:t>
            </w:r>
            <w:r>
              <w:rPr>
                <w:rFonts w:hAnsi="宋体"/>
                <w:snapToGrid w:val="0"/>
                <w:color w:val="auto"/>
                <w:kern w:val="0"/>
                <w:sz w:val="24"/>
                <w:highlight w:val="none"/>
              </w:rPr>
              <w:t>有机废气，主要为</w:t>
            </w:r>
            <w:r>
              <w:rPr>
                <w:rFonts w:hint="eastAsia" w:hAnsi="宋体"/>
                <w:snapToGrid w:val="0"/>
                <w:color w:val="auto"/>
                <w:kern w:val="0"/>
                <w:sz w:val="24"/>
                <w:highlight w:val="none"/>
              </w:rPr>
              <w:t>VOCs，</w:t>
            </w:r>
            <w:r>
              <w:rPr>
                <w:rFonts w:hAnsi="宋体"/>
                <w:snapToGrid w:val="0"/>
                <w:color w:val="auto"/>
                <w:kern w:val="0"/>
                <w:sz w:val="24"/>
                <w:highlight w:val="none"/>
              </w:rPr>
              <w:t>拟对</w:t>
            </w:r>
            <w:r>
              <w:rPr>
                <w:rFonts w:hint="eastAsia" w:hAnsi="宋体"/>
                <w:snapToGrid w:val="0"/>
                <w:color w:val="auto"/>
                <w:kern w:val="0"/>
                <w:sz w:val="24"/>
                <w:highlight w:val="none"/>
              </w:rPr>
              <w:t>涂聚酯树脂胶、固化</w:t>
            </w:r>
            <w:r>
              <w:rPr>
                <w:rFonts w:hAnsi="宋体"/>
                <w:snapToGrid w:val="0"/>
                <w:color w:val="auto"/>
                <w:kern w:val="0"/>
                <w:sz w:val="24"/>
                <w:highlight w:val="none"/>
              </w:rPr>
              <w:t>工序上方设置集气罩，对有机废气进行收集，</w:t>
            </w:r>
            <w:r>
              <w:rPr>
                <w:rFonts w:hint="eastAsia" w:hAnsi="宋体"/>
                <w:snapToGrid w:val="0"/>
                <w:color w:val="auto"/>
                <w:kern w:val="0"/>
                <w:sz w:val="24"/>
                <w:highlight w:val="none"/>
              </w:rPr>
              <w:t>捕集效率为9</w:t>
            </w:r>
            <w:r>
              <w:rPr>
                <w:rFonts w:hint="default" w:hAnsi="宋体"/>
                <w:snapToGrid w:val="0"/>
                <w:color w:val="auto"/>
                <w:kern w:val="0"/>
                <w:sz w:val="24"/>
                <w:highlight w:val="none"/>
              </w:rPr>
              <w:t>3</w:t>
            </w:r>
            <w:r>
              <w:rPr>
                <w:rFonts w:hint="eastAsia" w:hAnsi="宋体"/>
                <w:snapToGrid w:val="0"/>
                <w:color w:val="auto"/>
                <w:kern w:val="0"/>
                <w:sz w:val="24"/>
                <w:highlight w:val="none"/>
              </w:rPr>
              <w:t>%，滴浸渍树脂胶、浸涂树脂粉、固化工序产生废气经设备密闭收集，捕集效率为9</w:t>
            </w:r>
            <w:r>
              <w:rPr>
                <w:rFonts w:hint="default" w:hAnsi="宋体"/>
                <w:snapToGrid w:val="0"/>
                <w:color w:val="auto"/>
                <w:kern w:val="0"/>
                <w:sz w:val="24"/>
                <w:highlight w:val="none"/>
              </w:rPr>
              <w:t>3</w:t>
            </w:r>
            <w:r>
              <w:rPr>
                <w:rFonts w:hint="eastAsia" w:hAnsi="宋体"/>
                <w:snapToGrid w:val="0"/>
                <w:color w:val="auto"/>
                <w:kern w:val="0"/>
                <w:sz w:val="24"/>
                <w:highlight w:val="none"/>
              </w:rPr>
              <w:t>%；浸涂树脂粉、固化工序产生粉尘颗粒物经设备自带过滤装置收集处理，收集效率90%；焊接工段产生焊接烟尘经集气罩收集，捕集效率为75%</w:t>
            </w:r>
            <w:r>
              <w:rPr>
                <w:rFonts w:hint="eastAsia" w:hAnsi="宋体"/>
                <w:snapToGrid w:val="0"/>
                <w:color w:val="auto"/>
                <w:kern w:val="0"/>
                <w:sz w:val="24"/>
                <w:highlight w:val="none"/>
                <w:lang w:eastAsia="zh-Hans"/>
              </w:rPr>
              <w:t>；</w:t>
            </w:r>
            <w:r>
              <w:rPr>
                <w:rFonts w:hint="eastAsia"/>
                <w:snapToGrid w:val="0"/>
                <w:color w:val="auto"/>
                <w:kern w:val="0"/>
                <w:sz w:val="24"/>
                <w:highlight w:val="none"/>
              </w:rPr>
              <w:t>危废仓库废物贮存时产生的少</w:t>
            </w:r>
            <w:r>
              <w:rPr>
                <w:snapToGrid w:val="0"/>
                <w:color w:val="auto"/>
                <w:kern w:val="0"/>
                <w:sz w:val="24"/>
                <w:highlight w:val="none"/>
              </w:rPr>
              <w:t>量有机废气</w:t>
            </w:r>
            <w:r>
              <w:rPr>
                <w:rFonts w:hint="eastAsia"/>
                <w:snapToGrid w:val="0"/>
                <w:color w:val="auto"/>
                <w:kern w:val="0"/>
                <w:sz w:val="24"/>
                <w:highlight w:val="none"/>
              </w:rPr>
              <w:t>，拟负压收集后经一级活性炭吸附处理，</w:t>
            </w:r>
            <w:r>
              <w:rPr>
                <w:snapToGrid w:val="0"/>
                <w:color w:val="auto"/>
                <w:kern w:val="0"/>
                <w:sz w:val="24"/>
                <w:highlight w:val="none"/>
              </w:rPr>
              <w:t>捕集效率为</w:t>
            </w:r>
            <w:r>
              <w:rPr>
                <w:rFonts w:hint="eastAsia"/>
                <w:snapToGrid w:val="0"/>
                <w:color w:val="auto"/>
                <w:kern w:val="0"/>
                <w:sz w:val="24"/>
                <w:highlight w:val="none"/>
              </w:rPr>
              <w:t>75</w:t>
            </w:r>
            <w:r>
              <w:rPr>
                <w:snapToGrid w:val="0"/>
                <w:color w:val="auto"/>
                <w:kern w:val="0"/>
                <w:sz w:val="24"/>
                <w:highlight w:val="none"/>
              </w:rPr>
              <w:t>%</w:t>
            </w:r>
            <w:r>
              <w:rPr>
                <w:rFonts w:hint="eastAsia" w:hAnsi="宋体"/>
                <w:snapToGrid w:val="0"/>
                <w:color w:val="auto"/>
                <w:kern w:val="0"/>
                <w:sz w:val="24"/>
                <w:highlight w:val="none"/>
              </w:rPr>
              <w:t>。</w:t>
            </w:r>
          </w:p>
          <w:p w14:paraId="3F65618E">
            <w:pPr>
              <w:adjustRightInd w:val="0"/>
              <w:snapToGrid w:val="0"/>
              <w:spacing w:line="360" w:lineRule="auto"/>
              <w:ind w:firstLine="480" w:firstLineChars="200"/>
              <w:rPr>
                <w:bCs/>
                <w:snapToGrid w:val="0"/>
                <w:color w:val="auto"/>
                <w:kern w:val="0"/>
                <w:sz w:val="24"/>
                <w:highlight w:val="none"/>
              </w:rPr>
            </w:pPr>
            <w:r>
              <w:rPr>
                <w:bCs/>
                <w:snapToGrid w:val="0"/>
                <w:color w:val="auto"/>
                <w:kern w:val="0"/>
                <w:sz w:val="24"/>
                <w:highlight w:val="none"/>
              </w:rPr>
              <w:t>2</w:t>
            </w:r>
            <w:r>
              <w:rPr>
                <w:rFonts w:hAnsi="宋体"/>
                <w:bCs/>
                <w:snapToGrid w:val="0"/>
                <w:color w:val="auto"/>
                <w:kern w:val="0"/>
                <w:sz w:val="24"/>
                <w:highlight w:val="none"/>
              </w:rPr>
              <w:t>）有机废气处理装置技术可行性分析</w:t>
            </w:r>
          </w:p>
          <w:p w14:paraId="246FC028">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本项目设置一套</w:t>
            </w:r>
            <w:r>
              <w:rPr>
                <w:rFonts w:hint="default" w:hAnsi="宋体"/>
                <w:snapToGrid w:val="0"/>
                <w:color w:val="auto"/>
                <w:kern w:val="0"/>
                <w:sz w:val="24"/>
                <w:highlight w:val="none"/>
              </w:rPr>
              <w:t>三级活性炭</w:t>
            </w:r>
            <w:r>
              <w:rPr>
                <w:rFonts w:hAnsi="宋体"/>
                <w:snapToGrid w:val="0"/>
                <w:color w:val="auto"/>
                <w:kern w:val="0"/>
                <w:sz w:val="24"/>
                <w:highlight w:val="none"/>
              </w:rPr>
              <w:t>吸附装置处理涂胶、固化、滴胶、涂粉</w:t>
            </w:r>
            <w:r>
              <w:rPr>
                <w:rFonts w:hint="eastAsia" w:hAnsi="宋体"/>
                <w:snapToGrid w:val="0"/>
                <w:color w:val="auto"/>
                <w:kern w:val="0"/>
                <w:sz w:val="24"/>
                <w:highlight w:val="none"/>
              </w:rPr>
              <w:t>有机</w:t>
            </w:r>
            <w:r>
              <w:rPr>
                <w:rFonts w:hAnsi="宋体"/>
                <w:snapToGrid w:val="0"/>
                <w:color w:val="auto"/>
                <w:kern w:val="0"/>
                <w:sz w:val="24"/>
                <w:highlight w:val="none"/>
              </w:rPr>
              <w:t>废气</w:t>
            </w:r>
            <w:r>
              <w:rPr>
                <w:rFonts w:hint="eastAsia" w:hAnsi="宋体"/>
                <w:snapToGrid w:val="0"/>
                <w:color w:val="auto"/>
                <w:kern w:val="0"/>
                <w:sz w:val="24"/>
                <w:highlight w:val="none"/>
              </w:rPr>
              <w:t>，设置一套移动式焊接烟尘净化器。</w:t>
            </w:r>
          </w:p>
          <w:p w14:paraId="0035E372">
            <w:pPr>
              <w:adjustRightInd w:val="0"/>
              <w:snapToGrid w:val="0"/>
              <w:spacing w:line="360" w:lineRule="auto"/>
              <w:ind w:firstLine="480" w:firstLineChars="200"/>
              <w:rPr>
                <w:snapToGrid w:val="0"/>
                <w:color w:val="auto"/>
                <w:kern w:val="0"/>
                <w:sz w:val="24"/>
                <w:highlight w:val="none"/>
              </w:rPr>
            </w:pPr>
            <w:r>
              <w:rPr>
                <w:rFonts w:ascii="宋体" w:hAnsi="宋体"/>
                <w:snapToGrid w:val="0"/>
                <w:color w:val="auto"/>
                <w:kern w:val="0"/>
                <w:sz w:val="24"/>
                <w:highlight w:val="none"/>
              </w:rPr>
              <w:t>①</w:t>
            </w:r>
            <w:r>
              <w:rPr>
                <w:rFonts w:hAnsi="宋体"/>
                <w:snapToGrid w:val="0"/>
                <w:color w:val="auto"/>
                <w:kern w:val="0"/>
                <w:sz w:val="24"/>
                <w:highlight w:val="none"/>
              </w:rPr>
              <w:t>活性炭吸附原理</w:t>
            </w:r>
          </w:p>
          <w:p w14:paraId="0B7ED1FB">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本项目设置一套</w:t>
            </w:r>
            <w:r>
              <w:rPr>
                <w:rFonts w:hint="eastAsia" w:hAnsi="宋体"/>
                <w:snapToGrid w:val="0"/>
                <w:color w:val="auto"/>
                <w:kern w:val="0"/>
                <w:sz w:val="24"/>
                <w:highlight w:val="none"/>
                <w:lang w:val="en-US" w:eastAsia="zh-Hans"/>
              </w:rPr>
              <w:t>三</w:t>
            </w:r>
            <w:r>
              <w:rPr>
                <w:rFonts w:hAnsi="宋体"/>
                <w:snapToGrid w:val="0"/>
                <w:color w:val="auto"/>
                <w:kern w:val="0"/>
                <w:sz w:val="24"/>
                <w:highlight w:val="none"/>
              </w:rPr>
              <w:t>级活性炭吸附装置处理</w:t>
            </w:r>
            <w:r>
              <w:rPr>
                <w:rFonts w:hint="eastAsia" w:hAnsi="宋体"/>
                <w:snapToGrid w:val="0"/>
                <w:color w:val="auto"/>
                <w:kern w:val="0"/>
                <w:sz w:val="24"/>
                <w:highlight w:val="none"/>
              </w:rPr>
              <w:t>有机</w:t>
            </w:r>
            <w:r>
              <w:rPr>
                <w:rFonts w:hAnsi="宋体"/>
                <w:snapToGrid w:val="0"/>
                <w:color w:val="auto"/>
                <w:kern w:val="0"/>
                <w:sz w:val="24"/>
                <w:highlight w:val="none"/>
              </w:rPr>
              <w:t>废气</w:t>
            </w:r>
            <w:r>
              <w:rPr>
                <w:rFonts w:hint="eastAsia" w:hAnsi="宋体"/>
                <w:snapToGrid w:val="0"/>
                <w:color w:val="auto"/>
                <w:kern w:val="0"/>
                <w:sz w:val="24"/>
                <w:highlight w:val="none"/>
              </w:rPr>
              <w:t>，</w:t>
            </w:r>
            <w:r>
              <w:rPr>
                <w:color w:val="auto"/>
                <w:sz w:val="24"/>
                <w:highlight w:val="none"/>
              </w:rPr>
              <w:t>根据无锡养乐多乳品委托苏州科星环境检测有限公司进行的常规检测（20177A）号，该项目产生的VOCs采用</w:t>
            </w:r>
            <w:r>
              <w:rPr>
                <w:rFonts w:hint="eastAsia"/>
                <w:color w:val="auto"/>
                <w:sz w:val="24"/>
                <w:highlight w:val="none"/>
                <w:lang w:val="en-US" w:eastAsia="zh-Hans"/>
              </w:rPr>
              <w:t>二级</w:t>
            </w:r>
            <w:r>
              <w:rPr>
                <w:color w:val="auto"/>
                <w:sz w:val="24"/>
                <w:highlight w:val="none"/>
              </w:rPr>
              <w:t>活性炭装置处理后排放，处理前浓度287mg/m</w:t>
            </w:r>
            <w:r>
              <w:rPr>
                <w:color w:val="auto"/>
                <w:sz w:val="24"/>
                <w:highlight w:val="none"/>
                <w:vertAlign w:val="superscript"/>
              </w:rPr>
              <w:t>3</w:t>
            </w:r>
            <w:r>
              <w:rPr>
                <w:color w:val="auto"/>
                <w:sz w:val="24"/>
                <w:highlight w:val="none"/>
              </w:rPr>
              <w:t>，处理后浓度6.09mg/m</w:t>
            </w:r>
            <w:r>
              <w:rPr>
                <w:color w:val="auto"/>
                <w:sz w:val="24"/>
                <w:highlight w:val="none"/>
                <w:vertAlign w:val="superscript"/>
              </w:rPr>
              <w:t>3</w:t>
            </w:r>
            <w:r>
              <w:rPr>
                <w:color w:val="auto"/>
                <w:sz w:val="24"/>
                <w:highlight w:val="none"/>
              </w:rPr>
              <w:t>，去除效率97.9%，处理后废气可稳定达标排放。同时，根据2014年国家科技部和环保部发布的《大气污染防治先进技术汇编》，</w:t>
            </w:r>
            <w:r>
              <w:rPr>
                <w:rFonts w:hint="eastAsia"/>
                <w:color w:val="auto"/>
                <w:sz w:val="24"/>
                <w:highlight w:val="none"/>
                <w:lang w:val="en-US" w:eastAsia="zh-Hans"/>
              </w:rPr>
              <w:t>一</w:t>
            </w:r>
            <w:r>
              <w:rPr>
                <w:rFonts w:hint="default"/>
                <w:color w:val="auto"/>
                <w:sz w:val="24"/>
                <w:highlight w:val="none"/>
                <w:lang w:eastAsia="zh-Hans"/>
              </w:rPr>
              <w:t>级活性炭</w:t>
            </w:r>
            <w:r>
              <w:rPr>
                <w:color w:val="auto"/>
                <w:sz w:val="24"/>
                <w:highlight w:val="none"/>
              </w:rPr>
              <w:t>吸附处理低浓度有机废气，净化效率可达到75%以上，本项目</w:t>
            </w:r>
            <w:r>
              <w:rPr>
                <w:rFonts w:hint="eastAsia"/>
                <w:color w:val="auto"/>
                <w:sz w:val="24"/>
                <w:highlight w:val="none"/>
                <w:lang w:val="en-US" w:eastAsia="zh-Hans"/>
              </w:rPr>
              <w:t>采用一套三</w:t>
            </w:r>
            <w:r>
              <w:rPr>
                <w:color w:val="auto"/>
                <w:sz w:val="24"/>
                <w:highlight w:val="none"/>
              </w:rPr>
              <w:t>级活性炭去除效率</w:t>
            </w:r>
            <w:r>
              <w:rPr>
                <w:rFonts w:hint="eastAsia"/>
                <w:color w:val="auto"/>
                <w:sz w:val="24"/>
                <w:highlight w:val="none"/>
                <w:lang w:val="en-US" w:eastAsia="zh-Hans"/>
              </w:rPr>
              <w:t>保守估计</w:t>
            </w:r>
            <w:r>
              <w:rPr>
                <w:color w:val="auto"/>
                <w:sz w:val="24"/>
                <w:highlight w:val="none"/>
              </w:rPr>
              <w:t>按93%计。</w:t>
            </w:r>
          </w:p>
          <w:p w14:paraId="76AD19B3">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活性炭吸附是一种常用的吸附方法，吸附法主要利用高孔隙率、高比表面积的吸附剂，藉由物理性吸附（可逆反应）或化学性键结（不可逆反应）作用，将有机气体分子自废气中分离，以达成净化废气的目的。由于一般多采用物理性吸附，随操作时间之增加，吸附剂将逐渐趋于饱和现象，此时则须进行脱附再生或吸附剂更换工作。在有机废气处理过程中，活性炭常被用来吸附烷烃、烯烃、芳香烃、酮、醛、氯代烃、酯以及挥发性有机化合物（</w:t>
            </w:r>
            <w:r>
              <w:rPr>
                <w:snapToGrid w:val="0"/>
                <w:color w:val="auto"/>
                <w:kern w:val="0"/>
                <w:sz w:val="24"/>
                <w:highlight w:val="none"/>
              </w:rPr>
              <w:t>VOCs</w:t>
            </w:r>
            <w:r>
              <w:rPr>
                <w:rFonts w:hAnsi="宋体"/>
                <w:snapToGrid w:val="0"/>
                <w:color w:val="auto"/>
                <w:kern w:val="0"/>
                <w:sz w:val="24"/>
                <w:highlight w:val="none"/>
              </w:rPr>
              <w:t>）。</w:t>
            </w:r>
          </w:p>
          <w:p w14:paraId="5E375ABA">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活性炭是由各种含碳物质（如木材、泥煤、果核、椰壳等原料）在高温下炭化后，再用水蒸气或化学药品（如氯化锌、氯化锰、氯化钙和磷酸等）进行活化处理，然后制成的孔隙十分丰富的吸附剂，比表面积一般在</w:t>
            </w:r>
            <w:r>
              <w:rPr>
                <w:snapToGrid w:val="0"/>
                <w:color w:val="auto"/>
                <w:kern w:val="0"/>
                <w:sz w:val="24"/>
                <w:highlight w:val="none"/>
              </w:rPr>
              <w:t>700</w:t>
            </w:r>
            <w:r>
              <w:rPr>
                <w:rFonts w:hAnsi="宋体"/>
                <w:snapToGrid w:val="0"/>
                <w:color w:val="auto"/>
                <w:kern w:val="0"/>
                <w:sz w:val="24"/>
                <w:highlight w:val="none"/>
              </w:rPr>
              <w:t>～</w:t>
            </w:r>
            <w:r>
              <w:rPr>
                <w:snapToGrid w:val="0"/>
                <w:color w:val="auto"/>
                <w:kern w:val="0"/>
                <w:sz w:val="24"/>
                <w:highlight w:val="none"/>
              </w:rPr>
              <w:t>1500m</w:t>
            </w:r>
            <w:r>
              <w:rPr>
                <w:snapToGrid w:val="0"/>
                <w:color w:val="auto"/>
                <w:kern w:val="0"/>
                <w:sz w:val="24"/>
                <w:highlight w:val="none"/>
                <w:vertAlign w:val="superscript"/>
              </w:rPr>
              <w:t>2</w:t>
            </w:r>
            <w:r>
              <w:rPr>
                <w:snapToGrid w:val="0"/>
                <w:color w:val="auto"/>
                <w:kern w:val="0"/>
                <w:sz w:val="24"/>
                <w:highlight w:val="none"/>
              </w:rPr>
              <w:t>/g</w:t>
            </w:r>
            <w:r>
              <w:rPr>
                <w:rFonts w:hAnsi="宋体"/>
                <w:snapToGrid w:val="0"/>
                <w:color w:val="auto"/>
                <w:kern w:val="0"/>
                <w:sz w:val="24"/>
                <w:highlight w:val="none"/>
              </w:rPr>
              <w:t>范围内，具有优良的吸附能力。其孔径分布一般为：活性炭</w:t>
            </w:r>
            <w:r>
              <w:rPr>
                <w:snapToGrid w:val="0"/>
                <w:color w:val="auto"/>
                <w:kern w:val="0"/>
                <w:sz w:val="24"/>
                <w:highlight w:val="none"/>
              </w:rPr>
              <w:t>5nm</w:t>
            </w:r>
            <w:r>
              <w:rPr>
                <w:rFonts w:hAnsi="宋体"/>
                <w:snapToGrid w:val="0"/>
                <w:color w:val="auto"/>
                <w:kern w:val="0"/>
                <w:sz w:val="24"/>
                <w:highlight w:val="none"/>
              </w:rPr>
              <w:t>以下，活性焦炭</w:t>
            </w:r>
            <w:r>
              <w:rPr>
                <w:snapToGrid w:val="0"/>
                <w:color w:val="auto"/>
                <w:kern w:val="0"/>
                <w:sz w:val="24"/>
                <w:highlight w:val="none"/>
              </w:rPr>
              <w:t>2nm</w:t>
            </w:r>
            <w:r>
              <w:rPr>
                <w:rFonts w:hAnsi="宋体"/>
                <w:snapToGrid w:val="0"/>
                <w:color w:val="auto"/>
                <w:kern w:val="0"/>
                <w:sz w:val="24"/>
                <w:highlight w:val="none"/>
              </w:rPr>
              <w:t>以下，炭分子筛</w:t>
            </w:r>
            <w:r>
              <w:rPr>
                <w:snapToGrid w:val="0"/>
                <w:color w:val="auto"/>
                <w:kern w:val="0"/>
                <w:sz w:val="24"/>
                <w:highlight w:val="none"/>
              </w:rPr>
              <w:t>1nm</w:t>
            </w:r>
            <w:r>
              <w:rPr>
                <w:rFonts w:hAnsi="宋体"/>
                <w:snapToGrid w:val="0"/>
                <w:color w:val="auto"/>
                <w:kern w:val="0"/>
                <w:sz w:val="24"/>
                <w:highlight w:val="none"/>
              </w:rPr>
              <w:t>以下。炭分子筛式新近发展的一种孔径均一的分子筛型新品种，具有良好的选择吸附能力。活性炭是一种具有非极性表面、疏水性、亲有机物的吸附剂。所以活性炭常常被用来吸附回收空气中的有机溶剂和恶臭物质，它可以根据需要制成不同性状和粒度，如粉末活性炭、颗粒活性炭及柱状活性炭。经过处理后有机废气排放可达相应排放标准限值，与《挥发性有机物（</w:t>
            </w:r>
            <w:r>
              <w:rPr>
                <w:snapToGrid w:val="0"/>
                <w:color w:val="auto"/>
                <w:kern w:val="0"/>
                <w:sz w:val="24"/>
                <w:highlight w:val="none"/>
              </w:rPr>
              <w:t>VOCs</w:t>
            </w:r>
            <w:r>
              <w:rPr>
                <w:rFonts w:hAnsi="宋体"/>
                <w:snapToGrid w:val="0"/>
                <w:color w:val="auto"/>
                <w:kern w:val="0"/>
                <w:sz w:val="24"/>
                <w:highlight w:val="none"/>
              </w:rPr>
              <w:t>）污染防治技术政策》（公告</w:t>
            </w:r>
            <w:r>
              <w:rPr>
                <w:snapToGrid w:val="0"/>
                <w:color w:val="auto"/>
                <w:kern w:val="0"/>
                <w:sz w:val="24"/>
                <w:highlight w:val="none"/>
              </w:rPr>
              <w:t>2013</w:t>
            </w:r>
            <w:r>
              <w:rPr>
                <w:rFonts w:hAnsi="宋体"/>
                <w:snapToGrid w:val="0"/>
                <w:color w:val="auto"/>
                <w:kern w:val="0"/>
                <w:sz w:val="24"/>
                <w:highlight w:val="none"/>
              </w:rPr>
              <w:t>年第</w:t>
            </w:r>
            <w:r>
              <w:rPr>
                <w:snapToGrid w:val="0"/>
                <w:color w:val="auto"/>
                <w:kern w:val="0"/>
                <w:sz w:val="24"/>
                <w:highlight w:val="none"/>
              </w:rPr>
              <w:t>31</w:t>
            </w:r>
            <w:r>
              <w:rPr>
                <w:rFonts w:hAnsi="宋体"/>
                <w:snapToGrid w:val="0"/>
                <w:color w:val="auto"/>
                <w:kern w:val="0"/>
                <w:sz w:val="24"/>
                <w:highlight w:val="none"/>
              </w:rPr>
              <w:t>号</w:t>
            </w:r>
            <w:r>
              <w:rPr>
                <w:snapToGrid w:val="0"/>
                <w:color w:val="auto"/>
                <w:kern w:val="0"/>
                <w:sz w:val="24"/>
                <w:highlight w:val="none"/>
              </w:rPr>
              <w:t>2013</w:t>
            </w:r>
            <w:r>
              <w:rPr>
                <w:rFonts w:hAnsi="宋体"/>
                <w:snapToGrid w:val="0"/>
                <w:color w:val="auto"/>
                <w:kern w:val="0"/>
                <w:sz w:val="24"/>
                <w:highlight w:val="none"/>
              </w:rPr>
              <w:t>年</w:t>
            </w:r>
            <w:r>
              <w:rPr>
                <w:snapToGrid w:val="0"/>
                <w:color w:val="auto"/>
                <w:kern w:val="0"/>
                <w:sz w:val="24"/>
                <w:highlight w:val="none"/>
              </w:rPr>
              <w:t>5</w:t>
            </w:r>
            <w:r>
              <w:rPr>
                <w:rFonts w:hAnsi="宋体"/>
                <w:snapToGrid w:val="0"/>
                <w:color w:val="auto"/>
                <w:kern w:val="0"/>
                <w:sz w:val="24"/>
                <w:highlight w:val="none"/>
              </w:rPr>
              <w:t>月</w:t>
            </w:r>
            <w:r>
              <w:rPr>
                <w:snapToGrid w:val="0"/>
                <w:color w:val="auto"/>
                <w:kern w:val="0"/>
                <w:sz w:val="24"/>
                <w:highlight w:val="none"/>
              </w:rPr>
              <w:t>24</w:t>
            </w:r>
            <w:r>
              <w:rPr>
                <w:rFonts w:hAnsi="宋体"/>
                <w:snapToGrid w:val="0"/>
                <w:color w:val="auto"/>
                <w:kern w:val="0"/>
                <w:sz w:val="24"/>
                <w:highlight w:val="none"/>
              </w:rPr>
              <w:t>日实施）相符。本项目采用的废气处理装置方法成熟，国内外许多化工企业多应用该法，处理效果好，其优点是设备较简单、处理效率高、运行成本相对较低。</w:t>
            </w:r>
          </w:p>
          <w:p w14:paraId="39BC1B23">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w:t>
            </w:r>
            <w:r>
              <w:rPr>
                <w:color w:val="auto"/>
                <w:sz w:val="24"/>
                <w:highlight w:val="none"/>
              </w:rPr>
              <w:t>配套的活性炭吸附装置</w:t>
            </w:r>
            <w:r>
              <w:rPr>
                <w:rFonts w:hAnsi="宋体"/>
                <w:snapToGrid w:val="0"/>
                <w:color w:val="auto"/>
                <w:kern w:val="0"/>
                <w:sz w:val="24"/>
                <w:highlight w:val="none"/>
              </w:rPr>
              <w:t>具体参数见表</w:t>
            </w:r>
            <w:r>
              <w:rPr>
                <w:snapToGrid w:val="0"/>
                <w:color w:val="auto"/>
                <w:kern w:val="0"/>
                <w:sz w:val="24"/>
                <w:highlight w:val="none"/>
              </w:rPr>
              <w:t>4-</w:t>
            </w:r>
            <w:r>
              <w:rPr>
                <w:rFonts w:hint="default"/>
                <w:snapToGrid w:val="0"/>
                <w:color w:val="auto"/>
                <w:kern w:val="0"/>
                <w:sz w:val="24"/>
                <w:highlight w:val="none"/>
              </w:rPr>
              <w:t>8</w:t>
            </w:r>
            <w:r>
              <w:rPr>
                <w:rFonts w:hAnsi="宋体"/>
                <w:snapToGrid w:val="0"/>
                <w:color w:val="auto"/>
                <w:kern w:val="0"/>
                <w:sz w:val="24"/>
                <w:highlight w:val="none"/>
              </w:rPr>
              <w:t>。</w:t>
            </w:r>
          </w:p>
          <w:p w14:paraId="5DC02B98">
            <w:pPr>
              <w:adjustRightInd w:val="0"/>
              <w:snapToGrid w:val="0"/>
              <w:jc w:val="center"/>
              <w:rPr>
                <w:rFonts w:hAnsi="宋体"/>
                <w:b/>
                <w:snapToGrid w:val="0"/>
                <w:color w:val="auto"/>
                <w:kern w:val="0"/>
                <w:sz w:val="24"/>
                <w:highlight w:val="none"/>
              </w:rPr>
            </w:pPr>
          </w:p>
          <w:p w14:paraId="52270B08">
            <w:pPr>
              <w:adjustRightInd w:val="0"/>
              <w:snapToGrid w:val="0"/>
              <w:jc w:val="center"/>
              <w:rPr>
                <w:rFonts w:hAnsi="宋体"/>
                <w:b/>
                <w:snapToGrid w:val="0"/>
                <w:color w:val="auto"/>
                <w:kern w:val="0"/>
                <w:sz w:val="24"/>
                <w:highlight w:val="none"/>
              </w:rPr>
            </w:pPr>
          </w:p>
          <w:p w14:paraId="411CB09D">
            <w:pPr>
              <w:adjustRightInd w:val="0"/>
              <w:snapToGrid w:val="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4-</w:t>
            </w:r>
            <w:r>
              <w:rPr>
                <w:rFonts w:hint="default"/>
                <w:b/>
                <w:snapToGrid w:val="0"/>
                <w:color w:val="auto"/>
                <w:kern w:val="0"/>
                <w:sz w:val="24"/>
                <w:highlight w:val="none"/>
              </w:rPr>
              <w:t>8</w:t>
            </w:r>
            <w:r>
              <w:rPr>
                <w:b/>
                <w:snapToGrid w:val="0"/>
                <w:color w:val="auto"/>
                <w:kern w:val="0"/>
                <w:sz w:val="24"/>
                <w:highlight w:val="none"/>
              </w:rPr>
              <w:t xml:space="preserve">  </w:t>
            </w:r>
            <w:r>
              <w:rPr>
                <w:b/>
                <w:bCs/>
                <w:color w:val="auto"/>
                <w:sz w:val="24"/>
                <w:highlight w:val="none"/>
              </w:rPr>
              <w:t>活性炭吸附装置技术参数一览表</w:t>
            </w:r>
          </w:p>
          <w:tbl>
            <w:tblPr>
              <w:tblStyle w:val="2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89"/>
              <w:gridCol w:w="4226"/>
              <w:gridCol w:w="4242"/>
            </w:tblGrid>
            <w:tr w14:paraId="04D57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76CAE5AD">
                  <w:pPr>
                    <w:widowControl/>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序号</w:t>
                  </w:r>
                </w:p>
              </w:tc>
              <w:tc>
                <w:tcPr>
                  <w:tcW w:w="2060" w:type="pct"/>
                  <w:vAlign w:val="center"/>
                </w:tcPr>
                <w:p w14:paraId="3CB2D755">
                  <w:pPr>
                    <w:widowControl/>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参数</w:t>
                  </w:r>
                </w:p>
              </w:tc>
              <w:tc>
                <w:tcPr>
                  <w:tcW w:w="2068" w:type="pct"/>
                  <w:vAlign w:val="center"/>
                </w:tcPr>
                <w:p w14:paraId="15C0F7F4">
                  <w:pPr>
                    <w:widowControl/>
                    <w:adjustRightInd w:val="0"/>
                    <w:snapToGrid w:val="0"/>
                    <w:jc w:val="center"/>
                    <w:rPr>
                      <w:b/>
                      <w:bCs/>
                      <w:snapToGrid w:val="0"/>
                      <w:color w:val="auto"/>
                      <w:kern w:val="0"/>
                      <w:szCs w:val="21"/>
                      <w:highlight w:val="none"/>
                    </w:rPr>
                  </w:pPr>
                  <w:r>
                    <w:rPr>
                      <w:rFonts w:hAnsi="宋体"/>
                      <w:b/>
                      <w:bCs/>
                      <w:snapToGrid w:val="0"/>
                      <w:color w:val="auto"/>
                      <w:kern w:val="0"/>
                      <w:szCs w:val="21"/>
                      <w:highlight w:val="none"/>
                    </w:rPr>
                    <w:t>数值</w:t>
                  </w:r>
                </w:p>
              </w:tc>
            </w:tr>
            <w:tr w14:paraId="26944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17BB8A8B">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1</w:t>
                  </w:r>
                </w:p>
              </w:tc>
              <w:tc>
                <w:tcPr>
                  <w:tcW w:w="2060" w:type="pct"/>
                  <w:vAlign w:val="center"/>
                </w:tcPr>
                <w:p w14:paraId="6E62981C">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配套风机风量</w:t>
                  </w:r>
                </w:p>
              </w:tc>
              <w:tc>
                <w:tcPr>
                  <w:tcW w:w="2068" w:type="pct"/>
                  <w:vAlign w:val="center"/>
                </w:tcPr>
                <w:p w14:paraId="5ECAFE1A">
                  <w:pPr>
                    <w:widowControl/>
                    <w:adjustRightInd w:val="0"/>
                    <w:snapToGrid w:val="0"/>
                    <w:jc w:val="center"/>
                    <w:rPr>
                      <w:snapToGrid w:val="0"/>
                      <w:color w:val="auto"/>
                      <w:kern w:val="0"/>
                      <w:szCs w:val="21"/>
                      <w:highlight w:val="none"/>
                    </w:rPr>
                  </w:pPr>
                  <w:r>
                    <w:rPr>
                      <w:color w:val="auto"/>
                      <w:szCs w:val="21"/>
                      <w:highlight w:val="none"/>
                    </w:rPr>
                    <w:t>10000m</w:t>
                  </w:r>
                  <w:r>
                    <w:rPr>
                      <w:color w:val="auto"/>
                      <w:szCs w:val="21"/>
                      <w:highlight w:val="none"/>
                      <w:vertAlign w:val="superscript"/>
                    </w:rPr>
                    <w:t>3</w:t>
                  </w:r>
                  <w:r>
                    <w:rPr>
                      <w:color w:val="auto"/>
                      <w:szCs w:val="21"/>
                      <w:highlight w:val="none"/>
                    </w:rPr>
                    <w:t>/h</w:t>
                  </w:r>
                </w:p>
              </w:tc>
            </w:tr>
            <w:tr w14:paraId="65131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5605B9D0">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2</w:t>
                  </w:r>
                </w:p>
              </w:tc>
              <w:tc>
                <w:tcPr>
                  <w:tcW w:w="2060" w:type="pct"/>
                  <w:vAlign w:val="center"/>
                </w:tcPr>
                <w:p w14:paraId="43C67E72">
                  <w:pPr>
                    <w:widowControl/>
                    <w:adjustRightInd w:val="0"/>
                    <w:snapToGrid w:val="0"/>
                    <w:jc w:val="center"/>
                    <w:rPr>
                      <w:rFonts w:ascii="宋体" w:hAnsi="宋体"/>
                      <w:snapToGrid w:val="0"/>
                      <w:color w:val="auto"/>
                      <w:kern w:val="0"/>
                      <w:szCs w:val="21"/>
                      <w:highlight w:val="none"/>
                    </w:rPr>
                  </w:pPr>
                  <w:r>
                    <w:rPr>
                      <w:rFonts w:ascii="宋体" w:hAnsi="宋体"/>
                      <w:bCs/>
                      <w:color w:val="auto"/>
                      <w:szCs w:val="21"/>
                      <w:highlight w:val="none"/>
                    </w:rPr>
                    <w:t>蜂窝活性炭规格</w:t>
                  </w:r>
                </w:p>
              </w:tc>
              <w:tc>
                <w:tcPr>
                  <w:tcW w:w="2068" w:type="pct"/>
                  <w:vAlign w:val="center"/>
                </w:tcPr>
                <w:p w14:paraId="7E9D1DB9">
                  <w:pPr>
                    <w:widowControl/>
                    <w:adjustRightInd w:val="0"/>
                    <w:snapToGrid w:val="0"/>
                    <w:jc w:val="center"/>
                    <w:rPr>
                      <w:snapToGrid w:val="0"/>
                      <w:color w:val="auto"/>
                      <w:kern w:val="0"/>
                      <w:szCs w:val="21"/>
                      <w:highlight w:val="none"/>
                    </w:rPr>
                  </w:pPr>
                  <w:r>
                    <w:rPr>
                      <w:color w:val="auto"/>
                      <w:szCs w:val="21"/>
                      <w:highlight w:val="none"/>
                    </w:rPr>
                    <w:t>100</w:t>
                  </w:r>
                  <w:r>
                    <w:rPr>
                      <w:bCs/>
                      <w:color w:val="auto"/>
                      <w:szCs w:val="21"/>
                      <w:highlight w:val="none"/>
                    </w:rPr>
                    <w:t xml:space="preserve"> mm</w:t>
                  </w:r>
                  <w:r>
                    <w:rPr>
                      <w:color w:val="auto"/>
                      <w:szCs w:val="21"/>
                      <w:highlight w:val="none"/>
                    </w:rPr>
                    <w:t>×100</w:t>
                  </w:r>
                  <w:r>
                    <w:rPr>
                      <w:bCs/>
                      <w:color w:val="auto"/>
                      <w:szCs w:val="21"/>
                      <w:highlight w:val="none"/>
                    </w:rPr>
                    <w:t xml:space="preserve"> mm</w:t>
                  </w:r>
                  <w:r>
                    <w:rPr>
                      <w:color w:val="auto"/>
                      <w:szCs w:val="21"/>
                      <w:highlight w:val="none"/>
                    </w:rPr>
                    <w:t>×100</w:t>
                  </w:r>
                  <w:r>
                    <w:rPr>
                      <w:bCs/>
                      <w:color w:val="auto"/>
                      <w:szCs w:val="21"/>
                      <w:highlight w:val="none"/>
                    </w:rPr>
                    <w:t xml:space="preserve"> mm</w:t>
                  </w:r>
                </w:p>
              </w:tc>
            </w:tr>
            <w:tr w14:paraId="3682C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43F92CF1">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3</w:t>
                  </w:r>
                </w:p>
              </w:tc>
              <w:tc>
                <w:tcPr>
                  <w:tcW w:w="2060" w:type="pct"/>
                  <w:vAlign w:val="center"/>
                </w:tcPr>
                <w:p w14:paraId="638A5B95">
                  <w:pPr>
                    <w:widowControl/>
                    <w:adjustRightInd w:val="0"/>
                    <w:snapToGrid w:val="0"/>
                    <w:jc w:val="center"/>
                    <w:rPr>
                      <w:rFonts w:ascii="宋体" w:hAnsi="宋体"/>
                      <w:snapToGrid w:val="0"/>
                      <w:color w:val="auto"/>
                      <w:kern w:val="0"/>
                      <w:szCs w:val="21"/>
                      <w:highlight w:val="none"/>
                    </w:rPr>
                  </w:pPr>
                  <w:r>
                    <w:rPr>
                      <w:rFonts w:ascii="宋体" w:hAnsi="宋体"/>
                      <w:bCs/>
                      <w:color w:val="auto"/>
                      <w:szCs w:val="21"/>
                      <w:highlight w:val="none"/>
                    </w:rPr>
                    <w:t>比表面积</w:t>
                  </w:r>
                </w:p>
              </w:tc>
              <w:tc>
                <w:tcPr>
                  <w:tcW w:w="2068" w:type="pct"/>
                  <w:vAlign w:val="center"/>
                </w:tcPr>
                <w:p w14:paraId="1006B7EA">
                  <w:pPr>
                    <w:widowControl/>
                    <w:adjustRightInd w:val="0"/>
                    <w:snapToGrid w:val="0"/>
                    <w:jc w:val="center"/>
                    <w:rPr>
                      <w:snapToGrid w:val="0"/>
                      <w:color w:val="auto"/>
                      <w:kern w:val="0"/>
                      <w:szCs w:val="21"/>
                      <w:highlight w:val="none"/>
                    </w:rPr>
                  </w:pPr>
                  <w:r>
                    <w:rPr>
                      <w:color w:val="auto"/>
                      <w:szCs w:val="21"/>
                      <w:highlight w:val="none"/>
                    </w:rPr>
                    <w:t>900~1600</w:t>
                  </w:r>
                  <w:r>
                    <w:rPr>
                      <w:bCs/>
                      <w:color w:val="auto"/>
                      <w:szCs w:val="21"/>
                      <w:highlight w:val="none"/>
                    </w:rPr>
                    <w:t>（m</w:t>
                  </w:r>
                  <w:r>
                    <w:rPr>
                      <w:bCs/>
                      <w:color w:val="auto"/>
                      <w:szCs w:val="21"/>
                      <w:highlight w:val="none"/>
                      <w:vertAlign w:val="superscript"/>
                    </w:rPr>
                    <w:t>2</w:t>
                  </w:r>
                  <w:r>
                    <w:rPr>
                      <w:bCs/>
                      <w:color w:val="auto"/>
                      <w:szCs w:val="21"/>
                      <w:highlight w:val="none"/>
                    </w:rPr>
                    <w:t>/g）</w:t>
                  </w:r>
                </w:p>
              </w:tc>
            </w:tr>
            <w:tr w14:paraId="50BCC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01B48D2E">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4</w:t>
                  </w:r>
                </w:p>
              </w:tc>
              <w:tc>
                <w:tcPr>
                  <w:tcW w:w="2060" w:type="pct"/>
                  <w:vAlign w:val="center"/>
                </w:tcPr>
                <w:p w14:paraId="79EC0958">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吸附阻力</w:t>
                  </w:r>
                </w:p>
              </w:tc>
              <w:tc>
                <w:tcPr>
                  <w:tcW w:w="2068" w:type="pct"/>
                  <w:vAlign w:val="center"/>
                </w:tcPr>
                <w:p w14:paraId="0C0AEDC2">
                  <w:pPr>
                    <w:widowControl/>
                    <w:adjustRightInd w:val="0"/>
                    <w:snapToGrid w:val="0"/>
                    <w:jc w:val="center"/>
                    <w:rPr>
                      <w:snapToGrid w:val="0"/>
                      <w:color w:val="auto"/>
                      <w:kern w:val="0"/>
                      <w:szCs w:val="21"/>
                      <w:highlight w:val="none"/>
                    </w:rPr>
                  </w:pPr>
                  <w:r>
                    <w:rPr>
                      <w:color w:val="auto"/>
                      <w:szCs w:val="21"/>
                      <w:highlight w:val="none"/>
                    </w:rPr>
                    <w:t>&lt;1000Pa</w:t>
                  </w:r>
                </w:p>
              </w:tc>
            </w:tr>
            <w:tr w14:paraId="6BEFE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0BC3E861">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5</w:t>
                  </w:r>
                </w:p>
              </w:tc>
              <w:tc>
                <w:tcPr>
                  <w:tcW w:w="2060" w:type="pct"/>
                  <w:vAlign w:val="center"/>
                </w:tcPr>
                <w:p w14:paraId="2E13B95E">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碘值</w:t>
                  </w:r>
                </w:p>
              </w:tc>
              <w:tc>
                <w:tcPr>
                  <w:tcW w:w="2068" w:type="pct"/>
                  <w:vAlign w:val="center"/>
                </w:tcPr>
                <w:p w14:paraId="2D96262C">
                  <w:pPr>
                    <w:widowControl/>
                    <w:adjustRightInd w:val="0"/>
                    <w:snapToGrid w:val="0"/>
                    <w:jc w:val="center"/>
                    <w:rPr>
                      <w:snapToGrid w:val="0"/>
                      <w:color w:val="auto"/>
                      <w:kern w:val="0"/>
                      <w:szCs w:val="21"/>
                      <w:highlight w:val="none"/>
                    </w:rPr>
                  </w:pPr>
                  <w:r>
                    <w:rPr>
                      <w:color w:val="auto"/>
                      <w:szCs w:val="21"/>
                      <w:highlight w:val="none"/>
                    </w:rPr>
                    <w:t>≥800 mg/g</w:t>
                  </w:r>
                </w:p>
              </w:tc>
            </w:tr>
            <w:tr w14:paraId="5B79D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647EA2DB">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6</w:t>
                  </w:r>
                </w:p>
              </w:tc>
              <w:tc>
                <w:tcPr>
                  <w:tcW w:w="2060" w:type="pct"/>
                  <w:vAlign w:val="center"/>
                </w:tcPr>
                <w:p w14:paraId="1778D1A6">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结构形式</w:t>
                  </w:r>
                </w:p>
              </w:tc>
              <w:tc>
                <w:tcPr>
                  <w:tcW w:w="2068" w:type="pct"/>
                  <w:vAlign w:val="center"/>
                </w:tcPr>
                <w:p w14:paraId="7CD5E2DD">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抽屉式</w:t>
                  </w:r>
                </w:p>
              </w:tc>
            </w:tr>
            <w:tr w14:paraId="5F1AA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1C9CB170">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7</w:t>
                  </w:r>
                </w:p>
              </w:tc>
              <w:tc>
                <w:tcPr>
                  <w:tcW w:w="2060" w:type="pct"/>
                  <w:vAlign w:val="center"/>
                </w:tcPr>
                <w:p w14:paraId="70A77489">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填充量</w:t>
                  </w:r>
                </w:p>
              </w:tc>
              <w:tc>
                <w:tcPr>
                  <w:tcW w:w="2068" w:type="pct"/>
                  <w:vAlign w:val="center"/>
                </w:tcPr>
                <w:p w14:paraId="18F9E3E2">
                  <w:pPr>
                    <w:widowControl/>
                    <w:adjustRightInd w:val="0"/>
                    <w:snapToGrid w:val="0"/>
                    <w:jc w:val="center"/>
                    <w:rPr>
                      <w:snapToGrid w:val="0"/>
                      <w:color w:val="auto"/>
                      <w:kern w:val="0"/>
                      <w:szCs w:val="21"/>
                      <w:highlight w:val="none"/>
                    </w:rPr>
                  </w:pPr>
                  <w:r>
                    <w:rPr>
                      <w:color w:val="auto"/>
                      <w:szCs w:val="21"/>
                      <w:highlight w:val="none"/>
                    </w:rPr>
                    <w:t>1.62t</w:t>
                  </w:r>
                  <w:r>
                    <w:rPr>
                      <w:rFonts w:hint="eastAsia"/>
                      <w:color w:val="auto"/>
                      <w:szCs w:val="21"/>
                      <w:highlight w:val="none"/>
                      <w:lang w:eastAsia="zh-Hans"/>
                    </w:rPr>
                    <w:t>、</w:t>
                  </w:r>
                  <w:r>
                    <w:rPr>
                      <w:rFonts w:hint="default"/>
                      <w:color w:val="auto"/>
                      <w:szCs w:val="21"/>
                      <w:highlight w:val="none"/>
                      <w:lang w:eastAsia="zh-Hans"/>
                    </w:rPr>
                    <w:t>1.62</w:t>
                  </w:r>
                  <w:r>
                    <w:rPr>
                      <w:rFonts w:hint="eastAsia"/>
                      <w:color w:val="auto"/>
                      <w:szCs w:val="21"/>
                      <w:highlight w:val="none"/>
                      <w:lang w:val="en-US" w:eastAsia="zh-Hans"/>
                    </w:rPr>
                    <w:t>t、</w:t>
                  </w:r>
                  <w:r>
                    <w:rPr>
                      <w:rFonts w:hint="default"/>
                      <w:color w:val="auto"/>
                      <w:szCs w:val="21"/>
                      <w:highlight w:val="none"/>
                      <w:lang w:eastAsia="zh-Hans"/>
                    </w:rPr>
                    <w:t>1.62</w:t>
                  </w:r>
                  <w:r>
                    <w:rPr>
                      <w:rFonts w:hint="eastAsia"/>
                      <w:color w:val="auto"/>
                      <w:szCs w:val="21"/>
                      <w:highlight w:val="none"/>
                      <w:lang w:val="en-US" w:eastAsia="zh-Hans"/>
                    </w:rPr>
                    <w:t>t</w:t>
                  </w:r>
                </w:p>
              </w:tc>
            </w:tr>
            <w:tr w14:paraId="59C31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26EBCD1B">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8</w:t>
                  </w:r>
                </w:p>
              </w:tc>
              <w:tc>
                <w:tcPr>
                  <w:tcW w:w="2060" w:type="pct"/>
                  <w:vAlign w:val="center"/>
                </w:tcPr>
                <w:p w14:paraId="7A945644">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水分</w:t>
                  </w:r>
                  <w:r>
                    <w:rPr>
                      <w:color w:val="auto"/>
                      <w:szCs w:val="21"/>
                      <w:highlight w:val="none"/>
                    </w:rPr>
                    <w:t>≤</w:t>
                  </w:r>
                </w:p>
              </w:tc>
              <w:tc>
                <w:tcPr>
                  <w:tcW w:w="2068" w:type="pct"/>
                  <w:vAlign w:val="center"/>
                </w:tcPr>
                <w:p w14:paraId="411D7FD6">
                  <w:pPr>
                    <w:widowControl/>
                    <w:adjustRightInd w:val="0"/>
                    <w:snapToGrid w:val="0"/>
                    <w:jc w:val="center"/>
                    <w:rPr>
                      <w:snapToGrid w:val="0"/>
                      <w:color w:val="auto"/>
                      <w:kern w:val="0"/>
                      <w:szCs w:val="21"/>
                      <w:highlight w:val="none"/>
                    </w:rPr>
                  </w:pPr>
                  <w:r>
                    <w:rPr>
                      <w:color w:val="auto"/>
                      <w:szCs w:val="21"/>
                      <w:highlight w:val="none"/>
                    </w:rPr>
                    <w:t>≤5%</w:t>
                  </w:r>
                </w:p>
              </w:tc>
            </w:tr>
            <w:tr w14:paraId="15EBE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7433DBC2">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9</w:t>
                  </w:r>
                </w:p>
              </w:tc>
              <w:tc>
                <w:tcPr>
                  <w:tcW w:w="2060" w:type="pct"/>
                  <w:vAlign w:val="center"/>
                </w:tcPr>
                <w:p w14:paraId="15B037DE">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吸附效率</w:t>
                  </w:r>
                </w:p>
              </w:tc>
              <w:tc>
                <w:tcPr>
                  <w:tcW w:w="2068" w:type="pct"/>
                  <w:vAlign w:val="center"/>
                </w:tcPr>
                <w:p w14:paraId="0851702B">
                  <w:pPr>
                    <w:widowControl/>
                    <w:adjustRightInd w:val="0"/>
                    <w:snapToGrid w:val="0"/>
                    <w:jc w:val="center"/>
                    <w:rPr>
                      <w:snapToGrid w:val="0"/>
                      <w:color w:val="auto"/>
                      <w:kern w:val="0"/>
                      <w:szCs w:val="21"/>
                      <w:highlight w:val="none"/>
                    </w:rPr>
                  </w:pPr>
                  <w:r>
                    <w:rPr>
                      <w:rFonts w:hint="eastAsia"/>
                      <w:color w:val="auto"/>
                      <w:szCs w:val="21"/>
                      <w:highlight w:val="none"/>
                    </w:rPr>
                    <w:t>9</w:t>
                  </w:r>
                  <w:r>
                    <w:rPr>
                      <w:color w:val="auto"/>
                      <w:szCs w:val="21"/>
                      <w:highlight w:val="none"/>
                    </w:rPr>
                    <w:t>0%</w:t>
                  </w:r>
                </w:p>
              </w:tc>
            </w:tr>
            <w:tr w14:paraId="5A588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654EBE85">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10</w:t>
                  </w:r>
                </w:p>
              </w:tc>
              <w:tc>
                <w:tcPr>
                  <w:tcW w:w="2060" w:type="pct"/>
                  <w:vAlign w:val="center"/>
                </w:tcPr>
                <w:p w14:paraId="34DC4460">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更换周期</w:t>
                  </w:r>
                </w:p>
              </w:tc>
              <w:tc>
                <w:tcPr>
                  <w:tcW w:w="2068" w:type="pct"/>
                  <w:vAlign w:val="center"/>
                </w:tcPr>
                <w:p w14:paraId="1417BA11">
                  <w:pPr>
                    <w:widowControl/>
                    <w:adjustRightInd w:val="0"/>
                    <w:snapToGrid w:val="0"/>
                    <w:jc w:val="center"/>
                    <w:rPr>
                      <w:rFonts w:ascii="宋体" w:hAnsi="宋体"/>
                      <w:snapToGrid w:val="0"/>
                      <w:color w:val="auto"/>
                      <w:kern w:val="0"/>
                      <w:szCs w:val="21"/>
                      <w:highlight w:val="none"/>
                    </w:rPr>
                  </w:pPr>
                  <w:r>
                    <w:rPr>
                      <w:rFonts w:hint="default" w:ascii="Times New Roman Regular" w:hAnsi="Times New Roman Regular" w:cs="Times New Roman Regular"/>
                      <w:snapToGrid w:val="0"/>
                      <w:color w:val="auto"/>
                      <w:kern w:val="0"/>
                      <w:szCs w:val="21"/>
                      <w:highlight w:val="none"/>
                    </w:rPr>
                    <w:t>29</w:t>
                  </w:r>
                  <w:r>
                    <w:rPr>
                      <w:rFonts w:hint="default" w:ascii="Times New Roman Regular" w:hAnsi="Times New Roman Regular" w:cs="Times New Roman Regular"/>
                      <w:snapToGrid w:val="0"/>
                      <w:color w:val="auto"/>
                      <w:kern w:val="0"/>
                      <w:szCs w:val="21"/>
                      <w:highlight w:val="none"/>
                      <w:lang w:val="en-US" w:eastAsia="zh-Hans"/>
                    </w:rPr>
                    <w:t>天更换一次</w:t>
                  </w:r>
                </w:p>
              </w:tc>
            </w:tr>
            <w:tr w14:paraId="49563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6D57DB12">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11</w:t>
                  </w:r>
                </w:p>
              </w:tc>
              <w:tc>
                <w:tcPr>
                  <w:tcW w:w="2060" w:type="pct"/>
                  <w:vAlign w:val="center"/>
                </w:tcPr>
                <w:p w14:paraId="5BDC4D43">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着火点</w:t>
                  </w:r>
                </w:p>
              </w:tc>
              <w:tc>
                <w:tcPr>
                  <w:tcW w:w="2068" w:type="pct"/>
                  <w:vAlign w:val="center"/>
                </w:tcPr>
                <w:p w14:paraId="552F6393">
                  <w:pPr>
                    <w:widowControl/>
                    <w:adjustRightInd w:val="0"/>
                    <w:snapToGrid w:val="0"/>
                    <w:jc w:val="center"/>
                    <w:rPr>
                      <w:snapToGrid w:val="0"/>
                      <w:color w:val="auto"/>
                      <w:kern w:val="0"/>
                      <w:szCs w:val="21"/>
                      <w:highlight w:val="none"/>
                    </w:rPr>
                  </w:pPr>
                  <w:r>
                    <w:rPr>
                      <w:color w:val="auto"/>
                      <w:szCs w:val="21"/>
                      <w:highlight w:val="none"/>
                    </w:rPr>
                    <w:t>&gt;500</w:t>
                  </w:r>
                </w:p>
              </w:tc>
            </w:tr>
            <w:tr w14:paraId="2136A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5438BE7F">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12</w:t>
                  </w:r>
                </w:p>
              </w:tc>
              <w:tc>
                <w:tcPr>
                  <w:tcW w:w="2060" w:type="pct"/>
                  <w:vAlign w:val="center"/>
                </w:tcPr>
                <w:p w14:paraId="76651046">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吸附容量</w:t>
                  </w:r>
                </w:p>
              </w:tc>
              <w:tc>
                <w:tcPr>
                  <w:tcW w:w="2068" w:type="pct"/>
                  <w:vAlign w:val="center"/>
                </w:tcPr>
                <w:p w14:paraId="3BF0931D">
                  <w:pPr>
                    <w:widowControl/>
                    <w:adjustRightInd w:val="0"/>
                    <w:snapToGrid w:val="0"/>
                    <w:jc w:val="center"/>
                    <w:rPr>
                      <w:snapToGrid w:val="0"/>
                      <w:color w:val="auto"/>
                      <w:kern w:val="0"/>
                      <w:szCs w:val="21"/>
                      <w:highlight w:val="none"/>
                    </w:rPr>
                  </w:pPr>
                  <w:r>
                    <w:rPr>
                      <w:color w:val="auto"/>
                      <w:szCs w:val="21"/>
                      <w:highlight w:val="none"/>
                    </w:rPr>
                    <w:t>0.1kg/kg</w:t>
                  </w:r>
                </w:p>
              </w:tc>
            </w:tr>
            <w:tr w14:paraId="1EC64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72" w:type="pct"/>
                  <w:vAlign w:val="center"/>
                </w:tcPr>
                <w:p w14:paraId="73323172">
                  <w:pPr>
                    <w:widowControl/>
                    <w:adjustRightInd w:val="0"/>
                    <w:snapToGrid w:val="0"/>
                    <w:jc w:val="center"/>
                    <w:rPr>
                      <w:snapToGrid w:val="0"/>
                      <w:color w:val="auto"/>
                      <w:kern w:val="0"/>
                      <w:szCs w:val="21"/>
                      <w:highlight w:val="none"/>
                    </w:rPr>
                  </w:pPr>
                  <w:r>
                    <w:rPr>
                      <w:rFonts w:hint="eastAsia"/>
                      <w:snapToGrid w:val="0"/>
                      <w:color w:val="auto"/>
                      <w:kern w:val="0"/>
                      <w:szCs w:val="21"/>
                      <w:highlight w:val="none"/>
                    </w:rPr>
                    <w:t>13</w:t>
                  </w:r>
                </w:p>
              </w:tc>
              <w:tc>
                <w:tcPr>
                  <w:tcW w:w="2060" w:type="pct"/>
                  <w:vAlign w:val="center"/>
                </w:tcPr>
                <w:p w14:paraId="7F807096">
                  <w:pPr>
                    <w:widowControl/>
                    <w:adjustRightInd w:val="0"/>
                    <w:snapToGrid w:val="0"/>
                    <w:jc w:val="center"/>
                    <w:rPr>
                      <w:rFonts w:ascii="宋体" w:hAnsi="宋体"/>
                      <w:snapToGrid w:val="0"/>
                      <w:color w:val="auto"/>
                      <w:kern w:val="0"/>
                      <w:szCs w:val="21"/>
                      <w:highlight w:val="none"/>
                    </w:rPr>
                  </w:pPr>
                  <w:r>
                    <w:rPr>
                      <w:rFonts w:ascii="宋体" w:hAnsi="宋体"/>
                      <w:color w:val="auto"/>
                      <w:szCs w:val="21"/>
                      <w:highlight w:val="none"/>
                    </w:rPr>
                    <w:t>尺寸大小</w:t>
                  </w:r>
                </w:p>
              </w:tc>
              <w:tc>
                <w:tcPr>
                  <w:tcW w:w="2068" w:type="pct"/>
                  <w:vAlign w:val="center"/>
                </w:tcPr>
                <w:p w14:paraId="12936975">
                  <w:pPr>
                    <w:widowControl/>
                    <w:adjustRightInd w:val="0"/>
                    <w:snapToGrid w:val="0"/>
                    <w:jc w:val="center"/>
                    <w:rPr>
                      <w:snapToGrid w:val="0"/>
                      <w:color w:val="auto"/>
                      <w:kern w:val="0"/>
                      <w:szCs w:val="21"/>
                      <w:highlight w:val="none"/>
                    </w:rPr>
                  </w:pPr>
                  <w:r>
                    <w:rPr>
                      <w:color w:val="auto"/>
                      <w:szCs w:val="21"/>
                      <w:highlight w:val="none"/>
                    </w:rPr>
                    <w:t>2.</w:t>
                  </w:r>
                  <w:r>
                    <w:rPr>
                      <w:rFonts w:hint="eastAsia"/>
                      <w:color w:val="auto"/>
                      <w:szCs w:val="21"/>
                      <w:highlight w:val="none"/>
                    </w:rPr>
                    <w:t>0</w:t>
                  </w:r>
                  <w:r>
                    <w:rPr>
                      <w:color w:val="auto"/>
                      <w:szCs w:val="21"/>
                      <w:highlight w:val="none"/>
                    </w:rPr>
                    <w:t>m*1.</w:t>
                  </w:r>
                  <w:r>
                    <w:rPr>
                      <w:rFonts w:hint="eastAsia"/>
                      <w:color w:val="auto"/>
                      <w:szCs w:val="21"/>
                      <w:highlight w:val="none"/>
                    </w:rPr>
                    <w:t>5</w:t>
                  </w:r>
                  <w:r>
                    <w:rPr>
                      <w:color w:val="auto"/>
                      <w:szCs w:val="21"/>
                      <w:highlight w:val="none"/>
                    </w:rPr>
                    <w:t>m*1</w:t>
                  </w:r>
                  <w:r>
                    <w:rPr>
                      <w:rFonts w:hint="eastAsia"/>
                      <w:color w:val="auto"/>
                      <w:szCs w:val="21"/>
                      <w:highlight w:val="none"/>
                    </w:rPr>
                    <w:t>.</w:t>
                  </w:r>
                  <w:r>
                    <w:rPr>
                      <w:rFonts w:hint="default"/>
                      <w:color w:val="auto"/>
                      <w:szCs w:val="21"/>
                      <w:highlight w:val="none"/>
                    </w:rPr>
                    <w:t>82</w:t>
                  </w:r>
                  <w:r>
                    <w:rPr>
                      <w:color w:val="auto"/>
                      <w:szCs w:val="21"/>
                      <w:highlight w:val="none"/>
                    </w:rPr>
                    <w:t>m</w:t>
                  </w:r>
                </w:p>
              </w:tc>
            </w:tr>
          </w:tbl>
          <w:p w14:paraId="2C10858F">
            <w:pPr>
              <w:adjustRightInd w:val="0"/>
              <w:snapToGrid w:val="0"/>
              <w:ind w:firstLine="200" w:firstLineChars="200"/>
              <w:rPr>
                <w:rFonts w:ascii="宋体" w:hAnsi="宋体"/>
                <w:snapToGrid w:val="0"/>
                <w:color w:val="auto"/>
                <w:kern w:val="0"/>
                <w:sz w:val="10"/>
                <w:szCs w:val="10"/>
                <w:highlight w:val="none"/>
              </w:rPr>
            </w:pPr>
          </w:p>
          <w:p w14:paraId="0A1D3CBD">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②技术参数合理性分析</w:t>
            </w:r>
            <w:bookmarkStart w:id="15" w:name="_Hlk37316947"/>
          </w:p>
          <w:p w14:paraId="0A529154">
            <w:pPr>
              <w:pStyle w:val="6"/>
              <w:numPr>
                <w:ilvl w:val="0"/>
                <w:numId w:val="0"/>
              </w:num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snapToGrid w:val="0"/>
                <w:color w:val="auto"/>
                <w:kern w:val="0"/>
                <w:sz w:val="24"/>
                <w:szCs w:val="24"/>
                <w:highlight w:val="none"/>
              </w:rPr>
              <w:t>该装置风量10000m</w:t>
            </w:r>
            <w:r>
              <w:rPr>
                <w:rFonts w:ascii="Times New Roman" w:hAnsi="Times New Roman"/>
                <w:snapToGrid w:val="0"/>
                <w:color w:val="auto"/>
                <w:kern w:val="0"/>
                <w:sz w:val="24"/>
                <w:szCs w:val="24"/>
                <w:highlight w:val="none"/>
                <w:vertAlign w:val="superscript"/>
              </w:rPr>
              <w:t>3</w:t>
            </w:r>
            <w:r>
              <w:rPr>
                <w:rFonts w:ascii="Times New Roman" w:hAnsi="Times New Roman"/>
                <w:snapToGrid w:val="0"/>
                <w:color w:val="auto"/>
                <w:kern w:val="0"/>
                <w:sz w:val="24"/>
                <w:szCs w:val="24"/>
                <w:highlight w:val="none"/>
              </w:rPr>
              <w:t>/h≈2.78m</w:t>
            </w:r>
            <w:r>
              <w:rPr>
                <w:rFonts w:ascii="Times New Roman" w:hAnsi="Times New Roman"/>
                <w:snapToGrid w:val="0"/>
                <w:color w:val="auto"/>
                <w:kern w:val="0"/>
                <w:sz w:val="24"/>
                <w:szCs w:val="24"/>
                <w:highlight w:val="none"/>
                <w:vertAlign w:val="superscript"/>
              </w:rPr>
              <w:t>3</w:t>
            </w:r>
            <w:r>
              <w:rPr>
                <w:rFonts w:ascii="Times New Roman" w:hAnsi="Times New Roman"/>
                <w:snapToGrid w:val="0"/>
                <w:color w:val="auto"/>
                <w:kern w:val="0"/>
                <w:sz w:val="24"/>
                <w:szCs w:val="24"/>
                <w:highlight w:val="none"/>
              </w:rPr>
              <w:t>/s；活性炭吸附装置共设置</w:t>
            </w:r>
            <w:r>
              <w:rPr>
                <w:rFonts w:hint="eastAsia" w:ascii="Times New Roman" w:hAnsi="Times New Roman"/>
                <w:snapToGrid w:val="0"/>
                <w:color w:val="auto"/>
                <w:kern w:val="0"/>
                <w:sz w:val="24"/>
                <w:szCs w:val="24"/>
                <w:highlight w:val="none"/>
                <w:lang w:val="en-US" w:eastAsia="zh-Hans"/>
              </w:rPr>
              <w:t>三</w:t>
            </w:r>
            <w:r>
              <w:rPr>
                <w:rFonts w:ascii="Times New Roman" w:hAnsi="Times New Roman"/>
                <w:snapToGrid w:val="0"/>
                <w:color w:val="auto"/>
                <w:kern w:val="0"/>
                <w:sz w:val="24"/>
                <w:szCs w:val="24"/>
                <w:highlight w:val="none"/>
              </w:rPr>
              <w:t>级，单级活性炭吸附箱长度、宽度、高度依次为2.0m、1.</w:t>
            </w:r>
            <w:r>
              <w:rPr>
                <w:rFonts w:hint="eastAsia" w:ascii="Times New Roman" w:hAnsi="Times New Roman"/>
                <w:snapToGrid w:val="0"/>
                <w:color w:val="auto"/>
                <w:kern w:val="0"/>
                <w:sz w:val="24"/>
                <w:szCs w:val="24"/>
                <w:highlight w:val="none"/>
              </w:rPr>
              <w:t>5</w:t>
            </w:r>
            <w:r>
              <w:rPr>
                <w:rFonts w:ascii="Times New Roman" w:hAnsi="Times New Roman"/>
                <w:snapToGrid w:val="0"/>
                <w:color w:val="auto"/>
                <w:kern w:val="0"/>
                <w:sz w:val="24"/>
                <w:szCs w:val="24"/>
                <w:highlight w:val="none"/>
              </w:rPr>
              <w:t>m、1.82m，活性炭有效填充厚度为0.3m，装置内放4层，活性炭密度为0.5g/cm</w:t>
            </w:r>
            <w:r>
              <w:rPr>
                <w:rFonts w:ascii="Times New Roman" w:hAnsi="Times New Roman"/>
                <w:snapToGrid w:val="0"/>
                <w:color w:val="auto"/>
                <w:kern w:val="0"/>
                <w:sz w:val="24"/>
                <w:szCs w:val="24"/>
                <w:highlight w:val="none"/>
                <w:vertAlign w:val="superscript"/>
              </w:rPr>
              <w:t>3</w:t>
            </w:r>
            <w:r>
              <w:rPr>
                <w:rFonts w:ascii="Times New Roman" w:hAnsi="Times New Roman"/>
                <w:snapToGrid w:val="0"/>
                <w:color w:val="auto"/>
                <w:kern w:val="0"/>
                <w:sz w:val="24"/>
                <w:szCs w:val="24"/>
                <w:highlight w:val="none"/>
              </w:rPr>
              <w:t>。活性炭吸附装置有效容积=有效长度×有效宽度×有效高度=1.8m×</w:t>
            </w:r>
            <w:r>
              <w:rPr>
                <w:rFonts w:hint="default" w:ascii="Times New Roman" w:hAnsi="Times New Roman"/>
                <w:snapToGrid w:val="0"/>
                <w:color w:val="auto"/>
                <w:kern w:val="0"/>
                <w:sz w:val="24"/>
                <w:szCs w:val="24"/>
                <w:highlight w:val="none"/>
              </w:rPr>
              <w:t>1.2</w:t>
            </w:r>
            <w:r>
              <w:rPr>
                <w:rFonts w:ascii="Times New Roman" w:hAnsi="Times New Roman"/>
                <w:snapToGrid w:val="0"/>
                <w:color w:val="auto"/>
                <w:kern w:val="0"/>
                <w:sz w:val="24"/>
                <w:szCs w:val="24"/>
                <w:highlight w:val="none"/>
              </w:rPr>
              <w:t>m×1.5m=3.24m</w:t>
            </w:r>
            <w:r>
              <w:rPr>
                <w:rFonts w:ascii="Times New Roman" w:hAnsi="Times New Roman"/>
                <w:snapToGrid w:val="0"/>
                <w:color w:val="auto"/>
                <w:kern w:val="0"/>
                <w:sz w:val="24"/>
                <w:szCs w:val="24"/>
                <w:highlight w:val="none"/>
                <w:vertAlign w:val="superscript"/>
              </w:rPr>
              <w:t>3</w:t>
            </w:r>
            <w:r>
              <w:rPr>
                <w:rFonts w:ascii="Times New Roman" w:hAnsi="Times New Roman"/>
                <w:snapToGrid w:val="0"/>
                <w:color w:val="auto"/>
                <w:kern w:val="0"/>
                <w:sz w:val="24"/>
                <w:szCs w:val="24"/>
                <w:highlight w:val="none"/>
              </w:rPr>
              <w:t>，则活性炭填</w:t>
            </w:r>
            <w:r>
              <w:rPr>
                <w:rFonts w:hint="eastAsia" w:ascii="Times New Roman" w:hAnsi="Times New Roman"/>
                <w:snapToGrid w:val="0"/>
                <w:color w:val="auto"/>
                <w:kern w:val="0"/>
                <w:sz w:val="24"/>
                <w:szCs w:val="24"/>
                <w:highlight w:val="none"/>
              </w:rPr>
              <w:t>单级</w:t>
            </w:r>
            <w:r>
              <w:rPr>
                <w:rFonts w:ascii="Times New Roman" w:hAnsi="Times New Roman"/>
                <w:snapToGrid w:val="0"/>
                <w:color w:val="auto"/>
                <w:kern w:val="0"/>
                <w:sz w:val="24"/>
                <w:szCs w:val="24"/>
                <w:highlight w:val="none"/>
              </w:rPr>
              <w:t>充量经计算=1.62t，与参数表内活性炭充填量相同，孔隙率取0.9，</w:t>
            </w:r>
            <w:r>
              <w:rPr>
                <w:rFonts w:ascii="Times New Roman" w:hAnsi="Times New Roman"/>
                <w:color w:val="auto"/>
                <w:sz w:val="24"/>
                <w:szCs w:val="24"/>
                <w:highlight w:val="none"/>
              </w:rPr>
              <w:t>气流速度=风机风量/活性炭体宽度/高度/孔隙率=</w:t>
            </w:r>
            <w:r>
              <w:rPr>
                <w:rFonts w:hint="eastAsia" w:ascii="Times New Roman" w:hAnsi="Times New Roman"/>
                <w:color w:val="auto"/>
                <w:sz w:val="24"/>
                <w:szCs w:val="24"/>
                <w:highlight w:val="none"/>
              </w:rPr>
              <w:t>1.</w:t>
            </w:r>
            <w:r>
              <w:rPr>
                <w:rFonts w:hint="default" w:ascii="Times New Roman" w:hAnsi="Times New Roman"/>
                <w:color w:val="auto"/>
                <w:sz w:val="24"/>
                <w:szCs w:val="24"/>
                <w:highlight w:val="none"/>
              </w:rPr>
              <w:t>13</w:t>
            </w:r>
            <w:r>
              <w:rPr>
                <w:rFonts w:ascii="Times New Roman" w:hAnsi="Times New Roman"/>
                <w:color w:val="auto"/>
                <w:sz w:val="24"/>
                <w:szCs w:val="24"/>
                <w:highlight w:val="none"/>
              </w:rPr>
              <w:t>m/s；停留时间=活性炭单层有效填充长度/气流速度×活性炭层数=0.</w:t>
            </w:r>
            <w:r>
              <w:rPr>
                <w:rFonts w:hint="eastAsia" w:ascii="Times New Roman" w:hAnsi="Times New Roman"/>
                <w:color w:val="auto"/>
                <w:sz w:val="24"/>
                <w:szCs w:val="24"/>
                <w:highlight w:val="none"/>
              </w:rPr>
              <w:t>4</w:t>
            </w:r>
            <w:r>
              <w:rPr>
                <w:rFonts w:hint="default" w:ascii="Times New Roman" w:hAnsi="Times New Roman"/>
                <w:color w:val="auto"/>
                <w:sz w:val="24"/>
                <w:szCs w:val="24"/>
                <w:highlight w:val="none"/>
              </w:rPr>
              <w:t>4</w:t>
            </w:r>
            <w:r>
              <w:rPr>
                <w:rFonts w:ascii="Times New Roman" w:hAnsi="Times New Roman"/>
                <w:color w:val="auto"/>
                <w:sz w:val="24"/>
                <w:szCs w:val="24"/>
                <w:highlight w:val="none"/>
              </w:rPr>
              <w:t>s。</w:t>
            </w:r>
            <w:r>
              <w:rPr>
                <w:rFonts w:ascii="Times New Roman" w:hAnsi="Times New Roman"/>
                <w:snapToGrid w:val="0"/>
                <w:color w:val="auto"/>
                <w:kern w:val="0"/>
                <w:sz w:val="24"/>
                <w:szCs w:val="24"/>
                <w:highlight w:val="none"/>
              </w:rPr>
              <w:t>根据《吸附法工业有机废气治理工程技术规范》（HJ2026-2013）</w:t>
            </w:r>
            <w:r>
              <w:rPr>
                <w:rFonts w:ascii="Times New Roman" w:hAnsi="Times New Roman"/>
                <w:color w:val="auto"/>
                <w:sz w:val="24"/>
                <w:szCs w:val="24"/>
                <w:highlight w:val="none"/>
              </w:rPr>
              <w:t>采用蜂窝活性炭吸附时，气流速度宜低于1.2m/s；根据工程设计经验，活性炭吸附停留时间0.2-2s；因此本项目采用的活性炭吸附装置符合设计要求。</w:t>
            </w:r>
            <w:bookmarkEnd w:id="15"/>
          </w:p>
          <w:p w14:paraId="08311978">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③移动式焊接烟尘净化器原理</w:t>
            </w:r>
          </w:p>
          <w:p w14:paraId="5B3B1425">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气体由风机通过吸尘管吸入箱体，进入滤袋过滤，烟尘颗粒被滤袋阻留在表面，经过过滤的净化气体由出风口排出，可直接排放在室内循环使用，也可根据需要排出室外。整个除尘过滤是一个重力，惯性力，碰撞，静电吸附，筛滤等综合效应的结果。除尘器连续工作一段</w:t>
            </w:r>
            <w:r>
              <w:rPr>
                <w:color w:val="auto"/>
                <w:highlight w:val="none"/>
              </w:rPr>
              <w:fldChar w:fldCharType="begin"/>
            </w:r>
            <w:r>
              <w:rPr>
                <w:color w:val="auto"/>
                <w:highlight w:val="none"/>
              </w:rPr>
              <w:instrText xml:space="preserve"> HYPERLINK "https://baike.baidu.com/item/%E6%97%B6%E9%97%B4/25651" \t "https://baike.baidu.com/item/%E7%A7%BB%E5%8A%A8%E5%BC%8F%E9%99%A4%E5%B0%98%E5%99%A8/_blank" </w:instrText>
            </w:r>
            <w:r>
              <w:rPr>
                <w:color w:val="auto"/>
                <w:highlight w:val="none"/>
              </w:rPr>
              <w:fldChar w:fldCharType="separate"/>
            </w:r>
            <w:r>
              <w:rPr>
                <w:rFonts w:hint="eastAsia" w:ascii="宋体" w:hAnsi="宋体" w:cs="宋体"/>
                <w:color w:val="auto"/>
                <w:sz w:val="24"/>
                <w:highlight w:val="none"/>
              </w:rPr>
              <w:t>时间</w:t>
            </w:r>
            <w:r>
              <w:rPr>
                <w:rFonts w:hint="eastAsia" w:ascii="宋体" w:hAnsi="宋体" w:cs="宋体"/>
                <w:color w:val="auto"/>
                <w:sz w:val="24"/>
                <w:highlight w:val="none"/>
              </w:rPr>
              <w:fldChar w:fldCharType="end"/>
            </w:r>
            <w:r>
              <w:rPr>
                <w:rFonts w:hint="eastAsia" w:ascii="宋体" w:hAnsi="宋体" w:cs="宋体"/>
                <w:color w:val="auto"/>
                <w:sz w:val="24"/>
                <w:highlight w:val="none"/>
              </w:rPr>
              <w:t>后，滤袋表面的烟尘不断增加，继而进行清灰，烟尘抖落在集尘器（抽屉）中，再由人工进行处理 。</w:t>
            </w:r>
            <w:r>
              <w:rPr>
                <w:color w:val="auto"/>
                <w:sz w:val="24"/>
                <w:highlight w:val="none"/>
              </w:rPr>
              <w:t>根据类比调查和有关文献介绍，</w:t>
            </w:r>
            <w:r>
              <w:rPr>
                <w:rFonts w:hint="eastAsia"/>
                <w:color w:val="auto"/>
                <w:sz w:val="24"/>
                <w:highlight w:val="none"/>
              </w:rPr>
              <w:t>移动式除尘器</w:t>
            </w:r>
            <w:r>
              <w:rPr>
                <w:color w:val="auto"/>
                <w:sz w:val="24"/>
                <w:highlight w:val="none"/>
              </w:rPr>
              <w:t>的除尘效率可达</w:t>
            </w:r>
            <w:r>
              <w:rPr>
                <w:rFonts w:hint="eastAsia"/>
                <w:color w:val="auto"/>
                <w:sz w:val="24"/>
                <w:highlight w:val="none"/>
              </w:rPr>
              <w:t>90%</w:t>
            </w:r>
            <w:r>
              <w:rPr>
                <w:color w:val="auto"/>
                <w:sz w:val="24"/>
                <w:highlight w:val="none"/>
              </w:rPr>
              <w:t>以上</w:t>
            </w:r>
            <w:r>
              <w:rPr>
                <w:rFonts w:hint="eastAsia"/>
                <w:color w:val="auto"/>
                <w:sz w:val="24"/>
                <w:highlight w:val="none"/>
              </w:rPr>
              <w:t>，本报告</w:t>
            </w:r>
            <w:r>
              <w:rPr>
                <w:rFonts w:hint="eastAsia"/>
                <w:color w:val="auto"/>
                <w:sz w:val="24"/>
                <w:highlight w:val="none"/>
                <w:lang w:eastAsia="zh-Hans"/>
              </w:rPr>
              <w:t>保守估计，</w:t>
            </w:r>
            <w:r>
              <w:rPr>
                <w:rFonts w:hint="eastAsia"/>
                <w:color w:val="auto"/>
                <w:sz w:val="24"/>
                <w:highlight w:val="none"/>
              </w:rPr>
              <w:t>以</w:t>
            </w:r>
            <w:r>
              <w:rPr>
                <w:color w:val="auto"/>
                <w:sz w:val="24"/>
                <w:highlight w:val="none"/>
              </w:rPr>
              <w:t>80</w:t>
            </w:r>
            <w:r>
              <w:rPr>
                <w:rFonts w:hint="eastAsia"/>
                <w:color w:val="auto"/>
                <w:sz w:val="24"/>
                <w:highlight w:val="none"/>
              </w:rPr>
              <w:t>%计。</w:t>
            </w:r>
          </w:p>
          <w:p w14:paraId="16183D19">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综上分析可知，企业拟采取的污染治理设施可行。</w:t>
            </w:r>
          </w:p>
          <w:p w14:paraId="198021A8">
            <w:pPr>
              <w:snapToGrid w:val="0"/>
              <w:spacing w:line="360" w:lineRule="auto"/>
              <w:ind w:firstLine="482" w:firstLineChars="200"/>
              <w:rPr>
                <w:b/>
                <w:color w:val="auto"/>
                <w:sz w:val="24"/>
                <w:highlight w:val="none"/>
              </w:rPr>
            </w:pPr>
            <w:r>
              <w:rPr>
                <w:b/>
                <w:color w:val="auto"/>
                <w:sz w:val="24"/>
                <w:highlight w:val="none"/>
              </w:rPr>
              <w:t>（6）卫生防护距离计算</w:t>
            </w:r>
          </w:p>
          <w:p w14:paraId="705293D5">
            <w:pPr>
              <w:snapToGrid w:val="0"/>
              <w:spacing w:line="360" w:lineRule="auto"/>
              <w:ind w:firstLine="480" w:firstLineChars="200"/>
              <w:rPr>
                <w:color w:val="auto"/>
                <w:sz w:val="24"/>
                <w:highlight w:val="none"/>
              </w:rPr>
            </w:pPr>
            <w:r>
              <w:rPr>
                <w:color w:val="auto"/>
                <w:sz w:val="24"/>
                <w:highlight w:val="none"/>
              </w:rPr>
              <w:t>根据《大气有害物质无组织排放卫生防护距离推导技术导则》（GB/T39499-2020）中所列公式计算建设项 目卫生防护距离，具体如下：</w:t>
            </w:r>
          </w:p>
          <w:p w14:paraId="75CCBBF0">
            <w:pPr>
              <w:snapToGrid w:val="0"/>
              <w:spacing w:line="360" w:lineRule="auto"/>
              <w:ind w:firstLine="555"/>
              <w:jc w:val="center"/>
              <w:rPr>
                <w:color w:val="auto"/>
                <w:sz w:val="24"/>
                <w:highlight w:val="none"/>
              </w:rPr>
            </w:pPr>
            <w:r>
              <w:rPr>
                <w:color w:val="auto"/>
                <w:position w:val="-24"/>
                <w:sz w:val="24"/>
                <w:highlight w:val="none"/>
              </w:rPr>
              <w:object>
                <v:shape id="_x0000_i1026" o:spt="75" type="#_x0000_t75" style="height:31pt;width:139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14:paraId="2DC08821">
            <w:pPr>
              <w:snapToGrid w:val="0"/>
              <w:spacing w:line="360" w:lineRule="auto"/>
              <w:rPr>
                <w:color w:val="auto"/>
                <w:sz w:val="24"/>
                <w:highlight w:val="none"/>
              </w:rPr>
            </w:pPr>
            <w:r>
              <w:rPr>
                <w:color w:val="auto"/>
                <w:sz w:val="24"/>
                <w:highlight w:val="none"/>
              </w:rPr>
              <w:t>式中：</w:t>
            </w:r>
          </w:p>
          <w:p w14:paraId="29709C27">
            <w:pPr>
              <w:adjustRightInd w:val="0"/>
              <w:snapToGrid w:val="0"/>
              <w:spacing w:line="360" w:lineRule="auto"/>
              <w:ind w:firstLine="480" w:firstLineChars="200"/>
              <w:rPr>
                <w:color w:val="auto"/>
                <w:sz w:val="24"/>
                <w:highlight w:val="none"/>
              </w:rPr>
            </w:pPr>
            <w:r>
              <w:rPr>
                <w:color w:val="auto"/>
                <w:sz w:val="24"/>
                <w:highlight w:val="none"/>
              </w:rPr>
              <w:t>Qc/Cm—等标排放量；</w:t>
            </w:r>
          </w:p>
          <w:p w14:paraId="62B6D50D">
            <w:pPr>
              <w:adjustRightInd w:val="0"/>
              <w:snapToGrid w:val="0"/>
              <w:spacing w:line="360" w:lineRule="auto"/>
              <w:ind w:firstLine="480" w:firstLineChars="200"/>
              <w:rPr>
                <w:color w:val="auto"/>
                <w:sz w:val="24"/>
                <w:highlight w:val="none"/>
              </w:rPr>
            </w:pPr>
            <w:r>
              <w:rPr>
                <w:color w:val="auto"/>
                <w:sz w:val="24"/>
                <w:highlight w:val="none"/>
              </w:rPr>
              <w:t>Qc—大气有害物质的无组织排放量，单位为千克每小时（kg/h）；</w:t>
            </w:r>
          </w:p>
          <w:p w14:paraId="432DD58F">
            <w:pPr>
              <w:adjustRightInd w:val="0"/>
              <w:snapToGrid w:val="0"/>
              <w:spacing w:line="360" w:lineRule="auto"/>
              <w:ind w:firstLine="480" w:firstLineChars="200"/>
              <w:rPr>
                <w:color w:val="auto"/>
                <w:sz w:val="24"/>
                <w:highlight w:val="none"/>
              </w:rPr>
            </w:pPr>
            <w:r>
              <w:rPr>
                <w:color w:val="auto"/>
                <w:sz w:val="24"/>
                <w:highlight w:val="none"/>
              </w:rPr>
              <w:t>Cm—大气有害物质环境空气质量的标准限值，单位为毫克每立方米（mg/m3）；</w:t>
            </w:r>
          </w:p>
          <w:p w14:paraId="3E5C5172">
            <w:pPr>
              <w:adjustRightInd w:val="0"/>
              <w:snapToGrid w:val="0"/>
              <w:spacing w:line="360" w:lineRule="auto"/>
              <w:ind w:firstLine="480" w:firstLineChars="200"/>
              <w:rPr>
                <w:color w:val="auto"/>
                <w:sz w:val="24"/>
                <w:highlight w:val="none"/>
              </w:rPr>
            </w:pPr>
            <w:r>
              <w:rPr>
                <w:color w:val="auto"/>
                <w:sz w:val="24"/>
                <w:highlight w:val="none"/>
              </w:rPr>
              <w:t>L—大气有害物质卫生防护距离初值，单位为米（m）；</w:t>
            </w:r>
          </w:p>
          <w:p w14:paraId="50C91BA7">
            <w:pPr>
              <w:adjustRightInd w:val="0"/>
              <w:snapToGrid w:val="0"/>
              <w:spacing w:line="360" w:lineRule="auto"/>
              <w:ind w:firstLine="480" w:firstLineChars="200"/>
              <w:rPr>
                <w:color w:val="auto"/>
                <w:sz w:val="24"/>
                <w:highlight w:val="none"/>
              </w:rPr>
            </w:pPr>
            <w:r>
              <w:rPr>
                <w:color w:val="auto"/>
                <w:sz w:val="24"/>
                <w:highlight w:val="none"/>
              </w:rPr>
              <w:t>r—大气有害物质无组织排放源所在生产单元的等效半径，单位为米（m）；</w:t>
            </w:r>
          </w:p>
          <w:p w14:paraId="69BF393A">
            <w:pPr>
              <w:adjustRightInd w:val="0"/>
              <w:snapToGrid w:val="0"/>
              <w:spacing w:line="360" w:lineRule="auto"/>
              <w:ind w:firstLine="480" w:firstLineChars="200"/>
              <w:rPr>
                <w:color w:val="auto"/>
                <w:sz w:val="24"/>
                <w:highlight w:val="none"/>
              </w:rPr>
            </w:pPr>
            <w:r>
              <w:rPr>
                <w:color w:val="auto"/>
                <w:sz w:val="24"/>
                <w:highlight w:val="none"/>
              </w:rPr>
              <w:t>A、B、C、D—卫生防护距离初值计算系数，无因次，根据工业企业所在地区近 5 年平均风速及大 气污染源构成类别从“卫生防护距离初值计算系数”表查取。</w:t>
            </w:r>
          </w:p>
          <w:p w14:paraId="03F324AD">
            <w:pPr>
              <w:spacing w:line="360" w:lineRule="auto"/>
              <w:ind w:firstLine="480" w:firstLineChars="200"/>
              <w:rPr>
                <w:color w:val="auto"/>
                <w:sz w:val="24"/>
                <w:highlight w:val="none"/>
              </w:rPr>
            </w:pPr>
            <w:r>
              <w:rPr>
                <w:rFonts w:hint="eastAsia"/>
                <w:color w:val="auto"/>
                <w:sz w:val="24"/>
                <w:highlight w:val="none"/>
              </w:rPr>
              <w:t>卫生防护距离计算各参数取值见下表</w:t>
            </w:r>
            <w:r>
              <w:rPr>
                <w:color w:val="auto"/>
                <w:sz w:val="24"/>
                <w:highlight w:val="none"/>
              </w:rPr>
              <w:t>。</w:t>
            </w:r>
          </w:p>
          <w:p w14:paraId="25577D39">
            <w:pPr>
              <w:ind w:firstLine="482" w:firstLineChars="200"/>
              <w:jc w:val="center"/>
              <w:rPr>
                <w:b/>
                <w:color w:val="auto"/>
                <w:sz w:val="24"/>
                <w:highlight w:val="none"/>
              </w:rPr>
            </w:pPr>
            <w:r>
              <w:rPr>
                <w:b/>
                <w:color w:val="auto"/>
                <w:sz w:val="24"/>
                <w:highlight w:val="none"/>
              </w:rPr>
              <w:t>表</w:t>
            </w:r>
            <w:r>
              <w:rPr>
                <w:rFonts w:hint="eastAsia"/>
                <w:b/>
                <w:color w:val="auto"/>
                <w:sz w:val="24"/>
                <w:highlight w:val="none"/>
              </w:rPr>
              <w:t>4</w:t>
            </w:r>
            <w:r>
              <w:rPr>
                <w:b/>
                <w:color w:val="auto"/>
                <w:sz w:val="24"/>
                <w:highlight w:val="none"/>
              </w:rPr>
              <w:t>-9 卫生防护距离计算系数</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5"/>
              <w:gridCol w:w="1081"/>
              <w:gridCol w:w="939"/>
              <w:gridCol w:w="939"/>
              <w:gridCol w:w="946"/>
              <w:gridCol w:w="939"/>
              <w:gridCol w:w="939"/>
              <w:gridCol w:w="946"/>
              <w:gridCol w:w="939"/>
              <w:gridCol w:w="939"/>
              <w:gridCol w:w="953"/>
            </w:tblGrid>
            <w:tr w14:paraId="6BE37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6214369A">
                  <w:pPr>
                    <w:jc w:val="center"/>
                    <w:rPr>
                      <w:color w:val="auto"/>
                      <w:szCs w:val="21"/>
                      <w:highlight w:val="none"/>
                    </w:rPr>
                  </w:pPr>
                  <w:r>
                    <w:rPr>
                      <w:color w:val="auto"/>
                      <w:szCs w:val="21"/>
                      <w:highlight w:val="none"/>
                    </w:rPr>
                    <w:t>计算</w:t>
                  </w:r>
                </w:p>
                <w:p w14:paraId="20AB3DE4">
                  <w:pPr>
                    <w:jc w:val="center"/>
                    <w:rPr>
                      <w:color w:val="auto"/>
                      <w:szCs w:val="21"/>
                      <w:highlight w:val="none"/>
                    </w:rPr>
                  </w:pPr>
                  <w:r>
                    <w:rPr>
                      <w:color w:val="auto"/>
                      <w:szCs w:val="21"/>
                      <w:highlight w:val="none"/>
                    </w:rPr>
                    <w:t>系数</w:t>
                  </w:r>
                </w:p>
              </w:tc>
              <w:tc>
                <w:tcPr>
                  <w:tcW w:w="527" w:type="pct"/>
                  <w:vMerge w:val="restart"/>
                  <w:vAlign w:val="center"/>
                </w:tcPr>
                <w:p w14:paraId="31D76A11">
                  <w:pPr>
                    <w:jc w:val="center"/>
                    <w:rPr>
                      <w:color w:val="auto"/>
                      <w:szCs w:val="21"/>
                      <w:highlight w:val="none"/>
                    </w:rPr>
                  </w:pPr>
                  <w:r>
                    <w:rPr>
                      <w:color w:val="auto"/>
                      <w:szCs w:val="21"/>
                      <w:highlight w:val="none"/>
                    </w:rPr>
                    <w:t>5年平均风速</w:t>
                  </w:r>
                </w:p>
                <w:p w14:paraId="666DB398">
                  <w:pPr>
                    <w:jc w:val="center"/>
                    <w:rPr>
                      <w:color w:val="auto"/>
                      <w:szCs w:val="21"/>
                      <w:highlight w:val="none"/>
                    </w:rPr>
                  </w:pPr>
                  <w:r>
                    <w:rPr>
                      <w:color w:val="auto"/>
                      <w:szCs w:val="21"/>
                      <w:highlight w:val="none"/>
                    </w:rPr>
                    <w:t>m/s</w:t>
                  </w:r>
                </w:p>
              </w:tc>
              <w:tc>
                <w:tcPr>
                  <w:tcW w:w="4133" w:type="pct"/>
                  <w:gridSpan w:val="9"/>
                  <w:vAlign w:val="center"/>
                </w:tcPr>
                <w:p w14:paraId="3EA7310F">
                  <w:pPr>
                    <w:jc w:val="center"/>
                    <w:rPr>
                      <w:color w:val="auto"/>
                      <w:szCs w:val="21"/>
                      <w:highlight w:val="none"/>
                    </w:rPr>
                  </w:pPr>
                  <w:r>
                    <w:rPr>
                      <w:color w:val="auto"/>
                      <w:szCs w:val="21"/>
                      <w:highlight w:val="none"/>
                    </w:rPr>
                    <w:t>卫生防护距离L，m</w:t>
                  </w:r>
                </w:p>
              </w:tc>
            </w:tr>
            <w:tr w14:paraId="61512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22237E27">
                  <w:pPr>
                    <w:jc w:val="center"/>
                    <w:rPr>
                      <w:color w:val="auto"/>
                      <w:szCs w:val="21"/>
                      <w:highlight w:val="none"/>
                    </w:rPr>
                  </w:pPr>
                </w:p>
              </w:tc>
              <w:tc>
                <w:tcPr>
                  <w:tcW w:w="527" w:type="pct"/>
                  <w:vMerge w:val="continue"/>
                  <w:vAlign w:val="center"/>
                </w:tcPr>
                <w:p w14:paraId="3C8DFBD5">
                  <w:pPr>
                    <w:jc w:val="center"/>
                    <w:rPr>
                      <w:color w:val="auto"/>
                      <w:szCs w:val="21"/>
                      <w:highlight w:val="none"/>
                    </w:rPr>
                  </w:pPr>
                </w:p>
              </w:tc>
              <w:tc>
                <w:tcPr>
                  <w:tcW w:w="1377" w:type="pct"/>
                  <w:gridSpan w:val="3"/>
                  <w:vAlign w:val="center"/>
                </w:tcPr>
                <w:p w14:paraId="2DD49478">
                  <w:pPr>
                    <w:jc w:val="center"/>
                    <w:rPr>
                      <w:color w:val="auto"/>
                      <w:szCs w:val="21"/>
                      <w:highlight w:val="none"/>
                    </w:rPr>
                  </w:pPr>
                  <w:r>
                    <w:rPr>
                      <w:color w:val="auto"/>
                      <w:szCs w:val="21"/>
                      <w:highlight w:val="none"/>
                    </w:rPr>
                    <w:t>L≤1000</w:t>
                  </w:r>
                </w:p>
              </w:tc>
              <w:tc>
                <w:tcPr>
                  <w:tcW w:w="1377" w:type="pct"/>
                  <w:gridSpan w:val="3"/>
                  <w:vAlign w:val="center"/>
                </w:tcPr>
                <w:p w14:paraId="37AF7FF3">
                  <w:pPr>
                    <w:jc w:val="center"/>
                    <w:rPr>
                      <w:color w:val="auto"/>
                      <w:szCs w:val="21"/>
                      <w:highlight w:val="none"/>
                    </w:rPr>
                  </w:pPr>
                  <w:r>
                    <w:rPr>
                      <w:color w:val="auto"/>
                      <w:szCs w:val="21"/>
                      <w:highlight w:val="none"/>
                    </w:rPr>
                    <w:t>1000＜L≤2000</w:t>
                  </w:r>
                </w:p>
              </w:tc>
              <w:tc>
                <w:tcPr>
                  <w:tcW w:w="1378" w:type="pct"/>
                  <w:gridSpan w:val="3"/>
                  <w:vAlign w:val="center"/>
                </w:tcPr>
                <w:p w14:paraId="1F433BCD">
                  <w:pPr>
                    <w:jc w:val="center"/>
                    <w:rPr>
                      <w:color w:val="auto"/>
                      <w:szCs w:val="21"/>
                      <w:highlight w:val="none"/>
                    </w:rPr>
                  </w:pPr>
                  <w:r>
                    <w:rPr>
                      <w:color w:val="auto"/>
                      <w:szCs w:val="21"/>
                      <w:highlight w:val="none"/>
                    </w:rPr>
                    <w:t>L＞2000</w:t>
                  </w:r>
                </w:p>
              </w:tc>
            </w:tr>
            <w:tr w14:paraId="5729D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59C8BF4D">
                  <w:pPr>
                    <w:jc w:val="center"/>
                    <w:rPr>
                      <w:color w:val="auto"/>
                      <w:szCs w:val="21"/>
                      <w:highlight w:val="none"/>
                    </w:rPr>
                  </w:pPr>
                </w:p>
              </w:tc>
              <w:tc>
                <w:tcPr>
                  <w:tcW w:w="527" w:type="pct"/>
                  <w:vMerge w:val="continue"/>
                  <w:vAlign w:val="center"/>
                </w:tcPr>
                <w:p w14:paraId="4C0F6F1B">
                  <w:pPr>
                    <w:jc w:val="center"/>
                    <w:rPr>
                      <w:color w:val="auto"/>
                      <w:szCs w:val="21"/>
                      <w:highlight w:val="none"/>
                    </w:rPr>
                  </w:pPr>
                </w:p>
              </w:tc>
              <w:tc>
                <w:tcPr>
                  <w:tcW w:w="4133" w:type="pct"/>
                  <w:gridSpan w:val="9"/>
                  <w:vAlign w:val="center"/>
                </w:tcPr>
                <w:p w14:paraId="75FD4041">
                  <w:pPr>
                    <w:pStyle w:val="108"/>
                    <w:jc w:val="center"/>
                    <w:rPr>
                      <w:color w:val="auto"/>
                      <w:sz w:val="21"/>
                      <w:szCs w:val="21"/>
                      <w:highlight w:val="none"/>
                    </w:rPr>
                  </w:pPr>
                  <w:r>
                    <w:rPr>
                      <w:color w:val="auto"/>
                      <w:sz w:val="21"/>
                      <w:szCs w:val="21"/>
                      <w:highlight w:val="none"/>
                    </w:rPr>
                    <w:t>工业大气污染源构成类别</w:t>
                  </w:r>
                </w:p>
              </w:tc>
            </w:tr>
            <w:tr w14:paraId="604EA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1B86E5F3">
                  <w:pPr>
                    <w:jc w:val="center"/>
                    <w:rPr>
                      <w:color w:val="auto"/>
                      <w:szCs w:val="21"/>
                      <w:highlight w:val="none"/>
                    </w:rPr>
                  </w:pPr>
                </w:p>
              </w:tc>
              <w:tc>
                <w:tcPr>
                  <w:tcW w:w="527" w:type="pct"/>
                  <w:vMerge w:val="continue"/>
                  <w:vAlign w:val="center"/>
                </w:tcPr>
                <w:p w14:paraId="26C5F79C">
                  <w:pPr>
                    <w:jc w:val="center"/>
                    <w:rPr>
                      <w:color w:val="auto"/>
                      <w:szCs w:val="21"/>
                      <w:highlight w:val="none"/>
                    </w:rPr>
                  </w:pPr>
                </w:p>
              </w:tc>
              <w:tc>
                <w:tcPr>
                  <w:tcW w:w="458" w:type="pct"/>
                  <w:vAlign w:val="center"/>
                </w:tcPr>
                <w:p w14:paraId="2DF40C63">
                  <w:pPr>
                    <w:jc w:val="center"/>
                    <w:rPr>
                      <w:color w:val="auto"/>
                      <w:szCs w:val="21"/>
                      <w:highlight w:val="none"/>
                    </w:rPr>
                  </w:pPr>
                  <w:r>
                    <w:rPr>
                      <w:color w:val="auto"/>
                      <w:szCs w:val="21"/>
                      <w:highlight w:val="none"/>
                    </w:rPr>
                    <w:t>Ⅰ</w:t>
                  </w:r>
                </w:p>
              </w:tc>
              <w:tc>
                <w:tcPr>
                  <w:tcW w:w="458" w:type="pct"/>
                  <w:vAlign w:val="center"/>
                </w:tcPr>
                <w:p w14:paraId="64005EB1">
                  <w:pPr>
                    <w:jc w:val="center"/>
                    <w:rPr>
                      <w:color w:val="auto"/>
                      <w:szCs w:val="21"/>
                      <w:highlight w:val="none"/>
                    </w:rPr>
                  </w:pPr>
                  <w:r>
                    <w:rPr>
                      <w:color w:val="auto"/>
                      <w:szCs w:val="21"/>
                      <w:highlight w:val="none"/>
                    </w:rPr>
                    <w:t>Ⅱ</w:t>
                  </w:r>
                </w:p>
              </w:tc>
              <w:tc>
                <w:tcPr>
                  <w:tcW w:w="459" w:type="pct"/>
                  <w:vAlign w:val="center"/>
                </w:tcPr>
                <w:p w14:paraId="3A3EC52C">
                  <w:pPr>
                    <w:jc w:val="center"/>
                    <w:rPr>
                      <w:color w:val="auto"/>
                      <w:szCs w:val="21"/>
                      <w:highlight w:val="none"/>
                    </w:rPr>
                  </w:pPr>
                  <w:r>
                    <w:rPr>
                      <w:color w:val="auto"/>
                      <w:szCs w:val="21"/>
                      <w:highlight w:val="none"/>
                    </w:rPr>
                    <w:t>Ⅲ</w:t>
                  </w:r>
                </w:p>
              </w:tc>
              <w:tc>
                <w:tcPr>
                  <w:tcW w:w="458" w:type="pct"/>
                  <w:vAlign w:val="center"/>
                </w:tcPr>
                <w:p w14:paraId="4B33CB8D">
                  <w:pPr>
                    <w:jc w:val="center"/>
                    <w:rPr>
                      <w:color w:val="auto"/>
                      <w:szCs w:val="21"/>
                      <w:highlight w:val="none"/>
                    </w:rPr>
                  </w:pPr>
                  <w:r>
                    <w:rPr>
                      <w:color w:val="auto"/>
                      <w:szCs w:val="21"/>
                      <w:highlight w:val="none"/>
                    </w:rPr>
                    <w:t>Ⅰ</w:t>
                  </w:r>
                </w:p>
              </w:tc>
              <w:tc>
                <w:tcPr>
                  <w:tcW w:w="458" w:type="pct"/>
                  <w:vAlign w:val="center"/>
                </w:tcPr>
                <w:p w14:paraId="17EC1DCB">
                  <w:pPr>
                    <w:jc w:val="center"/>
                    <w:rPr>
                      <w:color w:val="auto"/>
                      <w:szCs w:val="21"/>
                      <w:highlight w:val="none"/>
                    </w:rPr>
                  </w:pPr>
                  <w:r>
                    <w:rPr>
                      <w:color w:val="auto"/>
                      <w:szCs w:val="21"/>
                      <w:highlight w:val="none"/>
                    </w:rPr>
                    <w:t>Ⅱ</w:t>
                  </w:r>
                </w:p>
              </w:tc>
              <w:tc>
                <w:tcPr>
                  <w:tcW w:w="459" w:type="pct"/>
                  <w:vAlign w:val="center"/>
                </w:tcPr>
                <w:p w14:paraId="4CFD9ABF">
                  <w:pPr>
                    <w:jc w:val="center"/>
                    <w:rPr>
                      <w:color w:val="auto"/>
                      <w:szCs w:val="21"/>
                      <w:highlight w:val="none"/>
                    </w:rPr>
                  </w:pPr>
                  <w:r>
                    <w:rPr>
                      <w:color w:val="auto"/>
                      <w:szCs w:val="21"/>
                      <w:highlight w:val="none"/>
                    </w:rPr>
                    <w:t>Ⅲ</w:t>
                  </w:r>
                </w:p>
              </w:tc>
              <w:tc>
                <w:tcPr>
                  <w:tcW w:w="458" w:type="pct"/>
                  <w:vAlign w:val="center"/>
                </w:tcPr>
                <w:p w14:paraId="2B2FC68C">
                  <w:pPr>
                    <w:jc w:val="center"/>
                    <w:rPr>
                      <w:color w:val="auto"/>
                      <w:szCs w:val="21"/>
                      <w:highlight w:val="none"/>
                    </w:rPr>
                  </w:pPr>
                  <w:r>
                    <w:rPr>
                      <w:color w:val="auto"/>
                      <w:szCs w:val="21"/>
                      <w:highlight w:val="none"/>
                    </w:rPr>
                    <w:t>Ⅰ</w:t>
                  </w:r>
                </w:p>
              </w:tc>
              <w:tc>
                <w:tcPr>
                  <w:tcW w:w="458" w:type="pct"/>
                  <w:vAlign w:val="center"/>
                </w:tcPr>
                <w:p w14:paraId="52076123">
                  <w:pPr>
                    <w:jc w:val="center"/>
                    <w:rPr>
                      <w:color w:val="auto"/>
                      <w:szCs w:val="21"/>
                      <w:highlight w:val="none"/>
                    </w:rPr>
                  </w:pPr>
                  <w:r>
                    <w:rPr>
                      <w:color w:val="auto"/>
                      <w:szCs w:val="21"/>
                      <w:highlight w:val="none"/>
                    </w:rPr>
                    <w:t>Ⅱ</w:t>
                  </w:r>
                </w:p>
              </w:tc>
              <w:tc>
                <w:tcPr>
                  <w:tcW w:w="461" w:type="pct"/>
                  <w:vAlign w:val="center"/>
                </w:tcPr>
                <w:p w14:paraId="4294C822">
                  <w:pPr>
                    <w:jc w:val="center"/>
                    <w:rPr>
                      <w:color w:val="auto"/>
                      <w:szCs w:val="21"/>
                      <w:highlight w:val="none"/>
                    </w:rPr>
                  </w:pPr>
                  <w:r>
                    <w:rPr>
                      <w:color w:val="auto"/>
                      <w:szCs w:val="21"/>
                      <w:highlight w:val="none"/>
                    </w:rPr>
                    <w:t>Ⅲ</w:t>
                  </w:r>
                </w:p>
              </w:tc>
            </w:tr>
            <w:tr w14:paraId="0DE92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3C36FB81">
                  <w:pPr>
                    <w:jc w:val="center"/>
                    <w:rPr>
                      <w:color w:val="auto"/>
                      <w:szCs w:val="21"/>
                      <w:highlight w:val="none"/>
                    </w:rPr>
                  </w:pPr>
                  <w:r>
                    <w:rPr>
                      <w:color w:val="auto"/>
                      <w:szCs w:val="21"/>
                      <w:highlight w:val="none"/>
                    </w:rPr>
                    <w:t>A</w:t>
                  </w:r>
                </w:p>
              </w:tc>
              <w:tc>
                <w:tcPr>
                  <w:tcW w:w="527" w:type="pct"/>
                  <w:vAlign w:val="center"/>
                </w:tcPr>
                <w:p w14:paraId="1353B426">
                  <w:pPr>
                    <w:jc w:val="center"/>
                    <w:rPr>
                      <w:color w:val="auto"/>
                      <w:szCs w:val="21"/>
                      <w:highlight w:val="none"/>
                    </w:rPr>
                  </w:pPr>
                  <w:r>
                    <w:rPr>
                      <w:color w:val="auto"/>
                      <w:szCs w:val="21"/>
                      <w:highlight w:val="none"/>
                    </w:rPr>
                    <w:t>＜2</w:t>
                  </w:r>
                </w:p>
              </w:tc>
              <w:tc>
                <w:tcPr>
                  <w:tcW w:w="458" w:type="pct"/>
                  <w:vAlign w:val="center"/>
                </w:tcPr>
                <w:p w14:paraId="16210896">
                  <w:pPr>
                    <w:jc w:val="center"/>
                    <w:rPr>
                      <w:color w:val="auto"/>
                      <w:szCs w:val="21"/>
                      <w:highlight w:val="none"/>
                    </w:rPr>
                  </w:pPr>
                  <w:r>
                    <w:rPr>
                      <w:color w:val="auto"/>
                      <w:szCs w:val="21"/>
                      <w:highlight w:val="none"/>
                    </w:rPr>
                    <w:t>400</w:t>
                  </w:r>
                </w:p>
              </w:tc>
              <w:tc>
                <w:tcPr>
                  <w:tcW w:w="458" w:type="pct"/>
                  <w:vAlign w:val="center"/>
                </w:tcPr>
                <w:p w14:paraId="6B03E59A">
                  <w:pPr>
                    <w:jc w:val="center"/>
                    <w:rPr>
                      <w:color w:val="auto"/>
                      <w:szCs w:val="21"/>
                      <w:highlight w:val="none"/>
                    </w:rPr>
                  </w:pPr>
                  <w:r>
                    <w:rPr>
                      <w:color w:val="auto"/>
                      <w:szCs w:val="21"/>
                      <w:highlight w:val="none"/>
                    </w:rPr>
                    <w:t>400</w:t>
                  </w:r>
                </w:p>
              </w:tc>
              <w:tc>
                <w:tcPr>
                  <w:tcW w:w="459" w:type="pct"/>
                  <w:vAlign w:val="center"/>
                </w:tcPr>
                <w:p w14:paraId="33C215FC">
                  <w:pPr>
                    <w:jc w:val="center"/>
                    <w:rPr>
                      <w:color w:val="auto"/>
                      <w:szCs w:val="21"/>
                      <w:highlight w:val="none"/>
                    </w:rPr>
                  </w:pPr>
                  <w:r>
                    <w:rPr>
                      <w:color w:val="auto"/>
                      <w:szCs w:val="21"/>
                      <w:highlight w:val="none"/>
                    </w:rPr>
                    <w:t>400</w:t>
                  </w:r>
                </w:p>
              </w:tc>
              <w:tc>
                <w:tcPr>
                  <w:tcW w:w="458" w:type="pct"/>
                  <w:vAlign w:val="center"/>
                </w:tcPr>
                <w:p w14:paraId="1BC6A672">
                  <w:pPr>
                    <w:jc w:val="center"/>
                    <w:rPr>
                      <w:color w:val="auto"/>
                      <w:szCs w:val="21"/>
                      <w:highlight w:val="none"/>
                    </w:rPr>
                  </w:pPr>
                  <w:r>
                    <w:rPr>
                      <w:color w:val="auto"/>
                      <w:szCs w:val="21"/>
                      <w:highlight w:val="none"/>
                    </w:rPr>
                    <w:t>400</w:t>
                  </w:r>
                </w:p>
              </w:tc>
              <w:tc>
                <w:tcPr>
                  <w:tcW w:w="458" w:type="pct"/>
                  <w:vAlign w:val="center"/>
                </w:tcPr>
                <w:p w14:paraId="04C23642">
                  <w:pPr>
                    <w:jc w:val="center"/>
                    <w:rPr>
                      <w:color w:val="auto"/>
                      <w:szCs w:val="21"/>
                      <w:highlight w:val="none"/>
                    </w:rPr>
                  </w:pPr>
                  <w:r>
                    <w:rPr>
                      <w:color w:val="auto"/>
                      <w:szCs w:val="21"/>
                      <w:highlight w:val="none"/>
                    </w:rPr>
                    <w:t>400</w:t>
                  </w:r>
                </w:p>
              </w:tc>
              <w:tc>
                <w:tcPr>
                  <w:tcW w:w="459" w:type="pct"/>
                  <w:vAlign w:val="center"/>
                </w:tcPr>
                <w:p w14:paraId="032262B3">
                  <w:pPr>
                    <w:jc w:val="center"/>
                    <w:rPr>
                      <w:color w:val="auto"/>
                      <w:szCs w:val="21"/>
                      <w:highlight w:val="none"/>
                    </w:rPr>
                  </w:pPr>
                  <w:r>
                    <w:rPr>
                      <w:color w:val="auto"/>
                      <w:szCs w:val="21"/>
                      <w:highlight w:val="none"/>
                    </w:rPr>
                    <w:t>400</w:t>
                  </w:r>
                </w:p>
              </w:tc>
              <w:tc>
                <w:tcPr>
                  <w:tcW w:w="458" w:type="pct"/>
                  <w:vAlign w:val="center"/>
                </w:tcPr>
                <w:p w14:paraId="5123FEF9">
                  <w:pPr>
                    <w:jc w:val="center"/>
                    <w:rPr>
                      <w:color w:val="auto"/>
                      <w:szCs w:val="21"/>
                      <w:highlight w:val="none"/>
                    </w:rPr>
                  </w:pPr>
                  <w:r>
                    <w:rPr>
                      <w:color w:val="auto"/>
                      <w:szCs w:val="21"/>
                      <w:highlight w:val="none"/>
                    </w:rPr>
                    <w:t>80</w:t>
                  </w:r>
                </w:p>
              </w:tc>
              <w:tc>
                <w:tcPr>
                  <w:tcW w:w="458" w:type="pct"/>
                  <w:vAlign w:val="center"/>
                </w:tcPr>
                <w:p w14:paraId="20885A16">
                  <w:pPr>
                    <w:jc w:val="center"/>
                    <w:rPr>
                      <w:color w:val="auto"/>
                      <w:szCs w:val="21"/>
                      <w:highlight w:val="none"/>
                    </w:rPr>
                  </w:pPr>
                  <w:r>
                    <w:rPr>
                      <w:color w:val="auto"/>
                      <w:szCs w:val="21"/>
                      <w:highlight w:val="none"/>
                    </w:rPr>
                    <w:t>80</w:t>
                  </w:r>
                </w:p>
              </w:tc>
              <w:tc>
                <w:tcPr>
                  <w:tcW w:w="461" w:type="pct"/>
                  <w:vAlign w:val="center"/>
                </w:tcPr>
                <w:p w14:paraId="0830C9BF">
                  <w:pPr>
                    <w:jc w:val="center"/>
                    <w:rPr>
                      <w:color w:val="auto"/>
                      <w:szCs w:val="21"/>
                      <w:highlight w:val="none"/>
                    </w:rPr>
                  </w:pPr>
                  <w:r>
                    <w:rPr>
                      <w:color w:val="auto"/>
                      <w:szCs w:val="21"/>
                      <w:highlight w:val="none"/>
                    </w:rPr>
                    <w:t>80</w:t>
                  </w:r>
                </w:p>
              </w:tc>
            </w:tr>
            <w:tr w14:paraId="2DB7B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5CE8A6FD">
                  <w:pPr>
                    <w:jc w:val="center"/>
                    <w:rPr>
                      <w:color w:val="auto"/>
                      <w:szCs w:val="21"/>
                      <w:highlight w:val="none"/>
                    </w:rPr>
                  </w:pPr>
                </w:p>
              </w:tc>
              <w:tc>
                <w:tcPr>
                  <w:tcW w:w="527" w:type="pct"/>
                  <w:vAlign w:val="center"/>
                </w:tcPr>
                <w:p w14:paraId="5E15D040">
                  <w:pPr>
                    <w:jc w:val="center"/>
                    <w:rPr>
                      <w:color w:val="auto"/>
                      <w:szCs w:val="21"/>
                      <w:highlight w:val="none"/>
                    </w:rPr>
                  </w:pPr>
                  <w:r>
                    <w:rPr>
                      <w:color w:val="auto"/>
                      <w:szCs w:val="21"/>
                      <w:highlight w:val="none"/>
                    </w:rPr>
                    <w:t>2～4</w:t>
                  </w:r>
                </w:p>
              </w:tc>
              <w:tc>
                <w:tcPr>
                  <w:tcW w:w="458" w:type="pct"/>
                  <w:vAlign w:val="center"/>
                </w:tcPr>
                <w:p w14:paraId="0C3D351B">
                  <w:pPr>
                    <w:jc w:val="center"/>
                    <w:rPr>
                      <w:color w:val="auto"/>
                      <w:szCs w:val="21"/>
                      <w:highlight w:val="none"/>
                    </w:rPr>
                  </w:pPr>
                  <w:r>
                    <w:rPr>
                      <w:color w:val="auto"/>
                      <w:szCs w:val="21"/>
                      <w:highlight w:val="none"/>
                    </w:rPr>
                    <w:t>700</w:t>
                  </w:r>
                </w:p>
              </w:tc>
              <w:tc>
                <w:tcPr>
                  <w:tcW w:w="458" w:type="pct"/>
                  <w:vAlign w:val="center"/>
                </w:tcPr>
                <w:p w14:paraId="020437E7">
                  <w:pPr>
                    <w:jc w:val="center"/>
                    <w:rPr>
                      <w:color w:val="auto"/>
                      <w:szCs w:val="21"/>
                      <w:highlight w:val="none"/>
                    </w:rPr>
                  </w:pPr>
                  <w:r>
                    <w:rPr>
                      <w:color w:val="auto"/>
                      <w:szCs w:val="21"/>
                      <w:highlight w:val="none"/>
                    </w:rPr>
                    <w:t>470</w:t>
                  </w:r>
                </w:p>
              </w:tc>
              <w:tc>
                <w:tcPr>
                  <w:tcW w:w="459" w:type="pct"/>
                  <w:vAlign w:val="center"/>
                </w:tcPr>
                <w:p w14:paraId="6E6BA6EB">
                  <w:pPr>
                    <w:jc w:val="center"/>
                    <w:rPr>
                      <w:color w:val="auto"/>
                      <w:szCs w:val="21"/>
                      <w:highlight w:val="none"/>
                    </w:rPr>
                  </w:pPr>
                  <w:r>
                    <w:rPr>
                      <w:color w:val="auto"/>
                      <w:szCs w:val="21"/>
                      <w:highlight w:val="none"/>
                    </w:rPr>
                    <w:t>350</w:t>
                  </w:r>
                </w:p>
              </w:tc>
              <w:tc>
                <w:tcPr>
                  <w:tcW w:w="458" w:type="pct"/>
                  <w:vAlign w:val="center"/>
                </w:tcPr>
                <w:p w14:paraId="3D6702D5">
                  <w:pPr>
                    <w:jc w:val="center"/>
                    <w:rPr>
                      <w:color w:val="auto"/>
                      <w:szCs w:val="21"/>
                      <w:highlight w:val="none"/>
                    </w:rPr>
                  </w:pPr>
                  <w:r>
                    <w:rPr>
                      <w:color w:val="auto"/>
                      <w:szCs w:val="21"/>
                      <w:highlight w:val="none"/>
                    </w:rPr>
                    <w:t>700</w:t>
                  </w:r>
                </w:p>
              </w:tc>
              <w:tc>
                <w:tcPr>
                  <w:tcW w:w="458" w:type="pct"/>
                  <w:vAlign w:val="center"/>
                </w:tcPr>
                <w:p w14:paraId="034137E2">
                  <w:pPr>
                    <w:jc w:val="center"/>
                    <w:rPr>
                      <w:color w:val="auto"/>
                      <w:szCs w:val="21"/>
                      <w:highlight w:val="none"/>
                    </w:rPr>
                  </w:pPr>
                  <w:r>
                    <w:rPr>
                      <w:color w:val="auto"/>
                      <w:szCs w:val="21"/>
                      <w:highlight w:val="none"/>
                    </w:rPr>
                    <w:t>470</w:t>
                  </w:r>
                </w:p>
              </w:tc>
              <w:tc>
                <w:tcPr>
                  <w:tcW w:w="459" w:type="pct"/>
                  <w:vAlign w:val="center"/>
                </w:tcPr>
                <w:p w14:paraId="20933E89">
                  <w:pPr>
                    <w:jc w:val="center"/>
                    <w:rPr>
                      <w:color w:val="auto"/>
                      <w:szCs w:val="21"/>
                      <w:highlight w:val="none"/>
                    </w:rPr>
                  </w:pPr>
                  <w:r>
                    <w:rPr>
                      <w:color w:val="auto"/>
                      <w:szCs w:val="21"/>
                      <w:highlight w:val="none"/>
                    </w:rPr>
                    <w:t>350</w:t>
                  </w:r>
                </w:p>
              </w:tc>
              <w:tc>
                <w:tcPr>
                  <w:tcW w:w="458" w:type="pct"/>
                  <w:vAlign w:val="center"/>
                </w:tcPr>
                <w:p w14:paraId="0B1C1B62">
                  <w:pPr>
                    <w:jc w:val="center"/>
                    <w:rPr>
                      <w:color w:val="auto"/>
                      <w:szCs w:val="21"/>
                      <w:highlight w:val="none"/>
                    </w:rPr>
                  </w:pPr>
                  <w:r>
                    <w:rPr>
                      <w:color w:val="auto"/>
                      <w:szCs w:val="21"/>
                      <w:highlight w:val="none"/>
                    </w:rPr>
                    <w:t>380</w:t>
                  </w:r>
                </w:p>
              </w:tc>
              <w:tc>
                <w:tcPr>
                  <w:tcW w:w="458" w:type="pct"/>
                  <w:vAlign w:val="center"/>
                </w:tcPr>
                <w:p w14:paraId="693B36E3">
                  <w:pPr>
                    <w:jc w:val="center"/>
                    <w:rPr>
                      <w:color w:val="auto"/>
                      <w:szCs w:val="21"/>
                      <w:highlight w:val="none"/>
                    </w:rPr>
                  </w:pPr>
                  <w:r>
                    <w:rPr>
                      <w:color w:val="auto"/>
                      <w:szCs w:val="21"/>
                      <w:highlight w:val="none"/>
                    </w:rPr>
                    <w:t>250</w:t>
                  </w:r>
                </w:p>
              </w:tc>
              <w:tc>
                <w:tcPr>
                  <w:tcW w:w="461" w:type="pct"/>
                  <w:vAlign w:val="center"/>
                </w:tcPr>
                <w:p w14:paraId="03FC95A0">
                  <w:pPr>
                    <w:jc w:val="center"/>
                    <w:rPr>
                      <w:color w:val="auto"/>
                      <w:szCs w:val="21"/>
                      <w:highlight w:val="none"/>
                    </w:rPr>
                  </w:pPr>
                  <w:r>
                    <w:rPr>
                      <w:color w:val="auto"/>
                      <w:szCs w:val="21"/>
                      <w:highlight w:val="none"/>
                    </w:rPr>
                    <w:t>190</w:t>
                  </w:r>
                </w:p>
              </w:tc>
            </w:tr>
            <w:tr w14:paraId="42F30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489A28D0">
                  <w:pPr>
                    <w:jc w:val="center"/>
                    <w:rPr>
                      <w:color w:val="auto"/>
                      <w:szCs w:val="21"/>
                      <w:highlight w:val="none"/>
                    </w:rPr>
                  </w:pPr>
                </w:p>
              </w:tc>
              <w:tc>
                <w:tcPr>
                  <w:tcW w:w="527" w:type="pct"/>
                  <w:vAlign w:val="center"/>
                </w:tcPr>
                <w:p w14:paraId="60E25D71">
                  <w:pPr>
                    <w:jc w:val="center"/>
                    <w:rPr>
                      <w:color w:val="auto"/>
                      <w:szCs w:val="21"/>
                      <w:highlight w:val="none"/>
                    </w:rPr>
                  </w:pPr>
                  <w:r>
                    <w:rPr>
                      <w:color w:val="auto"/>
                      <w:szCs w:val="21"/>
                      <w:highlight w:val="none"/>
                    </w:rPr>
                    <w:t>＞4</w:t>
                  </w:r>
                </w:p>
              </w:tc>
              <w:tc>
                <w:tcPr>
                  <w:tcW w:w="458" w:type="pct"/>
                  <w:vAlign w:val="center"/>
                </w:tcPr>
                <w:p w14:paraId="3CC400BC">
                  <w:pPr>
                    <w:jc w:val="center"/>
                    <w:rPr>
                      <w:color w:val="auto"/>
                      <w:szCs w:val="21"/>
                      <w:highlight w:val="none"/>
                    </w:rPr>
                  </w:pPr>
                  <w:r>
                    <w:rPr>
                      <w:color w:val="auto"/>
                      <w:szCs w:val="21"/>
                      <w:highlight w:val="none"/>
                    </w:rPr>
                    <w:t>530</w:t>
                  </w:r>
                </w:p>
              </w:tc>
              <w:tc>
                <w:tcPr>
                  <w:tcW w:w="458" w:type="pct"/>
                  <w:vAlign w:val="center"/>
                </w:tcPr>
                <w:p w14:paraId="6FD8B416">
                  <w:pPr>
                    <w:jc w:val="center"/>
                    <w:rPr>
                      <w:color w:val="auto"/>
                      <w:szCs w:val="21"/>
                      <w:highlight w:val="none"/>
                    </w:rPr>
                  </w:pPr>
                  <w:r>
                    <w:rPr>
                      <w:color w:val="auto"/>
                      <w:szCs w:val="21"/>
                      <w:highlight w:val="none"/>
                    </w:rPr>
                    <w:t>350</w:t>
                  </w:r>
                </w:p>
              </w:tc>
              <w:tc>
                <w:tcPr>
                  <w:tcW w:w="459" w:type="pct"/>
                  <w:vAlign w:val="center"/>
                </w:tcPr>
                <w:p w14:paraId="65C1C7F4">
                  <w:pPr>
                    <w:jc w:val="center"/>
                    <w:rPr>
                      <w:color w:val="auto"/>
                      <w:szCs w:val="21"/>
                      <w:highlight w:val="none"/>
                    </w:rPr>
                  </w:pPr>
                  <w:r>
                    <w:rPr>
                      <w:color w:val="auto"/>
                      <w:szCs w:val="21"/>
                      <w:highlight w:val="none"/>
                    </w:rPr>
                    <w:t>260</w:t>
                  </w:r>
                </w:p>
              </w:tc>
              <w:tc>
                <w:tcPr>
                  <w:tcW w:w="458" w:type="pct"/>
                  <w:vAlign w:val="center"/>
                </w:tcPr>
                <w:p w14:paraId="0A1130F6">
                  <w:pPr>
                    <w:jc w:val="center"/>
                    <w:rPr>
                      <w:color w:val="auto"/>
                      <w:szCs w:val="21"/>
                      <w:highlight w:val="none"/>
                    </w:rPr>
                  </w:pPr>
                  <w:r>
                    <w:rPr>
                      <w:color w:val="auto"/>
                      <w:szCs w:val="21"/>
                      <w:highlight w:val="none"/>
                    </w:rPr>
                    <w:t>530</w:t>
                  </w:r>
                </w:p>
              </w:tc>
              <w:tc>
                <w:tcPr>
                  <w:tcW w:w="458" w:type="pct"/>
                  <w:vAlign w:val="center"/>
                </w:tcPr>
                <w:p w14:paraId="5C7C46F0">
                  <w:pPr>
                    <w:jc w:val="center"/>
                    <w:rPr>
                      <w:color w:val="auto"/>
                      <w:szCs w:val="21"/>
                      <w:highlight w:val="none"/>
                    </w:rPr>
                  </w:pPr>
                  <w:r>
                    <w:rPr>
                      <w:color w:val="auto"/>
                      <w:szCs w:val="21"/>
                      <w:highlight w:val="none"/>
                    </w:rPr>
                    <w:t>350</w:t>
                  </w:r>
                </w:p>
              </w:tc>
              <w:tc>
                <w:tcPr>
                  <w:tcW w:w="459" w:type="pct"/>
                  <w:vAlign w:val="center"/>
                </w:tcPr>
                <w:p w14:paraId="55F9E1D8">
                  <w:pPr>
                    <w:jc w:val="center"/>
                    <w:rPr>
                      <w:color w:val="auto"/>
                      <w:szCs w:val="21"/>
                      <w:highlight w:val="none"/>
                    </w:rPr>
                  </w:pPr>
                  <w:r>
                    <w:rPr>
                      <w:color w:val="auto"/>
                      <w:szCs w:val="21"/>
                      <w:highlight w:val="none"/>
                    </w:rPr>
                    <w:t>260</w:t>
                  </w:r>
                </w:p>
              </w:tc>
              <w:tc>
                <w:tcPr>
                  <w:tcW w:w="458" w:type="pct"/>
                  <w:vAlign w:val="center"/>
                </w:tcPr>
                <w:p w14:paraId="3CB12A0F">
                  <w:pPr>
                    <w:jc w:val="center"/>
                    <w:rPr>
                      <w:color w:val="auto"/>
                      <w:szCs w:val="21"/>
                      <w:highlight w:val="none"/>
                    </w:rPr>
                  </w:pPr>
                  <w:r>
                    <w:rPr>
                      <w:color w:val="auto"/>
                      <w:szCs w:val="21"/>
                      <w:highlight w:val="none"/>
                    </w:rPr>
                    <w:t>290</w:t>
                  </w:r>
                </w:p>
              </w:tc>
              <w:tc>
                <w:tcPr>
                  <w:tcW w:w="458" w:type="pct"/>
                  <w:vAlign w:val="center"/>
                </w:tcPr>
                <w:p w14:paraId="0DBF7266">
                  <w:pPr>
                    <w:jc w:val="center"/>
                    <w:rPr>
                      <w:color w:val="auto"/>
                      <w:szCs w:val="21"/>
                      <w:highlight w:val="none"/>
                    </w:rPr>
                  </w:pPr>
                  <w:r>
                    <w:rPr>
                      <w:color w:val="auto"/>
                      <w:szCs w:val="21"/>
                      <w:highlight w:val="none"/>
                    </w:rPr>
                    <w:t>190</w:t>
                  </w:r>
                </w:p>
              </w:tc>
              <w:tc>
                <w:tcPr>
                  <w:tcW w:w="461" w:type="pct"/>
                  <w:vAlign w:val="center"/>
                </w:tcPr>
                <w:p w14:paraId="6F17020D">
                  <w:pPr>
                    <w:jc w:val="center"/>
                    <w:rPr>
                      <w:color w:val="auto"/>
                      <w:szCs w:val="21"/>
                      <w:highlight w:val="none"/>
                    </w:rPr>
                  </w:pPr>
                  <w:r>
                    <w:rPr>
                      <w:color w:val="auto"/>
                      <w:szCs w:val="21"/>
                      <w:highlight w:val="none"/>
                    </w:rPr>
                    <w:t>140</w:t>
                  </w:r>
                </w:p>
              </w:tc>
            </w:tr>
            <w:tr w14:paraId="0F0D5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5B1726A0">
                  <w:pPr>
                    <w:jc w:val="center"/>
                    <w:rPr>
                      <w:color w:val="auto"/>
                      <w:szCs w:val="21"/>
                      <w:highlight w:val="none"/>
                    </w:rPr>
                  </w:pPr>
                  <w:r>
                    <w:rPr>
                      <w:color w:val="auto"/>
                      <w:szCs w:val="21"/>
                      <w:highlight w:val="none"/>
                    </w:rPr>
                    <w:t>B</w:t>
                  </w:r>
                </w:p>
              </w:tc>
              <w:tc>
                <w:tcPr>
                  <w:tcW w:w="527" w:type="pct"/>
                  <w:vAlign w:val="center"/>
                </w:tcPr>
                <w:p w14:paraId="5EAC2DAE">
                  <w:pPr>
                    <w:jc w:val="center"/>
                    <w:rPr>
                      <w:color w:val="auto"/>
                      <w:szCs w:val="21"/>
                      <w:highlight w:val="none"/>
                    </w:rPr>
                  </w:pPr>
                  <w:r>
                    <w:rPr>
                      <w:color w:val="auto"/>
                      <w:szCs w:val="21"/>
                      <w:highlight w:val="none"/>
                    </w:rPr>
                    <w:t>＜2</w:t>
                  </w:r>
                </w:p>
              </w:tc>
              <w:tc>
                <w:tcPr>
                  <w:tcW w:w="1377" w:type="pct"/>
                  <w:gridSpan w:val="3"/>
                  <w:vAlign w:val="center"/>
                </w:tcPr>
                <w:p w14:paraId="4A97D459">
                  <w:pPr>
                    <w:jc w:val="center"/>
                    <w:rPr>
                      <w:color w:val="auto"/>
                      <w:szCs w:val="21"/>
                      <w:highlight w:val="none"/>
                    </w:rPr>
                  </w:pPr>
                  <w:r>
                    <w:rPr>
                      <w:color w:val="auto"/>
                      <w:szCs w:val="21"/>
                      <w:highlight w:val="none"/>
                    </w:rPr>
                    <w:t>0.01</w:t>
                  </w:r>
                </w:p>
              </w:tc>
              <w:tc>
                <w:tcPr>
                  <w:tcW w:w="1377" w:type="pct"/>
                  <w:gridSpan w:val="3"/>
                  <w:vAlign w:val="center"/>
                </w:tcPr>
                <w:p w14:paraId="75EF73F2">
                  <w:pPr>
                    <w:jc w:val="center"/>
                    <w:rPr>
                      <w:color w:val="auto"/>
                      <w:szCs w:val="21"/>
                      <w:highlight w:val="none"/>
                    </w:rPr>
                  </w:pPr>
                  <w:r>
                    <w:rPr>
                      <w:color w:val="auto"/>
                      <w:szCs w:val="21"/>
                      <w:highlight w:val="none"/>
                    </w:rPr>
                    <w:t>0.015</w:t>
                  </w:r>
                </w:p>
              </w:tc>
              <w:tc>
                <w:tcPr>
                  <w:tcW w:w="1378" w:type="pct"/>
                  <w:gridSpan w:val="3"/>
                  <w:vAlign w:val="center"/>
                </w:tcPr>
                <w:p w14:paraId="4A49BA33">
                  <w:pPr>
                    <w:jc w:val="center"/>
                    <w:rPr>
                      <w:color w:val="auto"/>
                      <w:szCs w:val="21"/>
                      <w:highlight w:val="none"/>
                    </w:rPr>
                  </w:pPr>
                  <w:r>
                    <w:rPr>
                      <w:color w:val="auto"/>
                      <w:szCs w:val="21"/>
                      <w:highlight w:val="none"/>
                    </w:rPr>
                    <w:t>0.015</w:t>
                  </w:r>
                </w:p>
              </w:tc>
            </w:tr>
            <w:tr w14:paraId="38BBC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1D9D3EDE">
                  <w:pPr>
                    <w:jc w:val="center"/>
                    <w:rPr>
                      <w:color w:val="auto"/>
                      <w:szCs w:val="21"/>
                      <w:highlight w:val="none"/>
                    </w:rPr>
                  </w:pPr>
                </w:p>
              </w:tc>
              <w:tc>
                <w:tcPr>
                  <w:tcW w:w="527" w:type="pct"/>
                  <w:vAlign w:val="center"/>
                </w:tcPr>
                <w:p w14:paraId="7D499561">
                  <w:pPr>
                    <w:jc w:val="center"/>
                    <w:rPr>
                      <w:color w:val="auto"/>
                      <w:szCs w:val="21"/>
                      <w:highlight w:val="none"/>
                    </w:rPr>
                  </w:pPr>
                  <w:r>
                    <w:rPr>
                      <w:color w:val="auto"/>
                      <w:szCs w:val="21"/>
                      <w:highlight w:val="none"/>
                    </w:rPr>
                    <w:t>＞2</w:t>
                  </w:r>
                </w:p>
              </w:tc>
              <w:tc>
                <w:tcPr>
                  <w:tcW w:w="1377" w:type="pct"/>
                  <w:gridSpan w:val="3"/>
                  <w:vAlign w:val="center"/>
                </w:tcPr>
                <w:p w14:paraId="33A9115C">
                  <w:pPr>
                    <w:jc w:val="center"/>
                    <w:rPr>
                      <w:color w:val="auto"/>
                      <w:szCs w:val="21"/>
                      <w:highlight w:val="none"/>
                    </w:rPr>
                  </w:pPr>
                  <w:r>
                    <w:rPr>
                      <w:color w:val="auto"/>
                      <w:szCs w:val="21"/>
                      <w:highlight w:val="none"/>
                    </w:rPr>
                    <w:t>0.021</w:t>
                  </w:r>
                </w:p>
              </w:tc>
              <w:tc>
                <w:tcPr>
                  <w:tcW w:w="1377" w:type="pct"/>
                  <w:gridSpan w:val="3"/>
                  <w:vAlign w:val="center"/>
                </w:tcPr>
                <w:p w14:paraId="674708BF">
                  <w:pPr>
                    <w:jc w:val="center"/>
                    <w:rPr>
                      <w:color w:val="auto"/>
                      <w:szCs w:val="21"/>
                      <w:highlight w:val="none"/>
                    </w:rPr>
                  </w:pPr>
                  <w:r>
                    <w:rPr>
                      <w:color w:val="auto"/>
                      <w:szCs w:val="21"/>
                      <w:highlight w:val="none"/>
                    </w:rPr>
                    <w:t>0.036</w:t>
                  </w:r>
                </w:p>
              </w:tc>
              <w:tc>
                <w:tcPr>
                  <w:tcW w:w="1378" w:type="pct"/>
                  <w:gridSpan w:val="3"/>
                  <w:vAlign w:val="center"/>
                </w:tcPr>
                <w:p w14:paraId="666426F8">
                  <w:pPr>
                    <w:jc w:val="center"/>
                    <w:rPr>
                      <w:color w:val="auto"/>
                      <w:szCs w:val="21"/>
                      <w:highlight w:val="none"/>
                    </w:rPr>
                  </w:pPr>
                  <w:r>
                    <w:rPr>
                      <w:color w:val="auto"/>
                      <w:szCs w:val="21"/>
                      <w:highlight w:val="none"/>
                    </w:rPr>
                    <w:t>0.036</w:t>
                  </w:r>
                </w:p>
              </w:tc>
            </w:tr>
            <w:tr w14:paraId="49060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3DF19170">
                  <w:pPr>
                    <w:jc w:val="center"/>
                    <w:rPr>
                      <w:color w:val="auto"/>
                      <w:szCs w:val="21"/>
                      <w:highlight w:val="none"/>
                    </w:rPr>
                  </w:pPr>
                  <w:r>
                    <w:rPr>
                      <w:color w:val="auto"/>
                      <w:szCs w:val="21"/>
                      <w:highlight w:val="none"/>
                    </w:rPr>
                    <w:t>C</w:t>
                  </w:r>
                </w:p>
              </w:tc>
              <w:tc>
                <w:tcPr>
                  <w:tcW w:w="527" w:type="pct"/>
                  <w:vAlign w:val="center"/>
                </w:tcPr>
                <w:p w14:paraId="5D60A813">
                  <w:pPr>
                    <w:jc w:val="center"/>
                    <w:rPr>
                      <w:color w:val="auto"/>
                      <w:szCs w:val="21"/>
                      <w:highlight w:val="none"/>
                    </w:rPr>
                  </w:pPr>
                  <w:r>
                    <w:rPr>
                      <w:color w:val="auto"/>
                      <w:szCs w:val="21"/>
                      <w:highlight w:val="none"/>
                    </w:rPr>
                    <w:t>＜2</w:t>
                  </w:r>
                </w:p>
              </w:tc>
              <w:tc>
                <w:tcPr>
                  <w:tcW w:w="1377" w:type="pct"/>
                  <w:gridSpan w:val="3"/>
                  <w:vAlign w:val="center"/>
                </w:tcPr>
                <w:p w14:paraId="39210C68">
                  <w:pPr>
                    <w:jc w:val="center"/>
                    <w:rPr>
                      <w:color w:val="auto"/>
                      <w:szCs w:val="21"/>
                      <w:highlight w:val="none"/>
                    </w:rPr>
                  </w:pPr>
                  <w:r>
                    <w:rPr>
                      <w:color w:val="auto"/>
                      <w:szCs w:val="21"/>
                      <w:highlight w:val="none"/>
                    </w:rPr>
                    <w:t>1.85</w:t>
                  </w:r>
                </w:p>
              </w:tc>
              <w:tc>
                <w:tcPr>
                  <w:tcW w:w="1377" w:type="pct"/>
                  <w:gridSpan w:val="3"/>
                  <w:vAlign w:val="center"/>
                </w:tcPr>
                <w:p w14:paraId="71094E76">
                  <w:pPr>
                    <w:jc w:val="center"/>
                    <w:rPr>
                      <w:color w:val="auto"/>
                      <w:szCs w:val="21"/>
                      <w:highlight w:val="none"/>
                    </w:rPr>
                  </w:pPr>
                  <w:r>
                    <w:rPr>
                      <w:color w:val="auto"/>
                      <w:szCs w:val="21"/>
                      <w:highlight w:val="none"/>
                    </w:rPr>
                    <w:t>1.79</w:t>
                  </w:r>
                </w:p>
              </w:tc>
              <w:tc>
                <w:tcPr>
                  <w:tcW w:w="1378" w:type="pct"/>
                  <w:gridSpan w:val="3"/>
                  <w:vAlign w:val="center"/>
                </w:tcPr>
                <w:p w14:paraId="0E103593">
                  <w:pPr>
                    <w:jc w:val="center"/>
                    <w:rPr>
                      <w:color w:val="auto"/>
                      <w:szCs w:val="21"/>
                      <w:highlight w:val="none"/>
                    </w:rPr>
                  </w:pPr>
                  <w:r>
                    <w:rPr>
                      <w:color w:val="auto"/>
                      <w:szCs w:val="21"/>
                      <w:highlight w:val="none"/>
                    </w:rPr>
                    <w:t>1.79</w:t>
                  </w:r>
                </w:p>
              </w:tc>
            </w:tr>
            <w:tr w14:paraId="74954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5844A596">
                  <w:pPr>
                    <w:jc w:val="center"/>
                    <w:rPr>
                      <w:color w:val="auto"/>
                      <w:szCs w:val="21"/>
                      <w:highlight w:val="none"/>
                    </w:rPr>
                  </w:pPr>
                </w:p>
              </w:tc>
              <w:tc>
                <w:tcPr>
                  <w:tcW w:w="527" w:type="pct"/>
                  <w:vAlign w:val="center"/>
                </w:tcPr>
                <w:p w14:paraId="136D3341">
                  <w:pPr>
                    <w:jc w:val="center"/>
                    <w:rPr>
                      <w:color w:val="auto"/>
                      <w:szCs w:val="21"/>
                      <w:highlight w:val="none"/>
                    </w:rPr>
                  </w:pPr>
                  <w:r>
                    <w:rPr>
                      <w:color w:val="auto"/>
                      <w:szCs w:val="21"/>
                      <w:highlight w:val="none"/>
                    </w:rPr>
                    <w:t>＞2</w:t>
                  </w:r>
                </w:p>
              </w:tc>
              <w:tc>
                <w:tcPr>
                  <w:tcW w:w="1377" w:type="pct"/>
                  <w:gridSpan w:val="3"/>
                  <w:vAlign w:val="center"/>
                </w:tcPr>
                <w:p w14:paraId="7E8115A6">
                  <w:pPr>
                    <w:jc w:val="center"/>
                    <w:rPr>
                      <w:color w:val="auto"/>
                      <w:szCs w:val="21"/>
                      <w:highlight w:val="none"/>
                    </w:rPr>
                  </w:pPr>
                  <w:r>
                    <w:rPr>
                      <w:color w:val="auto"/>
                      <w:szCs w:val="21"/>
                      <w:highlight w:val="none"/>
                    </w:rPr>
                    <w:t>1.85</w:t>
                  </w:r>
                </w:p>
              </w:tc>
              <w:tc>
                <w:tcPr>
                  <w:tcW w:w="1377" w:type="pct"/>
                  <w:gridSpan w:val="3"/>
                  <w:vAlign w:val="center"/>
                </w:tcPr>
                <w:p w14:paraId="67656247">
                  <w:pPr>
                    <w:jc w:val="center"/>
                    <w:rPr>
                      <w:color w:val="auto"/>
                      <w:szCs w:val="21"/>
                      <w:highlight w:val="none"/>
                    </w:rPr>
                  </w:pPr>
                  <w:r>
                    <w:rPr>
                      <w:color w:val="auto"/>
                      <w:szCs w:val="21"/>
                      <w:highlight w:val="none"/>
                    </w:rPr>
                    <w:t>1.77</w:t>
                  </w:r>
                </w:p>
              </w:tc>
              <w:tc>
                <w:tcPr>
                  <w:tcW w:w="1378" w:type="pct"/>
                  <w:gridSpan w:val="3"/>
                  <w:vAlign w:val="center"/>
                </w:tcPr>
                <w:p w14:paraId="0FF627FC">
                  <w:pPr>
                    <w:jc w:val="center"/>
                    <w:rPr>
                      <w:color w:val="auto"/>
                      <w:szCs w:val="21"/>
                      <w:highlight w:val="none"/>
                    </w:rPr>
                  </w:pPr>
                  <w:r>
                    <w:rPr>
                      <w:color w:val="auto"/>
                      <w:szCs w:val="21"/>
                      <w:highlight w:val="none"/>
                    </w:rPr>
                    <w:t>1.77</w:t>
                  </w:r>
                </w:p>
              </w:tc>
            </w:tr>
            <w:tr w14:paraId="42044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723EE611">
                  <w:pPr>
                    <w:jc w:val="center"/>
                    <w:rPr>
                      <w:color w:val="auto"/>
                      <w:szCs w:val="21"/>
                      <w:highlight w:val="none"/>
                    </w:rPr>
                  </w:pPr>
                  <w:r>
                    <w:rPr>
                      <w:color w:val="auto"/>
                      <w:szCs w:val="21"/>
                      <w:highlight w:val="none"/>
                    </w:rPr>
                    <w:t>D</w:t>
                  </w:r>
                </w:p>
              </w:tc>
              <w:tc>
                <w:tcPr>
                  <w:tcW w:w="527" w:type="pct"/>
                  <w:vAlign w:val="center"/>
                </w:tcPr>
                <w:p w14:paraId="51ADE620">
                  <w:pPr>
                    <w:jc w:val="center"/>
                    <w:rPr>
                      <w:color w:val="auto"/>
                      <w:szCs w:val="21"/>
                      <w:highlight w:val="none"/>
                    </w:rPr>
                  </w:pPr>
                  <w:r>
                    <w:rPr>
                      <w:color w:val="auto"/>
                      <w:szCs w:val="21"/>
                      <w:highlight w:val="none"/>
                    </w:rPr>
                    <w:t>＜2</w:t>
                  </w:r>
                </w:p>
              </w:tc>
              <w:tc>
                <w:tcPr>
                  <w:tcW w:w="1377" w:type="pct"/>
                  <w:gridSpan w:val="3"/>
                  <w:vAlign w:val="center"/>
                </w:tcPr>
                <w:p w14:paraId="21DD11FC">
                  <w:pPr>
                    <w:jc w:val="center"/>
                    <w:rPr>
                      <w:color w:val="auto"/>
                      <w:szCs w:val="21"/>
                      <w:highlight w:val="none"/>
                    </w:rPr>
                  </w:pPr>
                  <w:r>
                    <w:rPr>
                      <w:color w:val="auto"/>
                      <w:szCs w:val="21"/>
                      <w:highlight w:val="none"/>
                    </w:rPr>
                    <w:t>0.78</w:t>
                  </w:r>
                </w:p>
              </w:tc>
              <w:tc>
                <w:tcPr>
                  <w:tcW w:w="1377" w:type="pct"/>
                  <w:gridSpan w:val="3"/>
                  <w:vAlign w:val="center"/>
                </w:tcPr>
                <w:p w14:paraId="51E16AFC">
                  <w:pPr>
                    <w:jc w:val="center"/>
                    <w:rPr>
                      <w:color w:val="auto"/>
                      <w:szCs w:val="21"/>
                      <w:highlight w:val="none"/>
                    </w:rPr>
                  </w:pPr>
                  <w:r>
                    <w:rPr>
                      <w:color w:val="auto"/>
                      <w:szCs w:val="21"/>
                      <w:highlight w:val="none"/>
                    </w:rPr>
                    <w:t>0.78</w:t>
                  </w:r>
                </w:p>
              </w:tc>
              <w:tc>
                <w:tcPr>
                  <w:tcW w:w="1378" w:type="pct"/>
                  <w:gridSpan w:val="3"/>
                  <w:vAlign w:val="center"/>
                </w:tcPr>
                <w:p w14:paraId="755C4011">
                  <w:pPr>
                    <w:jc w:val="center"/>
                    <w:rPr>
                      <w:color w:val="auto"/>
                      <w:szCs w:val="21"/>
                      <w:highlight w:val="none"/>
                    </w:rPr>
                  </w:pPr>
                  <w:r>
                    <w:rPr>
                      <w:color w:val="auto"/>
                      <w:szCs w:val="21"/>
                      <w:highlight w:val="none"/>
                    </w:rPr>
                    <w:t>0.57</w:t>
                  </w:r>
                </w:p>
              </w:tc>
            </w:tr>
            <w:tr w14:paraId="0B329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689B7693">
                  <w:pPr>
                    <w:jc w:val="center"/>
                    <w:rPr>
                      <w:color w:val="auto"/>
                      <w:szCs w:val="21"/>
                      <w:highlight w:val="none"/>
                    </w:rPr>
                  </w:pPr>
                </w:p>
              </w:tc>
              <w:tc>
                <w:tcPr>
                  <w:tcW w:w="527" w:type="pct"/>
                  <w:vAlign w:val="center"/>
                </w:tcPr>
                <w:p w14:paraId="72DF9200">
                  <w:pPr>
                    <w:jc w:val="center"/>
                    <w:rPr>
                      <w:color w:val="auto"/>
                      <w:szCs w:val="21"/>
                      <w:highlight w:val="none"/>
                    </w:rPr>
                  </w:pPr>
                  <w:r>
                    <w:rPr>
                      <w:color w:val="auto"/>
                      <w:szCs w:val="21"/>
                      <w:highlight w:val="none"/>
                    </w:rPr>
                    <w:t>＞2</w:t>
                  </w:r>
                </w:p>
              </w:tc>
              <w:tc>
                <w:tcPr>
                  <w:tcW w:w="1377" w:type="pct"/>
                  <w:gridSpan w:val="3"/>
                  <w:vAlign w:val="center"/>
                </w:tcPr>
                <w:p w14:paraId="49496627">
                  <w:pPr>
                    <w:jc w:val="center"/>
                    <w:rPr>
                      <w:color w:val="auto"/>
                      <w:szCs w:val="21"/>
                      <w:highlight w:val="none"/>
                    </w:rPr>
                  </w:pPr>
                  <w:r>
                    <w:rPr>
                      <w:color w:val="auto"/>
                      <w:szCs w:val="21"/>
                      <w:highlight w:val="none"/>
                    </w:rPr>
                    <w:t>0.84</w:t>
                  </w:r>
                </w:p>
              </w:tc>
              <w:tc>
                <w:tcPr>
                  <w:tcW w:w="1377" w:type="pct"/>
                  <w:gridSpan w:val="3"/>
                  <w:vAlign w:val="center"/>
                </w:tcPr>
                <w:p w14:paraId="01589514">
                  <w:pPr>
                    <w:jc w:val="center"/>
                    <w:rPr>
                      <w:color w:val="auto"/>
                      <w:szCs w:val="21"/>
                      <w:highlight w:val="none"/>
                    </w:rPr>
                  </w:pPr>
                  <w:r>
                    <w:rPr>
                      <w:color w:val="auto"/>
                      <w:szCs w:val="21"/>
                      <w:highlight w:val="none"/>
                    </w:rPr>
                    <w:t>0.84</w:t>
                  </w:r>
                </w:p>
              </w:tc>
              <w:tc>
                <w:tcPr>
                  <w:tcW w:w="1378" w:type="pct"/>
                  <w:gridSpan w:val="3"/>
                  <w:vAlign w:val="center"/>
                </w:tcPr>
                <w:p w14:paraId="580611B8">
                  <w:pPr>
                    <w:jc w:val="center"/>
                    <w:rPr>
                      <w:color w:val="auto"/>
                      <w:szCs w:val="21"/>
                      <w:highlight w:val="none"/>
                    </w:rPr>
                  </w:pPr>
                  <w:r>
                    <w:rPr>
                      <w:color w:val="auto"/>
                      <w:szCs w:val="21"/>
                      <w:highlight w:val="none"/>
                    </w:rPr>
                    <w:t>0.76</w:t>
                  </w:r>
                </w:p>
              </w:tc>
            </w:tr>
          </w:tbl>
          <w:p w14:paraId="031F3676">
            <w:pPr>
              <w:adjustRightInd w:val="0"/>
              <w:snapToGrid w:val="0"/>
              <w:spacing w:before="120" w:beforeLines="50" w:line="360" w:lineRule="auto"/>
              <w:ind w:firstLine="480" w:firstLineChars="200"/>
              <w:rPr>
                <w:color w:val="auto"/>
                <w:sz w:val="24"/>
                <w:highlight w:val="none"/>
              </w:rPr>
            </w:pPr>
            <w:r>
              <w:rPr>
                <w:color w:val="auto"/>
                <w:sz w:val="24"/>
                <w:highlight w:val="none"/>
              </w:rPr>
              <w:t>本项目主要无组织排放大气污染物为</w:t>
            </w:r>
            <w:r>
              <w:rPr>
                <w:rFonts w:hint="eastAsia"/>
                <w:color w:val="auto"/>
                <w:sz w:val="24"/>
                <w:highlight w:val="none"/>
                <w:lang w:eastAsia="zh-Hans"/>
              </w:rPr>
              <w:t>二甲苯、</w:t>
            </w:r>
            <w:r>
              <w:rPr>
                <w:rFonts w:hint="eastAsia"/>
                <w:color w:val="auto"/>
                <w:sz w:val="24"/>
                <w:highlight w:val="none"/>
              </w:rPr>
              <w:t>VOCs</w:t>
            </w:r>
            <w:r>
              <w:rPr>
                <w:rFonts w:hint="eastAsia"/>
                <w:color w:val="auto"/>
                <w:sz w:val="24"/>
                <w:highlight w:val="none"/>
                <w:lang w:eastAsia="zh-Hans"/>
              </w:rPr>
              <w:t>（含二甲苯）</w:t>
            </w:r>
            <w:r>
              <w:rPr>
                <w:color w:val="auto"/>
                <w:sz w:val="24"/>
                <w:highlight w:val="none"/>
              </w:rPr>
              <w:t>、颗粒物，</w:t>
            </w:r>
            <w:r>
              <w:rPr>
                <w:rFonts w:hint="eastAsia"/>
                <w:color w:val="auto"/>
                <w:sz w:val="24"/>
                <w:highlight w:val="none"/>
              </w:rPr>
              <w:t>进行卫生防护距离初值计算。计算结果见表 4-</w:t>
            </w:r>
            <w:r>
              <w:rPr>
                <w:color w:val="auto"/>
                <w:sz w:val="24"/>
                <w:highlight w:val="none"/>
              </w:rPr>
              <w:t>10</w:t>
            </w:r>
            <w:r>
              <w:rPr>
                <w:rFonts w:hint="eastAsia"/>
                <w:color w:val="auto"/>
                <w:sz w:val="24"/>
                <w:highlight w:val="none"/>
              </w:rPr>
              <w:t>。</w:t>
            </w:r>
          </w:p>
          <w:p w14:paraId="085D413C">
            <w:pPr>
              <w:snapToGrid w:val="0"/>
              <w:jc w:val="center"/>
              <w:rPr>
                <w:b/>
                <w:color w:val="auto"/>
                <w:sz w:val="24"/>
                <w:highlight w:val="none"/>
              </w:rPr>
            </w:pPr>
            <w:r>
              <w:rPr>
                <w:b/>
                <w:color w:val="auto"/>
                <w:sz w:val="24"/>
                <w:highlight w:val="none"/>
              </w:rPr>
              <w:t>表</w:t>
            </w:r>
            <w:r>
              <w:rPr>
                <w:rFonts w:hint="eastAsia"/>
                <w:b/>
                <w:color w:val="auto"/>
                <w:sz w:val="24"/>
                <w:highlight w:val="none"/>
              </w:rPr>
              <w:t>4</w:t>
            </w:r>
            <w:r>
              <w:rPr>
                <w:b/>
                <w:color w:val="auto"/>
                <w:sz w:val="24"/>
                <w:highlight w:val="none"/>
              </w:rPr>
              <w:t xml:space="preserve">-10   </w:t>
            </w:r>
            <w:r>
              <w:rPr>
                <w:rFonts w:hint="eastAsia"/>
                <w:b/>
                <w:color w:val="auto"/>
                <w:sz w:val="24"/>
                <w:highlight w:val="none"/>
                <w:lang w:val="en-US" w:eastAsia="zh-Hans"/>
              </w:rPr>
              <w:t>本项目</w:t>
            </w:r>
            <w:r>
              <w:rPr>
                <w:b/>
                <w:color w:val="auto"/>
                <w:sz w:val="24"/>
                <w:highlight w:val="none"/>
              </w:rPr>
              <w:t>排放气体的卫生防护距离</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54"/>
              <w:gridCol w:w="1587"/>
              <w:gridCol w:w="1259"/>
              <w:gridCol w:w="954"/>
              <w:gridCol w:w="716"/>
              <w:gridCol w:w="861"/>
              <w:gridCol w:w="861"/>
              <w:gridCol w:w="646"/>
              <w:gridCol w:w="972"/>
              <w:gridCol w:w="933"/>
            </w:tblGrid>
            <w:tr w14:paraId="7FB29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09" w:type="pct"/>
                  <w:vAlign w:val="center"/>
                </w:tcPr>
                <w:p w14:paraId="13E092A6">
                  <w:pPr>
                    <w:ind w:right="6"/>
                    <w:jc w:val="center"/>
                    <w:rPr>
                      <w:b/>
                      <w:color w:val="auto"/>
                      <w:szCs w:val="21"/>
                      <w:highlight w:val="none"/>
                    </w:rPr>
                  </w:pPr>
                  <w:r>
                    <w:rPr>
                      <w:b/>
                      <w:color w:val="auto"/>
                      <w:szCs w:val="21"/>
                      <w:highlight w:val="none"/>
                    </w:rPr>
                    <w:t>位置</w:t>
                  </w:r>
                </w:p>
              </w:tc>
              <w:tc>
                <w:tcPr>
                  <w:tcW w:w="774" w:type="pct"/>
                  <w:vAlign w:val="center"/>
                </w:tcPr>
                <w:p w14:paraId="0A2D0CE1">
                  <w:pPr>
                    <w:ind w:right="6"/>
                    <w:jc w:val="center"/>
                    <w:rPr>
                      <w:b/>
                      <w:color w:val="auto"/>
                      <w:szCs w:val="21"/>
                      <w:highlight w:val="none"/>
                    </w:rPr>
                  </w:pPr>
                  <w:r>
                    <w:rPr>
                      <w:b/>
                      <w:color w:val="auto"/>
                      <w:szCs w:val="21"/>
                      <w:highlight w:val="none"/>
                    </w:rPr>
                    <w:t>污染物名称</w:t>
                  </w:r>
                </w:p>
              </w:tc>
              <w:tc>
                <w:tcPr>
                  <w:tcW w:w="614" w:type="pct"/>
                  <w:vAlign w:val="center"/>
                </w:tcPr>
                <w:p w14:paraId="0CA7B688">
                  <w:pPr>
                    <w:ind w:right="6"/>
                    <w:jc w:val="center"/>
                    <w:rPr>
                      <w:b/>
                      <w:color w:val="auto"/>
                      <w:szCs w:val="21"/>
                      <w:highlight w:val="none"/>
                    </w:rPr>
                  </w:pPr>
                  <w:r>
                    <w:rPr>
                      <w:b/>
                      <w:color w:val="auto"/>
                      <w:szCs w:val="21"/>
                      <w:highlight w:val="none"/>
                    </w:rPr>
                    <w:t>Qc</w:t>
                  </w:r>
                </w:p>
                <w:p w14:paraId="2AEDB8F5">
                  <w:pPr>
                    <w:ind w:right="6"/>
                    <w:jc w:val="center"/>
                    <w:rPr>
                      <w:b/>
                      <w:color w:val="auto"/>
                      <w:szCs w:val="21"/>
                      <w:highlight w:val="none"/>
                    </w:rPr>
                  </w:pPr>
                  <w:r>
                    <w:rPr>
                      <w:b/>
                      <w:color w:val="auto"/>
                      <w:szCs w:val="21"/>
                      <w:highlight w:val="none"/>
                    </w:rPr>
                    <w:t>（kg/h）</w:t>
                  </w:r>
                </w:p>
              </w:tc>
              <w:tc>
                <w:tcPr>
                  <w:tcW w:w="465" w:type="pct"/>
                  <w:vAlign w:val="center"/>
                </w:tcPr>
                <w:p w14:paraId="48AF072B">
                  <w:pPr>
                    <w:ind w:right="6"/>
                    <w:jc w:val="center"/>
                    <w:rPr>
                      <w:b/>
                      <w:color w:val="auto"/>
                      <w:szCs w:val="21"/>
                      <w:highlight w:val="none"/>
                      <w:vertAlign w:val="subscript"/>
                    </w:rPr>
                  </w:pPr>
                  <w:r>
                    <w:rPr>
                      <w:b/>
                      <w:color w:val="auto"/>
                      <w:szCs w:val="21"/>
                      <w:highlight w:val="none"/>
                    </w:rPr>
                    <w:t>C</w:t>
                  </w:r>
                  <w:r>
                    <w:rPr>
                      <w:b/>
                      <w:color w:val="auto"/>
                      <w:szCs w:val="21"/>
                      <w:highlight w:val="none"/>
                      <w:vertAlign w:val="subscript"/>
                    </w:rPr>
                    <w:t>m</w:t>
                  </w:r>
                </w:p>
                <w:p w14:paraId="2621A7D8">
                  <w:pPr>
                    <w:ind w:right="6"/>
                    <w:jc w:val="center"/>
                    <w:rPr>
                      <w:b/>
                      <w:color w:val="auto"/>
                      <w:szCs w:val="21"/>
                      <w:highlight w:val="none"/>
                    </w:rPr>
                  </w:pPr>
                  <w:r>
                    <w:rPr>
                      <w:b/>
                      <w:color w:val="auto"/>
                      <w:szCs w:val="21"/>
                      <w:highlight w:val="none"/>
                    </w:rPr>
                    <w:t>(mg/m</w:t>
                  </w:r>
                  <w:r>
                    <w:rPr>
                      <w:b/>
                      <w:color w:val="auto"/>
                      <w:szCs w:val="21"/>
                      <w:highlight w:val="none"/>
                      <w:vertAlign w:val="superscript"/>
                    </w:rPr>
                    <w:t>3</w:t>
                  </w:r>
                  <w:r>
                    <w:rPr>
                      <w:b/>
                      <w:color w:val="auto"/>
                      <w:szCs w:val="21"/>
                      <w:highlight w:val="none"/>
                    </w:rPr>
                    <w:t>)</w:t>
                  </w:r>
                </w:p>
              </w:tc>
              <w:tc>
                <w:tcPr>
                  <w:tcW w:w="349" w:type="pct"/>
                  <w:vAlign w:val="center"/>
                </w:tcPr>
                <w:p w14:paraId="11691C01">
                  <w:pPr>
                    <w:ind w:right="6"/>
                    <w:jc w:val="center"/>
                    <w:rPr>
                      <w:b/>
                      <w:color w:val="auto"/>
                      <w:szCs w:val="21"/>
                      <w:highlight w:val="none"/>
                    </w:rPr>
                  </w:pPr>
                  <w:r>
                    <w:rPr>
                      <w:b/>
                      <w:color w:val="auto"/>
                      <w:szCs w:val="21"/>
                      <w:highlight w:val="none"/>
                    </w:rPr>
                    <w:t>A</w:t>
                  </w:r>
                </w:p>
              </w:tc>
              <w:tc>
                <w:tcPr>
                  <w:tcW w:w="420" w:type="pct"/>
                  <w:vAlign w:val="center"/>
                </w:tcPr>
                <w:p w14:paraId="2BDF4465">
                  <w:pPr>
                    <w:ind w:right="6"/>
                    <w:jc w:val="center"/>
                    <w:rPr>
                      <w:b/>
                      <w:color w:val="auto"/>
                      <w:szCs w:val="21"/>
                      <w:highlight w:val="none"/>
                    </w:rPr>
                  </w:pPr>
                  <w:r>
                    <w:rPr>
                      <w:b/>
                      <w:color w:val="auto"/>
                      <w:szCs w:val="21"/>
                      <w:highlight w:val="none"/>
                    </w:rPr>
                    <w:t>B</w:t>
                  </w:r>
                </w:p>
              </w:tc>
              <w:tc>
                <w:tcPr>
                  <w:tcW w:w="420" w:type="pct"/>
                  <w:vAlign w:val="center"/>
                </w:tcPr>
                <w:p w14:paraId="6B1365E6">
                  <w:pPr>
                    <w:ind w:right="6"/>
                    <w:jc w:val="center"/>
                    <w:rPr>
                      <w:b/>
                      <w:color w:val="auto"/>
                      <w:szCs w:val="21"/>
                      <w:highlight w:val="none"/>
                    </w:rPr>
                  </w:pPr>
                  <w:r>
                    <w:rPr>
                      <w:b/>
                      <w:color w:val="auto"/>
                      <w:szCs w:val="21"/>
                      <w:highlight w:val="none"/>
                    </w:rPr>
                    <w:t>C</w:t>
                  </w:r>
                </w:p>
              </w:tc>
              <w:tc>
                <w:tcPr>
                  <w:tcW w:w="315" w:type="pct"/>
                  <w:vAlign w:val="center"/>
                </w:tcPr>
                <w:p w14:paraId="57AC775D">
                  <w:pPr>
                    <w:ind w:right="6"/>
                    <w:jc w:val="center"/>
                    <w:rPr>
                      <w:b/>
                      <w:color w:val="auto"/>
                      <w:szCs w:val="21"/>
                      <w:highlight w:val="none"/>
                    </w:rPr>
                  </w:pPr>
                  <w:r>
                    <w:rPr>
                      <w:b/>
                      <w:color w:val="auto"/>
                      <w:szCs w:val="21"/>
                      <w:highlight w:val="none"/>
                    </w:rPr>
                    <w:t>D</w:t>
                  </w:r>
                </w:p>
              </w:tc>
              <w:tc>
                <w:tcPr>
                  <w:tcW w:w="474" w:type="pct"/>
                  <w:vAlign w:val="center"/>
                </w:tcPr>
                <w:p w14:paraId="59DA0A7C">
                  <w:pPr>
                    <w:ind w:right="6"/>
                    <w:jc w:val="center"/>
                    <w:rPr>
                      <w:b/>
                      <w:color w:val="auto"/>
                      <w:szCs w:val="21"/>
                      <w:highlight w:val="none"/>
                    </w:rPr>
                  </w:pPr>
                  <w:r>
                    <w:rPr>
                      <w:b/>
                      <w:color w:val="auto"/>
                      <w:szCs w:val="21"/>
                      <w:highlight w:val="none"/>
                    </w:rPr>
                    <w:t>L</w:t>
                  </w:r>
                  <w:r>
                    <w:rPr>
                      <w:b/>
                      <w:color w:val="auto"/>
                      <w:szCs w:val="21"/>
                      <w:highlight w:val="none"/>
                      <w:vertAlign w:val="subscript"/>
                    </w:rPr>
                    <w:t>计</w:t>
                  </w:r>
                  <w:r>
                    <w:rPr>
                      <w:b/>
                      <w:color w:val="auto"/>
                      <w:szCs w:val="21"/>
                      <w:highlight w:val="none"/>
                    </w:rPr>
                    <w:t>(m)</w:t>
                  </w:r>
                </w:p>
              </w:tc>
              <w:tc>
                <w:tcPr>
                  <w:tcW w:w="455" w:type="pct"/>
                  <w:vAlign w:val="center"/>
                </w:tcPr>
                <w:p w14:paraId="1663B98F">
                  <w:pPr>
                    <w:ind w:right="6"/>
                    <w:jc w:val="center"/>
                    <w:rPr>
                      <w:b/>
                      <w:color w:val="auto"/>
                      <w:szCs w:val="21"/>
                      <w:highlight w:val="none"/>
                    </w:rPr>
                  </w:pPr>
                  <w:r>
                    <w:rPr>
                      <w:b/>
                      <w:color w:val="auto"/>
                      <w:szCs w:val="21"/>
                      <w:highlight w:val="none"/>
                    </w:rPr>
                    <w:t>L(m)</w:t>
                  </w:r>
                </w:p>
              </w:tc>
            </w:tr>
            <w:tr w14:paraId="0CA8E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09" w:type="pct"/>
                  <w:vMerge w:val="restart"/>
                  <w:vAlign w:val="center"/>
                </w:tcPr>
                <w:p w14:paraId="0AC12008">
                  <w:pPr>
                    <w:adjustRightInd w:val="0"/>
                    <w:snapToGrid w:val="0"/>
                    <w:jc w:val="center"/>
                    <w:rPr>
                      <w:color w:val="auto"/>
                      <w:szCs w:val="21"/>
                      <w:highlight w:val="none"/>
                    </w:rPr>
                  </w:pPr>
                  <w:r>
                    <w:rPr>
                      <w:rFonts w:hint="eastAsia"/>
                      <w:color w:val="auto"/>
                      <w:szCs w:val="21"/>
                      <w:highlight w:val="none"/>
                    </w:rPr>
                    <w:t>生产车间</w:t>
                  </w:r>
                </w:p>
              </w:tc>
              <w:tc>
                <w:tcPr>
                  <w:tcW w:w="1385" w:type="dxa"/>
                  <w:vAlign w:val="center"/>
                </w:tcPr>
                <w:p w14:paraId="46FB671B">
                  <w:pPr>
                    <w:widowControl/>
                    <w:jc w:val="center"/>
                    <w:textAlignment w:val="center"/>
                    <w:rPr>
                      <w:color w:val="auto"/>
                      <w:kern w:val="0"/>
                      <w:szCs w:val="21"/>
                      <w:highlight w:val="none"/>
                      <w:lang w:bidi="ar"/>
                    </w:rPr>
                  </w:pPr>
                  <w:r>
                    <w:rPr>
                      <w:rFonts w:hint="eastAsia"/>
                      <w:color w:val="auto"/>
                      <w:kern w:val="0"/>
                      <w:szCs w:val="21"/>
                      <w:highlight w:val="none"/>
                      <w:lang w:eastAsia="zh-Hans" w:bidi="ar"/>
                    </w:rPr>
                    <w:t>二甲苯</w:t>
                  </w:r>
                </w:p>
              </w:tc>
              <w:tc>
                <w:tcPr>
                  <w:tcW w:w="1099" w:type="dxa"/>
                  <w:vAlign w:val="center"/>
                </w:tcPr>
                <w:p w14:paraId="1EEA8102">
                  <w:pPr>
                    <w:adjustRightInd w:val="0"/>
                    <w:snapToGrid w:val="0"/>
                    <w:jc w:val="center"/>
                    <w:rPr>
                      <w:color w:val="auto"/>
                      <w:szCs w:val="21"/>
                      <w:highlight w:val="none"/>
                    </w:rPr>
                  </w:pPr>
                  <w:r>
                    <w:rPr>
                      <w:color w:val="auto"/>
                      <w:szCs w:val="21"/>
                      <w:highlight w:val="none"/>
                    </w:rPr>
                    <w:t>0.00002</w:t>
                  </w:r>
                </w:p>
              </w:tc>
              <w:tc>
                <w:tcPr>
                  <w:tcW w:w="832" w:type="dxa"/>
                  <w:vAlign w:val="center"/>
                </w:tcPr>
                <w:p w14:paraId="54313B7F">
                  <w:pPr>
                    <w:jc w:val="center"/>
                    <w:rPr>
                      <w:color w:val="auto"/>
                      <w:szCs w:val="21"/>
                      <w:highlight w:val="none"/>
                    </w:rPr>
                  </w:pPr>
                  <w:r>
                    <w:rPr>
                      <w:color w:val="auto"/>
                      <w:szCs w:val="21"/>
                      <w:highlight w:val="none"/>
                    </w:rPr>
                    <w:t>0.2</w:t>
                  </w:r>
                </w:p>
              </w:tc>
              <w:tc>
                <w:tcPr>
                  <w:tcW w:w="349" w:type="pct"/>
                  <w:vAlign w:val="center"/>
                </w:tcPr>
                <w:p w14:paraId="345BAD29">
                  <w:pPr>
                    <w:spacing w:line="280" w:lineRule="exact"/>
                    <w:jc w:val="center"/>
                    <w:rPr>
                      <w:color w:val="auto"/>
                      <w:szCs w:val="21"/>
                      <w:highlight w:val="none"/>
                    </w:rPr>
                  </w:pPr>
                  <w:r>
                    <w:rPr>
                      <w:color w:val="auto"/>
                      <w:szCs w:val="21"/>
                      <w:highlight w:val="none"/>
                    </w:rPr>
                    <w:t>470</w:t>
                  </w:r>
                </w:p>
              </w:tc>
              <w:tc>
                <w:tcPr>
                  <w:tcW w:w="420" w:type="pct"/>
                  <w:vAlign w:val="center"/>
                </w:tcPr>
                <w:p w14:paraId="76576B65">
                  <w:pPr>
                    <w:spacing w:line="280" w:lineRule="exact"/>
                    <w:jc w:val="center"/>
                    <w:rPr>
                      <w:color w:val="auto"/>
                      <w:szCs w:val="21"/>
                      <w:highlight w:val="none"/>
                    </w:rPr>
                  </w:pPr>
                  <w:r>
                    <w:rPr>
                      <w:color w:val="auto"/>
                      <w:szCs w:val="21"/>
                      <w:highlight w:val="none"/>
                    </w:rPr>
                    <w:t>0.021</w:t>
                  </w:r>
                </w:p>
              </w:tc>
              <w:tc>
                <w:tcPr>
                  <w:tcW w:w="420" w:type="pct"/>
                  <w:vAlign w:val="center"/>
                </w:tcPr>
                <w:p w14:paraId="613CAE6E">
                  <w:pPr>
                    <w:spacing w:line="280" w:lineRule="exact"/>
                    <w:jc w:val="center"/>
                    <w:rPr>
                      <w:color w:val="auto"/>
                      <w:szCs w:val="21"/>
                      <w:highlight w:val="none"/>
                    </w:rPr>
                  </w:pPr>
                  <w:r>
                    <w:rPr>
                      <w:color w:val="auto"/>
                      <w:szCs w:val="21"/>
                      <w:highlight w:val="none"/>
                    </w:rPr>
                    <w:t>1.85</w:t>
                  </w:r>
                </w:p>
              </w:tc>
              <w:tc>
                <w:tcPr>
                  <w:tcW w:w="315" w:type="pct"/>
                  <w:vAlign w:val="center"/>
                </w:tcPr>
                <w:p w14:paraId="4A98E0B2">
                  <w:pPr>
                    <w:spacing w:line="280" w:lineRule="exact"/>
                    <w:jc w:val="center"/>
                    <w:rPr>
                      <w:color w:val="auto"/>
                      <w:szCs w:val="21"/>
                      <w:highlight w:val="none"/>
                    </w:rPr>
                  </w:pPr>
                  <w:r>
                    <w:rPr>
                      <w:color w:val="auto"/>
                      <w:szCs w:val="21"/>
                      <w:highlight w:val="none"/>
                    </w:rPr>
                    <w:t>0.84</w:t>
                  </w:r>
                </w:p>
              </w:tc>
              <w:tc>
                <w:tcPr>
                  <w:tcW w:w="848" w:type="dxa"/>
                  <w:vAlign w:val="center"/>
                </w:tcPr>
                <w:p w14:paraId="37AD8542">
                  <w:pPr>
                    <w:jc w:val="center"/>
                    <w:rPr>
                      <w:color w:val="auto"/>
                      <w:highlight w:val="none"/>
                    </w:rPr>
                  </w:pPr>
                  <w:r>
                    <w:rPr>
                      <w:color w:val="auto"/>
                      <w:szCs w:val="21"/>
                      <w:highlight w:val="none"/>
                    </w:rPr>
                    <w:t>0.004</w:t>
                  </w:r>
                </w:p>
              </w:tc>
              <w:tc>
                <w:tcPr>
                  <w:tcW w:w="455" w:type="pct"/>
                  <w:vAlign w:val="center"/>
                </w:tcPr>
                <w:p w14:paraId="5BCE9B7F">
                  <w:pPr>
                    <w:jc w:val="center"/>
                    <w:rPr>
                      <w:color w:val="auto"/>
                      <w:szCs w:val="21"/>
                      <w:highlight w:val="none"/>
                    </w:rPr>
                  </w:pPr>
                  <w:r>
                    <w:rPr>
                      <w:rFonts w:hint="eastAsia"/>
                      <w:color w:val="auto"/>
                      <w:szCs w:val="21"/>
                      <w:highlight w:val="none"/>
                    </w:rPr>
                    <w:t>50</w:t>
                  </w:r>
                </w:p>
              </w:tc>
            </w:tr>
            <w:tr w14:paraId="6E8DC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09" w:type="pct"/>
                  <w:vMerge w:val="continue"/>
                  <w:vAlign w:val="center"/>
                </w:tcPr>
                <w:p w14:paraId="6BE37FF4">
                  <w:pPr>
                    <w:adjustRightInd w:val="0"/>
                    <w:snapToGrid w:val="0"/>
                    <w:jc w:val="center"/>
                    <w:rPr>
                      <w:color w:val="auto"/>
                      <w:szCs w:val="21"/>
                      <w:highlight w:val="none"/>
                    </w:rPr>
                  </w:pPr>
                </w:p>
              </w:tc>
              <w:tc>
                <w:tcPr>
                  <w:tcW w:w="1385" w:type="dxa"/>
                  <w:vAlign w:val="center"/>
                </w:tcPr>
                <w:p w14:paraId="373360EA">
                  <w:pPr>
                    <w:widowControl/>
                    <w:jc w:val="center"/>
                    <w:textAlignment w:val="center"/>
                    <w:rPr>
                      <w:color w:val="auto"/>
                      <w:kern w:val="0"/>
                      <w:szCs w:val="21"/>
                      <w:highlight w:val="none"/>
                      <w:lang w:bidi="ar"/>
                    </w:rPr>
                  </w:pPr>
                  <w:r>
                    <w:rPr>
                      <w:rFonts w:hint="eastAsia"/>
                      <w:color w:val="auto"/>
                      <w:kern w:val="0"/>
                      <w:szCs w:val="21"/>
                      <w:highlight w:val="none"/>
                      <w:lang w:bidi="ar"/>
                    </w:rPr>
                    <w:t>VOCs</w:t>
                  </w:r>
                  <w:r>
                    <w:rPr>
                      <w:rFonts w:hint="eastAsia"/>
                      <w:color w:val="auto"/>
                      <w:kern w:val="0"/>
                      <w:szCs w:val="21"/>
                      <w:highlight w:val="none"/>
                      <w:lang w:eastAsia="zh-Hans" w:bidi="ar"/>
                    </w:rPr>
                    <w:t>（含二甲苯）</w:t>
                  </w:r>
                </w:p>
              </w:tc>
              <w:tc>
                <w:tcPr>
                  <w:tcW w:w="1099" w:type="dxa"/>
                  <w:vAlign w:val="center"/>
                </w:tcPr>
                <w:p w14:paraId="120178B3">
                  <w:pPr>
                    <w:adjustRightInd w:val="0"/>
                    <w:snapToGrid w:val="0"/>
                    <w:jc w:val="center"/>
                    <w:rPr>
                      <w:color w:val="auto"/>
                      <w:szCs w:val="21"/>
                      <w:highlight w:val="none"/>
                    </w:rPr>
                  </w:pPr>
                  <w:r>
                    <w:rPr>
                      <w:color w:val="auto"/>
                      <w:szCs w:val="21"/>
                      <w:highlight w:val="none"/>
                    </w:rPr>
                    <w:t>0.0124</w:t>
                  </w:r>
                </w:p>
              </w:tc>
              <w:tc>
                <w:tcPr>
                  <w:tcW w:w="832" w:type="dxa"/>
                  <w:vAlign w:val="center"/>
                </w:tcPr>
                <w:p w14:paraId="0E66719D">
                  <w:pPr>
                    <w:jc w:val="center"/>
                    <w:rPr>
                      <w:color w:val="auto"/>
                      <w:szCs w:val="21"/>
                      <w:highlight w:val="none"/>
                    </w:rPr>
                  </w:pPr>
                  <w:r>
                    <w:rPr>
                      <w:rFonts w:hint="eastAsia"/>
                      <w:color w:val="auto"/>
                      <w:szCs w:val="21"/>
                      <w:highlight w:val="none"/>
                    </w:rPr>
                    <w:t>1.2</w:t>
                  </w:r>
                </w:p>
              </w:tc>
              <w:tc>
                <w:tcPr>
                  <w:tcW w:w="624" w:type="dxa"/>
                  <w:vAlign w:val="center"/>
                </w:tcPr>
                <w:p w14:paraId="13C5DF1B">
                  <w:pPr>
                    <w:spacing w:line="280" w:lineRule="exact"/>
                    <w:jc w:val="center"/>
                    <w:rPr>
                      <w:color w:val="auto"/>
                      <w:szCs w:val="21"/>
                      <w:highlight w:val="none"/>
                    </w:rPr>
                  </w:pPr>
                  <w:r>
                    <w:rPr>
                      <w:color w:val="auto"/>
                      <w:szCs w:val="21"/>
                      <w:highlight w:val="none"/>
                    </w:rPr>
                    <w:t>470</w:t>
                  </w:r>
                </w:p>
              </w:tc>
              <w:tc>
                <w:tcPr>
                  <w:tcW w:w="751" w:type="dxa"/>
                  <w:vAlign w:val="center"/>
                </w:tcPr>
                <w:p w14:paraId="4D9E35A9">
                  <w:pPr>
                    <w:spacing w:line="280" w:lineRule="exact"/>
                    <w:jc w:val="center"/>
                    <w:rPr>
                      <w:color w:val="auto"/>
                      <w:szCs w:val="21"/>
                      <w:highlight w:val="none"/>
                    </w:rPr>
                  </w:pPr>
                  <w:r>
                    <w:rPr>
                      <w:color w:val="auto"/>
                      <w:szCs w:val="21"/>
                      <w:highlight w:val="none"/>
                    </w:rPr>
                    <w:t>0.021</w:t>
                  </w:r>
                </w:p>
              </w:tc>
              <w:tc>
                <w:tcPr>
                  <w:tcW w:w="751" w:type="dxa"/>
                  <w:vAlign w:val="center"/>
                </w:tcPr>
                <w:p w14:paraId="1C1D1D34">
                  <w:pPr>
                    <w:spacing w:line="280" w:lineRule="exact"/>
                    <w:jc w:val="center"/>
                    <w:rPr>
                      <w:color w:val="auto"/>
                      <w:szCs w:val="21"/>
                      <w:highlight w:val="none"/>
                    </w:rPr>
                  </w:pPr>
                  <w:r>
                    <w:rPr>
                      <w:color w:val="auto"/>
                      <w:szCs w:val="21"/>
                      <w:highlight w:val="none"/>
                    </w:rPr>
                    <w:t>1.85</w:t>
                  </w:r>
                </w:p>
              </w:tc>
              <w:tc>
                <w:tcPr>
                  <w:tcW w:w="564" w:type="dxa"/>
                  <w:vAlign w:val="center"/>
                </w:tcPr>
                <w:p w14:paraId="40705C6F">
                  <w:pPr>
                    <w:spacing w:line="280" w:lineRule="exact"/>
                    <w:jc w:val="center"/>
                    <w:rPr>
                      <w:color w:val="auto"/>
                      <w:szCs w:val="21"/>
                      <w:highlight w:val="none"/>
                    </w:rPr>
                  </w:pPr>
                  <w:r>
                    <w:rPr>
                      <w:color w:val="auto"/>
                      <w:szCs w:val="21"/>
                      <w:highlight w:val="none"/>
                    </w:rPr>
                    <w:t>0.84</w:t>
                  </w:r>
                </w:p>
              </w:tc>
              <w:tc>
                <w:tcPr>
                  <w:tcW w:w="848" w:type="dxa"/>
                  <w:vAlign w:val="center"/>
                </w:tcPr>
                <w:p w14:paraId="6FE7C8D5">
                  <w:pPr>
                    <w:jc w:val="center"/>
                    <w:rPr>
                      <w:color w:val="auto"/>
                      <w:highlight w:val="none"/>
                    </w:rPr>
                  </w:pPr>
                  <w:r>
                    <w:rPr>
                      <w:rFonts w:hint="default"/>
                      <w:color w:val="auto"/>
                      <w:szCs w:val="21"/>
                      <w:highlight w:val="none"/>
                    </w:rPr>
                    <w:t>0.0</w:t>
                  </w:r>
                  <w:r>
                    <w:rPr>
                      <w:color w:val="auto"/>
                      <w:szCs w:val="21"/>
                      <w:highlight w:val="none"/>
                    </w:rPr>
                    <w:t>66</w:t>
                  </w:r>
                </w:p>
              </w:tc>
              <w:tc>
                <w:tcPr>
                  <w:tcW w:w="455" w:type="pct"/>
                  <w:vAlign w:val="center"/>
                </w:tcPr>
                <w:p w14:paraId="659E52F8">
                  <w:pPr>
                    <w:jc w:val="center"/>
                    <w:rPr>
                      <w:color w:val="auto"/>
                      <w:szCs w:val="21"/>
                      <w:highlight w:val="none"/>
                    </w:rPr>
                  </w:pPr>
                  <w:r>
                    <w:rPr>
                      <w:color w:val="auto"/>
                      <w:szCs w:val="21"/>
                      <w:highlight w:val="none"/>
                    </w:rPr>
                    <w:t>50</w:t>
                  </w:r>
                </w:p>
              </w:tc>
            </w:tr>
            <w:tr w14:paraId="65C07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09" w:type="pct"/>
                  <w:vMerge w:val="continue"/>
                  <w:vAlign w:val="center"/>
                </w:tcPr>
                <w:p w14:paraId="4DF51929">
                  <w:pPr>
                    <w:adjustRightInd w:val="0"/>
                    <w:snapToGrid w:val="0"/>
                    <w:jc w:val="center"/>
                    <w:rPr>
                      <w:color w:val="auto"/>
                      <w:szCs w:val="21"/>
                      <w:highlight w:val="none"/>
                    </w:rPr>
                  </w:pPr>
                </w:p>
              </w:tc>
              <w:tc>
                <w:tcPr>
                  <w:tcW w:w="1385" w:type="dxa"/>
                  <w:vAlign w:val="center"/>
                </w:tcPr>
                <w:p w14:paraId="4D8A6E23">
                  <w:pPr>
                    <w:widowControl/>
                    <w:jc w:val="center"/>
                    <w:textAlignment w:val="center"/>
                    <w:rPr>
                      <w:color w:val="auto"/>
                      <w:kern w:val="0"/>
                      <w:szCs w:val="21"/>
                      <w:highlight w:val="none"/>
                      <w:lang w:bidi="ar"/>
                    </w:rPr>
                  </w:pPr>
                  <w:r>
                    <w:rPr>
                      <w:rFonts w:hint="eastAsia"/>
                      <w:color w:val="auto"/>
                      <w:kern w:val="0"/>
                      <w:szCs w:val="21"/>
                      <w:highlight w:val="none"/>
                      <w:lang w:bidi="ar"/>
                    </w:rPr>
                    <w:t>颗粒物</w:t>
                  </w:r>
                </w:p>
              </w:tc>
              <w:tc>
                <w:tcPr>
                  <w:tcW w:w="1099" w:type="dxa"/>
                  <w:vAlign w:val="center"/>
                </w:tcPr>
                <w:p w14:paraId="30DEAD76">
                  <w:pPr>
                    <w:adjustRightInd w:val="0"/>
                    <w:snapToGrid w:val="0"/>
                    <w:jc w:val="center"/>
                    <w:rPr>
                      <w:color w:val="auto"/>
                      <w:szCs w:val="21"/>
                      <w:highlight w:val="none"/>
                    </w:rPr>
                  </w:pPr>
                  <w:r>
                    <w:rPr>
                      <w:rFonts w:hint="eastAsia"/>
                      <w:color w:val="auto"/>
                      <w:szCs w:val="21"/>
                      <w:highlight w:val="none"/>
                    </w:rPr>
                    <w:t>0.</w:t>
                  </w:r>
                  <w:r>
                    <w:rPr>
                      <w:color w:val="auto"/>
                      <w:szCs w:val="21"/>
                      <w:highlight w:val="none"/>
                    </w:rPr>
                    <w:t>0783</w:t>
                  </w:r>
                </w:p>
              </w:tc>
              <w:tc>
                <w:tcPr>
                  <w:tcW w:w="832" w:type="dxa"/>
                  <w:vAlign w:val="center"/>
                </w:tcPr>
                <w:p w14:paraId="2B9248CF">
                  <w:pPr>
                    <w:jc w:val="center"/>
                    <w:rPr>
                      <w:color w:val="auto"/>
                      <w:szCs w:val="21"/>
                      <w:highlight w:val="none"/>
                    </w:rPr>
                  </w:pPr>
                  <w:r>
                    <w:rPr>
                      <w:rFonts w:hint="eastAsia"/>
                      <w:color w:val="auto"/>
                      <w:szCs w:val="21"/>
                      <w:highlight w:val="none"/>
                    </w:rPr>
                    <w:t>0.45</w:t>
                  </w:r>
                </w:p>
              </w:tc>
              <w:tc>
                <w:tcPr>
                  <w:tcW w:w="624" w:type="dxa"/>
                  <w:vAlign w:val="center"/>
                </w:tcPr>
                <w:p w14:paraId="02EAE500">
                  <w:pPr>
                    <w:spacing w:line="280" w:lineRule="exact"/>
                    <w:jc w:val="center"/>
                    <w:rPr>
                      <w:color w:val="auto"/>
                      <w:szCs w:val="21"/>
                      <w:highlight w:val="none"/>
                    </w:rPr>
                  </w:pPr>
                  <w:r>
                    <w:rPr>
                      <w:color w:val="auto"/>
                      <w:szCs w:val="21"/>
                      <w:highlight w:val="none"/>
                    </w:rPr>
                    <w:t>470</w:t>
                  </w:r>
                </w:p>
              </w:tc>
              <w:tc>
                <w:tcPr>
                  <w:tcW w:w="751" w:type="dxa"/>
                  <w:vAlign w:val="center"/>
                </w:tcPr>
                <w:p w14:paraId="404FFCA3">
                  <w:pPr>
                    <w:spacing w:line="280" w:lineRule="exact"/>
                    <w:jc w:val="center"/>
                    <w:rPr>
                      <w:color w:val="auto"/>
                      <w:szCs w:val="21"/>
                      <w:highlight w:val="none"/>
                    </w:rPr>
                  </w:pPr>
                  <w:r>
                    <w:rPr>
                      <w:color w:val="auto"/>
                      <w:szCs w:val="21"/>
                      <w:highlight w:val="none"/>
                    </w:rPr>
                    <w:t>0.021</w:t>
                  </w:r>
                </w:p>
              </w:tc>
              <w:tc>
                <w:tcPr>
                  <w:tcW w:w="751" w:type="dxa"/>
                  <w:vAlign w:val="center"/>
                </w:tcPr>
                <w:p w14:paraId="1962D85C">
                  <w:pPr>
                    <w:spacing w:line="280" w:lineRule="exact"/>
                    <w:jc w:val="center"/>
                    <w:rPr>
                      <w:color w:val="auto"/>
                      <w:szCs w:val="21"/>
                      <w:highlight w:val="none"/>
                    </w:rPr>
                  </w:pPr>
                  <w:r>
                    <w:rPr>
                      <w:color w:val="auto"/>
                      <w:szCs w:val="21"/>
                      <w:highlight w:val="none"/>
                    </w:rPr>
                    <w:t>1.85</w:t>
                  </w:r>
                </w:p>
              </w:tc>
              <w:tc>
                <w:tcPr>
                  <w:tcW w:w="564" w:type="dxa"/>
                  <w:vAlign w:val="center"/>
                </w:tcPr>
                <w:p w14:paraId="74C7FC0D">
                  <w:pPr>
                    <w:spacing w:line="280" w:lineRule="exact"/>
                    <w:jc w:val="center"/>
                    <w:rPr>
                      <w:color w:val="auto"/>
                      <w:szCs w:val="21"/>
                      <w:highlight w:val="none"/>
                    </w:rPr>
                  </w:pPr>
                  <w:r>
                    <w:rPr>
                      <w:color w:val="auto"/>
                      <w:szCs w:val="21"/>
                      <w:highlight w:val="none"/>
                    </w:rPr>
                    <w:t>0.84</w:t>
                  </w:r>
                </w:p>
              </w:tc>
              <w:tc>
                <w:tcPr>
                  <w:tcW w:w="848" w:type="dxa"/>
                  <w:vAlign w:val="center"/>
                </w:tcPr>
                <w:p w14:paraId="4A8DD038">
                  <w:pPr>
                    <w:jc w:val="center"/>
                    <w:rPr>
                      <w:color w:val="auto"/>
                      <w:highlight w:val="none"/>
                    </w:rPr>
                  </w:pPr>
                  <w:r>
                    <w:rPr>
                      <w:color w:val="auto"/>
                      <w:szCs w:val="21"/>
                      <w:highlight w:val="none"/>
                    </w:rPr>
                    <w:t>4.316</w:t>
                  </w:r>
                </w:p>
              </w:tc>
              <w:tc>
                <w:tcPr>
                  <w:tcW w:w="455" w:type="pct"/>
                  <w:vAlign w:val="center"/>
                </w:tcPr>
                <w:p w14:paraId="2EDC35C0">
                  <w:pPr>
                    <w:jc w:val="center"/>
                    <w:rPr>
                      <w:color w:val="auto"/>
                      <w:szCs w:val="21"/>
                      <w:highlight w:val="none"/>
                    </w:rPr>
                  </w:pPr>
                  <w:r>
                    <w:rPr>
                      <w:color w:val="auto"/>
                      <w:szCs w:val="21"/>
                      <w:highlight w:val="none"/>
                    </w:rPr>
                    <w:t>50</w:t>
                  </w:r>
                </w:p>
              </w:tc>
            </w:tr>
            <w:tr w14:paraId="4DF83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09" w:type="pct"/>
                  <w:vAlign w:val="center"/>
                </w:tcPr>
                <w:p w14:paraId="0C1C3DC1">
                  <w:pPr>
                    <w:adjustRightInd w:val="0"/>
                    <w:snapToGrid w:val="0"/>
                    <w:jc w:val="center"/>
                    <w:rPr>
                      <w:color w:val="auto"/>
                      <w:szCs w:val="21"/>
                      <w:highlight w:val="none"/>
                      <w:lang w:eastAsia="zh-Hans"/>
                    </w:rPr>
                  </w:pPr>
                  <w:r>
                    <w:rPr>
                      <w:rFonts w:hint="eastAsia"/>
                      <w:color w:val="auto"/>
                      <w:szCs w:val="21"/>
                      <w:highlight w:val="none"/>
                      <w:lang w:eastAsia="zh-Hans"/>
                    </w:rPr>
                    <w:t>危废仓库</w:t>
                  </w:r>
                </w:p>
              </w:tc>
              <w:tc>
                <w:tcPr>
                  <w:tcW w:w="1385" w:type="dxa"/>
                  <w:vAlign w:val="center"/>
                </w:tcPr>
                <w:p w14:paraId="5189965E">
                  <w:pPr>
                    <w:widowControl/>
                    <w:jc w:val="center"/>
                    <w:textAlignment w:val="center"/>
                    <w:rPr>
                      <w:color w:val="auto"/>
                      <w:kern w:val="0"/>
                      <w:szCs w:val="21"/>
                      <w:highlight w:val="none"/>
                      <w:lang w:bidi="ar"/>
                    </w:rPr>
                  </w:pPr>
                  <w:r>
                    <w:rPr>
                      <w:rFonts w:hint="eastAsia"/>
                      <w:color w:val="auto"/>
                      <w:kern w:val="0"/>
                      <w:szCs w:val="21"/>
                      <w:highlight w:val="none"/>
                      <w:lang w:eastAsia="zh-Hans" w:bidi="ar"/>
                    </w:rPr>
                    <w:t>VOCs</w:t>
                  </w:r>
                </w:p>
              </w:tc>
              <w:tc>
                <w:tcPr>
                  <w:tcW w:w="1099" w:type="dxa"/>
                  <w:vAlign w:val="center"/>
                </w:tcPr>
                <w:p w14:paraId="5AD22CD7">
                  <w:pPr>
                    <w:adjustRightInd w:val="0"/>
                    <w:snapToGrid w:val="0"/>
                    <w:jc w:val="center"/>
                    <w:rPr>
                      <w:color w:val="auto"/>
                      <w:szCs w:val="21"/>
                      <w:highlight w:val="none"/>
                    </w:rPr>
                  </w:pPr>
                  <w:r>
                    <w:rPr>
                      <w:color w:val="auto"/>
                      <w:szCs w:val="21"/>
                      <w:highlight w:val="none"/>
                    </w:rPr>
                    <w:t>0.0066</w:t>
                  </w:r>
                </w:p>
              </w:tc>
              <w:tc>
                <w:tcPr>
                  <w:tcW w:w="832" w:type="dxa"/>
                  <w:vAlign w:val="center"/>
                </w:tcPr>
                <w:p w14:paraId="107F95C0">
                  <w:pPr>
                    <w:jc w:val="center"/>
                    <w:rPr>
                      <w:color w:val="auto"/>
                      <w:szCs w:val="21"/>
                      <w:highlight w:val="none"/>
                    </w:rPr>
                  </w:pPr>
                  <w:r>
                    <w:rPr>
                      <w:color w:val="auto"/>
                      <w:szCs w:val="21"/>
                      <w:highlight w:val="none"/>
                    </w:rPr>
                    <w:t>1.2</w:t>
                  </w:r>
                </w:p>
              </w:tc>
              <w:tc>
                <w:tcPr>
                  <w:tcW w:w="349" w:type="pct"/>
                  <w:vAlign w:val="center"/>
                </w:tcPr>
                <w:p w14:paraId="1B712D90">
                  <w:pPr>
                    <w:spacing w:line="280" w:lineRule="exact"/>
                    <w:jc w:val="center"/>
                    <w:rPr>
                      <w:color w:val="auto"/>
                      <w:szCs w:val="21"/>
                      <w:highlight w:val="none"/>
                    </w:rPr>
                  </w:pPr>
                  <w:r>
                    <w:rPr>
                      <w:color w:val="auto"/>
                      <w:szCs w:val="21"/>
                      <w:highlight w:val="none"/>
                    </w:rPr>
                    <w:t>350</w:t>
                  </w:r>
                </w:p>
              </w:tc>
              <w:tc>
                <w:tcPr>
                  <w:tcW w:w="420" w:type="pct"/>
                  <w:vAlign w:val="center"/>
                </w:tcPr>
                <w:p w14:paraId="4A297B41">
                  <w:pPr>
                    <w:spacing w:line="280" w:lineRule="exact"/>
                    <w:jc w:val="center"/>
                    <w:rPr>
                      <w:color w:val="auto"/>
                      <w:szCs w:val="21"/>
                      <w:highlight w:val="none"/>
                    </w:rPr>
                  </w:pPr>
                  <w:r>
                    <w:rPr>
                      <w:color w:val="auto"/>
                      <w:szCs w:val="21"/>
                      <w:highlight w:val="none"/>
                    </w:rPr>
                    <w:t>0.021</w:t>
                  </w:r>
                </w:p>
              </w:tc>
              <w:tc>
                <w:tcPr>
                  <w:tcW w:w="420" w:type="pct"/>
                  <w:vAlign w:val="center"/>
                </w:tcPr>
                <w:p w14:paraId="6A3532EE">
                  <w:pPr>
                    <w:spacing w:line="280" w:lineRule="exact"/>
                    <w:jc w:val="center"/>
                    <w:rPr>
                      <w:color w:val="auto"/>
                      <w:szCs w:val="21"/>
                      <w:highlight w:val="none"/>
                    </w:rPr>
                  </w:pPr>
                  <w:r>
                    <w:rPr>
                      <w:color w:val="auto"/>
                      <w:szCs w:val="21"/>
                      <w:highlight w:val="none"/>
                    </w:rPr>
                    <w:t>1.85</w:t>
                  </w:r>
                </w:p>
              </w:tc>
              <w:tc>
                <w:tcPr>
                  <w:tcW w:w="315" w:type="pct"/>
                  <w:vAlign w:val="center"/>
                </w:tcPr>
                <w:p w14:paraId="627AF3AD">
                  <w:pPr>
                    <w:spacing w:line="280" w:lineRule="exact"/>
                    <w:jc w:val="center"/>
                    <w:rPr>
                      <w:color w:val="auto"/>
                      <w:szCs w:val="21"/>
                      <w:highlight w:val="none"/>
                    </w:rPr>
                  </w:pPr>
                  <w:r>
                    <w:rPr>
                      <w:color w:val="auto"/>
                      <w:szCs w:val="21"/>
                      <w:highlight w:val="none"/>
                    </w:rPr>
                    <w:t>0.84</w:t>
                  </w:r>
                </w:p>
              </w:tc>
              <w:tc>
                <w:tcPr>
                  <w:tcW w:w="848" w:type="dxa"/>
                  <w:vAlign w:val="center"/>
                </w:tcPr>
                <w:p w14:paraId="76EBBC1F">
                  <w:pPr>
                    <w:jc w:val="center"/>
                    <w:rPr>
                      <w:color w:val="auto"/>
                      <w:highlight w:val="none"/>
                    </w:rPr>
                  </w:pPr>
                  <w:r>
                    <w:rPr>
                      <w:color w:val="auto"/>
                      <w:szCs w:val="21"/>
                      <w:highlight w:val="none"/>
                    </w:rPr>
                    <w:t>0.046</w:t>
                  </w:r>
                </w:p>
              </w:tc>
              <w:tc>
                <w:tcPr>
                  <w:tcW w:w="455" w:type="pct"/>
                  <w:vAlign w:val="center"/>
                </w:tcPr>
                <w:p w14:paraId="1BBA2776">
                  <w:pPr>
                    <w:jc w:val="center"/>
                    <w:rPr>
                      <w:color w:val="auto"/>
                      <w:szCs w:val="21"/>
                      <w:highlight w:val="none"/>
                    </w:rPr>
                  </w:pPr>
                  <w:r>
                    <w:rPr>
                      <w:color w:val="auto"/>
                      <w:szCs w:val="21"/>
                      <w:highlight w:val="none"/>
                    </w:rPr>
                    <w:t>50</w:t>
                  </w:r>
                </w:p>
              </w:tc>
            </w:tr>
          </w:tbl>
          <w:p w14:paraId="41BB35B5">
            <w:pPr>
              <w:adjustRightInd w:val="0"/>
              <w:snapToGrid w:val="0"/>
              <w:spacing w:line="360" w:lineRule="auto"/>
              <w:ind w:firstLine="480" w:firstLineChars="200"/>
              <w:rPr>
                <w:rFonts w:hAnsi="宋体"/>
                <w:b/>
                <w:color w:val="auto"/>
                <w:kern w:val="0"/>
                <w:sz w:val="24"/>
                <w:highlight w:val="none"/>
              </w:rPr>
            </w:pPr>
            <w:r>
              <w:rPr>
                <w:color w:val="auto"/>
                <w:sz w:val="24"/>
                <w:highlight w:val="none"/>
              </w:rPr>
              <w:t>《大气有害物质无组织排放卫生防护距离推导技术导则》（GB/T39499-2020）章节 6.1.1规定：卫生防护距离初值小于50m时，级差为50m。如计算初值小于50m，卫生防护距离终值取50m。</w:t>
            </w:r>
            <w:r>
              <w:rPr>
                <w:rFonts w:hint="eastAsia"/>
                <w:color w:val="auto"/>
                <w:sz w:val="24"/>
                <w:highlight w:val="none"/>
              </w:rPr>
              <w:t>因此本项目</w:t>
            </w:r>
            <w:r>
              <w:rPr>
                <w:rFonts w:hint="eastAsia"/>
                <w:color w:val="auto"/>
                <w:sz w:val="24"/>
                <w:highlight w:val="none"/>
                <w:lang w:eastAsia="zh-Hans"/>
              </w:rPr>
              <w:t>卫生防护距离为</w:t>
            </w:r>
            <w:r>
              <w:rPr>
                <w:rFonts w:hint="eastAsia"/>
                <w:color w:val="auto"/>
                <w:sz w:val="24"/>
                <w:highlight w:val="none"/>
              </w:rPr>
              <w:t>生产车间外</w:t>
            </w:r>
            <w:r>
              <w:rPr>
                <w:color w:val="auto"/>
                <w:sz w:val="24"/>
                <w:highlight w:val="none"/>
              </w:rPr>
              <w:t>100m</w:t>
            </w:r>
            <w:r>
              <w:rPr>
                <w:rFonts w:hint="eastAsia"/>
                <w:color w:val="auto"/>
                <w:sz w:val="24"/>
                <w:highlight w:val="none"/>
                <w:lang w:eastAsia="zh-Hans"/>
              </w:rPr>
              <w:t>、危废仓库外</w:t>
            </w:r>
            <w:r>
              <w:rPr>
                <w:color w:val="auto"/>
                <w:sz w:val="24"/>
                <w:highlight w:val="none"/>
                <w:lang w:eastAsia="zh-Hans"/>
              </w:rPr>
              <w:t>50</w:t>
            </w:r>
            <w:r>
              <w:rPr>
                <w:rFonts w:hint="eastAsia"/>
                <w:color w:val="auto"/>
                <w:sz w:val="24"/>
                <w:highlight w:val="none"/>
                <w:lang w:eastAsia="zh-Hans"/>
              </w:rPr>
              <w:t>m围成的包络线范围</w:t>
            </w:r>
            <w:r>
              <w:rPr>
                <w:rFonts w:hint="eastAsia"/>
                <w:color w:val="auto"/>
                <w:sz w:val="24"/>
                <w:highlight w:val="none"/>
              </w:rPr>
              <w:t>。根据厂区原有环</w:t>
            </w:r>
            <w:r>
              <w:rPr>
                <w:color w:val="auto"/>
                <w:sz w:val="24"/>
                <w:highlight w:val="none"/>
              </w:rPr>
              <w:t>评，《</w:t>
            </w:r>
            <w:r>
              <w:rPr>
                <w:rFonts w:hint="eastAsia" w:hAnsi="宋体"/>
                <w:color w:val="auto"/>
                <w:sz w:val="24"/>
                <w:highlight w:val="none"/>
                <w:lang w:eastAsia="zh-Hans"/>
              </w:rPr>
              <w:t>舜驱动力科技（南通）有限公司年产</w:t>
            </w:r>
            <w:r>
              <w:rPr>
                <w:rFonts w:hAnsi="宋体"/>
                <w:color w:val="auto"/>
                <w:sz w:val="24"/>
                <w:highlight w:val="none"/>
                <w:lang w:eastAsia="zh-Hans"/>
              </w:rPr>
              <w:t>4</w:t>
            </w:r>
            <w:r>
              <w:rPr>
                <w:rFonts w:hint="eastAsia" w:hAnsi="宋体"/>
                <w:color w:val="auto"/>
                <w:sz w:val="24"/>
                <w:highlight w:val="none"/>
                <w:lang w:eastAsia="zh-Hans"/>
              </w:rPr>
              <w:t>万台FG</w:t>
            </w:r>
            <w:r>
              <w:rPr>
                <w:rFonts w:hAnsi="宋体"/>
                <w:color w:val="auto"/>
                <w:sz w:val="24"/>
                <w:highlight w:val="none"/>
                <w:lang w:eastAsia="zh-Hans"/>
              </w:rPr>
              <w:t>270</w:t>
            </w:r>
            <w:r>
              <w:rPr>
                <w:rFonts w:hint="eastAsia" w:hAnsi="宋体"/>
                <w:color w:val="auto"/>
                <w:sz w:val="24"/>
                <w:highlight w:val="none"/>
                <w:lang w:eastAsia="zh-Hans"/>
              </w:rPr>
              <w:t>电机</w:t>
            </w:r>
            <w:r>
              <w:rPr>
                <w:rFonts w:hint="eastAsia" w:hAnsi="宋体"/>
                <w:color w:val="auto"/>
                <w:sz w:val="24"/>
                <w:highlight w:val="none"/>
              </w:rPr>
              <w:t>项目环境影响报告表</w:t>
            </w:r>
            <w:r>
              <w:rPr>
                <w:color w:val="auto"/>
                <w:sz w:val="24"/>
                <w:highlight w:val="none"/>
              </w:rPr>
              <w:t>》中</w:t>
            </w:r>
            <w:r>
              <w:rPr>
                <w:rFonts w:hint="eastAsia"/>
                <w:color w:val="auto"/>
                <w:sz w:val="24"/>
                <w:highlight w:val="none"/>
                <w:lang w:eastAsia="zh-Hans"/>
              </w:rPr>
              <w:t>生产车间</w:t>
            </w:r>
            <w:r>
              <w:rPr>
                <w:rFonts w:hint="eastAsia"/>
                <w:color w:val="auto"/>
                <w:sz w:val="24"/>
                <w:highlight w:val="none"/>
              </w:rPr>
              <w:t>外100</w:t>
            </w:r>
            <w:r>
              <w:rPr>
                <w:color w:val="auto"/>
                <w:sz w:val="24"/>
                <w:highlight w:val="none"/>
              </w:rPr>
              <w:t>m设置</w:t>
            </w:r>
            <w:r>
              <w:rPr>
                <w:rFonts w:hint="eastAsia"/>
                <w:color w:val="auto"/>
                <w:sz w:val="24"/>
                <w:highlight w:val="none"/>
              </w:rPr>
              <w:t>卫生防护距离。</w:t>
            </w:r>
            <w:r>
              <w:rPr>
                <w:color w:val="auto"/>
                <w:sz w:val="24"/>
                <w:highlight w:val="none"/>
              </w:rPr>
              <w:t>因此全厂卫生防护距离为</w:t>
            </w:r>
            <w:r>
              <w:rPr>
                <w:rFonts w:hint="eastAsia"/>
                <w:color w:val="auto"/>
                <w:sz w:val="24"/>
                <w:highlight w:val="none"/>
                <w:lang w:eastAsia="zh-Hans"/>
              </w:rPr>
              <w:t>生产车间</w:t>
            </w:r>
            <w:r>
              <w:rPr>
                <w:rFonts w:hint="eastAsia"/>
                <w:color w:val="auto"/>
                <w:sz w:val="24"/>
                <w:highlight w:val="none"/>
              </w:rPr>
              <w:t>外100m、</w:t>
            </w:r>
            <w:r>
              <w:rPr>
                <w:rFonts w:hint="eastAsia"/>
                <w:color w:val="auto"/>
                <w:sz w:val="24"/>
                <w:highlight w:val="none"/>
                <w:lang w:eastAsia="zh-Hans"/>
              </w:rPr>
              <w:t>危废仓库</w:t>
            </w:r>
            <w:r>
              <w:rPr>
                <w:rFonts w:hint="eastAsia"/>
                <w:color w:val="auto"/>
                <w:sz w:val="24"/>
                <w:highlight w:val="none"/>
              </w:rPr>
              <w:t>外</w:t>
            </w:r>
            <w:r>
              <w:rPr>
                <w:color w:val="auto"/>
                <w:sz w:val="24"/>
                <w:highlight w:val="none"/>
              </w:rPr>
              <w:t>5</w:t>
            </w:r>
            <w:r>
              <w:rPr>
                <w:rFonts w:hint="eastAsia"/>
                <w:color w:val="auto"/>
                <w:sz w:val="24"/>
                <w:highlight w:val="none"/>
              </w:rPr>
              <w:t>0m形成的包络线范围，</w:t>
            </w:r>
            <w:r>
              <w:rPr>
                <w:color w:val="auto"/>
                <w:sz w:val="24"/>
                <w:highlight w:val="none"/>
              </w:rPr>
              <w:t>此范围内无居民、学校等敏感点存在（</w:t>
            </w:r>
            <w:r>
              <w:rPr>
                <w:rFonts w:hint="eastAsia"/>
                <w:color w:val="auto"/>
                <w:sz w:val="24"/>
                <w:highlight w:val="none"/>
              </w:rPr>
              <w:t>附图2</w:t>
            </w:r>
            <w:r>
              <w:rPr>
                <w:color w:val="auto"/>
                <w:sz w:val="24"/>
                <w:highlight w:val="none"/>
              </w:rPr>
              <w:t>），且以后在此范围内也不得建设居民、学校等敏感点。</w:t>
            </w:r>
          </w:p>
          <w:p w14:paraId="3D9CDF45">
            <w:pPr>
              <w:adjustRightInd w:val="0"/>
              <w:snapToGrid w:val="0"/>
              <w:spacing w:line="360" w:lineRule="auto"/>
              <w:ind w:firstLine="482" w:firstLineChars="200"/>
              <w:rPr>
                <w:rFonts w:hAnsi="宋体"/>
                <w:b/>
                <w:color w:val="auto"/>
                <w:kern w:val="0"/>
                <w:sz w:val="24"/>
                <w:highlight w:val="none"/>
              </w:rPr>
            </w:pPr>
            <w:r>
              <w:rPr>
                <w:rFonts w:hint="eastAsia" w:hAnsi="宋体"/>
                <w:b/>
                <w:color w:val="auto"/>
                <w:kern w:val="0"/>
                <w:sz w:val="24"/>
                <w:highlight w:val="none"/>
                <w:lang w:eastAsia="zh-Hans"/>
              </w:rPr>
              <w:t>（</w:t>
            </w:r>
            <w:r>
              <w:rPr>
                <w:rFonts w:hAnsi="宋体"/>
                <w:b/>
                <w:color w:val="auto"/>
                <w:kern w:val="0"/>
                <w:sz w:val="24"/>
                <w:highlight w:val="none"/>
                <w:lang w:eastAsia="zh-Hans"/>
              </w:rPr>
              <w:t>7</w:t>
            </w:r>
            <w:r>
              <w:rPr>
                <w:rFonts w:hint="eastAsia" w:hAnsi="宋体"/>
                <w:b/>
                <w:color w:val="auto"/>
                <w:kern w:val="0"/>
                <w:sz w:val="24"/>
                <w:highlight w:val="none"/>
                <w:lang w:eastAsia="zh-Hans"/>
              </w:rPr>
              <w:t>）</w:t>
            </w:r>
            <w:r>
              <w:rPr>
                <w:rFonts w:hint="eastAsia" w:hAnsi="宋体"/>
                <w:b/>
                <w:color w:val="auto"/>
                <w:kern w:val="0"/>
                <w:sz w:val="24"/>
                <w:highlight w:val="none"/>
              </w:rPr>
              <w:t>非正常排放情况</w:t>
            </w:r>
          </w:p>
          <w:p w14:paraId="11CD1EFD">
            <w:pPr>
              <w:adjustRightInd w:val="0"/>
              <w:snapToGrid w:val="0"/>
              <w:spacing w:line="360" w:lineRule="auto"/>
              <w:ind w:firstLine="480" w:firstLineChars="200"/>
              <w:rPr>
                <w:color w:val="auto"/>
                <w:sz w:val="24"/>
                <w:highlight w:val="none"/>
              </w:rPr>
            </w:pPr>
            <w:r>
              <w:rPr>
                <w:color w:val="auto"/>
                <w:sz w:val="24"/>
                <w:highlight w:val="none"/>
              </w:rPr>
              <w:t>根据类比调查，出现非正常排放情况主要为废气处理设施老旧、发生故障或活性炭</w:t>
            </w:r>
            <w:r>
              <w:rPr>
                <w:rFonts w:hint="eastAsia"/>
                <w:color w:val="auto"/>
                <w:sz w:val="24"/>
                <w:highlight w:val="none"/>
              </w:rPr>
              <w:t>失效</w:t>
            </w:r>
            <w:r>
              <w:rPr>
                <w:color w:val="auto"/>
                <w:sz w:val="24"/>
                <w:highlight w:val="none"/>
              </w:rPr>
              <w:t>未及时更换</w:t>
            </w:r>
            <w:r>
              <w:rPr>
                <w:rFonts w:hint="eastAsia"/>
                <w:color w:val="auto"/>
                <w:sz w:val="24"/>
                <w:highlight w:val="none"/>
              </w:rPr>
              <w:t>等</w:t>
            </w:r>
            <w:r>
              <w:rPr>
                <w:color w:val="auto"/>
                <w:sz w:val="24"/>
                <w:highlight w:val="none"/>
              </w:rPr>
              <w:t>，此时</w:t>
            </w:r>
            <w:r>
              <w:rPr>
                <w:rFonts w:hint="eastAsia"/>
                <w:color w:val="auto"/>
                <w:sz w:val="24"/>
                <w:highlight w:val="none"/>
              </w:rPr>
              <w:t>本次改建项目废气处理设施对VOCs的</w:t>
            </w:r>
            <w:r>
              <w:rPr>
                <w:color w:val="auto"/>
                <w:sz w:val="24"/>
                <w:highlight w:val="none"/>
              </w:rPr>
              <w:t>去除效率以0%计，非正常排放情况下废气的排放情况见表</w:t>
            </w:r>
            <w:r>
              <w:rPr>
                <w:rFonts w:hint="eastAsia"/>
                <w:color w:val="auto"/>
                <w:sz w:val="24"/>
                <w:highlight w:val="none"/>
              </w:rPr>
              <w:t>4-</w:t>
            </w:r>
            <w:r>
              <w:rPr>
                <w:color w:val="auto"/>
                <w:sz w:val="24"/>
                <w:highlight w:val="none"/>
              </w:rPr>
              <w:t>11。</w:t>
            </w:r>
          </w:p>
          <w:p w14:paraId="3F550B41">
            <w:pPr>
              <w:pStyle w:val="22"/>
              <w:spacing w:before="0" w:beforeAutospacing="0" w:after="0" w:afterAutospacing="0"/>
              <w:jc w:val="center"/>
              <w:rPr>
                <w:rFonts w:ascii="Times New Roman" w:hAnsi="Times New Roman"/>
                <w:b/>
                <w:bCs/>
                <w:color w:val="auto"/>
                <w:szCs w:val="24"/>
                <w:highlight w:val="none"/>
              </w:rPr>
            </w:pPr>
            <w:r>
              <w:rPr>
                <w:rFonts w:ascii="Times New Roman" w:hAnsi="Times New Roman"/>
                <w:b/>
                <w:bCs/>
                <w:color w:val="auto"/>
                <w:szCs w:val="24"/>
                <w:highlight w:val="none"/>
              </w:rPr>
              <w:t>表</w:t>
            </w:r>
            <w:r>
              <w:rPr>
                <w:rFonts w:hint="eastAsia" w:ascii="Times New Roman" w:hAnsi="Times New Roman"/>
                <w:b/>
                <w:bCs/>
                <w:color w:val="auto"/>
                <w:szCs w:val="24"/>
                <w:highlight w:val="none"/>
                <w:lang w:val="en-US"/>
              </w:rPr>
              <w:t>4</w:t>
            </w:r>
            <w:r>
              <w:rPr>
                <w:rFonts w:ascii="Times New Roman" w:hAnsi="Times New Roman"/>
                <w:b/>
                <w:bCs/>
                <w:color w:val="auto"/>
                <w:szCs w:val="24"/>
                <w:highlight w:val="none"/>
              </w:rPr>
              <w:t xml:space="preserve">-11  </w:t>
            </w:r>
            <w:r>
              <w:rPr>
                <w:rFonts w:hint="eastAsia" w:ascii="Times New Roman" w:hAnsi="Times New Roman"/>
                <w:b/>
                <w:bCs/>
                <w:color w:val="auto"/>
                <w:szCs w:val="24"/>
                <w:highlight w:val="none"/>
              </w:rPr>
              <w:t>非正常排放情况一览表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23"/>
              <w:gridCol w:w="704"/>
              <w:gridCol w:w="595"/>
              <w:gridCol w:w="610"/>
              <w:gridCol w:w="569"/>
              <w:gridCol w:w="866"/>
              <w:gridCol w:w="745"/>
              <w:gridCol w:w="762"/>
              <w:gridCol w:w="731"/>
              <w:gridCol w:w="515"/>
              <w:gridCol w:w="866"/>
              <w:gridCol w:w="677"/>
              <w:gridCol w:w="667"/>
              <w:gridCol w:w="421"/>
            </w:tblGrid>
            <w:tr w14:paraId="543641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42" w:type="pct"/>
                  <w:vMerge w:val="restart"/>
                  <w:tcBorders>
                    <w:tl2br w:val="nil"/>
                    <w:tr2bl w:val="nil"/>
                  </w:tcBorders>
                  <w:tcMar>
                    <w:top w:w="8" w:type="dxa"/>
                    <w:left w:w="8" w:type="dxa"/>
                    <w:right w:w="8" w:type="dxa"/>
                  </w:tcMar>
                  <w:vAlign w:val="center"/>
                </w:tcPr>
                <w:p w14:paraId="3F1D1CF1">
                  <w:pPr>
                    <w:widowControl/>
                    <w:jc w:val="center"/>
                    <w:textAlignment w:val="center"/>
                    <w:rPr>
                      <w:b/>
                      <w:color w:val="auto"/>
                      <w:szCs w:val="21"/>
                      <w:highlight w:val="none"/>
                    </w:rPr>
                  </w:pPr>
                  <w:r>
                    <w:rPr>
                      <w:rFonts w:hint="eastAsia"/>
                      <w:b/>
                      <w:color w:val="auto"/>
                      <w:kern w:val="0"/>
                      <w:szCs w:val="21"/>
                      <w:highlight w:val="none"/>
                    </w:rPr>
                    <w:t>非正常</w:t>
                  </w:r>
                  <w:r>
                    <w:rPr>
                      <w:b/>
                      <w:color w:val="auto"/>
                      <w:kern w:val="0"/>
                      <w:szCs w:val="21"/>
                      <w:highlight w:val="none"/>
                    </w:rPr>
                    <w:t>排放源</w:t>
                  </w:r>
                </w:p>
              </w:tc>
              <w:tc>
                <w:tcPr>
                  <w:tcW w:w="343" w:type="pct"/>
                  <w:vMerge w:val="restart"/>
                  <w:tcBorders>
                    <w:tl2br w:val="nil"/>
                    <w:tr2bl w:val="nil"/>
                  </w:tcBorders>
                  <w:tcMar>
                    <w:top w:w="8" w:type="dxa"/>
                    <w:left w:w="8" w:type="dxa"/>
                    <w:right w:w="8" w:type="dxa"/>
                  </w:tcMar>
                  <w:vAlign w:val="center"/>
                </w:tcPr>
                <w:p w14:paraId="0E381C95">
                  <w:pPr>
                    <w:widowControl/>
                    <w:jc w:val="center"/>
                    <w:textAlignment w:val="center"/>
                    <w:rPr>
                      <w:b/>
                      <w:color w:val="auto"/>
                      <w:kern w:val="0"/>
                      <w:szCs w:val="21"/>
                      <w:highlight w:val="none"/>
                    </w:rPr>
                  </w:pPr>
                  <w:r>
                    <w:rPr>
                      <w:rFonts w:hint="eastAsia"/>
                      <w:b/>
                      <w:color w:val="auto"/>
                      <w:kern w:val="0"/>
                      <w:szCs w:val="21"/>
                      <w:highlight w:val="none"/>
                    </w:rPr>
                    <w:t>非正常排放原因</w:t>
                  </w:r>
                </w:p>
              </w:tc>
              <w:tc>
                <w:tcPr>
                  <w:tcW w:w="290" w:type="pct"/>
                  <w:vMerge w:val="restart"/>
                  <w:tcBorders>
                    <w:tl2br w:val="nil"/>
                    <w:tr2bl w:val="nil"/>
                  </w:tcBorders>
                  <w:tcMar>
                    <w:top w:w="8" w:type="dxa"/>
                    <w:left w:w="8" w:type="dxa"/>
                    <w:right w:w="8" w:type="dxa"/>
                  </w:tcMar>
                  <w:vAlign w:val="center"/>
                </w:tcPr>
                <w:p w14:paraId="4EF5FA2D">
                  <w:pPr>
                    <w:widowControl/>
                    <w:jc w:val="center"/>
                    <w:textAlignment w:val="center"/>
                    <w:rPr>
                      <w:b/>
                      <w:color w:val="auto"/>
                      <w:szCs w:val="21"/>
                      <w:highlight w:val="none"/>
                    </w:rPr>
                  </w:pPr>
                  <w:r>
                    <w:rPr>
                      <w:rFonts w:hint="eastAsia"/>
                      <w:b/>
                      <w:color w:val="auto"/>
                      <w:kern w:val="0"/>
                      <w:szCs w:val="21"/>
                      <w:highlight w:val="none"/>
                    </w:rPr>
                    <w:t>年发生频次/次</w:t>
                  </w:r>
                </w:p>
              </w:tc>
              <w:tc>
                <w:tcPr>
                  <w:tcW w:w="297" w:type="pct"/>
                  <w:vMerge w:val="restart"/>
                  <w:tcBorders>
                    <w:tl2br w:val="nil"/>
                    <w:tr2bl w:val="nil"/>
                  </w:tcBorders>
                  <w:tcMar>
                    <w:top w:w="8" w:type="dxa"/>
                    <w:left w:w="8" w:type="dxa"/>
                    <w:right w:w="8" w:type="dxa"/>
                  </w:tcMar>
                  <w:vAlign w:val="center"/>
                </w:tcPr>
                <w:p w14:paraId="6A20F696">
                  <w:pPr>
                    <w:widowControl/>
                    <w:jc w:val="center"/>
                    <w:textAlignment w:val="center"/>
                    <w:rPr>
                      <w:b/>
                      <w:color w:val="auto"/>
                      <w:kern w:val="0"/>
                      <w:szCs w:val="21"/>
                      <w:highlight w:val="none"/>
                    </w:rPr>
                  </w:pPr>
                  <w:r>
                    <w:rPr>
                      <w:rFonts w:hint="eastAsia"/>
                      <w:b/>
                      <w:color w:val="auto"/>
                      <w:kern w:val="0"/>
                      <w:szCs w:val="21"/>
                      <w:highlight w:val="none"/>
                    </w:rPr>
                    <w:t>单次持续时间/h</w:t>
                  </w:r>
                </w:p>
              </w:tc>
              <w:tc>
                <w:tcPr>
                  <w:tcW w:w="277" w:type="pct"/>
                  <w:vMerge w:val="restart"/>
                  <w:tcBorders>
                    <w:tl2br w:val="nil"/>
                    <w:tr2bl w:val="nil"/>
                  </w:tcBorders>
                  <w:tcMar>
                    <w:top w:w="8" w:type="dxa"/>
                    <w:left w:w="8" w:type="dxa"/>
                    <w:right w:w="8" w:type="dxa"/>
                  </w:tcMar>
                  <w:vAlign w:val="center"/>
                </w:tcPr>
                <w:p w14:paraId="5B444A6D">
                  <w:pPr>
                    <w:widowControl/>
                    <w:jc w:val="center"/>
                    <w:textAlignment w:val="center"/>
                    <w:rPr>
                      <w:b/>
                      <w:color w:val="auto"/>
                      <w:szCs w:val="21"/>
                      <w:highlight w:val="none"/>
                    </w:rPr>
                  </w:pPr>
                  <w:r>
                    <w:rPr>
                      <w:b/>
                      <w:color w:val="auto"/>
                      <w:kern w:val="0"/>
                      <w:szCs w:val="21"/>
                      <w:highlight w:val="none"/>
                    </w:rPr>
                    <w:t>污染物名称</w:t>
                  </w:r>
                </w:p>
              </w:tc>
              <w:tc>
                <w:tcPr>
                  <w:tcW w:w="1157" w:type="pct"/>
                  <w:gridSpan w:val="3"/>
                  <w:tcBorders>
                    <w:tl2br w:val="nil"/>
                    <w:tr2bl w:val="nil"/>
                  </w:tcBorders>
                  <w:tcMar>
                    <w:top w:w="8" w:type="dxa"/>
                    <w:left w:w="8" w:type="dxa"/>
                    <w:right w:w="8" w:type="dxa"/>
                  </w:tcMar>
                  <w:vAlign w:val="center"/>
                </w:tcPr>
                <w:p w14:paraId="1BC13386">
                  <w:pPr>
                    <w:widowControl/>
                    <w:jc w:val="center"/>
                    <w:textAlignment w:val="center"/>
                    <w:rPr>
                      <w:b/>
                      <w:color w:val="auto"/>
                      <w:szCs w:val="21"/>
                      <w:highlight w:val="none"/>
                    </w:rPr>
                  </w:pPr>
                  <w:r>
                    <w:rPr>
                      <w:b/>
                      <w:color w:val="auto"/>
                      <w:kern w:val="0"/>
                      <w:szCs w:val="21"/>
                      <w:highlight w:val="none"/>
                    </w:rPr>
                    <w:t>产生状况</w:t>
                  </w:r>
                </w:p>
              </w:tc>
              <w:tc>
                <w:tcPr>
                  <w:tcW w:w="356" w:type="pct"/>
                  <w:vMerge w:val="restart"/>
                  <w:tcBorders>
                    <w:tl2br w:val="nil"/>
                    <w:tr2bl w:val="nil"/>
                  </w:tcBorders>
                  <w:tcMar>
                    <w:top w:w="8" w:type="dxa"/>
                    <w:left w:w="8" w:type="dxa"/>
                    <w:right w:w="8" w:type="dxa"/>
                  </w:tcMar>
                  <w:vAlign w:val="center"/>
                </w:tcPr>
                <w:p w14:paraId="0A74EAD4">
                  <w:pPr>
                    <w:widowControl/>
                    <w:jc w:val="center"/>
                    <w:textAlignment w:val="center"/>
                    <w:rPr>
                      <w:b/>
                      <w:color w:val="auto"/>
                      <w:szCs w:val="21"/>
                      <w:highlight w:val="none"/>
                    </w:rPr>
                  </w:pPr>
                  <w:r>
                    <w:rPr>
                      <w:b/>
                      <w:color w:val="auto"/>
                      <w:kern w:val="0"/>
                      <w:szCs w:val="21"/>
                      <w:highlight w:val="none"/>
                    </w:rPr>
                    <w:t>治理措施</w:t>
                  </w:r>
                </w:p>
              </w:tc>
              <w:tc>
                <w:tcPr>
                  <w:tcW w:w="251" w:type="pct"/>
                  <w:vMerge w:val="restart"/>
                  <w:tcBorders>
                    <w:tl2br w:val="nil"/>
                    <w:tr2bl w:val="nil"/>
                  </w:tcBorders>
                  <w:tcMar>
                    <w:top w:w="8" w:type="dxa"/>
                    <w:left w:w="8" w:type="dxa"/>
                    <w:right w:w="8" w:type="dxa"/>
                  </w:tcMar>
                  <w:vAlign w:val="center"/>
                </w:tcPr>
                <w:p w14:paraId="556B9BCC">
                  <w:pPr>
                    <w:widowControl/>
                    <w:jc w:val="center"/>
                    <w:textAlignment w:val="center"/>
                    <w:rPr>
                      <w:b/>
                      <w:color w:val="auto"/>
                      <w:kern w:val="0"/>
                      <w:szCs w:val="21"/>
                      <w:highlight w:val="none"/>
                    </w:rPr>
                  </w:pPr>
                  <w:r>
                    <w:rPr>
                      <w:b/>
                      <w:color w:val="auto"/>
                      <w:kern w:val="0"/>
                      <w:szCs w:val="21"/>
                      <w:highlight w:val="none"/>
                    </w:rPr>
                    <w:t>去除率</w:t>
                  </w:r>
                </w:p>
                <w:p w14:paraId="5E15E3CF">
                  <w:pPr>
                    <w:widowControl/>
                    <w:jc w:val="center"/>
                    <w:textAlignment w:val="center"/>
                    <w:rPr>
                      <w:b/>
                      <w:color w:val="auto"/>
                      <w:szCs w:val="21"/>
                      <w:highlight w:val="none"/>
                    </w:rPr>
                  </w:pPr>
                  <w:r>
                    <w:rPr>
                      <w:b/>
                      <w:color w:val="auto"/>
                      <w:kern w:val="0"/>
                      <w:szCs w:val="21"/>
                      <w:highlight w:val="none"/>
                    </w:rPr>
                    <w:t>(%)</w:t>
                  </w:r>
                </w:p>
              </w:tc>
              <w:tc>
                <w:tcPr>
                  <w:tcW w:w="1077" w:type="pct"/>
                  <w:gridSpan w:val="3"/>
                  <w:tcBorders>
                    <w:tl2br w:val="nil"/>
                    <w:tr2bl w:val="nil"/>
                  </w:tcBorders>
                  <w:tcMar>
                    <w:top w:w="8" w:type="dxa"/>
                    <w:left w:w="8" w:type="dxa"/>
                    <w:right w:w="8" w:type="dxa"/>
                  </w:tcMar>
                  <w:vAlign w:val="center"/>
                </w:tcPr>
                <w:p w14:paraId="443B09AC">
                  <w:pPr>
                    <w:widowControl/>
                    <w:jc w:val="center"/>
                    <w:textAlignment w:val="center"/>
                    <w:rPr>
                      <w:b/>
                      <w:color w:val="auto"/>
                      <w:szCs w:val="21"/>
                      <w:highlight w:val="none"/>
                    </w:rPr>
                  </w:pPr>
                  <w:r>
                    <w:rPr>
                      <w:rFonts w:hint="eastAsia"/>
                      <w:b/>
                      <w:color w:val="auto"/>
                      <w:kern w:val="0"/>
                      <w:szCs w:val="21"/>
                      <w:highlight w:val="none"/>
                    </w:rPr>
                    <w:t>非正常排放</w:t>
                  </w:r>
                  <w:r>
                    <w:rPr>
                      <w:b/>
                      <w:color w:val="auto"/>
                      <w:kern w:val="0"/>
                      <w:szCs w:val="21"/>
                      <w:highlight w:val="none"/>
                    </w:rPr>
                    <w:t>状况</w:t>
                  </w:r>
                </w:p>
              </w:tc>
              <w:tc>
                <w:tcPr>
                  <w:tcW w:w="205" w:type="pct"/>
                  <w:vMerge w:val="restart"/>
                  <w:tcBorders>
                    <w:tl2br w:val="nil"/>
                    <w:tr2bl w:val="nil"/>
                  </w:tcBorders>
                  <w:tcMar>
                    <w:top w:w="8" w:type="dxa"/>
                    <w:left w:w="8" w:type="dxa"/>
                    <w:right w:w="8" w:type="dxa"/>
                  </w:tcMar>
                  <w:vAlign w:val="center"/>
                </w:tcPr>
                <w:p w14:paraId="0632ABAD">
                  <w:pPr>
                    <w:widowControl/>
                    <w:jc w:val="center"/>
                    <w:textAlignment w:val="center"/>
                    <w:rPr>
                      <w:b/>
                      <w:color w:val="auto"/>
                      <w:szCs w:val="21"/>
                      <w:highlight w:val="none"/>
                    </w:rPr>
                  </w:pPr>
                  <w:r>
                    <w:rPr>
                      <w:b/>
                      <w:color w:val="auto"/>
                      <w:kern w:val="0"/>
                      <w:szCs w:val="21"/>
                      <w:highlight w:val="none"/>
                    </w:rPr>
                    <w:t>排放方式</w:t>
                  </w:r>
                </w:p>
              </w:tc>
            </w:tr>
            <w:tr w14:paraId="51A452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742" w:type="pct"/>
                  <w:vMerge w:val="continue"/>
                  <w:tcBorders>
                    <w:tl2br w:val="nil"/>
                    <w:tr2bl w:val="nil"/>
                  </w:tcBorders>
                  <w:tcMar>
                    <w:top w:w="8" w:type="dxa"/>
                    <w:left w:w="8" w:type="dxa"/>
                    <w:right w:w="8" w:type="dxa"/>
                  </w:tcMar>
                  <w:vAlign w:val="center"/>
                </w:tcPr>
                <w:p w14:paraId="1BE3826C">
                  <w:pPr>
                    <w:jc w:val="center"/>
                    <w:rPr>
                      <w:b/>
                      <w:color w:val="auto"/>
                      <w:szCs w:val="21"/>
                      <w:highlight w:val="none"/>
                    </w:rPr>
                  </w:pPr>
                </w:p>
              </w:tc>
              <w:tc>
                <w:tcPr>
                  <w:tcW w:w="343" w:type="pct"/>
                  <w:vMerge w:val="continue"/>
                  <w:tcBorders>
                    <w:tl2br w:val="nil"/>
                    <w:tr2bl w:val="nil"/>
                  </w:tcBorders>
                  <w:tcMar>
                    <w:top w:w="8" w:type="dxa"/>
                    <w:left w:w="8" w:type="dxa"/>
                    <w:right w:w="8" w:type="dxa"/>
                  </w:tcMar>
                  <w:vAlign w:val="center"/>
                </w:tcPr>
                <w:p w14:paraId="4EE8AE99">
                  <w:pPr>
                    <w:jc w:val="center"/>
                    <w:rPr>
                      <w:b/>
                      <w:color w:val="auto"/>
                      <w:szCs w:val="21"/>
                      <w:highlight w:val="none"/>
                    </w:rPr>
                  </w:pPr>
                </w:p>
              </w:tc>
              <w:tc>
                <w:tcPr>
                  <w:tcW w:w="290" w:type="pct"/>
                  <w:vMerge w:val="continue"/>
                  <w:tcBorders>
                    <w:tl2br w:val="nil"/>
                    <w:tr2bl w:val="nil"/>
                  </w:tcBorders>
                  <w:tcMar>
                    <w:top w:w="8" w:type="dxa"/>
                    <w:left w:w="8" w:type="dxa"/>
                    <w:right w:w="8" w:type="dxa"/>
                  </w:tcMar>
                  <w:vAlign w:val="center"/>
                </w:tcPr>
                <w:p w14:paraId="246C7314">
                  <w:pPr>
                    <w:jc w:val="center"/>
                    <w:rPr>
                      <w:b/>
                      <w:color w:val="auto"/>
                      <w:szCs w:val="21"/>
                      <w:highlight w:val="none"/>
                    </w:rPr>
                  </w:pPr>
                </w:p>
              </w:tc>
              <w:tc>
                <w:tcPr>
                  <w:tcW w:w="297" w:type="pct"/>
                  <w:vMerge w:val="continue"/>
                  <w:tcBorders>
                    <w:tl2br w:val="nil"/>
                    <w:tr2bl w:val="nil"/>
                  </w:tcBorders>
                  <w:tcMar>
                    <w:top w:w="8" w:type="dxa"/>
                    <w:left w:w="8" w:type="dxa"/>
                    <w:right w:w="8" w:type="dxa"/>
                  </w:tcMar>
                  <w:vAlign w:val="center"/>
                </w:tcPr>
                <w:p w14:paraId="4F0A906D">
                  <w:pPr>
                    <w:jc w:val="center"/>
                    <w:rPr>
                      <w:b/>
                      <w:color w:val="auto"/>
                      <w:szCs w:val="21"/>
                      <w:highlight w:val="none"/>
                    </w:rPr>
                  </w:pPr>
                </w:p>
              </w:tc>
              <w:tc>
                <w:tcPr>
                  <w:tcW w:w="277" w:type="pct"/>
                  <w:vMerge w:val="continue"/>
                  <w:tcBorders>
                    <w:tl2br w:val="nil"/>
                    <w:tr2bl w:val="nil"/>
                  </w:tcBorders>
                  <w:tcMar>
                    <w:top w:w="8" w:type="dxa"/>
                    <w:left w:w="8" w:type="dxa"/>
                    <w:right w:w="8" w:type="dxa"/>
                  </w:tcMar>
                  <w:vAlign w:val="center"/>
                </w:tcPr>
                <w:p w14:paraId="27A7D709">
                  <w:pPr>
                    <w:jc w:val="center"/>
                    <w:rPr>
                      <w:b/>
                      <w:color w:val="auto"/>
                      <w:szCs w:val="21"/>
                      <w:highlight w:val="none"/>
                    </w:rPr>
                  </w:pPr>
                </w:p>
              </w:tc>
              <w:tc>
                <w:tcPr>
                  <w:tcW w:w="422" w:type="pct"/>
                  <w:tcBorders>
                    <w:tl2br w:val="nil"/>
                    <w:tr2bl w:val="nil"/>
                  </w:tcBorders>
                  <w:tcMar>
                    <w:top w:w="8" w:type="dxa"/>
                    <w:left w:w="8" w:type="dxa"/>
                    <w:right w:w="8" w:type="dxa"/>
                  </w:tcMar>
                  <w:vAlign w:val="center"/>
                </w:tcPr>
                <w:p w14:paraId="587DED0F">
                  <w:pPr>
                    <w:widowControl/>
                    <w:jc w:val="center"/>
                    <w:textAlignment w:val="center"/>
                    <w:rPr>
                      <w:b/>
                      <w:color w:val="auto"/>
                      <w:kern w:val="0"/>
                      <w:szCs w:val="21"/>
                      <w:highlight w:val="none"/>
                    </w:rPr>
                  </w:pPr>
                  <w:r>
                    <w:rPr>
                      <w:b/>
                      <w:color w:val="auto"/>
                      <w:kern w:val="0"/>
                      <w:szCs w:val="21"/>
                      <w:highlight w:val="none"/>
                    </w:rPr>
                    <w:t>浓度</w:t>
                  </w:r>
                </w:p>
                <w:p w14:paraId="077D09AC">
                  <w:pPr>
                    <w:widowControl/>
                    <w:jc w:val="center"/>
                    <w:textAlignment w:val="center"/>
                    <w:rPr>
                      <w:b/>
                      <w:color w:val="auto"/>
                      <w:szCs w:val="21"/>
                      <w:highlight w:val="none"/>
                    </w:rPr>
                  </w:pPr>
                  <w:r>
                    <w:rPr>
                      <w:b/>
                      <w:color w:val="auto"/>
                      <w:kern w:val="0"/>
                      <w:szCs w:val="21"/>
                      <w:highlight w:val="none"/>
                    </w:rPr>
                    <w:t>(mg/m</w:t>
                  </w:r>
                  <w:r>
                    <w:rPr>
                      <w:b/>
                      <w:color w:val="auto"/>
                      <w:kern w:val="0"/>
                      <w:szCs w:val="21"/>
                      <w:highlight w:val="none"/>
                      <w:vertAlign w:val="superscript"/>
                    </w:rPr>
                    <w:t>3</w:t>
                  </w:r>
                  <w:r>
                    <w:rPr>
                      <w:rStyle w:val="102"/>
                      <w:color w:val="auto"/>
                      <w:sz w:val="21"/>
                      <w:szCs w:val="21"/>
                      <w:highlight w:val="none"/>
                    </w:rPr>
                    <w:t>)</w:t>
                  </w:r>
                </w:p>
              </w:tc>
              <w:tc>
                <w:tcPr>
                  <w:tcW w:w="363" w:type="pct"/>
                  <w:tcBorders>
                    <w:tl2br w:val="nil"/>
                    <w:tr2bl w:val="nil"/>
                  </w:tcBorders>
                  <w:tcMar>
                    <w:top w:w="8" w:type="dxa"/>
                    <w:left w:w="8" w:type="dxa"/>
                    <w:right w:w="8" w:type="dxa"/>
                  </w:tcMar>
                  <w:vAlign w:val="center"/>
                </w:tcPr>
                <w:p w14:paraId="023AE1D9">
                  <w:pPr>
                    <w:widowControl/>
                    <w:jc w:val="center"/>
                    <w:textAlignment w:val="center"/>
                    <w:rPr>
                      <w:b/>
                      <w:color w:val="auto"/>
                      <w:kern w:val="0"/>
                      <w:szCs w:val="21"/>
                      <w:highlight w:val="none"/>
                    </w:rPr>
                  </w:pPr>
                  <w:r>
                    <w:rPr>
                      <w:b/>
                      <w:color w:val="auto"/>
                      <w:kern w:val="0"/>
                      <w:szCs w:val="21"/>
                      <w:highlight w:val="none"/>
                    </w:rPr>
                    <w:t>速率</w:t>
                  </w:r>
                </w:p>
                <w:p w14:paraId="1EA67AC0">
                  <w:pPr>
                    <w:widowControl/>
                    <w:jc w:val="center"/>
                    <w:textAlignment w:val="center"/>
                    <w:rPr>
                      <w:b/>
                      <w:color w:val="auto"/>
                      <w:szCs w:val="21"/>
                      <w:highlight w:val="none"/>
                    </w:rPr>
                  </w:pPr>
                  <w:r>
                    <w:rPr>
                      <w:b/>
                      <w:color w:val="auto"/>
                      <w:kern w:val="0"/>
                      <w:szCs w:val="21"/>
                      <w:highlight w:val="none"/>
                    </w:rPr>
                    <w:t>(kg/h)</w:t>
                  </w:r>
                </w:p>
              </w:tc>
              <w:tc>
                <w:tcPr>
                  <w:tcW w:w="371" w:type="pct"/>
                  <w:tcBorders>
                    <w:tl2br w:val="nil"/>
                    <w:tr2bl w:val="nil"/>
                  </w:tcBorders>
                  <w:tcMar>
                    <w:top w:w="8" w:type="dxa"/>
                    <w:left w:w="8" w:type="dxa"/>
                    <w:right w:w="8" w:type="dxa"/>
                  </w:tcMar>
                  <w:vAlign w:val="center"/>
                </w:tcPr>
                <w:p w14:paraId="2B25160B">
                  <w:pPr>
                    <w:widowControl/>
                    <w:jc w:val="center"/>
                    <w:textAlignment w:val="center"/>
                    <w:rPr>
                      <w:b/>
                      <w:color w:val="auto"/>
                      <w:szCs w:val="21"/>
                      <w:highlight w:val="none"/>
                    </w:rPr>
                  </w:pPr>
                  <w:r>
                    <w:rPr>
                      <w:b/>
                      <w:color w:val="auto"/>
                      <w:kern w:val="0"/>
                      <w:szCs w:val="21"/>
                      <w:highlight w:val="none"/>
                    </w:rPr>
                    <w:t>产生量（t/a）</w:t>
                  </w:r>
                </w:p>
              </w:tc>
              <w:tc>
                <w:tcPr>
                  <w:tcW w:w="356" w:type="pct"/>
                  <w:vMerge w:val="continue"/>
                  <w:tcBorders>
                    <w:tl2br w:val="nil"/>
                    <w:tr2bl w:val="nil"/>
                  </w:tcBorders>
                  <w:tcMar>
                    <w:top w:w="8" w:type="dxa"/>
                    <w:left w:w="8" w:type="dxa"/>
                    <w:right w:w="8" w:type="dxa"/>
                  </w:tcMar>
                  <w:vAlign w:val="center"/>
                </w:tcPr>
                <w:p w14:paraId="75DE8FCC">
                  <w:pPr>
                    <w:jc w:val="center"/>
                    <w:rPr>
                      <w:b/>
                      <w:color w:val="auto"/>
                      <w:szCs w:val="21"/>
                      <w:highlight w:val="none"/>
                    </w:rPr>
                  </w:pPr>
                </w:p>
              </w:tc>
              <w:tc>
                <w:tcPr>
                  <w:tcW w:w="251" w:type="pct"/>
                  <w:vMerge w:val="continue"/>
                  <w:tcBorders>
                    <w:tl2br w:val="nil"/>
                    <w:tr2bl w:val="nil"/>
                  </w:tcBorders>
                  <w:tcMar>
                    <w:top w:w="8" w:type="dxa"/>
                    <w:left w:w="8" w:type="dxa"/>
                    <w:right w:w="8" w:type="dxa"/>
                  </w:tcMar>
                  <w:vAlign w:val="center"/>
                </w:tcPr>
                <w:p w14:paraId="7AB3949D">
                  <w:pPr>
                    <w:widowControl/>
                    <w:jc w:val="center"/>
                    <w:textAlignment w:val="center"/>
                    <w:rPr>
                      <w:b/>
                      <w:color w:val="auto"/>
                      <w:szCs w:val="21"/>
                      <w:highlight w:val="none"/>
                    </w:rPr>
                  </w:pPr>
                </w:p>
              </w:tc>
              <w:tc>
                <w:tcPr>
                  <w:tcW w:w="422" w:type="pct"/>
                  <w:tcBorders>
                    <w:tl2br w:val="nil"/>
                    <w:tr2bl w:val="nil"/>
                  </w:tcBorders>
                  <w:tcMar>
                    <w:top w:w="8" w:type="dxa"/>
                    <w:left w:w="8" w:type="dxa"/>
                    <w:right w:w="8" w:type="dxa"/>
                  </w:tcMar>
                  <w:vAlign w:val="center"/>
                </w:tcPr>
                <w:p w14:paraId="6DAC0049">
                  <w:pPr>
                    <w:widowControl/>
                    <w:jc w:val="center"/>
                    <w:textAlignment w:val="center"/>
                    <w:rPr>
                      <w:b/>
                      <w:color w:val="auto"/>
                      <w:szCs w:val="21"/>
                      <w:highlight w:val="none"/>
                    </w:rPr>
                  </w:pPr>
                  <w:r>
                    <w:rPr>
                      <w:b/>
                      <w:color w:val="auto"/>
                      <w:kern w:val="0"/>
                      <w:szCs w:val="21"/>
                      <w:highlight w:val="none"/>
                    </w:rPr>
                    <w:t>浓度 (mg/m</w:t>
                  </w:r>
                  <w:r>
                    <w:rPr>
                      <w:b/>
                      <w:color w:val="auto"/>
                      <w:kern w:val="0"/>
                      <w:szCs w:val="21"/>
                      <w:highlight w:val="none"/>
                      <w:vertAlign w:val="superscript"/>
                    </w:rPr>
                    <w:t>3</w:t>
                  </w:r>
                  <w:r>
                    <w:rPr>
                      <w:rStyle w:val="102"/>
                      <w:color w:val="auto"/>
                      <w:sz w:val="21"/>
                      <w:szCs w:val="21"/>
                      <w:highlight w:val="none"/>
                    </w:rPr>
                    <w:t>)</w:t>
                  </w:r>
                </w:p>
              </w:tc>
              <w:tc>
                <w:tcPr>
                  <w:tcW w:w="330" w:type="pct"/>
                  <w:tcBorders>
                    <w:tl2br w:val="nil"/>
                    <w:tr2bl w:val="nil"/>
                  </w:tcBorders>
                  <w:tcMar>
                    <w:top w:w="8" w:type="dxa"/>
                    <w:left w:w="8" w:type="dxa"/>
                    <w:right w:w="8" w:type="dxa"/>
                  </w:tcMar>
                  <w:vAlign w:val="center"/>
                </w:tcPr>
                <w:p w14:paraId="1A4CB33C">
                  <w:pPr>
                    <w:widowControl/>
                    <w:jc w:val="center"/>
                    <w:textAlignment w:val="center"/>
                    <w:rPr>
                      <w:b/>
                      <w:color w:val="auto"/>
                      <w:kern w:val="0"/>
                      <w:szCs w:val="21"/>
                      <w:highlight w:val="none"/>
                    </w:rPr>
                  </w:pPr>
                  <w:r>
                    <w:rPr>
                      <w:b/>
                      <w:color w:val="auto"/>
                      <w:kern w:val="0"/>
                      <w:szCs w:val="21"/>
                      <w:highlight w:val="none"/>
                    </w:rPr>
                    <w:t>速率</w:t>
                  </w:r>
                </w:p>
                <w:p w14:paraId="4AA63BAC">
                  <w:pPr>
                    <w:widowControl/>
                    <w:jc w:val="center"/>
                    <w:textAlignment w:val="center"/>
                    <w:rPr>
                      <w:b/>
                      <w:color w:val="auto"/>
                      <w:szCs w:val="21"/>
                      <w:highlight w:val="none"/>
                    </w:rPr>
                  </w:pPr>
                  <w:r>
                    <w:rPr>
                      <w:b/>
                      <w:color w:val="auto"/>
                      <w:kern w:val="0"/>
                      <w:szCs w:val="21"/>
                      <w:highlight w:val="none"/>
                    </w:rPr>
                    <w:t>(kg/h)</w:t>
                  </w:r>
                </w:p>
              </w:tc>
              <w:tc>
                <w:tcPr>
                  <w:tcW w:w="325" w:type="pct"/>
                  <w:tcBorders>
                    <w:tl2br w:val="nil"/>
                    <w:tr2bl w:val="nil"/>
                  </w:tcBorders>
                  <w:tcMar>
                    <w:top w:w="8" w:type="dxa"/>
                    <w:left w:w="8" w:type="dxa"/>
                    <w:right w:w="8" w:type="dxa"/>
                  </w:tcMar>
                  <w:vAlign w:val="center"/>
                </w:tcPr>
                <w:p w14:paraId="21F31EBD">
                  <w:pPr>
                    <w:widowControl/>
                    <w:jc w:val="center"/>
                    <w:textAlignment w:val="center"/>
                    <w:rPr>
                      <w:b/>
                      <w:color w:val="auto"/>
                      <w:szCs w:val="21"/>
                      <w:highlight w:val="none"/>
                    </w:rPr>
                  </w:pPr>
                  <w:r>
                    <w:rPr>
                      <w:b/>
                      <w:color w:val="auto"/>
                      <w:kern w:val="0"/>
                      <w:szCs w:val="21"/>
                      <w:highlight w:val="none"/>
                    </w:rPr>
                    <w:t>排放量（t/a）</w:t>
                  </w:r>
                </w:p>
              </w:tc>
              <w:tc>
                <w:tcPr>
                  <w:tcW w:w="205" w:type="pct"/>
                  <w:vMerge w:val="continue"/>
                  <w:tcBorders>
                    <w:tl2br w:val="nil"/>
                    <w:tr2bl w:val="nil"/>
                  </w:tcBorders>
                  <w:tcMar>
                    <w:top w:w="8" w:type="dxa"/>
                    <w:left w:w="8" w:type="dxa"/>
                    <w:right w:w="8" w:type="dxa"/>
                  </w:tcMar>
                  <w:vAlign w:val="center"/>
                </w:tcPr>
                <w:p w14:paraId="73454EAF">
                  <w:pPr>
                    <w:jc w:val="center"/>
                    <w:rPr>
                      <w:b/>
                      <w:color w:val="auto"/>
                      <w:szCs w:val="21"/>
                      <w:highlight w:val="none"/>
                    </w:rPr>
                  </w:pPr>
                </w:p>
              </w:tc>
            </w:tr>
            <w:tr w14:paraId="3EA0D1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42" w:type="pct"/>
                  <w:tcBorders>
                    <w:tl2br w:val="nil"/>
                    <w:tr2bl w:val="nil"/>
                  </w:tcBorders>
                  <w:tcMar>
                    <w:top w:w="8" w:type="dxa"/>
                    <w:left w:w="8" w:type="dxa"/>
                    <w:right w:w="8" w:type="dxa"/>
                  </w:tcMar>
                  <w:vAlign w:val="center"/>
                </w:tcPr>
                <w:p w14:paraId="2965BC7B">
                  <w:pPr>
                    <w:adjustRightInd w:val="0"/>
                    <w:snapToGrid w:val="0"/>
                    <w:jc w:val="center"/>
                    <w:rPr>
                      <w:color w:val="auto"/>
                      <w:szCs w:val="21"/>
                      <w:highlight w:val="none"/>
                    </w:rPr>
                  </w:pPr>
                  <w:r>
                    <w:rPr>
                      <w:rFonts w:hint="eastAsia" w:hAnsi="宋体"/>
                      <w:snapToGrid w:val="0"/>
                      <w:color w:val="auto"/>
                      <w:kern w:val="0"/>
                      <w:szCs w:val="21"/>
                      <w:highlight w:val="none"/>
                    </w:rPr>
                    <w:t>涂聚酯树脂胶、固化、滴浸渍树脂胶、浸涂树脂粉、固化</w:t>
                  </w:r>
                </w:p>
              </w:tc>
              <w:tc>
                <w:tcPr>
                  <w:tcW w:w="343" w:type="pct"/>
                  <w:vMerge w:val="restart"/>
                  <w:tcBorders>
                    <w:tl2br w:val="nil"/>
                    <w:tr2bl w:val="nil"/>
                  </w:tcBorders>
                  <w:tcMar>
                    <w:top w:w="8" w:type="dxa"/>
                    <w:left w:w="8" w:type="dxa"/>
                    <w:right w:w="8" w:type="dxa"/>
                  </w:tcMar>
                  <w:vAlign w:val="center"/>
                </w:tcPr>
                <w:p w14:paraId="36C89107">
                  <w:pPr>
                    <w:widowControl/>
                    <w:jc w:val="center"/>
                    <w:textAlignment w:val="center"/>
                    <w:rPr>
                      <w:color w:val="auto"/>
                      <w:kern w:val="0"/>
                      <w:szCs w:val="21"/>
                      <w:highlight w:val="none"/>
                    </w:rPr>
                  </w:pPr>
                  <w:r>
                    <w:rPr>
                      <w:color w:val="auto"/>
                      <w:kern w:val="0"/>
                      <w:szCs w:val="21"/>
                      <w:highlight w:val="none"/>
                    </w:rPr>
                    <w:t>处理设施或风机故障、检修状况</w:t>
                  </w:r>
                </w:p>
              </w:tc>
              <w:tc>
                <w:tcPr>
                  <w:tcW w:w="290" w:type="pct"/>
                  <w:tcBorders>
                    <w:tl2br w:val="nil"/>
                    <w:tr2bl w:val="nil"/>
                  </w:tcBorders>
                  <w:tcMar>
                    <w:top w:w="8" w:type="dxa"/>
                    <w:left w:w="8" w:type="dxa"/>
                    <w:right w:w="8" w:type="dxa"/>
                  </w:tcMar>
                  <w:vAlign w:val="center"/>
                </w:tcPr>
                <w:p w14:paraId="1E176C11">
                  <w:pPr>
                    <w:widowControl/>
                    <w:jc w:val="center"/>
                    <w:textAlignment w:val="center"/>
                    <w:rPr>
                      <w:color w:val="auto"/>
                      <w:szCs w:val="21"/>
                      <w:highlight w:val="none"/>
                    </w:rPr>
                  </w:pPr>
                  <w:r>
                    <w:rPr>
                      <w:rFonts w:hint="eastAsia"/>
                      <w:color w:val="auto"/>
                      <w:szCs w:val="21"/>
                      <w:highlight w:val="none"/>
                    </w:rPr>
                    <w:t>1</w:t>
                  </w:r>
                </w:p>
              </w:tc>
              <w:tc>
                <w:tcPr>
                  <w:tcW w:w="297" w:type="pct"/>
                  <w:tcBorders>
                    <w:tl2br w:val="nil"/>
                    <w:tr2bl w:val="nil"/>
                  </w:tcBorders>
                  <w:tcMar>
                    <w:top w:w="8" w:type="dxa"/>
                    <w:left w:w="8" w:type="dxa"/>
                    <w:right w:w="8" w:type="dxa"/>
                  </w:tcMar>
                  <w:vAlign w:val="center"/>
                </w:tcPr>
                <w:p w14:paraId="1A167681">
                  <w:pPr>
                    <w:widowControl/>
                    <w:jc w:val="center"/>
                    <w:textAlignment w:val="center"/>
                    <w:rPr>
                      <w:color w:val="auto"/>
                      <w:kern w:val="0"/>
                      <w:szCs w:val="21"/>
                      <w:highlight w:val="none"/>
                    </w:rPr>
                  </w:pPr>
                  <w:r>
                    <w:rPr>
                      <w:rFonts w:hint="eastAsia"/>
                      <w:color w:val="auto"/>
                      <w:kern w:val="0"/>
                      <w:szCs w:val="21"/>
                      <w:highlight w:val="none"/>
                    </w:rPr>
                    <w:t>0.5</w:t>
                  </w:r>
                </w:p>
              </w:tc>
              <w:tc>
                <w:tcPr>
                  <w:tcW w:w="277" w:type="pct"/>
                  <w:tcBorders>
                    <w:tl2br w:val="nil"/>
                    <w:tr2bl w:val="nil"/>
                  </w:tcBorders>
                  <w:tcMar>
                    <w:top w:w="8" w:type="dxa"/>
                    <w:left w:w="8" w:type="dxa"/>
                    <w:right w:w="8" w:type="dxa"/>
                  </w:tcMar>
                  <w:vAlign w:val="center"/>
                </w:tcPr>
                <w:p w14:paraId="39C94812">
                  <w:pPr>
                    <w:widowControl/>
                    <w:jc w:val="center"/>
                    <w:textAlignment w:val="center"/>
                    <w:rPr>
                      <w:color w:val="auto"/>
                      <w:szCs w:val="21"/>
                      <w:highlight w:val="none"/>
                    </w:rPr>
                  </w:pPr>
                  <w:r>
                    <w:rPr>
                      <w:rFonts w:hint="eastAsia"/>
                      <w:color w:val="auto"/>
                      <w:kern w:val="0"/>
                      <w:szCs w:val="21"/>
                      <w:highlight w:val="none"/>
                    </w:rPr>
                    <w:t>VOCs</w:t>
                  </w:r>
                </w:p>
              </w:tc>
              <w:tc>
                <w:tcPr>
                  <w:tcW w:w="422" w:type="pct"/>
                  <w:tcBorders>
                    <w:tl2br w:val="nil"/>
                    <w:tr2bl w:val="nil"/>
                  </w:tcBorders>
                  <w:tcMar>
                    <w:top w:w="8" w:type="dxa"/>
                    <w:left w:w="8" w:type="dxa"/>
                    <w:right w:w="8" w:type="dxa"/>
                  </w:tcMar>
                  <w:vAlign w:val="center"/>
                </w:tcPr>
                <w:p w14:paraId="7E718DC0">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52.2806 </w:t>
                  </w:r>
                </w:p>
              </w:tc>
              <w:tc>
                <w:tcPr>
                  <w:tcW w:w="363" w:type="pct"/>
                  <w:tcBorders>
                    <w:tl2br w:val="nil"/>
                    <w:tr2bl w:val="nil"/>
                  </w:tcBorders>
                  <w:tcMar>
                    <w:top w:w="8" w:type="dxa"/>
                    <w:left w:w="8" w:type="dxa"/>
                    <w:right w:w="8" w:type="dxa"/>
                  </w:tcMar>
                  <w:vAlign w:val="center"/>
                </w:tcPr>
                <w:p w14:paraId="1238C3DA">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0.0523 </w:t>
                  </w:r>
                </w:p>
              </w:tc>
              <w:tc>
                <w:tcPr>
                  <w:tcW w:w="371" w:type="pct"/>
                  <w:tcBorders>
                    <w:tl2br w:val="nil"/>
                    <w:tr2bl w:val="nil"/>
                  </w:tcBorders>
                  <w:tcMar>
                    <w:top w:w="8" w:type="dxa"/>
                    <w:left w:w="8" w:type="dxa"/>
                    <w:right w:w="8" w:type="dxa"/>
                  </w:tcMar>
                  <w:vAlign w:val="center"/>
                </w:tcPr>
                <w:p w14:paraId="0540523D">
                  <w:pPr>
                    <w:keepNext w:val="0"/>
                    <w:keepLines w:val="0"/>
                    <w:widowControl/>
                    <w:suppressLineNumbers w:val="0"/>
                    <w:jc w:val="center"/>
                    <w:textAlignment w:val="center"/>
                    <w:rPr>
                      <w:color w:val="auto"/>
                      <w:szCs w:val="21"/>
                      <w:highlight w:val="none"/>
                    </w:rPr>
                  </w:pPr>
                  <w:r>
                    <w:rPr>
                      <w:rFonts w:hint="default" w:cs="Times New Roman"/>
                      <w:i w:val="0"/>
                      <w:color w:val="auto"/>
                      <w:kern w:val="0"/>
                      <w:sz w:val="21"/>
                      <w:szCs w:val="21"/>
                      <w:u w:val="none"/>
                      <w:lang w:eastAsia="zh-CN" w:bidi="ar"/>
                    </w:rPr>
                    <w:t>0.0262</w:t>
                  </w:r>
                </w:p>
              </w:tc>
              <w:tc>
                <w:tcPr>
                  <w:tcW w:w="356" w:type="pct"/>
                  <w:tcBorders>
                    <w:tl2br w:val="nil"/>
                    <w:tr2bl w:val="nil"/>
                  </w:tcBorders>
                  <w:tcMar>
                    <w:top w:w="8" w:type="dxa"/>
                    <w:left w:w="8" w:type="dxa"/>
                    <w:right w:w="8" w:type="dxa"/>
                  </w:tcMar>
                  <w:vAlign w:val="center"/>
                </w:tcPr>
                <w:p w14:paraId="5090A24C">
                  <w:pPr>
                    <w:widowControl/>
                    <w:jc w:val="center"/>
                    <w:textAlignment w:val="center"/>
                    <w:rPr>
                      <w:color w:val="auto"/>
                      <w:szCs w:val="21"/>
                      <w:highlight w:val="none"/>
                    </w:rPr>
                  </w:pPr>
                  <w:r>
                    <w:rPr>
                      <w:rFonts w:hint="eastAsia"/>
                      <w:color w:val="auto"/>
                      <w:kern w:val="0"/>
                      <w:szCs w:val="21"/>
                      <w:highlight w:val="none"/>
                      <w:lang w:val="en-US" w:eastAsia="zh-Hans"/>
                    </w:rPr>
                    <w:t>三</w:t>
                  </w:r>
                  <w:r>
                    <w:rPr>
                      <w:rFonts w:hint="eastAsia"/>
                      <w:color w:val="auto"/>
                      <w:kern w:val="0"/>
                      <w:szCs w:val="21"/>
                      <w:highlight w:val="none"/>
                    </w:rPr>
                    <w:t>级</w:t>
                  </w:r>
                  <w:r>
                    <w:rPr>
                      <w:color w:val="auto"/>
                      <w:kern w:val="0"/>
                      <w:szCs w:val="21"/>
                      <w:highlight w:val="none"/>
                    </w:rPr>
                    <w:t>活性炭吸附装置</w:t>
                  </w:r>
                </w:p>
              </w:tc>
              <w:tc>
                <w:tcPr>
                  <w:tcW w:w="251" w:type="pct"/>
                  <w:tcBorders>
                    <w:tl2br w:val="nil"/>
                    <w:tr2bl w:val="nil"/>
                  </w:tcBorders>
                  <w:tcMar>
                    <w:top w:w="8" w:type="dxa"/>
                    <w:left w:w="8" w:type="dxa"/>
                    <w:right w:w="8" w:type="dxa"/>
                  </w:tcMar>
                  <w:vAlign w:val="center"/>
                </w:tcPr>
                <w:p w14:paraId="5D3C7AAA">
                  <w:pPr>
                    <w:widowControl/>
                    <w:jc w:val="center"/>
                    <w:textAlignment w:val="center"/>
                    <w:rPr>
                      <w:color w:val="auto"/>
                      <w:szCs w:val="21"/>
                      <w:highlight w:val="none"/>
                    </w:rPr>
                  </w:pPr>
                  <w:r>
                    <w:rPr>
                      <w:rFonts w:hint="eastAsia"/>
                      <w:color w:val="auto"/>
                      <w:szCs w:val="21"/>
                      <w:highlight w:val="none"/>
                    </w:rPr>
                    <w:t>0</w:t>
                  </w:r>
                </w:p>
              </w:tc>
              <w:tc>
                <w:tcPr>
                  <w:tcW w:w="422" w:type="pct"/>
                  <w:tcBorders>
                    <w:tl2br w:val="nil"/>
                    <w:tr2bl w:val="nil"/>
                  </w:tcBorders>
                  <w:tcMar>
                    <w:top w:w="8" w:type="dxa"/>
                    <w:left w:w="8" w:type="dxa"/>
                    <w:right w:w="8" w:type="dxa"/>
                  </w:tcMar>
                  <w:vAlign w:val="center"/>
                </w:tcPr>
                <w:p w14:paraId="2122CEF9">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52.2806 </w:t>
                  </w:r>
                </w:p>
              </w:tc>
              <w:tc>
                <w:tcPr>
                  <w:tcW w:w="330" w:type="pct"/>
                  <w:tcBorders>
                    <w:tl2br w:val="nil"/>
                    <w:tr2bl w:val="nil"/>
                  </w:tcBorders>
                  <w:tcMar>
                    <w:top w:w="8" w:type="dxa"/>
                    <w:left w:w="8" w:type="dxa"/>
                    <w:right w:w="8" w:type="dxa"/>
                  </w:tcMar>
                  <w:vAlign w:val="center"/>
                </w:tcPr>
                <w:p w14:paraId="102736B7">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0.0523 </w:t>
                  </w:r>
                </w:p>
              </w:tc>
              <w:tc>
                <w:tcPr>
                  <w:tcW w:w="325" w:type="pct"/>
                  <w:tcBorders>
                    <w:tl2br w:val="nil"/>
                    <w:tr2bl w:val="nil"/>
                  </w:tcBorders>
                  <w:tcMar>
                    <w:top w:w="8" w:type="dxa"/>
                    <w:left w:w="8" w:type="dxa"/>
                    <w:right w:w="8" w:type="dxa"/>
                  </w:tcMar>
                  <w:vAlign w:val="center"/>
                </w:tcPr>
                <w:p w14:paraId="1D6DDA67">
                  <w:pPr>
                    <w:keepNext w:val="0"/>
                    <w:keepLines w:val="0"/>
                    <w:widowControl/>
                    <w:suppressLineNumbers w:val="0"/>
                    <w:jc w:val="center"/>
                    <w:textAlignment w:val="center"/>
                    <w:rPr>
                      <w:color w:val="auto"/>
                      <w:szCs w:val="21"/>
                      <w:highlight w:val="none"/>
                    </w:rPr>
                  </w:pPr>
                  <w:r>
                    <w:rPr>
                      <w:rFonts w:hint="default" w:cs="Times New Roman"/>
                      <w:i w:val="0"/>
                      <w:color w:val="auto"/>
                      <w:kern w:val="0"/>
                      <w:sz w:val="21"/>
                      <w:szCs w:val="21"/>
                      <w:u w:val="none"/>
                      <w:lang w:eastAsia="zh-CN" w:bidi="ar"/>
                    </w:rPr>
                    <w:t>0.0262</w:t>
                  </w:r>
                </w:p>
              </w:tc>
              <w:tc>
                <w:tcPr>
                  <w:tcW w:w="205" w:type="pct"/>
                  <w:vMerge w:val="restart"/>
                  <w:tcBorders>
                    <w:tl2br w:val="nil"/>
                    <w:tr2bl w:val="nil"/>
                  </w:tcBorders>
                  <w:tcMar>
                    <w:top w:w="8" w:type="dxa"/>
                    <w:left w:w="8" w:type="dxa"/>
                    <w:right w:w="8" w:type="dxa"/>
                  </w:tcMar>
                  <w:vAlign w:val="center"/>
                </w:tcPr>
                <w:p w14:paraId="17D29B60">
                  <w:pPr>
                    <w:widowControl/>
                    <w:jc w:val="center"/>
                    <w:textAlignment w:val="center"/>
                    <w:rPr>
                      <w:color w:val="auto"/>
                      <w:szCs w:val="21"/>
                      <w:highlight w:val="none"/>
                    </w:rPr>
                  </w:pPr>
                  <w:r>
                    <w:rPr>
                      <w:color w:val="auto"/>
                      <w:kern w:val="0"/>
                      <w:szCs w:val="21"/>
                      <w:highlight w:val="none"/>
                    </w:rPr>
                    <w:t>FQ-</w:t>
                  </w:r>
                  <w:r>
                    <w:rPr>
                      <w:rFonts w:hint="default"/>
                      <w:color w:val="auto"/>
                      <w:kern w:val="0"/>
                      <w:szCs w:val="21"/>
                      <w:highlight w:val="none"/>
                    </w:rPr>
                    <w:t>1</w:t>
                  </w:r>
                </w:p>
              </w:tc>
            </w:tr>
            <w:tr w14:paraId="3A394D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42" w:type="pct"/>
                  <w:tcBorders>
                    <w:tl2br w:val="nil"/>
                    <w:tr2bl w:val="nil"/>
                  </w:tcBorders>
                  <w:tcMar>
                    <w:top w:w="8" w:type="dxa"/>
                    <w:left w:w="8" w:type="dxa"/>
                    <w:right w:w="8" w:type="dxa"/>
                  </w:tcMar>
                  <w:vAlign w:val="center"/>
                </w:tcPr>
                <w:p w14:paraId="11317525">
                  <w:pPr>
                    <w:adjustRightInd w:val="0"/>
                    <w:snapToGrid w:val="0"/>
                    <w:jc w:val="center"/>
                    <w:rPr>
                      <w:color w:val="auto"/>
                      <w:kern w:val="0"/>
                      <w:szCs w:val="21"/>
                      <w:highlight w:val="none"/>
                    </w:rPr>
                  </w:pPr>
                  <w:r>
                    <w:rPr>
                      <w:rFonts w:hint="eastAsia" w:hAnsi="宋体"/>
                      <w:snapToGrid w:val="0"/>
                      <w:color w:val="auto"/>
                      <w:kern w:val="0"/>
                      <w:szCs w:val="21"/>
                      <w:highlight w:val="none"/>
                    </w:rPr>
                    <w:t>浸涂树脂粉、固化</w:t>
                  </w:r>
                </w:p>
              </w:tc>
              <w:tc>
                <w:tcPr>
                  <w:tcW w:w="343" w:type="pct"/>
                  <w:vMerge w:val="continue"/>
                  <w:tcBorders>
                    <w:tl2br w:val="nil"/>
                    <w:tr2bl w:val="nil"/>
                  </w:tcBorders>
                  <w:tcMar>
                    <w:top w:w="8" w:type="dxa"/>
                    <w:left w:w="8" w:type="dxa"/>
                    <w:right w:w="8" w:type="dxa"/>
                  </w:tcMar>
                  <w:vAlign w:val="center"/>
                </w:tcPr>
                <w:p w14:paraId="5B99D266">
                  <w:pPr>
                    <w:widowControl/>
                    <w:jc w:val="center"/>
                    <w:textAlignment w:val="center"/>
                    <w:rPr>
                      <w:color w:val="auto"/>
                      <w:kern w:val="0"/>
                      <w:szCs w:val="21"/>
                      <w:highlight w:val="none"/>
                    </w:rPr>
                  </w:pPr>
                </w:p>
              </w:tc>
              <w:tc>
                <w:tcPr>
                  <w:tcW w:w="290" w:type="pct"/>
                  <w:tcBorders>
                    <w:tl2br w:val="nil"/>
                    <w:tr2bl w:val="nil"/>
                  </w:tcBorders>
                  <w:tcMar>
                    <w:top w:w="8" w:type="dxa"/>
                    <w:left w:w="8" w:type="dxa"/>
                    <w:right w:w="8" w:type="dxa"/>
                  </w:tcMar>
                  <w:vAlign w:val="center"/>
                </w:tcPr>
                <w:p w14:paraId="68152365">
                  <w:pPr>
                    <w:widowControl/>
                    <w:jc w:val="center"/>
                    <w:textAlignment w:val="center"/>
                    <w:rPr>
                      <w:color w:val="auto"/>
                      <w:szCs w:val="21"/>
                      <w:highlight w:val="none"/>
                    </w:rPr>
                  </w:pPr>
                  <w:r>
                    <w:rPr>
                      <w:rFonts w:hint="eastAsia"/>
                      <w:color w:val="auto"/>
                      <w:szCs w:val="21"/>
                      <w:highlight w:val="none"/>
                    </w:rPr>
                    <w:t>1</w:t>
                  </w:r>
                </w:p>
              </w:tc>
              <w:tc>
                <w:tcPr>
                  <w:tcW w:w="297" w:type="pct"/>
                  <w:tcBorders>
                    <w:tl2br w:val="nil"/>
                    <w:tr2bl w:val="nil"/>
                  </w:tcBorders>
                  <w:tcMar>
                    <w:top w:w="8" w:type="dxa"/>
                    <w:left w:w="8" w:type="dxa"/>
                    <w:right w:w="8" w:type="dxa"/>
                  </w:tcMar>
                  <w:vAlign w:val="center"/>
                </w:tcPr>
                <w:p w14:paraId="5E5DD1EB">
                  <w:pPr>
                    <w:widowControl/>
                    <w:jc w:val="center"/>
                    <w:textAlignment w:val="center"/>
                    <w:rPr>
                      <w:color w:val="auto"/>
                      <w:kern w:val="0"/>
                      <w:szCs w:val="21"/>
                      <w:highlight w:val="none"/>
                    </w:rPr>
                  </w:pPr>
                  <w:r>
                    <w:rPr>
                      <w:rFonts w:hint="eastAsia"/>
                      <w:color w:val="auto"/>
                      <w:kern w:val="0"/>
                      <w:szCs w:val="21"/>
                      <w:highlight w:val="none"/>
                    </w:rPr>
                    <w:t>0.5</w:t>
                  </w:r>
                </w:p>
              </w:tc>
              <w:tc>
                <w:tcPr>
                  <w:tcW w:w="277" w:type="pct"/>
                  <w:tcBorders>
                    <w:tl2br w:val="nil"/>
                    <w:tr2bl w:val="nil"/>
                  </w:tcBorders>
                  <w:tcMar>
                    <w:top w:w="8" w:type="dxa"/>
                    <w:left w:w="8" w:type="dxa"/>
                    <w:right w:w="8" w:type="dxa"/>
                  </w:tcMar>
                  <w:vAlign w:val="center"/>
                </w:tcPr>
                <w:p w14:paraId="68057B59">
                  <w:pPr>
                    <w:widowControl/>
                    <w:jc w:val="center"/>
                    <w:textAlignment w:val="center"/>
                    <w:rPr>
                      <w:color w:val="auto"/>
                      <w:kern w:val="0"/>
                      <w:szCs w:val="21"/>
                      <w:highlight w:val="none"/>
                    </w:rPr>
                  </w:pPr>
                  <w:r>
                    <w:rPr>
                      <w:rFonts w:hint="eastAsia"/>
                      <w:color w:val="auto"/>
                      <w:kern w:val="0"/>
                      <w:szCs w:val="21"/>
                      <w:highlight w:val="none"/>
                    </w:rPr>
                    <w:t>颗粒物</w:t>
                  </w:r>
                </w:p>
              </w:tc>
              <w:tc>
                <w:tcPr>
                  <w:tcW w:w="422" w:type="pct"/>
                  <w:tcBorders>
                    <w:tl2br w:val="nil"/>
                    <w:tr2bl w:val="nil"/>
                  </w:tcBorders>
                  <w:tcMar>
                    <w:top w:w="8" w:type="dxa"/>
                    <w:left w:w="8" w:type="dxa"/>
                    <w:right w:w="8" w:type="dxa"/>
                  </w:tcMar>
                  <w:vAlign w:val="center"/>
                </w:tcPr>
                <w:p w14:paraId="30046CB9">
                  <w:pPr>
                    <w:widowControl/>
                    <w:jc w:val="center"/>
                    <w:textAlignment w:val="center"/>
                    <w:rPr>
                      <w:color w:val="auto"/>
                      <w:kern w:val="0"/>
                      <w:szCs w:val="21"/>
                      <w:highlight w:val="none"/>
                    </w:rPr>
                  </w:pPr>
                  <w:r>
                    <w:rPr>
                      <w:color w:val="auto"/>
                      <w:kern w:val="0"/>
                      <w:szCs w:val="21"/>
                      <w:highlight w:val="none"/>
                    </w:rPr>
                    <w:t xml:space="preserve">75 </w:t>
                  </w:r>
                </w:p>
              </w:tc>
              <w:tc>
                <w:tcPr>
                  <w:tcW w:w="363" w:type="pct"/>
                  <w:tcBorders>
                    <w:tl2br w:val="nil"/>
                    <w:tr2bl w:val="nil"/>
                  </w:tcBorders>
                  <w:tcMar>
                    <w:top w:w="8" w:type="dxa"/>
                    <w:left w:w="8" w:type="dxa"/>
                    <w:right w:w="8" w:type="dxa"/>
                  </w:tcMar>
                  <w:vAlign w:val="center"/>
                </w:tcPr>
                <w:p w14:paraId="433FF446">
                  <w:pPr>
                    <w:widowControl/>
                    <w:jc w:val="center"/>
                    <w:textAlignment w:val="center"/>
                    <w:rPr>
                      <w:color w:val="auto"/>
                      <w:kern w:val="0"/>
                      <w:szCs w:val="21"/>
                      <w:highlight w:val="none"/>
                    </w:rPr>
                  </w:pPr>
                  <w:r>
                    <w:rPr>
                      <w:color w:val="auto"/>
                      <w:kern w:val="0"/>
                      <w:szCs w:val="21"/>
                      <w:highlight w:val="none"/>
                    </w:rPr>
                    <w:t xml:space="preserve">0.2250 </w:t>
                  </w:r>
                </w:p>
              </w:tc>
              <w:tc>
                <w:tcPr>
                  <w:tcW w:w="371" w:type="pct"/>
                  <w:tcBorders>
                    <w:tl2br w:val="nil"/>
                    <w:tr2bl w:val="nil"/>
                  </w:tcBorders>
                  <w:tcMar>
                    <w:top w:w="8" w:type="dxa"/>
                    <w:left w:w="8" w:type="dxa"/>
                    <w:right w:w="8" w:type="dxa"/>
                  </w:tcMar>
                  <w:vAlign w:val="center"/>
                </w:tcPr>
                <w:p w14:paraId="467CBBED">
                  <w:pPr>
                    <w:widowControl/>
                    <w:jc w:val="center"/>
                    <w:textAlignment w:val="center"/>
                    <w:rPr>
                      <w:color w:val="auto"/>
                      <w:kern w:val="0"/>
                      <w:szCs w:val="21"/>
                      <w:highlight w:val="none"/>
                    </w:rPr>
                  </w:pPr>
                  <w:r>
                    <w:rPr>
                      <w:color w:val="auto"/>
                      <w:kern w:val="0"/>
                      <w:szCs w:val="21"/>
                      <w:highlight w:val="none"/>
                    </w:rPr>
                    <w:t>0.1125</w:t>
                  </w:r>
                </w:p>
              </w:tc>
              <w:tc>
                <w:tcPr>
                  <w:tcW w:w="356" w:type="pct"/>
                  <w:tcBorders>
                    <w:tl2br w:val="nil"/>
                    <w:tr2bl w:val="nil"/>
                  </w:tcBorders>
                  <w:tcMar>
                    <w:top w:w="8" w:type="dxa"/>
                    <w:left w:w="8" w:type="dxa"/>
                    <w:right w:w="8" w:type="dxa"/>
                  </w:tcMar>
                  <w:vAlign w:val="center"/>
                </w:tcPr>
                <w:p w14:paraId="3DA628EB">
                  <w:pPr>
                    <w:widowControl/>
                    <w:jc w:val="center"/>
                    <w:textAlignment w:val="center"/>
                    <w:rPr>
                      <w:color w:val="auto"/>
                      <w:kern w:val="0"/>
                      <w:szCs w:val="21"/>
                      <w:highlight w:val="none"/>
                    </w:rPr>
                  </w:pPr>
                  <w:r>
                    <w:rPr>
                      <w:rFonts w:hint="eastAsia"/>
                      <w:color w:val="auto"/>
                      <w:kern w:val="0"/>
                      <w:szCs w:val="21"/>
                      <w:highlight w:val="none"/>
                    </w:rPr>
                    <w:t>过滤装置</w:t>
                  </w:r>
                </w:p>
              </w:tc>
              <w:tc>
                <w:tcPr>
                  <w:tcW w:w="251" w:type="pct"/>
                  <w:tcBorders>
                    <w:tl2br w:val="nil"/>
                    <w:tr2bl w:val="nil"/>
                  </w:tcBorders>
                  <w:tcMar>
                    <w:top w:w="8" w:type="dxa"/>
                    <w:left w:w="8" w:type="dxa"/>
                    <w:right w:w="8" w:type="dxa"/>
                  </w:tcMar>
                  <w:vAlign w:val="center"/>
                </w:tcPr>
                <w:p w14:paraId="6AF06450">
                  <w:pPr>
                    <w:widowControl/>
                    <w:jc w:val="center"/>
                    <w:textAlignment w:val="center"/>
                    <w:rPr>
                      <w:color w:val="auto"/>
                      <w:szCs w:val="21"/>
                      <w:highlight w:val="none"/>
                    </w:rPr>
                  </w:pPr>
                  <w:r>
                    <w:rPr>
                      <w:rFonts w:hint="eastAsia"/>
                      <w:color w:val="auto"/>
                      <w:szCs w:val="21"/>
                      <w:highlight w:val="none"/>
                    </w:rPr>
                    <w:t>0</w:t>
                  </w:r>
                </w:p>
              </w:tc>
              <w:tc>
                <w:tcPr>
                  <w:tcW w:w="422" w:type="pct"/>
                  <w:tcBorders>
                    <w:tl2br w:val="nil"/>
                    <w:tr2bl w:val="nil"/>
                  </w:tcBorders>
                  <w:tcMar>
                    <w:top w:w="8" w:type="dxa"/>
                    <w:left w:w="8" w:type="dxa"/>
                    <w:right w:w="8" w:type="dxa"/>
                  </w:tcMar>
                  <w:vAlign w:val="center"/>
                </w:tcPr>
                <w:p w14:paraId="1B9B1A42">
                  <w:pPr>
                    <w:widowControl/>
                    <w:jc w:val="center"/>
                    <w:textAlignment w:val="center"/>
                    <w:rPr>
                      <w:color w:val="auto"/>
                      <w:kern w:val="0"/>
                      <w:szCs w:val="21"/>
                      <w:highlight w:val="none"/>
                    </w:rPr>
                  </w:pPr>
                  <w:r>
                    <w:rPr>
                      <w:color w:val="auto"/>
                      <w:kern w:val="0"/>
                      <w:szCs w:val="21"/>
                      <w:highlight w:val="none"/>
                    </w:rPr>
                    <w:t xml:space="preserve">75 </w:t>
                  </w:r>
                </w:p>
              </w:tc>
              <w:tc>
                <w:tcPr>
                  <w:tcW w:w="330" w:type="pct"/>
                  <w:tcBorders>
                    <w:tl2br w:val="nil"/>
                    <w:tr2bl w:val="nil"/>
                  </w:tcBorders>
                  <w:tcMar>
                    <w:top w:w="8" w:type="dxa"/>
                    <w:left w:w="8" w:type="dxa"/>
                    <w:right w:w="8" w:type="dxa"/>
                  </w:tcMar>
                  <w:vAlign w:val="center"/>
                </w:tcPr>
                <w:p w14:paraId="0557E3A2">
                  <w:pPr>
                    <w:widowControl/>
                    <w:jc w:val="center"/>
                    <w:textAlignment w:val="center"/>
                    <w:rPr>
                      <w:color w:val="auto"/>
                      <w:kern w:val="0"/>
                      <w:szCs w:val="21"/>
                      <w:highlight w:val="none"/>
                    </w:rPr>
                  </w:pPr>
                  <w:r>
                    <w:rPr>
                      <w:color w:val="auto"/>
                      <w:kern w:val="0"/>
                      <w:szCs w:val="21"/>
                      <w:highlight w:val="none"/>
                    </w:rPr>
                    <w:t xml:space="preserve">0.2250 </w:t>
                  </w:r>
                </w:p>
              </w:tc>
              <w:tc>
                <w:tcPr>
                  <w:tcW w:w="325" w:type="pct"/>
                  <w:tcBorders>
                    <w:tl2br w:val="nil"/>
                    <w:tr2bl w:val="nil"/>
                  </w:tcBorders>
                  <w:tcMar>
                    <w:top w:w="8" w:type="dxa"/>
                    <w:left w:w="8" w:type="dxa"/>
                    <w:right w:w="8" w:type="dxa"/>
                  </w:tcMar>
                  <w:vAlign w:val="center"/>
                </w:tcPr>
                <w:p w14:paraId="384AF982">
                  <w:pPr>
                    <w:widowControl/>
                    <w:jc w:val="center"/>
                    <w:textAlignment w:val="center"/>
                    <w:rPr>
                      <w:color w:val="auto"/>
                      <w:kern w:val="0"/>
                      <w:szCs w:val="21"/>
                      <w:highlight w:val="none"/>
                    </w:rPr>
                  </w:pPr>
                  <w:r>
                    <w:rPr>
                      <w:color w:val="auto"/>
                      <w:kern w:val="0"/>
                      <w:szCs w:val="21"/>
                      <w:highlight w:val="none"/>
                    </w:rPr>
                    <w:t>0.1125</w:t>
                  </w:r>
                </w:p>
              </w:tc>
              <w:tc>
                <w:tcPr>
                  <w:tcW w:w="205" w:type="pct"/>
                  <w:vMerge w:val="continue"/>
                  <w:tcBorders>
                    <w:tl2br w:val="nil"/>
                    <w:tr2bl w:val="nil"/>
                  </w:tcBorders>
                  <w:tcMar>
                    <w:top w:w="8" w:type="dxa"/>
                    <w:left w:w="8" w:type="dxa"/>
                    <w:right w:w="8" w:type="dxa"/>
                  </w:tcMar>
                  <w:vAlign w:val="center"/>
                </w:tcPr>
                <w:p w14:paraId="022C09D1">
                  <w:pPr>
                    <w:widowControl/>
                    <w:jc w:val="center"/>
                    <w:textAlignment w:val="center"/>
                    <w:rPr>
                      <w:color w:val="auto"/>
                      <w:kern w:val="0"/>
                      <w:szCs w:val="21"/>
                      <w:highlight w:val="none"/>
                    </w:rPr>
                  </w:pPr>
                </w:p>
              </w:tc>
            </w:tr>
          </w:tbl>
          <w:p w14:paraId="378FA5C9">
            <w:pPr>
              <w:numPr>
                <w:ilvl w:val="0"/>
                <w:numId w:val="11"/>
              </w:numPr>
              <w:adjustRightInd w:val="0"/>
              <w:snapToGrid w:val="0"/>
              <w:spacing w:line="360" w:lineRule="auto"/>
              <w:ind w:firstLine="482" w:firstLineChars="200"/>
              <w:rPr>
                <w:rFonts w:hint="eastAsia" w:hAnsi="宋体"/>
                <w:b/>
                <w:color w:val="auto"/>
                <w:kern w:val="0"/>
                <w:sz w:val="24"/>
                <w:highlight w:val="none"/>
                <w:lang w:val="en-US" w:eastAsia="zh-Hans"/>
              </w:rPr>
            </w:pPr>
            <w:r>
              <w:rPr>
                <w:rFonts w:hint="eastAsia" w:hAnsi="宋体"/>
                <w:b/>
                <w:color w:val="auto"/>
                <w:kern w:val="0"/>
                <w:sz w:val="24"/>
                <w:highlight w:val="none"/>
                <w:lang w:val="en-US" w:eastAsia="zh-Hans"/>
              </w:rPr>
              <w:t>厂界或厂区达标情况</w:t>
            </w:r>
          </w:p>
          <w:p w14:paraId="1084ADA5">
            <w:pPr>
              <w:autoSpaceDE w:val="0"/>
              <w:autoSpaceDN w:val="0"/>
              <w:adjustRightInd w:val="0"/>
              <w:snapToGrid w:val="0"/>
              <w:spacing w:line="360" w:lineRule="auto"/>
              <w:ind w:firstLine="480" w:firstLineChars="200"/>
              <w:rPr>
                <w:rFonts w:ascii="Times New Roman" w:hAnsi="Times New Roman" w:eastAsia="宋体"/>
                <w:bCs/>
                <w:color w:val="auto"/>
                <w:sz w:val="24"/>
                <w:szCs w:val="24"/>
                <w:highlight w:val="none"/>
              </w:rPr>
            </w:pPr>
            <w:r>
              <w:rPr>
                <w:rFonts w:hint="eastAsia" w:eastAsia="宋体"/>
                <w:bCs/>
                <w:color w:val="auto"/>
                <w:sz w:val="24"/>
                <w:szCs w:val="24"/>
                <w:highlight w:val="none"/>
                <w:lang w:val="en-US" w:eastAsia="zh-Hans"/>
              </w:rPr>
              <w:t>经</w:t>
            </w:r>
            <w:r>
              <w:rPr>
                <w:rFonts w:hint="eastAsia" w:ascii="Times New Roman" w:hAnsi="Times New Roman" w:eastAsia="宋体"/>
                <w:bCs/>
                <w:color w:val="auto"/>
                <w:sz w:val="24"/>
                <w:szCs w:val="24"/>
                <w:highlight w:val="none"/>
              </w:rPr>
              <w:t>预测，厂区内或厂界处最大排放浓度如表4</w:t>
            </w:r>
            <w:r>
              <w:rPr>
                <w:rFonts w:ascii="Times New Roman" w:hAnsi="Times New Roman" w:eastAsia="宋体"/>
                <w:bCs/>
                <w:color w:val="auto"/>
                <w:sz w:val="24"/>
                <w:szCs w:val="24"/>
                <w:highlight w:val="none"/>
              </w:rPr>
              <w:t>-</w:t>
            </w:r>
            <w:r>
              <w:rPr>
                <w:rFonts w:hint="eastAsia" w:ascii="Times New Roman" w:hAnsi="Times New Roman" w:eastAsia="宋体"/>
                <w:bCs/>
                <w:color w:val="auto"/>
                <w:sz w:val="24"/>
                <w:szCs w:val="24"/>
                <w:highlight w:val="none"/>
              </w:rPr>
              <w:t>1</w:t>
            </w:r>
            <w:r>
              <w:rPr>
                <w:rFonts w:hint="default"/>
                <w:bCs/>
                <w:color w:val="auto"/>
                <w:sz w:val="24"/>
                <w:szCs w:val="24"/>
                <w:highlight w:val="none"/>
              </w:rPr>
              <w:t>2</w:t>
            </w:r>
            <w:r>
              <w:rPr>
                <w:rFonts w:hint="eastAsia" w:ascii="Times New Roman" w:hAnsi="Times New Roman" w:eastAsia="宋体"/>
                <w:bCs/>
                <w:color w:val="auto"/>
                <w:sz w:val="24"/>
                <w:szCs w:val="24"/>
                <w:highlight w:val="none"/>
              </w:rPr>
              <w:t>。</w:t>
            </w:r>
          </w:p>
          <w:p w14:paraId="66E12AAB">
            <w:pPr>
              <w:autoSpaceDE w:val="0"/>
              <w:autoSpaceDN w:val="0"/>
              <w:adjustRightInd w:val="0"/>
              <w:snapToGrid w:val="0"/>
              <w:spacing w:line="240" w:lineRule="auto"/>
              <w:ind w:firstLine="482" w:firstLineChars="200"/>
              <w:jc w:val="center"/>
              <w:rPr>
                <w:rFonts w:ascii="Times New Roman" w:hAnsi="Times New Roman" w:eastAsia="宋体"/>
                <w:b/>
                <w:color w:val="auto"/>
                <w:sz w:val="24"/>
                <w:highlight w:val="none"/>
              </w:rPr>
            </w:pPr>
            <w:r>
              <w:rPr>
                <w:rFonts w:hint="eastAsia" w:ascii="Times New Roman" w:hAnsi="Times New Roman" w:eastAsia="宋体"/>
                <w:b/>
                <w:bCs w:val="0"/>
                <w:color w:val="auto"/>
                <w:sz w:val="24"/>
                <w:szCs w:val="24"/>
                <w:highlight w:val="none"/>
              </w:rPr>
              <w:t>表4</w:t>
            </w:r>
            <w:r>
              <w:rPr>
                <w:rFonts w:ascii="Times New Roman" w:hAnsi="Times New Roman" w:eastAsia="宋体"/>
                <w:b/>
                <w:bCs w:val="0"/>
                <w:color w:val="auto"/>
                <w:sz w:val="24"/>
                <w:szCs w:val="24"/>
                <w:highlight w:val="none"/>
              </w:rPr>
              <w:t>-</w:t>
            </w:r>
            <w:r>
              <w:rPr>
                <w:rFonts w:hint="eastAsia" w:ascii="Times New Roman" w:hAnsi="Times New Roman" w:eastAsia="宋体"/>
                <w:b/>
                <w:bCs w:val="0"/>
                <w:color w:val="auto"/>
                <w:sz w:val="24"/>
                <w:szCs w:val="24"/>
                <w:highlight w:val="none"/>
              </w:rPr>
              <w:t>1</w:t>
            </w:r>
            <w:r>
              <w:rPr>
                <w:rFonts w:hint="default"/>
                <w:b/>
                <w:bCs w:val="0"/>
                <w:color w:val="auto"/>
                <w:sz w:val="24"/>
                <w:szCs w:val="24"/>
                <w:highlight w:val="none"/>
              </w:rPr>
              <w:t>2</w:t>
            </w:r>
            <w:r>
              <w:rPr>
                <w:rFonts w:hint="eastAsia" w:ascii="Times New Roman" w:hAnsi="Times New Roman" w:eastAsia="宋体"/>
                <w:b/>
                <w:bCs w:val="0"/>
                <w:color w:val="auto"/>
                <w:sz w:val="24"/>
                <w:szCs w:val="24"/>
                <w:highlight w:val="none"/>
              </w:rPr>
              <w:t xml:space="preserve"> </w:t>
            </w:r>
            <w:r>
              <w:rPr>
                <w:rFonts w:ascii="Times New Roman" w:hAnsi="Times New Roman" w:eastAsia="宋体"/>
                <w:b/>
                <w:bCs w:val="0"/>
                <w:color w:val="auto"/>
                <w:sz w:val="24"/>
                <w:szCs w:val="24"/>
                <w:highlight w:val="none"/>
              </w:rPr>
              <w:t xml:space="preserve"> </w:t>
            </w:r>
            <w:r>
              <w:rPr>
                <w:rFonts w:hint="eastAsia" w:ascii="Times New Roman" w:hAnsi="Times New Roman" w:eastAsia="宋体"/>
                <w:b/>
                <w:bCs w:val="0"/>
                <w:color w:val="auto"/>
                <w:sz w:val="24"/>
                <w:szCs w:val="24"/>
                <w:highlight w:val="none"/>
              </w:rPr>
              <w:t>厂区内或厂界处非甲烷总经排放浓度达标性分析表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2062"/>
              <w:gridCol w:w="2062"/>
              <w:gridCol w:w="2062"/>
              <w:gridCol w:w="2027"/>
            </w:tblGrid>
            <w:tr w14:paraId="22F8F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5" w:type="pct"/>
                  <w:tcBorders>
                    <w:tl2br w:val="nil"/>
                    <w:tr2bl w:val="nil"/>
                  </w:tcBorders>
                  <w:noWrap w:val="0"/>
                  <w:vAlign w:val="center"/>
                </w:tcPr>
                <w:p w14:paraId="3CBC9712">
                  <w:pPr>
                    <w:autoSpaceDE w:val="0"/>
                    <w:autoSpaceDN w:val="0"/>
                    <w:adjustRightInd w:val="0"/>
                    <w:snapToGrid w:val="0"/>
                    <w:jc w:val="center"/>
                    <w:rPr>
                      <w:rFonts w:hint="default" w:ascii="Times New Roman Regular" w:hAnsi="Times New Roman Regular" w:eastAsia="宋体" w:cs="Times New Roman Regular"/>
                      <w:b w:val="0"/>
                      <w:color w:val="auto"/>
                      <w:sz w:val="24"/>
                      <w:szCs w:val="24"/>
                      <w:highlight w:val="none"/>
                    </w:rPr>
                  </w:pPr>
                  <w:r>
                    <w:rPr>
                      <w:rFonts w:hint="default" w:ascii="Times New Roman Regular" w:hAnsi="Times New Roman Regular" w:eastAsia="宋体" w:cs="Times New Roman Regular"/>
                      <w:b w:val="0"/>
                      <w:color w:val="auto"/>
                      <w:sz w:val="24"/>
                      <w:szCs w:val="24"/>
                      <w:highlight w:val="none"/>
                    </w:rPr>
                    <w:t>污染物名称</w:t>
                  </w:r>
                </w:p>
              </w:tc>
              <w:tc>
                <w:tcPr>
                  <w:tcW w:w="1005" w:type="pct"/>
                  <w:tcBorders>
                    <w:tl2br w:val="nil"/>
                    <w:tr2bl w:val="nil"/>
                  </w:tcBorders>
                  <w:noWrap w:val="0"/>
                  <w:vAlign w:val="center"/>
                </w:tcPr>
                <w:p w14:paraId="541F8D72">
                  <w:pPr>
                    <w:autoSpaceDE w:val="0"/>
                    <w:autoSpaceDN w:val="0"/>
                    <w:adjustRightInd w:val="0"/>
                    <w:snapToGrid w:val="0"/>
                    <w:jc w:val="center"/>
                    <w:rPr>
                      <w:rFonts w:hint="default" w:ascii="Times New Roman Regular" w:hAnsi="Times New Roman Regular" w:eastAsia="宋体" w:cs="Times New Roman Regular"/>
                      <w:b w:val="0"/>
                      <w:color w:val="auto"/>
                      <w:sz w:val="24"/>
                      <w:szCs w:val="24"/>
                      <w:highlight w:val="none"/>
                    </w:rPr>
                  </w:pPr>
                  <w:r>
                    <w:rPr>
                      <w:rFonts w:hint="default" w:ascii="Times New Roman Regular" w:hAnsi="Times New Roman Regular" w:eastAsia="宋体" w:cs="Times New Roman Regular"/>
                      <w:b w:val="0"/>
                      <w:color w:val="auto"/>
                      <w:sz w:val="24"/>
                      <w:szCs w:val="24"/>
                      <w:highlight w:val="none"/>
                    </w:rPr>
                    <w:t>厂区内或厂界处最大排放浓度（mg/m</w:t>
                  </w:r>
                  <w:r>
                    <w:rPr>
                      <w:rFonts w:hint="default" w:ascii="Times New Roman Regular" w:hAnsi="Times New Roman Regular" w:eastAsia="宋体" w:cs="Times New Roman Regular"/>
                      <w:b w:val="0"/>
                      <w:color w:val="auto"/>
                      <w:sz w:val="24"/>
                      <w:szCs w:val="24"/>
                      <w:highlight w:val="none"/>
                      <w:vertAlign w:val="superscript"/>
                    </w:rPr>
                    <w:t>3</w:t>
                  </w:r>
                  <w:r>
                    <w:rPr>
                      <w:rFonts w:hint="default" w:ascii="Times New Roman Regular" w:hAnsi="Times New Roman Regular" w:eastAsia="宋体" w:cs="Times New Roman Regular"/>
                      <w:b w:val="0"/>
                      <w:color w:val="auto"/>
                      <w:sz w:val="24"/>
                      <w:szCs w:val="24"/>
                      <w:highlight w:val="none"/>
                    </w:rPr>
                    <w:t>）</w:t>
                  </w:r>
                </w:p>
              </w:tc>
              <w:tc>
                <w:tcPr>
                  <w:tcW w:w="1005" w:type="pct"/>
                  <w:tcBorders>
                    <w:tl2br w:val="nil"/>
                    <w:tr2bl w:val="nil"/>
                  </w:tcBorders>
                  <w:noWrap w:val="0"/>
                  <w:vAlign w:val="center"/>
                </w:tcPr>
                <w:p w14:paraId="1E37114C">
                  <w:pPr>
                    <w:autoSpaceDE w:val="0"/>
                    <w:autoSpaceDN w:val="0"/>
                    <w:adjustRightInd w:val="0"/>
                    <w:snapToGrid w:val="0"/>
                    <w:jc w:val="center"/>
                    <w:rPr>
                      <w:rFonts w:hint="default" w:ascii="Times New Roman Regular" w:hAnsi="Times New Roman Regular" w:eastAsia="宋体" w:cs="Times New Roman Regular"/>
                      <w:b w:val="0"/>
                      <w:color w:val="auto"/>
                      <w:sz w:val="24"/>
                      <w:szCs w:val="24"/>
                      <w:highlight w:val="none"/>
                    </w:rPr>
                  </w:pPr>
                  <w:r>
                    <w:rPr>
                      <w:rFonts w:hint="default" w:ascii="Times New Roman Regular" w:hAnsi="Times New Roman Regular" w:eastAsia="宋体" w:cs="Times New Roman Regular"/>
                      <w:b w:val="0"/>
                      <w:color w:val="auto"/>
                      <w:sz w:val="24"/>
                      <w:szCs w:val="24"/>
                      <w:highlight w:val="none"/>
                    </w:rPr>
                    <w:t>厂界监控点浓度限值（mg/m</w:t>
                  </w:r>
                  <w:r>
                    <w:rPr>
                      <w:rFonts w:hint="default" w:ascii="Times New Roman Regular" w:hAnsi="Times New Roman Regular" w:eastAsia="宋体" w:cs="Times New Roman Regular"/>
                      <w:b w:val="0"/>
                      <w:color w:val="auto"/>
                      <w:sz w:val="24"/>
                      <w:szCs w:val="24"/>
                      <w:highlight w:val="none"/>
                      <w:vertAlign w:val="superscript"/>
                    </w:rPr>
                    <w:t>3</w:t>
                  </w:r>
                  <w:r>
                    <w:rPr>
                      <w:rFonts w:hint="default" w:ascii="Times New Roman Regular" w:hAnsi="Times New Roman Regular" w:eastAsia="宋体" w:cs="Times New Roman Regular"/>
                      <w:b w:val="0"/>
                      <w:color w:val="auto"/>
                      <w:sz w:val="24"/>
                      <w:szCs w:val="24"/>
                      <w:highlight w:val="none"/>
                    </w:rPr>
                    <w:t>）</w:t>
                  </w:r>
                </w:p>
              </w:tc>
              <w:tc>
                <w:tcPr>
                  <w:tcW w:w="1005" w:type="pct"/>
                  <w:tcBorders>
                    <w:tl2br w:val="nil"/>
                    <w:tr2bl w:val="nil"/>
                  </w:tcBorders>
                  <w:noWrap w:val="0"/>
                  <w:vAlign w:val="center"/>
                </w:tcPr>
                <w:p w14:paraId="184A5B51">
                  <w:pPr>
                    <w:autoSpaceDE w:val="0"/>
                    <w:autoSpaceDN w:val="0"/>
                    <w:adjustRightInd w:val="0"/>
                    <w:snapToGrid w:val="0"/>
                    <w:jc w:val="center"/>
                    <w:rPr>
                      <w:rFonts w:hint="default" w:ascii="Times New Roman Regular" w:hAnsi="Times New Roman Regular" w:eastAsia="宋体" w:cs="Times New Roman Regular"/>
                      <w:b w:val="0"/>
                      <w:color w:val="auto"/>
                      <w:sz w:val="24"/>
                      <w:szCs w:val="24"/>
                      <w:highlight w:val="none"/>
                    </w:rPr>
                  </w:pPr>
                  <w:r>
                    <w:rPr>
                      <w:rFonts w:hint="default" w:ascii="Times New Roman Regular" w:hAnsi="Times New Roman Regular" w:eastAsia="宋体" w:cs="Times New Roman Regular"/>
                      <w:b w:val="0"/>
                      <w:color w:val="auto"/>
                      <w:sz w:val="24"/>
                      <w:szCs w:val="24"/>
                      <w:highlight w:val="none"/>
                    </w:rPr>
                    <w:t>厂区1h平均浓度限值（mg/m</w:t>
                  </w:r>
                  <w:r>
                    <w:rPr>
                      <w:rFonts w:hint="default" w:ascii="Times New Roman Regular" w:hAnsi="Times New Roman Regular" w:eastAsia="宋体" w:cs="Times New Roman Regular"/>
                      <w:b w:val="0"/>
                      <w:color w:val="auto"/>
                      <w:sz w:val="24"/>
                      <w:szCs w:val="24"/>
                      <w:highlight w:val="none"/>
                      <w:vertAlign w:val="superscript"/>
                    </w:rPr>
                    <w:t>3</w:t>
                  </w:r>
                  <w:r>
                    <w:rPr>
                      <w:rFonts w:hint="default" w:ascii="Times New Roman Regular" w:hAnsi="Times New Roman Regular" w:eastAsia="宋体" w:cs="Times New Roman Regular"/>
                      <w:b w:val="0"/>
                      <w:color w:val="auto"/>
                      <w:sz w:val="24"/>
                      <w:szCs w:val="24"/>
                      <w:highlight w:val="none"/>
                    </w:rPr>
                    <w:t>）</w:t>
                  </w:r>
                </w:p>
              </w:tc>
              <w:tc>
                <w:tcPr>
                  <w:tcW w:w="988" w:type="pct"/>
                  <w:tcBorders>
                    <w:tl2br w:val="nil"/>
                    <w:tr2bl w:val="nil"/>
                  </w:tcBorders>
                  <w:noWrap w:val="0"/>
                  <w:vAlign w:val="center"/>
                </w:tcPr>
                <w:p w14:paraId="78CD5AF5">
                  <w:pPr>
                    <w:autoSpaceDE w:val="0"/>
                    <w:autoSpaceDN w:val="0"/>
                    <w:adjustRightInd w:val="0"/>
                    <w:snapToGrid w:val="0"/>
                    <w:jc w:val="center"/>
                    <w:rPr>
                      <w:rFonts w:hint="default" w:ascii="Times New Roman Regular" w:hAnsi="Times New Roman Regular" w:eastAsia="宋体" w:cs="Times New Roman Regular"/>
                      <w:b w:val="0"/>
                      <w:color w:val="auto"/>
                      <w:sz w:val="24"/>
                      <w:szCs w:val="24"/>
                      <w:highlight w:val="none"/>
                    </w:rPr>
                  </w:pPr>
                  <w:r>
                    <w:rPr>
                      <w:rFonts w:hint="default" w:ascii="Times New Roman Regular" w:hAnsi="Times New Roman Regular" w:eastAsia="宋体" w:cs="Times New Roman Regular"/>
                      <w:b w:val="0"/>
                      <w:color w:val="auto"/>
                      <w:sz w:val="24"/>
                      <w:szCs w:val="24"/>
                      <w:highlight w:val="none"/>
                    </w:rPr>
                    <w:t>达标性</w:t>
                  </w:r>
                </w:p>
              </w:tc>
            </w:tr>
            <w:tr w14:paraId="7A231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5" w:type="pct"/>
                  <w:tcBorders>
                    <w:tl2br w:val="nil"/>
                    <w:tr2bl w:val="nil"/>
                  </w:tcBorders>
                  <w:noWrap w:val="0"/>
                  <w:vAlign w:val="center"/>
                </w:tcPr>
                <w:p w14:paraId="523A8B01">
                  <w:pPr>
                    <w:autoSpaceDE w:val="0"/>
                    <w:autoSpaceDN w:val="0"/>
                    <w:adjustRightInd w:val="0"/>
                    <w:snapToGrid w:val="0"/>
                    <w:jc w:val="center"/>
                    <w:rPr>
                      <w:rFonts w:hint="eastAsia" w:ascii="Times New Roman Regular" w:hAnsi="Times New Roman Regular" w:eastAsia="宋体" w:cs="Times New Roman Regular"/>
                      <w:b w:val="0"/>
                      <w:bCs/>
                      <w:color w:val="auto"/>
                      <w:sz w:val="24"/>
                      <w:szCs w:val="24"/>
                      <w:highlight w:val="none"/>
                      <w:lang w:eastAsia="zh-Hans"/>
                    </w:rPr>
                  </w:pPr>
                  <w:r>
                    <w:rPr>
                      <w:rFonts w:hint="eastAsia" w:ascii="Times New Roman Regular" w:hAnsi="Times New Roman Regular" w:eastAsia="宋体" w:cs="Times New Roman Regular"/>
                      <w:b w:val="0"/>
                      <w:bCs/>
                      <w:color w:val="auto"/>
                      <w:sz w:val="24"/>
                      <w:szCs w:val="24"/>
                      <w:highlight w:val="none"/>
                      <w:lang w:val="en-US" w:eastAsia="zh-Hans"/>
                    </w:rPr>
                    <w:t>二甲苯</w:t>
                  </w:r>
                </w:p>
              </w:tc>
              <w:tc>
                <w:tcPr>
                  <w:tcW w:w="1005" w:type="pct"/>
                  <w:tcBorders>
                    <w:tl2br w:val="nil"/>
                    <w:tr2bl w:val="nil"/>
                  </w:tcBorders>
                  <w:noWrap w:val="0"/>
                  <w:vAlign w:val="center"/>
                </w:tcPr>
                <w:p w14:paraId="26D1DD76">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1.3×10</w:t>
                  </w:r>
                  <w:r>
                    <w:rPr>
                      <w:rFonts w:hint="default" w:ascii="Times New Roman Regular" w:hAnsi="Times New Roman Regular" w:eastAsia="宋体" w:cs="Times New Roman Regular"/>
                      <w:b w:val="0"/>
                      <w:bCs/>
                      <w:color w:val="auto"/>
                      <w:sz w:val="24"/>
                      <w:szCs w:val="24"/>
                      <w:highlight w:val="none"/>
                      <w:vertAlign w:val="superscript"/>
                    </w:rPr>
                    <w:t>-5</w:t>
                  </w:r>
                </w:p>
              </w:tc>
              <w:tc>
                <w:tcPr>
                  <w:tcW w:w="1005" w:type="pct"/>
                  <w:tcBorders>
                    <w:tl2br w:val="nil"/>
                    <w:tr2bl w:val="nil"/>
                  </w:tcBorders>
                  <w:noWrap w:val="0"/>
                  <w:vAlign w:val="center"/>
                </w:tcPr>
                <w:p w14:paraId="09BE59A4">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0.2</w:t>
                  </w:r>
                </w:p>
              </w:tc>
              <w:tc>
                <w:tcPr>
                  <w:tcW w:w="1005" w:type="pct"/>
                  <w:tcBorders>
                    <w:tl2br w:val="nil"/>
                    <w:tr2bl w:val="nil"/>
                  </w:tcBorders>
                  <w:noWrap w:val="0"/>
                  <w:vAlign w:val="center"/>
                </w:tcPr>
                <w:p w14:paraId="14F00C85">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w:t>
                  </w:r>
                </w:p>
              </w:tc>
              <w:tc>
                <w:tcPr>
                  <w:tcW w:w="988" w:type="pct"/>
                  <w:tcBorders>
                    <w:tl2br w:val="nil"/>
                    <w:tr2bl w:val="nil"/>
                  </w:tcBorders>
                  <w:noWrap w:val="0"/>
                  <w:vAlign w:val="center"/>
                </w:tcPr>
                <w:p w14:paraId="087C2971">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达标</w:t>
                  </w:r>
                </w:p>
              </w:tc>
            </w:tr>
            <w:tr w14:paraId="52123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5" w:type="pct"/>
                  <w:tcBorders>
                    <w:tl2br w:val="nil"/>
                    <w:tr2bl w:val="nil"/>
                  </w:tcBorders>
                  <w:noWrap w:val="0"/>
                  <w:vAlign w:val="center"/>
                </w:tcPr>
                <w:p w14:paraId="41326934">
                  <w:pPr>
                    <w:autoSpaceDE w:val="0"/>
                    <w:autoSpaceDN w:val="0"/>
                    <w:adjustRightInd w:val="0"/>
                    <w:snapToGrid w:val="0"/>
                    <w:jc w:val="center"/>
                    <w:rPr>
                      <w:rFonts w:hint="eastAsia" w:ascii="Times New Roman Regular" w:hAnsi="Times New Roman Regular" w:eastAsia="宋体" w:cs="Times New Roman Regular"/>
                      <w:b w:val="0"/>
                      <w:bCs/>
                      <w:color w:val="auto"/>
                      <w:sz w:val="24"/>
                      <w:szCs w:val="24"/>
                      <w:highlight w:val="none"/>
                      <w:lang w:eastAsia="zh-Hans"/>
                    </w:rPr>
                  </w:pPr>
                  <w:r>
                    <w:rPr>
                      <w:rFonts w:hint="eastAsia" w:ascii="Times New Roman Regular" w:hAnsi="Times New Roman Regular" w:eastAsia="宋体" w:cs="Times New Roman Regular"/>
                      <w:b w:val="0"/>
                      <w:bCs/>
                      <w:color w:val="auto"/>
                      <w:sz w:val="24"/>
                      <w:szCs w:val="24"/>
                      <w:highlight w:val="none"/>
                      <w:lang w:val="en-US" w:eastAsia="zh-Hans"/>
                    </w:rPr>
                    <w:t>VOCs</w:t>
                  </w:r>
                </w:p>
              </w:tc>
              <w:tc>
                <w:tcPr>
                  <w:tcW w:w="1005" w:type="pct"/>
                  <w:tcBorders>
                    <w:tl2br w:val="nil"/>
                    <w:tr2bl w:val="nil"/>
                  </w:tcBorders>
                  <w:noWrap w:val="0"/>
                  <w:vAlign w:val="center"/>
                </w:tcPr>
                <w:p w14:paraId="6092F477">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4.2×10</w:t>
                  </w:r>
                  <w:r>
                    <w:rPr>
                      <w:rFonts w:hint="default" w:ascii="Times New Roman Regular" w:hAnsi="Times New Roman Regular" w:eastAsia="宋体" w:cs="Times New Roman Regular"/>
                      <w:b w:val="0"/>
                      <w:bCs/>
                      <w:color w:val="auto"/>
                      <w:sz w:val="24"/>
                      <w:szCs w:val="24"/>
                      <w:highlight w:val="none"/>
                      <w:vertAlign w:val="superscript"/>
                    </w:rPr>
                    <w:t>-3</w:t>
                  </w:r>
                </w:p>
              </w:tc>
              <w:tc>
                <w:tcPr>
                  <w:tcW w:w="1005" w:type="pct"/>
                  <w:tcBorders>
                    <w:tl2br w:val="nil"/>
                    <w:tr2bl w:val="nil"/>
                  </w:tcBorders>
                  <w:noWrap w:val="0"/>
                  <w:vAlign w:val="center"/>
                </w:tcPr>
                <w:p w14:paraId="02262936">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4</w:t>
                  </w:r>
                </w:p>
              </w:tc>
              <w:tc>
                <w:tcPr>
                  <w:tcW w:w="1005" w:type="pct"/>
                  <w:tcBorders>
                    <w:tl2br w:val="nil"/>
                    <w:tr2bl w:val="nil"/>
                  </w:tcBorders>
                  <w:noWrap w:val="0"/>
                  <w:vAlign w:val="center"/>
                </w:tcPr>
                <w:p w14:paraId="6BA5FB68">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6</w:t>
                  </w:r>
                </w:p>
              </w:tc>
              <w:tc>
                <w:tcPr>
                  <w:tcW w:w="988" w:type="pct"/>
                  <w:tcBorders>
                    <w:tl2br w:val="nil"/>
                    <w:tr2bl w:val="nil"/>
                  </w:tcBorders>
                  <w:noWrap w:val="0"/>
                  <w:vAlign w:val="center"/>
                </w:tcPr>
                <w:p w14:paraId="33B8708B">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达标</w:t>
                  </w:r>
                </w:p>
              </w:tc>
            </w:tr>
            <w:tr w14:paraId="15577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5" w:type="pct"/>
                  <w:tcBorders>
                    <w:tl2br w:val="nil"/>
                    <w:tr2bl w:val="nil"/>
                  </w:tcBorders>
                  <w:noWrap w:val="0"/>
                  <w:vAlign w:val="center"/>
                </w:tcPr>
                <w:p w14:paraId="75EA7997">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颗粒物</w:t>
                  </w:r>
                </w:p>
              </w:tc>
              <w:tc>
                <w:tcPr>
                  <w:tcW w:w="1005" w:type="pct"/>
                  <w:tcBorders>
                    <w:tl2br w:val="nil"/>
                    <w:tr2bl w:val="nil"/>
                  </w:tcBorders>
                  <w:noWrap w:val="0"/>
                  <w:vAlign w:val="center"/>
                </w:tcPr>
                <w:p w14:paraId="45E0CEA3">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4.9×10</w:t>
                  </w:r>
                  <w:r>
                    <w:rPr>
                      <w:rFonts w:hint="default" w:ascii="Times New Roman Regular" w:hAnsi="Times New Roman Regular" w:eastAsia="宋体" w:cs="Times New Roman Regular"/>
                      <w:b w:val="0"/>
                      <w:bCs/>
                      <w:color w:val="auto"/>
                      <w:sz w:val="24"/>
                      <w:szCs w:val="24"/>
                      <w:highlight w:val="none"/>
                      <w:vertAlign w:val="superscript"/>
                    </w:rPr>
                    <w:t>-2</w:t>
                  </w:r>
                </w:p>
              </w:tc>
              <w:tc>
                <w:tcPr>
                  <w:tcW w:w="1005" w:type="pct"/>
                  <w:tcBorders>
                    <w:tl2br w:val="nil"/>
                    <w:tr2bl w:val="nil"/>
                  </w:tcBorders>
                  <w:noWrap w:val="0"/>
                  <w:vAlign w:val="center"/>
                </w:tcPr>
                <w:p w14:paraId="6115BAB2">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0.5</w:t>
                  </w:r>
                </w:p>
              </w:tc>
              <w:tc>
                <w:tcPr>
                  <w:tcW w:w="1005" w:type="pct"/>
                  <w:tcBorders>
                    <w:tl2br w:val="nil"/>
                    <w:tr2bl w:val="nil"/>
                  </w:tcBorders>
                  <w:noWrap w:val="0"/>
                  <w:vAlign w:val="center"/>
                </w:tcPr>
                <w:p w14:paraId="7D45B798">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w:t>
                  </w:r>
                </w:p>
              </w:tc>
              <w:tc>
                <w:tcPr>
                  <w:tcW w:w="988" w:type="pct"/>
                  <w:tcBorders>
                    <w:tl2br w:val="nil"/>
                    <w:tr2bl w:val="nil"/>
                  </w:tcBorders>
                  <w:noWrap w:val="0"/>
                  <w:vAlign w:val="center"/>
                </w:tcPr>
                <w:p w14:paraId="52F14AF8">
                  <w:pPr>
                    <w:autoSpaceDE w:val="0"/>
                    <w:autoSpaceDN w:val="0"/>
                    <w:adjustRightInd w:val="0"/>
                    <w:snapToGrid w:val="0"/>
                    <w:jc w:val="center"/>
                    <w:rPr>
                      <w:rFonts w:hint="default" w:ascii="Times New Roman Regular" w:hAnsi="Times New Roman Regular" w:eastAsia="宋体" w:cs="Times New Roman Regular"/>
                      <w:b w:val="0"/>
                      <w:bCs/>
                      <w:color w:val="auto"/>
                      <w:sz w:val="24"/>
                      <w:szCs w:val="24"/>
                      <w:highlight w:val="none"/>
                    </w:rPr>
                  </w:pPr>
                  <w:r>
                    <w:rPr>
                      <w:rFonts w:hint="default" w:ascii="Times New Roman Regular" w:hAnsi="Times New Roman Regular" w:eastAsia="宋体" w:cs="Times New Roman Regular"/>
                      <w:b w:val="0"/>
                      <w:bCs/>
                      <w:color w:val="auto"/>
                      <w:sz w:val="24"/>
                      <w:szCs w:val="24"/>
                      <w:highlight w:val="none"/>
                    </w:rPr>
                    <w:t>达标</w:t>
                  </w:r>
                </w:p>
              </w:tc>
            </w:tr>
          </w:tbl>
          <w:p w14:paraId="64D44CC8">
            <w:pPr>
              <w:adjustRightInd w:val="0"/>
              <w:snapToGrid w:val="0"/>
              <w:spacing w:line="360" w:lineRule="auto"/>
              <w:ind w:firstLine="480" w:firstLineChars="200"/>
              <w:rPr>
                <w:rFonts w:hint="eastAsia" w:hAnsi="宋体"/>
                <w:color w:val="auto"/>
                <w:kern w:val="0"/>
                <w:sz w:val="24"/>
                <w:highlight w:val="none"/>
                <w:lang w:eastAsia="zh-Hans"/>
              </w:rPr>
            </w:pPr>
            <w:r>
              <w:rPr>
                <w:rFonts w:hint="eastAsia" w:hAnsi="宋体"/>
                <w:color w:val="auto"/>
                <w:kern w:val="0"/>
                <w:sz w:val="24"/>
                <w:highlight w:val="none"/>
                <w:lang w:eastAsia="zh-Hans"/>
              </w:rPr>
              <w:t>综上，排放的颗粒物、</w:t>
            </w:r>
            <w:r>
              <w:rPr>
                <w:rFonts w:hint="eastAsia" w:hAnsi="宋体"/>
                <w:color w:val="auto"/>
                <w:kern w:val="0"/>
                <w:sz w:val="24"/>
                <w:highlight w:val="none"/>
                <w:lang w:val="en-US" w:eastAsia="zh-Hans"/>
              </w:rPr>
              <w:t>VOCs</w:t>
            </w:r>
            <w:r>
              <w:rPr>
                <w:rFonts w:hint="eastAsia" w:hAnsi="宋体"/>
                <w:color w:val="auto"/>
                <w:kern w:val="0"/>
                <w:sz w:val="24"/>
                <w:highlight w:val="none"/>
                <w:lang w:eastAsia="zh-Hans"/>
              </w:rPr>
              <w:t>、二甲苯满足《大气污染物综合排放标准》DB32/4041-2021表3中相关标准；</w:t>
            </w:r>
            <w:r>
              <w:rPr>
                <w:rFonts w:hint="eastAsia" w:hAnsi="宋体"/>
                <w:color w:val="auto"/>
                <w:kern w:val="0"/>
                <w:sz w:val="24"/>
                <w:highlight w:val="none"/>
                <w:lang w:val="en-US" w:eastAsia="zh-Hans"/>
              </w:rPr>
              <w:t>VOCs</w:t>
            </w:r>
            <w:r>
              <w:rPr>
                <w:rFonts w:hint="eastAsia" w:hAnsi="宋体"/>
                <w:color w:val="auto"/>
                <w:kern w:val="0"/>
                <w:sz w:val="24"/>
                <w:highlight w:val="none"/>
                <w:lang w:eastAsia="zh-Hans"/>
              </w:rPr>
              <w:t>的厂区内监控点浓度符合《大气污染物综合排放标准》DB32/4041-2021表2标准。</w:t>
            </w:r>
          </w:p>
          <w:p w14:paraId="5E79E9B9">
            <w:pPr>
              <w:adjustRightInd w:val="0"/>
              <w:snapToGrid w:val="0"/>
              <w:spacing w:line="360" w:lineRule="auto"/>
              <w:ind w:firstLine="482" w:firstLineChars="200"/>
              <w:rPr>
                <w:rFonts w:hAnsi="宋体"/>
                <w:color w:val="auto"/>
                <w:kern w:val="0"/>
                <w:sz w:val="24"/>
                <w:highlight w:val="none"/>
              </w:rPr>
            </w:pPr>
            <w:r>
              <w:rPr>
                <w:rFonts w:hint="eastAsia" w:hAnsi="宋体"/>
                <w:b/>
                <w:color w:val="auto"/>
                <w:kern w:val="0"/>
                <w:sz w:val="24"/>
                <w:highlight w:val="none"/>
              </w:rPr>
              <w:t>（</w:t>
            </w:r>
            <w:r>
              <w:rPr>
                <w:rFonts w:hAnsi="宋体"/>
                <w:b/>
                <w:color w:val="auto"/>
                <w:kern w:val="0"/>
                <w:sz w:val="24"/>
                <w:highlight w:val="none"/>
              </w:rPr>
              <w:t>8</w:t>
            </w:r>
            <w:r>
              <w:rPr>
                <w:rFonts w:hint="eastAsia" w:hAnsi="宋体"/>
                <w:b/>
                <w:color w:val="auto"/>
                <w:kern w:val="0"/>
                <w:sz w:val="24"/>
                <w:highlight w:val="none"/>
              </w:rPr>
              <w:t>）</w:t>
            </w:r>
            <w:r>
              <w:rPr>
                <w:rFonts w:hAnsi="宋体"/>
                <w:b/>
                <w:color w:val="auto"/>
                <w:kern w:val="0"/>
                <w:sz w:val="24"/>
                <w:highlight w:val="none"/>
              </w:rPr>
              <w:t>大气环境影响分析结论</w:t>
            </w:r>
          </w:p>
          <w:p w14:paraId="2BAE9D96">
            <w:pPr>
              <w:adjustRightInd w:val="0"/>
              <w:snapToGrid w:val="0"/>
              <w:spacing w:line="360" w:lineRule="auto"/>
              <w:ind w:firstLine="480" w:firstLineChars="200"/>
              <w:rPr>
                <w:snapToGrid w:val="0"/>
                <w:color w:val="auto"/>
                <w:kern w:val="0"/>
                <w:sz w:val="24"/>
                <w:highlight w:val="none"/>
              </w:rPr>
            </w:pPr>
            <w:r>
              <w:rPr>
                <w:rFonts w:hAnsi="宋体"/>
                <w:color w:val="auto"/>
                <w:kern w:val="0"/>
                <w:sz w:val="24"/>
                <w:highlight w:val="none"/>
              </w:rPr>
              <w:t>建设项目位于</w:t>
            </w:r>
            <w:r>
              <w:rPr>
                <w:rFonts w:hAnsi="宋体"/>
                <w:snapToGrid w:val="0"/>
                <w:color w:val="auto"/>
                <w:kern w:val="0"/>
                <w:sz w:val="24"/>
                <w:highlight w:val="none"/>
              </w:rPr>
              <w:t>南通市海门市滨江街道滨港大道滨港大道2699号内52号楼，项目周边</w:t>
            </w:r>
            <w:r>
              <w:rPr>
                <w:snapToGrid w:val="0"/>
                <w:color w:val="auto"/>
                <w:kern w:val="0"/>
                <w:sz w:val="24"/>
                <w:highlight w:val="none"/>
              </w:rPr>
              <w:t>500m</w:t>
            </w:r>
            <w:r>
              <w:rPr>
                <w:rFonts w:hAnsi="宋体"/>
                <w:snapToGrid w:val="0"/>
                <w:color w:val="auto"/>
                <w:kern w:val="0"/>
                <w:sz w:val="24"/>
                <w:highlight w:val="none"/>
              </w:rPr>
              <w:t>范围内</w:t>
            </w:r>
            <w:r>
              <w:rPr>
                <w:rFonts w:hint="eastAsia" w:hAnsi="宋体"/>
                <w:snapToGrid w:val="0"/>
                <w:color w:val="auto"/>
                <w:kern w:val="0"/>
                <w:sz w:val="24"/>
                <w:highlight w:val="none"/>
              </w:rPr>
              <w:t>最近的</w:t>
            </w:r>
            <w:r>
              <w:rPr>
                <w:rFonts w:hAnsi="宋体"/>
                <w:snapToGrid w:val="0"/>
                <w:color w:val="auto"/>
                <w:kern w:val="0"/>
                <w:sz w:val="24"/>
                <w:highlight w:val="none"/>
              </w:rPr>
              <w:t>大气环境保护目标为</w:t>
            </w:r>
            <w:r>
              <w:rPr>
                <w:rFonts w:hint="eastAsia" w:hAnsi="宋体"/>
                <w:snapToGrid w:val="0"/>
                <w:color w:val="auto"/>
                <w:kern w:val="0"/>
                <w:sz w:val="24"/>
                <w:highlight w:val="none"/>
                <w:lang w:eastAsia="zh-Hans"/>
              </w:rPr>
              <w:t>北侧</w:t>
            </w:r>
            <w:r>
              <w:rPr>
                <w:rFonts w:hAnsi="宋体"/>
                <w:snapToGrid w:val="0"/>
                <w:color w:val="auto"/>
                <w:kern w:val="0"/>
                <w:sz w:val="24"/>
                <w:highlight w:val="none"/>
                <w:lang w:eastAsia="zh-Hans"/>
              </w:rPr>
              <w:t>410</w:t>
            </w:r>
            <w:r>
              <w:rPr>
                <w:rFonts w:hint="eastAsia" w:hAnsi="宋体"/>
                <w:snapToGrid w:val="0"/>
                <w:color w:val="auto"/>
                <w:kern w:val="0"/>
                <w:sz w:val="24"/>
                <w:highlight w:val="none"/>
                <w:lang w:eastAsia="zh-Hans"/>
              </w:rPr>
              <w:t>m的苏通花园</w:t>
            </w:r>
            <w:r>
              <w:rPr>
                <w:rFonts w:hAnsi="宋体"/>
                <w:snapToGrid w:val="0"/>
                <w:color w:val="auto"/>
                <w:kern w:val="0"/>
                <w:sz w:val="24"/>
                <w:highlight w:val="none"/>
              </w:rPr>
              <w:t>，项目区域大气环境中</w:t>
            </w:r>
            <w:r>
              <w:rPr>
                <w:rFonts w:hint="eastAsia"/>
                <w:snapToGrid w:val="0"/>
                <w:color w:val="auto"/>
                <w:kern w:val="0"/>
                <w:sz w:val="24"/>
                <w:highlight w:val="none"/>
              </w:rPr>
              <w:t>VOCs</w:t>
            </w:r>
            <w:r>
              <w:rPr>
                <w:rFonts w:hAnsi="宋体"/>
                <w:snapToGrid w:val="0"/>
                <w:color w:val="auto"/>
                <w:kern w:val="0"/>
                <w:sz w:val="24"/>
                <w:highlight w:val="none"/>
              </w:rPr>
              <w:t>小时浓度达到《环境影响评价技术导则 大气环境》（HJ 2.2-2018）附录D中TVOC相关标准，经各项污染治理措施处理后，</w:t>
            </w:r>
            <w:r>
              <w:rPr>
                <w:rFonts w:hint="eastAsia"/>
                <w:snapToGrid w:val="0"/>
                <w:color w:val="auto"/>
                <w:kern w:val="0"/>
                <w:sz w:val="24"/>
                <w:highlight w:val="none"/>
              </w:rPr>
              <w:t>FQ-</w:t>
            </w:r>
            <w:r>
              <w:rPr>
                <w:rFonts w:hint="default"/>
                <w:snapToGrid w:val="0"/>
                <w:color w:val="auto"/>
                <w:kern w:val="0"/>
                <w:sz w:val="24"/>
                <w:highlight w:val="none"/>
              </w:rPr>
              <w:t>1</w:t>
            </w:r>
            <w:r>
              <w:rPr>
                <w:rFonts w:hAnsi="宋体"/>
                <w:snapToGrid w:val="0"/>
                <w:color w:val="auto"/>
                <w:kern w:val="0"/>
                <w:sz w:val="24"/>
                <w:highlight w:val="none"/>
              </w:rPr>
              <w:t>排气筒</w:t>
            </w:r>
            <w:r>
              <w:rPr>
                <w:rFonts w:hint="eastAsia" w:hAnsi="宋体"/>
                <w:snapToGrid w:val="0"/>
                <w:color w:val="auto"/>
                <w:kern w:val="0"/>
                <w:sz w:val="24"/>
                <w:highlight w:val="none"/>
              </w:rPr>
              <w:t>VOCs</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二甲苯、颗粒物</w:t>
            </w:r>
            <w:r>
              <w:rPr>
                <w:rFonts w:hAnsi="宋体"/>
                <w:snapToGrid w:val="0"/>
                <w:color w:val="auto"/>
                <w:kern w:val="0"/>
                <w:sz w:val="24"/>
                <w:highlight w:val="none"/>
              </w:rPr>
              <w:t>排放浓度满足</w:t>
            </w:r>
            <w:r>
              <w:rPr>
                <w:rFonts w:hint="default"/>
                <w:snapToGrid w:val="0"/>
                <w:color w:val="auto"/>
                <w:kern w:val="0"/>
                <w:sz w:val="24"/>
                <w:szCs w:val="24"/>
                <w:highlight w:val="none"/>
              </w:rPr>
              <w:t>《大气污染物综合排放标准》DB32/4041-2021表1</w:t>
            </w:r>
            <w:r>
              <w:rPr>
                <w:rFonts w:hint="eastAsia" w:hAnsi="宋体"/>
                <w:snapToGrid w:val="0"/>
                <w:color w:val="auto"/>
                <w:kern w:val="0"/>
                <w:sz w:val="24"/>
                <w:highlight w:val="none"/>
              </w:rPr>
              <w:t>标准</w:t>
            </w:r>
            <w:r>
              <w:rPr>
                <w:rFonts w:hAnsi="宋体"/>
                <w:snapToGrid w:val="0"/>
                <w:color w:val="auto"/>
                <w:kern w:val="0"/>
                <w:sz w:val="24"/>
                <w:highlight w:val="none"/>
              </w:rPr>
              <w:t>。建设项目各废气污染物达标排放，对周围大气环境影响较小。</w:t>
            </w:r>
          </w:p>
          <w:p w14:paraId="1591F3C7">
            <w:pPr>
              <w:adjustRightInd w:val="0"/>
              <w:snapToGrid w:val="0"/>
              <w:spacing w:line="360" w:lineRule="auto"/>
              <w:rPr>
                <w:b/>
                <w:bCs/>
                <w:color w:val="auto"/>
                <w:kern w:val="0"/>
                <w:sz w:val="24"/>
                <w:highlight w:val="none"/>
              </w:rPr>
            </w:pPr>
            <w:r>
              <w:rPr>
                <w:b/>
                <w:bCs/>
                <w:color w:val="auto"/>
                <w:kern w:val="0"/>
                <w:sz w:val="24"/>
                <w:highlight w:val="none"/>
              </w:rPr>
              <w:t>2.废水</w:t>
            </w:r>
          </w:p>
          <w:p w14:paraId="2BBE0F49">
            <w:pPr>
              <w:adjustRightInd w:val="0"/>
              <w:snapToGrid w:val="0"/>
              <w:spacing w:line="360" w:lineRule="auto"/>
              <w:ind w:firstLine="482" w:firstLineChars="200"/>
              <w:rPr>
                <w:b/>
                <w:color w:val="auto"/>
                <w:kern w:val="0"/>
                <w:sz w:val="24"/>
                <w:highlight w:val="none"/>
              </w:rPr>
            </w:pPr>
            <w:r>
              <w:rPr>
                <w:rFonts w:hint="eastAsia"/>
                <w:b/>
                <w:color w:val="auto"/>
                <w:kern w:val="0"/>
                <w:sz w:val="24"/>
                <w:highlight w:val="none"/>
              </w:rPr>
              <w:t>2.1</w:t>
            </w:r>
            <w:r>
              <w:rPr>
                <w:b/>
                <w:color w:val="auto"/>
                <w:kern w:val="0"/>
                <w:sz w:val="24"/>
                <w:highlight w:val="none"/>
              </w:rPr>
              <w:t>废水污染源强</w:t>
            </w:r>
          </w:p>
          <w:p w14:paraId="3A795C91">
            <w:pPr>
              <w:adjustRightInd w:val="0"/>
              <w:snapToGrid w:val="0"/>
              <w:spacing w:line="360" w:lineRule="auto"/>
              <w:ind w:firstLine="480" w:firstLineChars="200"/>
              <w:rPr>
                <w:bCs/>
                <w:snapToGrid w:val="0"/>
                <w:color w:val="auto"/>
                <w:kern w:val="0"/>
                <w:sz w:val="24"/>
                <w:highlight w:val="none"/>
              </w:rPr>
            </w:pPr>
            <w:r>
              <w:rPr>
                <w:rFonts w:hAnsi="宋体"/>
                <w:bCs/>
                <w:snapToGrid w:val="0"/>
                <w:color w:val="auto"/>
                <w:kern w:val="0"/>
                <w:sz w:val="24"/>
                <w:highlight w:val="none"/>
              </w:rPr>
              <w:t>①生活用水</w:t>
            </w:r>
          </w:p>
          <w:p w14:paraId="24059F30">
            <w:pPr>
              <w:adjustRightInd w:val="0"/>
              <w:snapToGrid w:val="0"/>
              <w:spacing w:line="360" w:lineRule="auto"/>
              <w:ind w:firstLine="480" w:firstLineChars="200"/>
              <w:rPr>
                <w:color w:val="auto"/>
                <w:sz w:val="24"/>
                <w:highlight w:val="none"/>
              </w:rPr>
            </w:pPr>
            <w:r>
              <w:rPr>
                <w:rFonts w:hint="eastAsia" w:hAnsi="宋体"/>
                <w:snapToGrid w:val="0"/>
                <w:color w:val="auto"/>
                <w:kern w:val="0"/>
                <w:sz w:val="24"/>
                <w:highlight w:val="none"/>
              </w:rPr>
              <w:t>现有项目员工40人，本项目新增员工60人，现有项目生活污水各污染因子排放量未核算，于本次环评中核算。因此</w:t>
            </w:r>
            <w:r>
              <w:rPr>
                <w:rFonts w:hAnsi="宋体"/>
                <w:snapToGrid w:val="0"/>
                <w:color w:val="auto"/>
                <w:kern w:val="0"/>
                <w:sz w:val="24"/>
                <w:highlight w:val="none"/>
              </w:rPr>
              <w:t>本项目</w:t>
            </w:r>
            <w:r>
              <w:rPr>
                <w:rFonts w:hint="eastAsia" w:hAnsi="宋体"/>
                <w:snapToGrid w:val="0"/>
                <w:color w:val="auto"/>
                <w:kern w:val="0"/>
                <w:sz w:val="24"/>
                <w:highlight w:val="none"/>
              </w:rPr>
              <w:t>全厂员工100</w:t>
            </w:r>
            <w:r>
              <w:rPr>
                <w:rFonts w:hAnsi="宋体"/>
                <w:snapToGrid w:val="0"/>
                <w:color w:val="auto"/>
                <w:kern w:val="0"/>
                <w:sz w:val="24"/>
                <w:highlight w:val="none"/>
              </w:rPr>
              <w:t>人，年工作</w:t>
            </w:r>
            <w:r>
              <w:rPr>
                <w:rFonts w:hint="eastAsia" w:hAnsi="宋体"/>
                <w:snapToGrid w:val="0"/>
                <w:color w:val="auto"/>
                <w:kern w:val="0"/>
                <w:sz w:val="24"/>
                <w:highlight w:val="none"/>
              </w:rPr>
              <w:t>300</w:t>
            </w:r>
            <w:r>
              <w:rPr>
                <w:rFonts w:hAnsi="宋体"/>
                <w:snapToGrid w:val="0"/>
                <w:color w:val="auto"/>
                <w:kern w:val="0"/>
                <w:sz w:val="24"/>
                <w:highlight w:val="none"/>
              </w:rPr>
              <w:t>天，不设宿舍，根据《建筑给水排水设计规范》（GB50015-2019），员工生活用水定额为每人每日30~50L，本报告采用50L/人·日计，则本项目员工生活用水量为</w:t>
            </w:r>
            <w:r>
              <w:rPr>
                <w:rFonts w:hint="eastAsia" w:hAnsi="宋体"/>
                <w:snapToGrid w:val="0"/>
                <w:color w:val="auto"/>
                <w:kern w:val="0"/>
                <w:sz w:val="24"/>
                <w:highlight w:val="none"/>
              </w:rPr>
              <w:t>1500</w:t>
            </w:r>
            <w:r>
              <w:rPr>
                <w:rFonts w:hAnsi="宋体"/>
                <w:snapToGrid w:val="0"/>
                <w:color w:val="auto"/>
                <w:kern w:val="0"/>
                <w:sz w:val="24"/>
                <w:highlight w:val="none"/>
              </w:rPr>
              <w:t>t/a，排污系数以0.8计，故本项目生活污水产生量为</w:t>
            </w:r>
            <w:r>
              <w:rPr>
                <w:rFonts w:hint="eastAsia" w:hAnsi="宋体"/>
                <w:snapToGrid w:val="0"/>
                <w:color w:val="auto"/>
                <w:kern w:val="0"/>
                <w:sz w:val="24"/>
                <w:highlight w:val="none"/>
              </w:rPr>
              <w:t>1200</w:t>
            </w:r>
            <w:r>
              <w:rPr>
                <w:rFonts w:hAnsi="宋体"/>
                <w:snapToGrid w:val="0"/>
                <w:color w:val="auto"/>
                <w:kern w:val="0"/>
                <w:sz w:val="24"/>
                <w:highlight w:val="none"/>
              </w:rPr>
              <w:t>t/a</w:t>
            </w:r>
            <w:r>
              <w:rPr>
                <w:color w:val="auto"/>
                <w:sz w:val="24"/>
                <w:highlight w:val="none"/>
              </w:rPr>
              <w:t>。</w:t>
            </w:r>
          </w:p>
          <w:p w14:paraId="32F2EE9A">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②</w:t>
            </w:r>
            <w:r>
              <w:rPr>
                <w:rFonts w:hint="eastAsia" w:hAnsi="宋体"/>
                <w:snapToGrid w:val="0"/>
                <w:color w:val="auto"/>
                <w:kern w:val="0"/>
                <w:sz w:val="24"/>
                <w:highlight w:val="none"/>
              </w:rPr>
              <w:t>冷却塔排水</w:t>
            </w:r>
          </w:p>
          <w:p w14:paraId="4A749576">
            <w:pPr>
              <w:adjustRightInd w:val="0"/>
              <w:snapToGrid w:val="0"/>
              <w:spacing w:line="360" w:lineRule="auto"/>
              <w:ind w:firstLine="480" w:firstLineChars="200"/>
              <w:rPr>
                <w:color w:val="auto"/>
                <w:sz w:val="24"/>
                <w:highlight w:val="none"/>
              </w:rPr>
            </w:pPr>
            <w:r>
              <w:rPr>
                <w:rFonts w:hint="eastAsia" w:hAnsi="宋体"/>
                <w:color w:val="auto"/>
                <w:sz w:val="24"/>
                <w:highlight w:val="none"/>
                <w:lang w:val="en-US" w:eastAsia="zh-Hans"/>
              </w:rPr>
              <w:t>本项目</w:t>
            </w:r>
            <w:r>
              <w:rPr>
                <w:rFonts w:hint="eastAsia" w:hAnsi="宋体"/>
                <w:color w:val="auto"/>
                <w:sz w:val="24"/>
                <w:highlight w:val="none"/>
                <w:lang w:val="zh-CN"/>
              </w:rPr>
              <w:t>产生冷却塔强排水，定期排放水量损失需根据水质或水中固体浓度等因素决定，本项目冷却水中不投加药剂，</w:t>
            </w:r>
            <w:r>
              <w:rPr>
                <w:rFonts w:hint="eastAsia" w:hAnsi="宋体"/>
                <w:color w:val="auto"/>
                <w:sz w:val="24"/>
                <w:highlight w:val="none"/>
                <w:lang w:val="en-US" w:eastAsia="zh-Hans"/>
              </w:rPr>
              <w:t>本项目用水量约</w:t>
            </w:r>
            <w:r>
              <w:rPr>
                <w:rFonts w:hint="default" w:hAnsi="宋体"/>
                <w:color w:val="auto"/>
                <w:sz w:val="24"/>
                <w:highlight w:val="none"/>
                <w:lang w:eastAsia="zh-Hans"/>
              </w:rPr>
              <w:t>960</w:t>
            </w:r>
            <w:r>
              <w:rPr>
                <w:rFonts w:hint="eastAsia" w:hAnsi="宋体"/>
                <w:color w:val="auto"/>
                <w:sz w:val="24"/>
                <w:highlight w:val="none"/>
                <w:lang w:val="en-US" w:eastAsia="zh-Hans"/>
              </w:rPr>
              <w:t>t/a，现有项目用水量</w:t>
            </w:r>
            <w:r>
              <w:rPr>
                <w:rFonts w:hint="default" w:hAnsi="宋体"/>
                <w:color w:val="auto"/>
                <w:sz w:val="24"/>
                <w:highlight w:val="none"/>
                <w:lang w:eastAsia="zh-Hans"/>
              </w:rPr>
              <w:t>360</w:t>
            </w:r>
            <w:r>
              <w:rPr>
                <w:rFonts w:hint="eastAsia" w:hAnsi="宋体"/>
                <w:color w:val="auto"/>
                <w:sz w:val="24"/>
                <w:highlight w:val="none"/>
                <w:lang w:val="en-US" w:eastAsia="zh-Hans"/>
              </w:rPr>
              <w:t>t/a，依托本项目冷却塔，</w:t>
            </w:r>
            <w:r>
              <w:rPr>
                <w:rFonts w:hint="eastAsia" w:hAnsi="宋体"/>
                <w:color w:val="auto"/>
                <w:sz w:val="24"/>
                <w:highlight w:val="none"/>
                <w:lang w:val="zh-CN"/>
              </w:rPr>
              <w:t>根据企业经验，平均每月</w:t>
            </w:r>
            <w:r>
              <w:rPr>
                <w:rFonts w:hint="eastAsia" w:hAnsi="宋体"/>
                <w:color w:val="auto"/>
                <w:sz w:val="24"/>
                <w:highlight w:val="none"/>
                <w:lang w:val="en-US" w:eastAsia="zh-Hans"/>
              </w:rPr>
              <w:t>产生强排水</w:t>
            </w:r>
            <w:r>
              <w:rPr>
                <w:rFonts w:hint="eastAsia" w:hAnsi="宋体"/>
                <w:color w:val="auto"/>
                <w:sz w:val="24"/>
                <w:highlight w:val="none"/>
                <w:lang w:val="zh-CN"/>
              </w:rPr>
              <w:t>约</w:t>
            </w:r>
            <w:r>
              <w:rPr>
                <w:rFonts w:hint="default" w:hAnsi="宋体"/>
                <w:color w:val="auto"/>
                <w:sz w:val="24"/>
                <w:highlight w:val="none"/>
              </w:rPr>
              <w:t>5</w:t>
            </w:r>
            <w:r>
              <w:rPr>
                <w:rFonts w:hint="eastAsia" w:hAnsi="宋体"/>
                <w:color w:val="auto"/>
                <w:sz w:val="24"/>
                <w:highlight w:val="none"/>
                <w:lang w:val="zh-CN"/>
              </w:rPr>
              <w:t>0t，则冷却塔强排水量为600t/a。主要污染因子为COD、SS，浓度分别为COD：40mg/L、SS：40mg/L，冷却塔排水接管至海门市东洲水处理有限公司集中处理</w:t>
            </w:r>
            <w:r>
              <w:rPr>
                <w:rFonts w:hint="eastAsia" w:hAnsi="宋体"/>
                <w:snapToGrid w:val="0"/>
                <w:color w:val="auto"/>
                <w:kern w:val="0"/>
                <w:sz w:val="24"/>
                <w:highlight w:val="none"/>
              </w:rPr>
              <w:t>。</w:t>
            </w:r>
          </w:p>
          <w:p w14:paraId="4325A9D6">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③纯水制备弃水</w:t>
            </w:r>
          </w:p>
          <w:p w14:paraId="5D8B3599">
            <w:pPr>
              <w:adjustRightInd w:val="0"/>
              <w:snapToGrid w:val="0"/>
              <w:spacing w:line="360" w:lineRule="auto"/>
              <w:ind w:firstLine="480" w:firstLineChars="200"/>
              <w:rPr>
                <w:color w:val="auto"/>
                <w:sz w:val="24"/>
                <w:highlight w:val="none"/>
              </w:rPr>
            </w:pPr>
            <w:r>
              <w:rPr>
                <w:rFonts w:hint="eastAsia" w:hAnsi="宋体"/>
                <w:color w:val="auto"/>
                <w:sz w:val="24"/>
                <w:highlight w:val="none"/>
              </w:rPr>
              <w:t>现有项目产生纯水制备弃水较少，实际产生弃水量于本次环评中核算。根据实际情况，每年约600吨自来水进入纯水制备浓水，根据</w:t>
            </w:r>
            <w:r>
              <w:rPr>
                <w:rFonts w:hAnsi="宋体"/>
                <w:color w:val="auto"/>
                <w:sz w:val="24"/>
                <w:highlight w:val="none"/>
              </w:rPr>
              <w:t>纯水制备率约</w:t>
            </w:r>
            <w:r>
              <w:rPr>
                <w:color w:val="auto"/>
                <w:sz w:val="24"/>
                <w:highlight w:val="none"/>
              </w:rPr>
              <w:t>60%</w:t>
            </w:r>
            <w:r>
              <w:rPr>
                <w:rFonts w:hAnsi="宋体"/>
                <w:color w:val="auto"/>
                <w:sz w:val="24"/>
                <w:highlight w:val="none"/>
              </w:rPr>
              <w:t>，</w:t>
            </w:r>
            <w:r>
              <w:rPr>
                <w:rFonts w:hint="eastAsia" w:hAnsi="宋体"/>
                <w:color w:val="auto"/>
                <w:sz w:val="24"/>
                <w:highlight w:val="none"/>
              </w:rPr>
              <w:t>制备纯水约360吨</w:t>
            </w:r>
            <w:r>
              <w:rPr>
                <w:rFonts w:hAnsi="宋体"/>
                <w:color w:val="auto"/>
                <w:sz w:val="24"/>
                <w:highlight w:val="none"/>
              </w:rPr>
              <w:t>，制备产生的弃水约</w:t>
            </w:r>
            <w:r>
              <w:rPr>
                <w:rFonts w:hint="eastAsia"/>
                <w:color w:val="auto"/>
                <w:sz w:val="24"/>
                <w:highlight w:val="none"/>
              </w:rPr>
              <w:t>240</w:t>
            </w:r>
            <w:r>
              <w:rPr>
                <w:color w:val="auto"/>
                <w:sz w:val="24"/>
                <w:highlight w:val="none"/>
              </w:rPr>
              <w:t>t/a</w:t>
            </w:r>
            <w:r>
              <w:rPr>
                <w:rFonts w:hAnsi="宋体"/>
                <w:color w:val="auto"/>
                <w:sz w:val="24"/>
                <w:highlight w:val="none"/>
              </w:rPr>
              <w:t>，</w:t>
            </w:r>
            <w:r>
              <w:rPr>
                <w:rFonts w:hint="eastAsia" w:hAnsi="宋体"/>
                <w:color w:val="auto"/>
                <w:sz w:val="24"/>
                <w:highlight w:val="none"/>
              </w:rPr>
              <w:t>弃水</w:t>
            </w:r>
            <w:r>
              <w:rPr>
                <w:rFonts w:hAnsi="宋体"/>
                <w:bCs/>
                <w:color w:val="auto"/>
                <w:sz w:val="24"/>
                <w:highlight w:val="none"/>
              </w:rPr>
              <w:t>接管东洲水处理有限公司集中处理</w:t>
            </w:r>
            <w:r>
              <w:rPr>
                <w:rFonts w:hint="eastAsia"/>
                <w:color w:val="auto"/>
                <w:sz w:val="24"/>
                <w:highlight w:val="none"/>
              </w:rPr>
              <w:t>。</w:t>
            </w:r>
          </w:p>
          <w:p w14:paraId="3D6F870E">
            <w:pPr>
              <w:adjustRightInd w:val="0"/>
              <w:snapToGrid w:val="0"/>
              <w:spacing w:line="360" w:lineRule="auto"/>
              <w:ind w:firstLine="480" w:firstLineChars="200"/>
              <w:jc w:val="left"/>
              <w:rPr>
                <w:rFonts w:hint="eastAsia" w:hAnsi="宋体"/>
                <w:b/>
                <w:bCs/>
                <w:color w:val="auto"/>
                <w:kern w:val="0"/>
                <w:sz w:val="24"/>
                <w:highlight w:val="none"/>
              </w:rPr>
            </w:pPr>
            <w:r>
              <w:rPr>
                <w:rFonts w:hint="eastAsia" w:hAnsi="宋体"/>
                <w:color w:val="auto"/>
                <w:sz w:val="24"/>
                <w:highlight w:val="none"/>
              </w:rPr>
              <w:t>④现有项目初期雨水各污染因子排放量未核算，于本次环评核算。现有项目初期雨水收集经初期雨水收集池沉淀处理后排入污水管网，初期雨水收集池收集雨水1550t/a，经沉淀处理后产生泥渣约5t/a，</w:t>
            </w:r>
            <w:r>
              <w:rPr>
                <w:rFonts w:hint="eastAsia" w:hAnsi="宋体"/>
                <w:color w:val="auto"/>
                <w:sz w:val="24"/>
                <w:highlight w:val="none"/>
                <w:lang w:val="en-US" w:eastAsia="zh-CN"/>
              </w:rPr>
              <w:t>根据企业提供资料，</w:t>
            </w:r>
            <w:r>
              <w:rPr>
                <w:rFonts w:hint="eastAsia" w:hAnsi="宋体"/>
                <w:color w:val="auto"/>
                <w:sz w:val="24"/>
                <w:highlight w:val="none"/>
              </w:rPr>
              <w:t>含水率约</w:t>
            </w:r>
            <w:r>
              <w:rPr>
                <w:rFonts w:hint="eastAsia" w:hAnsi="宋体"/>
                <w:color w:val="auto"/>
                <w:sz w:val="24"/>
                <w:highlight w:val="none"/>
                <w:lang w:val="en-US" w:eastAsia="zh-CN"/>
              </w:rPr>
              <w:t>80</w:t>
            </w:r>
            <w:r>
              <w:rPr>
                <w:rFonts w:hint="eastAsia" w:hAnsi="宋体"/>
                <w:color w:val="auto"/>
                <w:sz w:val="24"/>
                <w:highlight w:val="none"/>
              </w:rPr>
              <w:t>%，则有</w:t>
            </w:r>
            <w:r>
              <w:rPr>
                <w:rFonts w:hint="eastAsia" w:hAnsi="宋体"/>
                <w:color w:val="auto"/>
                <w:sz w:val="24"/>
                <w:highlight w:val="none"/>
                <w:lang w:val="en-US" w:eastAsia="zh-CN"/>
              </w:rPr>
              <w:t>4</w:t>
            </w:r>
            <w:r>
              <w:rPr>
                <w:rFonts w:hint="eastAsia" w:hAnsi="宋体"/>
                <w:color w:val="auto"/>
                <w:sz w:val="24"/>
                <w:highlight w:val="none"/>
              </w:rPr>
              <w:t>t/a水进入泥渣，其余154</w:t>
            </w:r>
            <w:r>
              <w:rPr>
                <w:rFonts w:hint="eastAsia" w:hAnsi="宋体"/>
                <w:color w:val="auto"/>
                <w:sz w:val="24"/>
                <w:highlight w:val="none"/>
                <w:lang w:val="en-US" w:eastAsia="zh-CN"/>
              </w:rPr>
              <w:t>6</w:t>
            </w:r>
            <w:r>
              <w:rPr>
                <w:rFonts w:hint="eastAsia" w:hAnsi="宋体"/>
                <w:color w:val="auto"/>
                <w:sz w:val="24"/>
                <w:highlight w:val="none"/>
              </w:rPr>
              <w:t>t/a雨水接管污水管网。</w:t>
            </w:r>
          </w:p>
          <w:p w14:paraId="29EB4808">
            <w:pPr>
              <w:adjustRightInd w:val="0"/>
              <w:snapToGrid w:val="0"/>
              <w:spacing w:line="360" w:lineRule="auto"/>
              <w:ind w:firstLine="482" w:firstLineChars="200"/>
              <w:jc w:val="left"/>
              <w:rPr>
                <w:b/>
                <w:bCs/>
                <w:color w:val="auto"/>
                <w:kern w:val="0"/>
                <w:sz w:val="24"/>
                <w:highlight w:val="none"/>
              </w:rPr>
            </w:pPr>
            <w:r>
              <w:rPr>
                <w:rFonts w:hint="eastAsia" w:hAnsi="宋体"/>
                <w:b/>
                <w:bCs/>
                <w:color w:val="auto"/>
                <w:kern w:val="0"/>
                <w:sz w:val="24"/>
                <w:highlight w:val="none"/>
              </w:rPr>
              <w:t>2.2</w:t>
            </w:r>
            <w:r>
              <w:rPr>
                <w:rFonts w:hAnsi="宋体"/>
                <w:b/>
                <w:bCs/>
                <w:color w:val="auto"/>
                <w:kern w:val="0"/>
                <w:sz w:val="24"/>
                <w:highlight w:val="none"/>
              </w:rPr>
              <w:t>废水污染源强核算结果及相关参数一览</w:t>
            </w:r>
          </w:p>
          <w:p w14:paraId="08E378DA">
            <w:pPr>
              <w:adjustRightInd w:val="0"/>
              <w:snapToGrid w:val="0"/>
              <w:spacing w:line="360" w:lineRule="auto"/>
              <w:ind w:firstLine="480" w:firstLineChars="200"/>
              <w:jc w:val="left"/>
              <w:rPr>
                <w:rFonts w:hAnsi="宋体"/>
                <w:snapToGrid w:val="0"/>
                <w:color w:val="auto"/>
                <w:kern w:val="0"/>
                <w:sz w:val="24"/>
                <w:highlight w:val="none"/>
              </w:rPr>
            </w:pPr>
            <w:r>
              <w:rPr>
                <w:rFonts w:hAnsi="宋体"/>
                <w:color w:val="auto"/>
                <w:kern w:val="0"/>
                <w:sz w:val="24"/>
                <w:highlight w:val="none"/>
              </w:rPr>
              <w:t>废水污染源强核算结果及相关参数一览见表</w:t>
            </w:r>
            <w:r>
              <w:rPr>
                <w:color w:val="auto"/>
                <w:kern w:val="0"/>
                <w:sz w:val="24"/>
                <w:highlight w:val="none"/>
              </w:rPr>
              <w:t>4-13</w:t>
            </w:r>
            <w:r>
              <w:rPr>
                <w:rFonts w:hint="eastAsia"/>
                <w:color w:val="auto"/>
                <w:kern w:val="0"/>
                <w:sz w:val="24"/>
                <w:highlight w:val="none"/>
              </w:rPr>
              <w:t>、表4-</w:t>
            </w:r>
            <w:r>
              <w:rPr>
                <w:color w:val="auto"/>
                <w:kern w:val="0"/>
                <w:sz w:val="24"/>
                <w:highlight w:val="none"/>
              </w:rPr>
              <w:t>14</w:t>
            </w:r>
            <w:r>
              <w:rPr>
                <w:rFonts w:hAnsi="宋体"/>
                <w:snapToGrid w:val="0"/>
                <w:color w:val="auto"/>
                <w:kern w:val="0"/>
                <w:sz w:val="24"/>
                <w:highlight w:val="none"/>
              </w:rPr>
              <w:t>。</w:t>
            </w:r>
          </w:p>
          <w:p w14:paraId="1313C0EA">
            <w:pPr>
              <w:adjustRightInd w:val="0"/>
              <w:snapToGrid w:val="0"/>
              <w:jc w:val="center"/>
              <w:rPr>
                <w:b/>
                <w:color w:val="auto"/>
                <w:kern w:val="0"/>
                <w:sz w:val="24"/>
                <w:highlight w:val="none"/>
              </w:rPr>
            </w:pPr>
            <w:r>
              <w:rPr>
                <w:rFonts w:hAnsi="宋体"/>
                <w:b/>
                <w:color w:val="auto"/>
                <w:kern w:val="0"/>
                <w:sz w:val="24"/>
                <w:highlight w:val="none"/>
              </w:rPr>
              <w:t>表</w:t>
            </w:r>
            <w:r>
              <w:rPr>
                <w:b/>
                <w:color w:val="auto"/>
                <w:kern w:val="0"/>
                <w:sz w:val="24"/>
                <w:highlight w:val="none"/>
              </w:rPr>
              <w:t xml:space="preserve">4-13 </w:t>
            </w:r>
            <w:r>
              <w:rPr>
                <w:rFonts w:hint="eastAsia"/>
                <w:b/>
                <w:color w:val="auto"/>
                <w:kern w:val="0"/>
                <w:sz w:val="24"/>
                <w:highlight w:val="none"/>
              </w:rPr>
              <w:t>本项目</w:t>
            </w:r>
            <w:r>
              <w:rPr>
                <w:rFonts w:hAnsi="宋体"/>
                <w:b/>
                <w:color w:val="auto"/>
                <w:kern w:val="0"/>
                <w:sz w:val="24"/>
                <w:highlight w:val="none"/>
              </w:rPr>
              <w:t>废水污染源源强核算结果及相关参数一览表</w:t>
            </w:r>
          </w:p>
          <w:tbl>
            <w:tblPr>
              <w:tblStyle w:val="24"/>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0"/>
              <w:gridCol w:w="974"/>
              <w:gridCol w:w="601"/>
              <w:gridCol w:w="907"/>
              <w:gridCol w:w="930"/>
              <w:gridCol w:w="815"/>
              <w:gridCol w:w="811"/>
              <w:gridCol w:w="499"/>
              <w:gridCol w:w="632"/>
              <w:gridCol w:w="1018"/>
              <w:gridCol w:w="757"/>
              <w:gridCol w:w="729"/>
              <w:gridCol w:w="768"/>
            </w:tblGrid>
            <w:tr w14:paraId="0B7C8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6D2111E3">
                  <w:pPr>
                    <w:pStyle w:val="66"/>
                    <w:snapToGrid w:val="0"/>
                    <w:jc w:val="center"/>
                    <w:textAlignment w:val="auto"/>
                    <w:rPr>
                      <w:rFonts w:ascii="Times New Roman" w:hAnsi="Times New Roman" w:eastAsia="宋体"/>
                      <w:b/>
                      <w:color w:val="auto"/>
                      <w:kern w:val="0"/>
                      <w:sz w:val="21"/>
                      <w:szCs w:val="21"/>
                      <w:highlight w:val="none"/>
                    </w:rPr>
                  </w:pPr>
                  <w:r>
                    <w:rPr>
                      <w:rFonts w:ascii="Times New Roman" w:hAnsi="宋体" w:eastAsia="宋体"/>
                      <w:b/>
                      <w:color w:val="auto"/>
                      <w:kern w:val="0"/>
                      <w:sz w:val="21"/>
                      <w:szCs w:val="21"/>
                      <w:highlight w:val="none"/>
                    </w:rPr>
                    <w:t>工序</w:t>
                  </w:r>
                  <w:r>
                    <w:rPr>
                      <w:rFonts w:ascii="Times New Roman" w:hAnsi="Times New Roman" w:eastAsia="宋体"/>
                      <w:b/>
                      <w:color w:val="auto"/>
                      <w:kern w:val="0"/>
                      <w:sz w:val="21"/>
                      <w:szCs w:val="21"/>
                      <w:highlight w:val="none"/>
                    </w:rPr>
                    <w:t>/</w:t>
                  </w:r>
                </w:p>
                <w:p w14:paraId="7CFB4F9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color w:val="auto"/>
                      <w:kern w:val="0"/>
                      <w:sz w:val="21"/>
                      <w:szCs w:val="21"/>
                      <w:highlight w:val="none"/>
                    </w:rPr>
                    <w:t>生产线</w:t>
                  </w:r>
                </w:p>
              </w:tc>
              <w:tc>
                <w:tcPr>
                  <w:tcW w:w="475" w:type="pct"/>
                  <w:vMerge w:val="restart"/>
                  <w:vAlign w:val="center"/>
                </w:tcPr>
                <w:p w14:paraId="61215055">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污染源</w:t>
                  </w:r>
                </w:p>
              </w:tc>
              <w:tc>
                <w:tcPr>
                  <w:tcW w:w="293" w:type="pct"/>
                  <w:vMerge w:val="restart"/>
                  <w:vAlign w:val="center"/>
                </w:tcPr>
                <w:p w14:paraId="020102E8">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废水量</w:t>
                  </w:r>
                  <w:r>
                    <w:rPr>
                      <w:rFonts w:ascii="Times New Roman" w:hAnsi="Times New Roman" w:eastAsia="宋体"/>
                      <w:b/>
                      <w:snapToGrid w:val="0"/>
                      <w:color w:val="auto"/>
                      <w:kern w:val="0"/>
                      <w:sz w:val="21"/>
                      <w:szCs w:val="21"/>
                      <w:highlight w:val="none"/>
                    </w:rPr>
                    <w:t>t/a</w:t>
                  </w:r>
                </w:p>
              </w:tc>
              <w:tc>
                <w:tcPr>
                  <w:tcW w:w="442" w:type="pct"/>
                  <w:vMerge w:val="restart"/>
                  <w:vAlign w:val="center"/>
                </w:tcPr>
                <w:p w14:paraId="3C5E566C">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污染物</w:t>
                  </w:r>
                </w:p>
              </w:tc>
              <w:tc>
                <w:tcPr>
                  <w:tcW w:w="850" w:type="pct"/>
                  <w:gridSpan w:val="2"/>
                  <w:vAlign w:val="center"/>
                </w:tcPr>
                <w:p w14:paraId="0374C464">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产生情况</w:t>
                  </w:r>
                </w:p>
              </w:tc>
              <w:tc>
                <w:tcPr>
                  <w:tcW w:w="638" w:type="pct"/>
                  <w:gridSpan w:val="2"/>
                  <w:vAlign w:val="center"/>
                </w:tcPr>
                <w:p w14:paraId="55E7B38C">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治理措施</w:t>
                  </w:r>
                </w:p>
              </w:tc>
              <w:tc>
                <w:tcPr>
                  <w:tcW w:w="1173" w:type="pct"/>
                  <w:gridSpan w:val="3"/>
                  <w:vAlign w:val="center"/>
                </w:tcPr>
                <w:p w14:paraId="3D64953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排放情况</w:t>
                  </w:r>
                </w:p>
              </w:tc>
              <w:tc>
                <w:tcPr>
                  <w:tcW w:w="355" w:type="pct"/>
                  <w:vMerge w:val="restart"/>
                  <w:vAlign w:val="center"/>
                </w:tcPr>
                <w:p w14:paraId="6EB5BD3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标准浓度限值</w:t>
                  </w:r>
                </w:p>
                <w:p w14:paraId="08E3AE7E">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mg/L</w:t>
                  </w:r>
                </w:p>
              </w:tc>
              <w:tc>
                <w:tcPr>
                  <w:tcW w:w="374" w:type="pct"/>
                  <w:vMerge w:val="restart"/>
                  <w:vAlign w:val="center"/>
                </w:tcPr>
                <w:p w14:paraId="58B216EC">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排放方式及去向</w:t>
                  </w:r>
                </w:p>
              </w:tc>
            </w:tr>
            <w:tr w14:paraId="4F0BA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45CDB77D">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3782376C">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149DA8DA">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Merge w:val="continue"/>
                  <w:vAlign w:val="center"/>
                </w:tcPr>
                <w:p w14:paraId="4A8AA14E">
                  <w:pPr>
                    <w:pStyle w:val="66"/>
                    <w:snapToGrid w:val="0"/>
                    <w:jc w:val="center"/>
                    <w:textAlignment w:val="auto"/>
                    <w:rPr>
                      <w:rFonts w:ascii="Times New Roman" w:hAnsi="Times New Roman" w:eastAsia="宋体"/>
                      <w:snapToGrid w:val="0"/>
                      <w:color w:val="auto"/>
                      <w:kern w:val="0"/>
                      <w:sz w:val="21"/>
                      <w:szCs w:val="21"/>
                      <w:highlight w:val="none"/>
                    </w:rPr>
                  </w:pPr>
                </w:p>
              </w:tc>
              <w:tc>
                <w:tcPr>
                  <w:tcW w:w="453" w:type="pct"/>
                  <w:vAlign w:val="center"/>
                </w:tcPr>
                <w:p w14:paraId="09195796">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浓度</w:t>
                  </w:r>
                </w:p>
                <w:p w14:paraId="35D2E9B7">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mg/L</w:t>
                  </w:r>
                </w:p>
              </w:tc>
              <w:tc>
                <w:tcPr>
                  <w:tcW w:w="396" w:type="pct"/>
                  <w:vAlign w:val="center"/>
                </w:tcPr>
                <w:p w14:paraId="051615D8">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产生量</w:t>
                  </w:r>
                </w:p>
                <w:p w14:paraId="285BD28D">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t/a</w:t>
                  </w:r>
                </w:p>
              </w:tc>
              <w:tc>
                <w:tcPr>
                  <w:tcW w:w="395" w:type="pct"/>
                  <w:vAlign w:val="center"/>
                </w:tcPr>
                <w:p w14:paraId="33CB7628">
                  <w:pPr>
                    <w:adjustRightInd w:val="0"/>
                    <w:snapToGrid w:val="0"/>
                    <w:jc w:val="center"/>
                    <w:rPr>
                      <w:b/>
                      <w:snapToGrid w:val="0"/>
                      <w:color w:val="auto"/>
                      <w:kern w:val="0"/>
                      <w:szCs w:val="21"/>
                      <w:highlight w:val="none"/>
                    </w:rPr>
                  </w:pPr>
                  <w:r>
                    <w:rPr>
                      <w:rFonts w:hAnsi="宋体"/>
                      <w:b/>
                      <w:snapToGrid w:val="0"/>
                      <w:color w:val="auto"/>
                      <w:kern w:val="0"/>
                      <w:szCs w:val="21"/>
                      <w:highlight w:val="none"/>
                    </w:rPr>
                    <w:t>工艺</w:t>
                  </w:r>
                </w:p>
              </w:tc>
              <w:tc>
                <w:tcPr>
                  <w:tcW w:w="243" w:type="pct"/>
                  <w:vAlign w:val="center"/>
                </w:tcPr>
                <w:p w14:paraId="1162EB56">
                  <w:pPr>
                    <w:adjustRightInd w:val="0"/>
                    <w:snapToGrid w:val="0"/>
                    <w:jc w:val="center"/>
                    <w:rPr>
                      <w:b/>
                      <w:snapToGrid w:val="0"/>
                      <w:color w:val="auto"/>
                      <w:kern w:val="0"/>
                      <w:szCs w:val="21"/>
                      <w:highlight w:val="none"/>
                    </w:rPr>
                  </w:pPr>
                  <w:r>
                    <w:rPr>
                      <w:rFonts w:hAnsi="宋体"/>
                      <w:b/>
                      <w:snapToGrid w:val="0"/>
                      <w:color w:val="auto"/>
                      <w:kern w:val="0"/>
                      <w:szCs w:val="21"/>
                      <w:highlight w:val="none"/>
                    </w:rPr>
                    <w:t>效率</w:t>
                  </w:r>
                  <w:r>
                    <w:rPr>
                      <w:b/>
                      <w:snapToGrid w:val="0"/>
                      <w:color w:val="auto"/>
                      <w:kern w:val="0"/>
                      <w:szCs w:val="21"/>
                      <w:highlight w:val="none"/>
                    </w:rPr>
                    <w:t>(%)</w:t>
                  </w:r>
                </w:p>
              </w:tc>
              <w:tc>
                <w:tcPr>
                  <w:tcW w:w="308" w:type="pct"/>
                  <w:vAlign w:val="center"/>
                </w:tcPr>
                <w:p w14:paraId="73D08CD9">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废水量</w:t>
                  </w:r>
                  <w:r>
                    <w:rPr>
                      <w:rFonts w:ascii="Times New Roman" w:hAnsi="Times New Roman" w:eastAsia="宋体"/>
                      <w:b/>
                      <w:snapToGrid w:val="0"/>
                      <w:color w:val="auto"/>
                      <w:kern w:val="0"/>
                      <w:sz w:val="21"/>
                      <w:szCs w:val="21"/>
                      <w:highlight w:val="none"/>
                    </w:rPr>
                    <w:t>t/a</w:t>
                  </w:r>
                </w:p>
              </w:tc>
              <w:tc>
                <w:tcPr>
                  <w:tcW w:w="496" w:type="pct"/>
                  <w:vAlign w:val="center"/>
                </w:tcPr>
                <w:p w14:paraId="538A5641">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浓度</w:t>
                  </w:r>
                </w:p>
                <w:p w14:paraId="14D3C0B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mg/L</w:t>
                  </w:r>
                </w:p>
              </w:tc>
              <w:tc>
                <w:tcPr>
                  <w:tcW w:w="368" w:type="pct"/>
                  <w:vAlign w:val="center"/>
                </w:tcPr>
                <w:p w14:paraId="3F9BCC32">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排放量</w:t>
                  </w:r>
                  <w:r>
                    <w:rPr>
                      <w:rFonts w:ascii="Times New Roman" w:hAnsi="Times New Roman" w:eastAsia="宋体"/>
                      <w:b/>
                      <w:snapToGrid w:val="0"/>
                      <w:color w:val="auto"/>
                      <w:kern w:val="0"/>
                      <w:sz w:val="21"/>
                      <w:szCs w:val="21"/>
                      <w:highlight w:val="none"/>
                    </w:rPr>
                    <w:t>t/a</w:t>
                  </w:r>
                </w:p>
              </w:tc>
              <w:tc>
                <w:tcPr>
                  <w:tcW w:w="355" w:type="pct"/>
                  <w:vMerge w:val="continue"/>
                  <w:vAlign w:val="center"/>
                </w:tcPr>
                <w:p w14:paraId="520A0393">
                  <w:pPr>
                    <w:pStyle w:val="66"/>
                    <w:snapToGrid w:val="0"/>
                    <w:jc w:val="center"/>
                    <w:textAlignment w:val="auto"/>
                    <w:rPr>
                      <w:rFonts w:ascii="Times New Roman" w:hAnsi="Times New Roman" w:eastAsia="宋体"/>
                      <w:snapToGrid w:val="0"/>
                      <w:color w:val="auto"/>
                      <w:kern w:val="0"/>
                      <w:sz w:val="21"/>
                      <w:szCs w:val="21"/>
                      <w:highlight w:val="none"/>
                    </w:rPr>
                  </w:pPr>
                </w:p>
              </w:tc>
              <w:tc>
                <w:tcPr>
                  <w:tcW w:w="374" w:type="pct"/>
                  <w:vMerge w:val="continue"/>
                  <w:vAlign w:val="center"/>
                </w:tcPr>
                <w:p w14:paraId="59EE0BB0">
                  <w:pPr>
                    <w:pStyle w:val="66"/>
                    <w:snapToGrid w:val="0"/>
                    <w:jc w:val="center"/>
                    <w:textAlignment w:val="auto"/>
                    <w:rPr>
                      <w:rFonts w:ascii="Times New Roman" w:hAnsi="Times New Roman" w:eastAsia="宋体"/>
                      <w:snapToGrid w:val="0"/>
                      <w:color w:val="auto"/>
                      <w:kern w:val="0"/>
                      <w:sz w:val="21"/>
                      <w:szCs w:val="21"/>
                      <w:highlight w:val="none"/>
                    </w:rPr>
                  </w:pPr>
                </w:p>
              </w:tc>
            </w:tr>
            <w:tr w14:paraId="56E96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546A64D7">
                  <w:pPr>
                    <w:pStyle w:val="66"/>
                    <w:snapToGrid w:val="0"/>
                    <w:jc w:val="center"/>
                    <w:rPr>
                      <w:rFonts w:ascii="Times New Roman" w:hAnsi="宋体"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员工</w:t>
                  </w:r>
                </w:p>
                <w:p w14:paraId="24124520">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生活</w:t>
                  </w:r>
                </w:p>
              </w:tc>
              <w:tc>
                <w:tcPr>
                  <w:tcW w:w="475" w:type="pct"/>
                  <w:vMerge w:val="restart"/>
                  <w:vAlign w:val="center"/>
                </w:tcPr>
                <w:p w14:paraId="6DB5EBD4">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生活污水</w:t>
                  </w:r>
                </w:p>
              </w:tc>
              <w:tc>
                <w:tcPr>
                  <w:tcW w:w="293" w:type="pct"/>
                  <w:vMerge w:val="restart"/>
                  <w:vAlign w:val="center"/>
                </w:tcPr>
                <w:p w14:paraId="1F39DAF2">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1200</w:t>
                  </w:r>
                </w:p>
              </w:tc>
              <w:tc>
                <w:tcPr>
                  <w:tcW w:w="442" w:type="pct"/>
                  <w:vAlign w:val="center"/>
                </w:tcPr>
                <w:p w14:paraId="1E3959F8">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04EBC1B9">
                  <w:pPr>
                    <w:widowControl/>
                    <w:jc w:val="center"/>
                    <w:textAlignment w:val="center"/>
                    <w:rPr>
                      <w:bCs/>
                      <w:color w:val="auto"/>
                      <w:szCs w:val="21"/>
                      <w:highlight w:val="none"/>
                    </w:rPr>
                  </w:pPr>
                  <w:r>
                    <w:rPr>
                      <w:color w:val="auto"/>
                      <w:kern w:val="0"/>
                      <w:szCs w:val="21"/>
                      <w:highlight w:val="none"/>
                      <w:lang w:bidi="ar"/>
                    </w:rPr>
                    <w:t>500</w:t>
                  </w:r>
                </w:p>
              </w:tc>
              <w:tc>
                <w:tcPr>
                  <w:tcW w:w="711" w:type="dxa"/>
                  <w:vAlign w:val="center"/>
                </w:tcPr>
                <w:p w14:paraId="3EB22E1E">
                  <w:pPr>
                    <w:widowControl/>
                    <w:jc w:val="center"/>
                    <w:textAlignment w:val="center"/>
                    <w:rPr>
                      <w:color w:val="auto"/>
                      <w:szCs w:val="21"/>
                      <w:highlight w:val="none"/>
                    </w:rPr>
                  </w:pPr>
                  <w:r>
                    <w:rPr>
                      <w:color w:val="auto"/>
                      <w:kern w:val="0"/>
                      <w:szCs w:val="21"/>
                      <w:highlight w:val="none"/>
                      <w:lang w:bidi="ar"/>
                    </w:rPr>
                    <w:t xml:space="preserve">0.6000 </w:t>
                  </w:r>
                </w:p>
              </w:tc>
              <w:tc>
                <w:tcPr>
                  <w:tcW w:w="395" w:type="pct"/>
                  <w:vMerge w:val="restart"/>
                  <w:vAlign w:val="center"/>
                </w:tcPr>
                <w:p w14:paraId="703648F8">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化粪池</w:t>
                  </w:r>
                </w:p>
              </w:tc>
              <w:tc>
                <w:tcPr>
                  <w:tcW w:w="243" w:type="pct"/>
                  <w:vMerge w:val="restart"/>
                  <w:vAlign w:val="center"/>
                </w:tcPr>
                <w:p w14:paraId="79FFCB46">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587AD742">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1200</w:t>
                  </w:r>
                </w:p>
              </w:tc>
              <w:tc>
                <w:tcPr>
                  <w:tcW w:w="887" w:type="dxa"/>
                  <w:vAlign w:val="center"/>
                </w:tcPr>
                <w:p w14:paraId="3F62F748">
                  <w:pPr>
                    <w:widowControl/>
                    <w:jc w:val="center"/>
                    <w:textAlignment w:val="center"/>
                    <w:rPr>
                      <w:color w:val="auto"/>
                      <w:szCs w:val="21"/>
                      <w:highlight w:val="none"/>
                    </w:rPr>
                  </w:pPr>
                  <w:r>
                    <w:rPr>
                      <w:color w:val="auto"/>
                      <w:kern w:val="0"/>
                      <w:szCs w:val="21"/>
                      <w:highlight w:val="none"/>
                      <w:lang w:bidi="ar"/>
                    </w:rPr>
                    <w:t>450</w:t>
                  </w:r>
                </w:p>
              </w:tc>
              <w:tc>
                <w:tcPr>
                  <w:tcW w:w="660" w:type="dxa"/>
                  <w:vAlign w:val="center"/>
                </w:tcPr>
                <w:p w14:paraId="27F32DBF">
                  <w:pPr>
                    <w:widowControl/>
                    <w:jc w:val="center"/>
                    <w:textAlignment w:val="center"/>
                    <w:rPr>
                      <w:color w:val="auto"/>
                      <w:szCs w:val="21"/>
                      <w:highlight w:val="none"/>
                    </w:rPr>
                  </w:pPr>
                  <w:r>
                    <w:rPr>
                      <w:color w:val="auto"/>
                      <w:kern w:val="0"/>
                      <w:szCs w:val="21"/>
                      <w:highlight w:val="none"/>
                      <w:lang w:bidi="ar"/>
                    </w:rPr>
                    <w:t xml:space="preserve">0.5400 </w:t>
                  </w:r>
                </w:p>
              </w:tc>
              <w:tc>
                <w:tcPr>
                  <w:tcW w:w="355" w:type="pct"/>
                  <w:vAlign w:val="center"/>
                </w:tcPr>
                <w:p w14:paraId="630BBA4E">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restart"/>
                  <w:vAlign w:val="center"/>
                </w:tcPr>
                <w:p w14:paraId="625236A8">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接管海门市东洲水处理有限公司集中处理</w:t>
                  </w:r>
                </w:p>
              </w:tc>
            </w:tr>
            <w:tr w14:paraId="38700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20B18CA5">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00527244">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6C0EC5CE">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6E05B56C">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4E0A2ABB">
                  <w:pPr>
                    <w:widowControl/>
                    <w:jc w:val="center"/>
                    <w:textAlignment w:val="center"/>
                    <w:rPr>
                      <w:bCs/>
                      <w:color w:val="auto"/>
                      <w:szCs w:val="21"/>
                      <w:highlight w:val="none"/>
                    </w:rPr>
                  </w:pPr>
                  <w:r>
                    <w:rPr>
                      <w:color w:val="auto"/>
                      <w:kern w:val="0"/>
                      <w:szCs w:val="21"/>
                      <w:highlight w:val="none"/>
                      <w:lang w:bidi="ar"/>
                    </w:rPr>
                    <w:t>400</w:t>
                  </w:r>
                </w:p>
              </w:tc>
              <w:tc>
                <w:tcPr>
                  <w:tcW w:w="711" w:type="dxa"/>
                  <w:vAlign w:val="center"/>
                </w:tcPr>
                <w:p w14:paraId="2B3BA2EF">
                  <w:pPr>
                    <w:widowControl/>
                    <w:jc w:val="center"/>
                    <w:textAlignment w:val="center"/>
                    <w:rPr>
                      <w:color w:val="auto"/>
                      <w:szCs w:val="21"/>
                      <w:highlight w:val="none"/>
                    </w:rPr>
                  </w:pPr>
                  <w:r>
                    <w:rPr>
                      <w:color w:val="auto"/>
                      <w:kern w:val="0"/>
                      <w:szCs w:val="21"/>
                      <w:highlight w:val="none"/>
                      <w:lang w:bidi="ar"/>
                    </w:rPr>
                    <w:t xml:space="preserve">0.4800 </w:t>
                  </w:r>
                </w:p>
              </w:tc>
              <w:tc>
                <w:tcPr>
                  <w:tcW w:w="395" w:type="pct"/>
                  <w:vMerge w:val="continue"/>
                  <w:vAlign w:val="center"/>
                </w:tcPr>
                <w:p w14:paraId="35F9C451">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6A933DBC">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4B0CC34C">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05E3988A">
                  <w:pPr>
                    <w:widowControl/>
                    <w:jc w:val="center"/>
                    <w:textAlignment w:val="center"/>
                    <w:rPr>
                      <w:color w:val="auto"/>
                      <w:szCs w:val="21"/>
                      <w:highlight w:val="none"/>
                    </w:rPr>
                  </w:pPr>
                  <w:r>
                    <w:rPr>
                      <w:color w:val="auto"/>
                      <w:kern w:val="0"/>
                      <w:szCs w:val="21"/>
                      <w:highlight w:val="none"/>
                      <w:lang w:bidi="ar"/>
                    </w:rPr>
                    <w:t>360</w:t>
                  </w:r>
                </w:p>
              </w:tc>
              <w:tc>
                <w:tcPr>
                  <w:tcW w:w="660" w:type="dxa"/>
                  <w:vAlign w:val="center"/>
                </w:tcPr>
                <w:p w14:paraId="3503E7C5">
                  <w:pPr>
                    <w:widowControl/>
                    <w:jc w:val="center"/>
                    <w:textAlignment w:val="center"/>
                    <w:rPr>
                      <w:color w:val="auto"/>
                      <w:szCs w:val="21"/>
                      <w:highlight w:val="none"/>
                    </w:rPr>
                  </w:pPr>
                  <w:r>
                    <w:rPr>
                      <w:color w:val="auto"/>
                      <w:kern w:val="0"/>
                      <w:szCs w:val="21"/>
                      <w:highlight w:val="none"/>
                      <w:lang w:bidi="ar"/>
                    </w:rPr>
                    <w:t xml:space="preserve">0.4320 </w:t>
                  </w:r>
                </w:p>
              </w:tc>
              <w:tc>
                <w:tcPr>
                  <w:tcW w:w="355" w:type="pct"/>
                  <w:vAlign w:val="center"/>
                </w:tcPr>
                <w:p w14:paraId="68B23648">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46539BF6">
                  <w:pPr>
                    <w:pStyle w:val="66"/>
                    <w:snapToGrid w:val="0"/>
                    <w:jc w:val="center"/>
                    <w:textAlignment w:val="auto"/>
                    <w:rPr>
                      <w:rFonts w:ascii="Times New Roman" w:hAnsi="Times New Roman" w:eastAsia="宋体"/>
                      <w:snapToGrid w:val="0"/>
                      <w:color w:val="auto"/>
                      <w:kern w:val="0"/>
                      <w:sz w:val="21"/>
                      <w:szCs w:val="21"/>
                      <w:highlight w:val="none"/>
                    </w:rPr>
                  </w:pPr>
                </w:p>
              </w:tc>
            </w:tr>
            <w:tr w14:paraId="0EE98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7D5B424C">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7C9CFEE8">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237B2C0E">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5D0CB9A0">
                  <w:pPr>
                    <w:widowControl/>
                    <w:jc w:val="center"/>
                    <w:textAlignment w:val="center"/>
                    <w:rPr>
                      <w:color w:val="auto"/>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811" w:type="dxa"/>
                  <w:vAlign w:val="center"/>
                </w:tcPr>
                <w:p w14:paraId="092FFD1E">
                  <w:pPr>
                    <w:widowControl/>
                    <w:jc w:val="center"/>
                    <w:textAlignment w:val="center"/>
                    <w:rPr>
                      <w:bCs/>
                      <w:color w:val="auto"/>
                      <w:szCs w:val="21"/>
                      <w:highlight w:val="none"/>
                    </w:rPr>
                  </w:pPr>
                  <w:r>
                    <w:rPr>
                      <w:color w:val="auto"/>
                      <w:kern w:val="0"/>
                      <w:szCs w:val="21"/>
                      <w:highlight w:val="none"/>
                      <w:lang w:bidi="ar"/>
                    </w:rPr>
                    <w:t>35</w:t>
                  </w:r>
                </w:p>
              </w:tc>
              <w:tc>
                <w:tcPr>
                  <w:tcW w:w="711" w:type="dxa"/>
                  <w:vAlign w:val="center"/>
                </w:tcPr>
                <w:p w14:paraId="5A7BB982">
                  <w:pPr>
                    <w:widowControl/>
                    <w:jc w:val="center"/>
                    <w:textAlignment w:val="center"/>
                    <w:rPr>
                      <w:color w:val="auto"/>
                      <w:szCs w:val="21"/>
                      <w:highlight w:val="none"/>
                    </w:rPr>
                  </w:pPr>
                  <w:r>
                    <w:rPr>
                      <w:color w:val="auto"/>
                      <w:kern w:val="0"/>
                      <w:szCs w:val="21"/>
                      <w:highlight w:val="none"/>
                      <w:lang w:bidi="ar"/>
                    </w:rPr>
                    <w:t xml:space="preserve">0.0420 </w:t>
                  </w:r>
                </w:p>
              </w:tc>
              <w:tc>
                <w:tcPr>
                  <w:tcW w:w="395" w:type="pct"/>
                  <w:vMerge w:val="continue"/>
                  <w:vAlign w:val="center"/>
                </w:tcPr>
                <w:p w14:paraId="38A2EF74">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15396164">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3B64474A">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26F10053">
                  <w:pPr>
                    <w:widowControl/>
                    <w:jc w:val="center"/>
                    <w:textAlignment w:val="center"/>
                    <w:rPr>
                      <w:color w:val="auto"/>
                      <w:szCs w:val="21"/>
                      <w:highlight w:val="none"/>
                    </w:rPr>
                  </w:pPr>
                  <w:r>
                    <w:rPr>
                      <w:color w:val="auto"/>
                      <w:kern w:val="0"/>
                      <w:szCs w:val="21"/>
                      <w:highlight w:val="none"/>
                      <w:lang w:bidi="ar"/>
                    </w:rPr>
                    <w:t>35</w:t>
                  </w:r>
                </w:p>
              </w:tc>
              <w:tc>
                <w:tcPr>
                  <w:tcW w:w="660" w:type="dxa"/>
                  <w:vAlign w:val="center"/>
                </w:tcPr>
                <w:p w14:paraId="13969AC8">
                  <w:pPr>
                    <w:widowControl/>
                    <w:jc w:val="center"/>
                    <w:textAlignment w:val="center"/>
                    <w:rPr>
                      <w:color w:val="auto"/>
                      <w:szCs w:val="21"/>
                      <w:highlight w:val="none"/>
                    </w:rPr>
                  </w:pPr>
                  <w:r>
                    <w:rPr>
                      <w:color w:val="auto"/>
                      <w:kern w:val="0"/>
                      <w:szCs w:val="21"/>
                      <w:highlight w:val="none"/>
                      <w:lang w:bidi="ar"/>
                    </w:rPr>
                    <w:t xml:space="preserve">0.0420 </w:t>
                  </w:r>
                </w:p>
              </w:tc>
              <w:tc>
                <w:tcPr>
                  <w:tcW w:w="355" w:type="pct"/>
                  <w:vAlign w:val="center"/>
                </w:tcPr>
                <w:p w14:paraId="5B9939FC">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57D96D95">
                  <w:pPr>
                    <w:pStyle w:val="66"/>
                    <w:snapToGrid w:val="0"/>
                    <w:jc w:val="center"/>
                    <w:textAlignment w:val="auto"/>
                    <w:rPr>
                      <w:rFonts w:ascii="Times New Roman" w:hAnsi="Times New Roman" w:eastAsia="宋体"/>
                      <w:snapToGrid w:val="0"/>
                      <w:color w:val="auto"/>
                      <w:kern w:val="0"/>
                      <w:sz w:val="21"/>
                      <w:szCs w:val="21"/>
                      <w:highlight w:val="none"/>
                    </w:rPr>
                  </w:pPr>
                </w:p>
              </w:tc>
            </w:tr>
            <w:tr w14:paraId="35F3D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150D9F0C">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46A6204B">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0CD7145A">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33293411">
                  <w:pPr>
                    <w:widowControl/>
                    <w:jc w:val="center"/>
                    <w:textAlignment w:val="center"/>
                    <w:rPr>
                      <w:color w:val="auto"/>
                      <w:szCs w:val="21"/>
                      <w:highlight w:val="none"/>
                    </w:rPr>
                  </w:pPr>
                  <w:r>
                    <w:rPr>
                      <w:color w:val="auto"/>
                      <w:kern w:val="0"/>
                      <w:szCs w:val="21"/>
                      <w:highlight w:val="none"/>
                    </w:rPr>
                    <w:t>TN</w:t>
                  </w:r>
                </w:p>
              </w:tc>
              <w:tc>
                <w:tcPr>
                  <w:tcW w:w="811" w:type="dxa"/>
                  <w:vAlign w:val="center"/>
                </w:tcPr>
                <w:p w14:paraId="24E4CD7C">
                  <w:pPr>
                    <w:widowControl/>
                    <w:jc w:val="center"/>
                    <w:textAlignment w:val="center"/>
                    <w:rPr>
                      <w:bCs/>
                      <w:color w:val="auto"/>
                      <w:szCs w:val="21"/>
                      <w:highlight w:val="none"/>
                    </w:rPr>
                  </w:pPr>
                  <w:r>
                    <w:rPr>
                      <w:color w:val="auto"/>
                      <w:kern w:val="0"/>
                      <w:szCs w:val="21"/>
                      <w:highlight w:val="none"/>
                      <w:lang w:bidi="ar"/>
                    </w:rPr>
                    <w:t>45</w:t>
                  </w:r>
                </w:p>
              </w:tc>
              <w:tc>
                <w:tcPr>
                  <w:tcW w:w="711" w:type="dxa"/>
                  <w:vAlign w:val="center"/>
                </w:tcPr>
                <w:p w14:paraId="2E962910">
                  <w:pPr>
                    <w:widowControl/>
                    <w:jc w:val="center"/>
                    <w:textAlignment w:val="center"/>
                    <w:rPr>
                      <w:color w:val="auto"/>
                      <w:szCs w:val="21"/>
                      <w:highlight w:val="none"/>
                    </w:rPr>
                  </w:pPr>
                  <w:r>
                    <w:rPr>
                      <w:color w:val="auto"/>
                      <w:kern w:val="0"/>
                      <w:szCs w:val="21"/>
                      <w:highlight w:val="none"/>
                      <w:lang w:bidi="ar"/>
                    </w:rPr>
                    <w:t xml:space="preserve">0.0540 </w:t>
                  </w:r>
                </w:p>
              </w:tc>
              <w:tc>
                <w:tcPr>
                  <w:tcW w:w="395" w:type="pct"/>
                  <w:vMerge w:val="continue"/>
                  <w:vAlign w:val="center"/>
                </w:tcPr>
                <w:p w14:paraId="07F64D3D">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7B41FF47">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6FC58A02">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62494F0F">
                  <w:pPr>
                    <w:widowControl/>
                    <w:jc w:val="center"/>
                    <w:textAlignment w:val="center"/>
                    <w:rPr>
                      <w:color w:val="auto"/>
                      <w:szCs w:val="21"/>
                      <w:highlight w:val="none"/>
                    </w:rPr>
                  </w:pPr>
                  <w:r>
                    <w:rPr>
                      <w:color w:val="auto"/>
                      <w:kern w:val="0"/>
                      <w:szCs w:val="21"/>
                      <w:highlight w:val="none"/>
                      <w:lang w:bidi="ar"/>
                    </w:rPr>
                    <w:t>45</w:t>
                  </w:r>
                </w:p>
              </w:tc>
              <w:tc>
                <w:tcPr>
                  <w:tcW w:w="660" w:type="dxa"/>
                  <w:vAlign w:val="center"/>
                </w:tcPr>
                <w:p w14:paraId="4E5EFD82">
                  <w:pPr>
                    <w:widowControl/>
                    <w:jc w:val="center"/>
                    <w:textAlignment w:val="center"/>
                    <w:rPr>
                      <w:color w:val="auto"/>
                      <w:szCs w:val="21"/>
                      <w:highlight w:val="none"/>
                    </w:rPr>
                  </w:pPr>
                  <w:r>
                    <w:rPr>
                      <w:color w:val="auto"/>
                      <w:kern w:val="0"/>
                      <w:szCs w:val="21"/>
                      <w:highlight w:val="none"/>
                      <w:lang w:bidi="ar"/>
                    </w:rPr>
                    <w:t xml:space="preserve">0.0540 </w:t>
                  </w:r>
                </w:p>
              </w:tc>
              <w:tc>
                <w:tcPr>
                  <w:tcW w:w="355" w:type="pct"/>
                  <w:vAlign w:val="center"/>
                </w:tcPr>
                <w:p w14:paraId="35220415">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753231C8">
                  <w:pPr>
                    <w:pStyle w:val="66"/>
                    <w:snapToGrid w:val="0"/>
                    <w:jc w:val="center"/>
                    <w:textAlignment w:val="auto"/>
                    <w:rPr>
                      <w:rFonts w:ascii="Times New Roman" w:hAnsi="Times New Roman" w:eastAsia="宋体"/>
                      <w:snapToGrid w:val="0"/>
                      <w:color w:val="auto"/>
                      <w:kern w:val="0"/>
                      <w:sz w:val="21"/>
                      <w:szCs w:val="21"/>
                      <w:highlight w:val="none"/>
                    </w:rPr>
                  </w:pPr>
                </w:p>
              </w:tc>
            </w:tr>
            <w:tr w14:paraId="44A19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5F142B65">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50E9F4CB">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EB343AA">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68CE7F70">
                  <w:pPr>
                    <w:widowControl/>
                    <w:jc w:val="center"/>
                    <w:textAlignment w:val="center"/>
                    <w:rPr>
                      <w:color w:val="auto"/>
                      <w:szCs w:val="21"/>
                      <w:highlight w:val="none"/>
                    </w:rPr>
                  </w:pPr>
                  <w:r>
                    <w:rPr>
                      <w:color w:val="auto"/>
                      <w:kern w:val="0"/>
                      <w:szCs w:val="21"/>
                      <w:highlight w:val="none"/>
                    </w:rPr>
                    <w:t>TP</w:t>
                  </w:r>
                </w:p>
              </w:tc>
              <w:tc>
                <w:tcPr>
                  <w:tcW w:w="811" w:type="dxa"/>
                  <w:vAlign w:val="center"/>
                </w:tcPr>
                <w:p w14:paraId="6FF11923">
                  <w:pPr>
                    <w:widowControl/>
                    <w:jc w:val="center"/>
                    <w:textAlignment w:val="center"/>
                    <w:rPr>
                      <w:bCs/>
                      <w:color w:val="auto"/>
                      <w:szCs w:val="21"/>
                      <w:highlight w:val="none"/>
                    </w:rPr>
                  </w:pPr>
                  <w:r>
                    <w:rPr>
                      <w:color w:val="auto"/>
                      <w:kern w:val="0"/>
                      <w:szCs w:val="21"/>
                      <w:highlight w:val="none"/>
                      <w:lang w:bidi="ar"/>
                    </w:rPr>
                    <w:t>5</w:t>
                  </w:r>
                </w:p>
              </w:tc>
              <w:tc>
                <w:tcPr>
                  <w:tcW w:w="711" w:type="dxa"/>
                  <w:vAlign w:val="center"/>
                </w:tcPr>
                <w:p w14:paraId="6DF2FE19">
                  <w:pPr>
                    <w:widowControl/>
                    <w:jc w:val="center"/>
                    <w:textAlignment w:val="center"/>
                    <w:rPr>
                      <w:color w:val="auto"/>
                      <w:szCs w:val="21"/>
                      <w:highlight w:val="none"/>
                    </w:rPr>
                  </w:pPr>
                  <w:r>
                    <w:rPr>
                      <w:color w:val="auto"/>
                      <w:kern w:val="0"/>
                      <w:szCs w:val="21"/>
                      <w:highlight w:val="none"/>
                      <w:lang w:bidi="ar"/>
                    </w:rPr>
                    <w:t xml:space="preserve">0.0060 </w:t>
                  </w:r>
                </w:p>
              </w:tc>
              <w:tc>
                <w:tcPr>
                  <w:tcW w:w="395" w:type="pct"/>
                  <w:vMerge w:val="continue"/>
                  <w:vAlign w:val="center"/>
                </w:tcPr>
                <w:p w14:paraId="3FA8C53D">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6B3F2BA9">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7C42189A">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6A57EAF1">
                  <w:pPr>
                    <w:widowControl/>
                    <w:jc w:val="center"/>
                    <w:textAlignment w:val="center"/>
                    <w:rPr>
                      <w:color w:val="auto"/>
                      <w:szCs w:val="21"/>
                      <w:highlight w:val="none"/>
                    </w:rPr>
                  </w:pPr>
                  <w:r>
                    <w:rPr>
                      <w:color w:val="auto"/>
                      <w:kern w:val="0"/>
                      <w:szCs w:val="21"/>
                      <w:highlight w:val="none"/>
                      <w:lang w:bidi="ar"/>
                    </w:rPr>
                    <w:t>5</w:t>
                  </w:r>
                </w:p>
              </w:tc>
              <w:tc>
                <w:tcPr>
                  <w:tcW w:w="660" w:type="dxa"/>
                  <w:vAlign w:val="center"/>
                </w:tcPr>
                <w:p w14:paraId="33EF9E29">
                  <w:pPr>
                    <w:widowControl/>
                    <w:jc w:val="center"/>
                    <w:textAlignment w:val="center"/>
                    <w:rPr>
                      <w:color w:val="auto"/>
                      <w:szCs w:val="21"/>
                      <w:highlight w:val="none"/>
                    </w:rPr>
                  </w:pPr>
                  <w:r>
                    <w:rPr>
                      <w:color w:val="auto"/>
                      <w:kern w:val="0"/>
                      <w:szCs w:val="21"/>
                      <w:highlight w:val="none"/>
                      <w:lang w:bidi="ar"/>
                    </w:rPr>
                    <w:t xml:space="preserve">0.0060 </w:t>
                  </w:r>
                </w:p>
              </w:tc>
              <w:tc>
                <w:tcPr>
                  <w:tcW w:w="355" w:type="pct"/>
                  <w:vAlign w:val="center"/>
                </w:tcPr>
                <w:p w14:paraId="5C182134">
                  <w:pPr>
                    <w:pStyle w:val="66"/>
                    <w:snapToGrid w:val="0"/>
                    <w:jc w:val="center"/>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4793458D">
                  <w:pPr>
                    <w:pStyle w:val="66"/>
                    <w:snapToGrid w:val="0"/>
                    <w:jc w:val="center"/>
                    <w:textAlignment w:val="auto"/>
                    <w:rPr>
                      <w:rFonts w:ascii="Times New Roman" w:hAnsi="Times New Roman" w:eastAsia="宋体"/>
                      <w:snapToGrid w:val="0"/>
                      <w:color w:val="auto"/>
                      <w:kern w:val="0"/>
                      <w:sz w:val="21"/>
                      <w:szCs w:val="21"/>
                      <w:highlight w:val="none"/>
                    </w:rPr>
                  </w:pPr>
                </w:p>
              </w:tc>
            </w:tr>
            <w:tr w14:paraId="7CCFA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5BCDE5E0">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冷却塔</w:t>
                  </w:r>
                </w:p>
              </w:tc>
              <w:tc>
                <w:tcPr>
                  <w:tcW w:w="475" w:type="pct"/>
                  <w:vMerge w:val="restart"/>
                  <w:vAlign w:val="center"/>
                </w:tcPr>
                <w:p w14:paraId="7592BDC1">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强排水</w:t>
                  </w:r>
                </w:p>
              </w:tc>
              <w:tc>
                <w:tcPr>
                  <w:tcW w:w="293" w:type="pct"/>
                  <w:vMerge w:val="restart"/>
                  <w:vAlign w:val="center"/>
                </w:tcPr>
                <w:p w14:paraId="5E873D0F">
                  <w:pPr>
                    <w:pStyle w:val="66"/>
                    <w:snapToGrid w:val="0"/>
                    <w:jc w:val="center"/>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600</w:t>
                  </w:r>
                </w:p>
              </w:tc>
              <w:tc>
                <w:tcPr>
                  <w:tcW w:w="442" w:type="pct"/>
                  <w:vAlign w:val="center"/>
                </w:tcPr>
                <w:p w14:paraId="5995E06C">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595F815F">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4A4358B7">
                  <w:pPr>
                    <w:widowControl/>
                    <w:jc w:val="center"/>
                    <w:textAlignment w:val="center"/>
                    <w:rPr>
                      <w:color w:val="auto"/>
                      <w:szCs w:val="21"/>
                      <w:highlight w:val="none"/>
                    </w:rPr>
                  </w:pPr>
                  <w:r>
                    <w:rPr>
                      <w:color w:val="auto"/>
                      <w:kern w:val="0"/>
                      <w:szCs w:val="21"/>
                      <w:highlight w:val="none"/>
                      <w:lang w:bidi="ar"/>
                    </w:rPr>
                    <w:t xml:space="preserve">0.0240 </w:t>
                  </w:r>
                </w:p>
              </w:tc>
              <w:tc>
                <w:tcPr>
                  <w:tcW w:w="395" w:type="pct"/>
                  <w:vMerge w:val="restart"/>
                  <w:vAlign w:val="center"/>
                </w:tcPr>
                <w:p w14:paraId="0A328927">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243" w:type="pct"/>
                  <w:vMerge w:val="restart"/>
                  <w:vAlign w:val="center"/>
                </w:tcPr>
                <w:p w14:paraId="3B8A1838">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08" w:type="pct"/>
                  <w:vMerge w:val="restart"/>
                  <w:vAlign w:val="center"/>
                </w:tcPr>
                <w:p w14:paraId="644ABFE7">
                  <w:pPr>
                    <w:pStyle w:val="66"/>
                    <w:snapToGrid w:val="0"/>
                    <w:jc w:val="center"/>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600</w:t>
                  </w:r>
                </w:p>
              </w:tc>
              <w:tc>
                <w:tcPr>
                  <w:tcW w:w="887" w:type="dxa"/>
                  <w:vAlign w:val="center"/>
                </w:tcPr>
                <w:p w14:paraId="632E1D5F">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3021155E">
                  <w:pPr>
                    <w:widowControl/>
                    <w:jc w:val="center"/>
                    <w:textAlignment w:val="center"/>
                    <w:rPr>
                      <w:color w:val="auto"/>
                      <w:szCs w:val="21"/>
                      <w:highlight w:val="none"/>
                    </w:rPr>
                  </w:pPr>
                  <w:r>
                    <w:rPr>
                      <w:color w:val="auto"/>
                      <w:kern w:val="0"/>
                      <w:szCs w:val="21"/>
                      <w:highlight w:val="none"/>
                      <w:lang w:bidi="ar"/>
                    </w:rPr>
                    <w:t xml:space="preserve">0.0240 </w:t>
                  </w:r>
                </w:p>
              </w:tc>
              <w:tc>
                <w:tcPr>
                  <w:tcW w:w="355" w:type="pct"/>
                  <w:vAlign w:val="center"/>
                </w:tcPr>
                <w:p w14:paraId="2FD566A6">
                  <w:pPr>
                    <w:pStyle w:val="66"/>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374" w:type="pct"/>
                  <w:vMerge w:val="continue"/>
                  <w:vAlign w:val="center"/>
                </w:tcPr>
                <w:p w14:paraId="70D98312">
                  <w:pPr>
                    <w:pStyle w:val="66"/>
                    <w:snapToGrid w:val="0"/>
                    <w:jc w:val="center"/>
                    <w:textAlignment w:val="auto"/>
                    <w:rPr>
                      <w:rFonts w:ascii="Times New Roman" w:hAnsi="Times New Roman" w:eastAsia="宋体"/>
                      <w:snapToGrid w:val="0"/>
                      <w:color w:val="auto"/>
                      <w:kern w:val="0"/>
                      <w:sz w:val="21"/>
                      <w:szCs w:val="21"/>
                      <w:highlight w:val="none"/>
                    </w:rPr>
                  </w:pPr>
                </w:p>
              </w:tc>
            </w:tr>
            <w:tr w14:paraId="3A5EF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2B594A10">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2E182AB0">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2F5B7452">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2387320F">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7D473FD5">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752C8242">
                  <w:pPr>
                    <w:widowControl/>
                    <w:jc w:val="center"/>
                    <w:textAlignment w:val="center"/>
                    <w:rPr>
                      <w:color w:val="auto"/>
                      <w:szCs w:val="21"/>
                      <w:highlight w:val="none"/>
                    </w:rPr>
                  </w:pPr>
                  <w:r>
                    <w:rPr>
                      <w:color w:val="auto"/>
                      <w:kern w:val="0"/>
                      <w:szCs w:val="21"/>
                      <w:highlight w:val="none"/>
                      <w:lang w:bidi="ar"/>
                    </w:rPr>
                    <w:t xml:space="preserve">0.0240 </w:t>
                  </w:r>
                </w:p>
              </w:tc>
              <w:tc>
                <w:tcPr>
                  <w:tcW w:w="395" w:type="pct"/>
                  <w:vMerge w:val="continue"/>
                  <w:vAlign w:val="center"/>
                </w:tcPr>
                <w:p w14:paraId="576F47CC">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7CE96B8E">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27059528">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729F3020">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003540AD">
                  <w:pPr>
                    <w:widowControl/>
                    <w:jc w:val="center"/>
                    <w:textAlignment w:val="center"/>
                    <w:rPr>
                      <w:color w:val="auto"/>
                      <w:szCs w:val="21"/>
                      <w:highlight w:val="none"/>
                    </w:rPr>
                  </w:pPr>
                  <w:r>
                    <w:rPr>
                      <w:color w:val="auto"/>
                      <w:kern w:val="0"/>
                      <w:szCs w:val="21"/>
                      <w:highlight w:val="none"/>
                      <w:lang w:bidi="ar"/>
                    </w:rPr>
                    <w:t xml:space="preserve">0.0240 </w:t>
                  </w:r>
                </w:p>
              </w:tc>
              <w:tc>
                <w:tcPr>
                  <w:tcW w:w="355" w:type="pct"/>
                  <w:vAlign w:val="center"/>
                </w:tcPr>
                <w:p w14:paraId="2C17DE10">
                  <w:pPr>
                    <w:pStyle w:val="66"/>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374" w:type="pct"/>
                  <w:vMerge w:val="continue"/>
                  <w:vAlign w:val="center"/>
                </w:tcPr>
                <w:p w14:paraId="6095B4E9">
                  <w:pPr>
                    <w:pStyle w:val="66"/>
                    <w:snapToGrid w:val="0"/>
                    <w:jc w:val="center"/>
                    <w:textAlignment w:val="auto"/>
                    <w:rPr>
                      <w:rFonts w:ascii="Times New Roman" w:hAnsi="Times New Roman" w:eastAsia="宋体"/>
                      <w:snapToGrid w:val="0"/>
                      <w:color w:val="auto"/>
                      <w:kern w:val="0"/>
                      <w:sz w:val="21"/>
                      <w:szCs w:val="21"/>
                      <w:highlight w:val="none"/>
                    </w:rPr>
                  </w:pPr>
                </w:p>
              </w:tc>
            </w:tr>
            <w:tr w14:paraId="51728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4892CDFB">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纯水制备</w:t>
                  </w:r>
                </w:p>
              </w:tc>
              <w:tc>
                <w:tcPr>
                  <w:tcW w:w="475" w:type="pct"/>
                  <w:vMerge w:val="restart"/>
                  <w:vAlign w:val="center"/>
                </w:tcPr>
                <w:p w14:paraId="6FDFE82C">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制备弃水</w:t>
                  </w:r>
                </w:p>
              </w:tc>
              <w:tc>
                <w:tcPr>
                  <w:tcW w:w="293" w:type="pct"/>
                  <w:vMerge w:val="restart"/>
                  <w:vAlign w:val="center"/>
                </w:tcPr>
                <w:p w14:paraId="40816546">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240</w:t>
                  </w:r>
                </w:p>
              </w:tc>
              <w:tc>
                <w:tcPr>
                  <w:tcW w:w="442" w:type="pct"/>
                  <w:vAlign w:val="center"/>
                </w:tcPr>
                <w:p w14:paraId="4E0766B3">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6B65D011">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095BBE05">
                  <w:pPr>
                    <w:widowControl/>
                    <w:jc w:val="center"/>
                    <w:textAlignment w:val="center"/>
                    <w:rPr>
                      <w:color w:val="auto"/>
                      <w:szCs w:val="21"/>
                      <w:highlight w:val="none"/>
                    </w:rPr>
                  </w:pPr>
                  <w:r>
                    <w:rPr>
                      <w:color w:val="auto"/>
                      <w:kern w:val="0"/>
                      <w:szCs w:val="21"/>
                      <w:highlight w:val="none"/>
                      <w:lang w:bidi="ar"/>
                    </w:rPr>
                    <w:t xml:space="preserve">0.0096 </w:t>
                  </w:r>
                </w:p>
              </w:tc>
              <w:tc>
                <w:tcPr>
                  <w:tcW w:w="395" w:type="pct"/>
                  <w:vMerge w:val="restart"/>
                  <w:vAlign w:val="center"/>
                </w:tcPr>
                <w:p w14:paraId="5E14BAB2">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243" w:type="pct"/>
                  <w:vMerge w:val="restart"/>
                  <w:vAlign w:val="center"/>
                </w:tcPr>
                <w:p w14:paraId="6260B717">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4444587C">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240</w:t>
                  </w:r>
                </w:p>
              </w:tc>
              <w:tc>
                <w:tcPr>
                  <w:tcW w:w="887" w:type="dxa"/>
                  <w:vAlign w:val="center"/>
                </w:tcPr>
                <w:p w14:paraId="6EF908C1">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522007A7">
                  <w:pPr>
                    <w:widowControl/>
                    <w:jc w:val="center"/>
                    <w:textAlignment w:val="center"/>
                    <w:rPr>
                      <w:color w:val="auto"/>
                      <w:szCs w:val="21"/>
                      <w:highlight w:val="none"/>
                    </w:rPr>
                  </w:pPr>
                  <w:r>
                    <w:rPr>
                      <w:color w:val="auto"/>
                      <w:kern w:val="0"/>
                      <w:szCs w:val="21"/>
                      <w:highlight w:val="none"/>
                      <w:lang w:bidi="ar"/>
                    </w:rPr>
                    <w:t xml:space="preserve">0.0096 </w:t>
                  </w:r>
                </w:p>
              </w:tc>
              <w:tc>
                <w:tcPr>
                  <w:tcW w:w="355" w:type="pct"/>
                  <w:vAlign w:val="center"/>
                </w:tcPr>
                <w:p w14:paraId="2DBCFE64">
                  <w:pPr>
                    <w:snapToGrid w:val="0"/>
                    <w:jc w:val="center"/>
                    <w:rPr>
                      <w:color w:val="auto"/>
                      <w:szCs w:val="21"/>
                      <w:highlight w:val="none"/>
                    </w:rPr>
                  </w:pPr>
                  <w:r>
                    <w:rPr>
                      <w:color w:val="auto"/>
                      <w:szCs w:val="21"/>
                      <w:highlight w:val="none"/>
                    </w:rPr>
                    <w:t>-</w:t>
                  </w:r>
                </w:p>
              </w:tc>
              <w:tc>
                <w:tcPr>
                  <w:tcW w:w="374" w:type="pct"/>
                  <w:vMerge w:val="continue"/>
                  <w:vAlign w:val="center"/>
                </w:tcPr>
                <w:p w14:paraId="4AAC4497">
                  <w:pPr>
                    <w:pStyle w:val="66"/>
                    <w:snapToGrid w:val="0"/>
                    <w:jc w:val="center"/>
                    <w:textAlignment w:val="auto"/>
                    <w:rPr>
                      <w:rFonts w:ascii="Times New Roman" w:hAnsi="Times New Roman" w:eastAsia="宋体"/>
                      <w:snapToGrid w:val="0"/>
                      <w:color w:val="auto"/>
                      <w:kern w:val="0"/>
                      <w:sz w:val="21"/>
                      <w:szCs w:val="21"/>
                      <w:highlight w:val="none"/>
                    </w:rPr>
                  </w:pPr>
                </w:p>
              </w:tc>
            </w:tr>
            <w:tr w14:paraId="5DEAD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488C7885">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1DB5B219">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47D2E69F">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62CE5650">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5E3F7987">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652ED75E">
                  <w:pPr>
                    <w:widowControl/>
                    <w:jc w:val="center"/>
                    <w:textAlignment w:val="center"/>
                    <w:rPr>
                      <w:color w:val="auto"/>
                      <w:szCs w:val="21"/>
                      <w:highlight w:val="none"/>
                    </w:rPr>
                  </w:pPr>
                  <w:r>
                    <w:rPr>
                      <w:color w:val="auto"/>
                      <w:kern w:val="0"/>
                      <w:szCs w:val="21"/>
                      <w:highlight w:val="none"/>
                      <w:lang w:bidi="ar"/>
                    </w:rPr>
                    <w:t xml:space="preserve">0.0096 </w:t>
                  </w:r>
                </w:p>
              </w:tc>
              <w:tc>
                <w:tcPr>
                  <w:tcW w:w="395" w:type="pct"/>
                  <w:vMerge w:val="continue"/>
                  <w:vAlign w:val="center"/>
                </w:tcPr>
                <w:p w14:paraId="62ADB9A6">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6B849370">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272F7DDA">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013CDB96">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40B913D5">
                  <w:pPr>
                    <w:widowControl/>
                    <w:jc w:val="center"/>
                    <w:textAlignment w:val="center"/>
                    <w:rPr>
                      <w:color w:val="auto"/>
                      <w:szCs w:val="21"/>
                      <w:highlight w:val="none"/>
                    </w:rPr>
                  </w:pPr>
                  <w:r>
                    <w:rPr>
                      <w:color w:val="auto"/>
                      <w:kern w:val="0"/>
                      <w:szCs w:val="21"/>
                      <w:highlight w:val="none"/>
                      <w:lang w:bidi="ar"/>
                    </w:rPr>
                    <w:t xml:space="preserve">0.0096 </w:t>
                  </w:r>
                </w:p>
              </w:tc>
              <w:tc>
                <w:tcPr>
                  <w:tcW w:w="355" w:type="pct"/>
                  <w:vAlign w:val="center"/>
                </w:tcPr>
                <w:p w14:paraId="19776697">
                  <w:pPr>
                    <w:snapToGrid w:val="0"/>
                    <w:jc w:val="center"/>
                    <w:rPr>
                      <w:color w:val="auto"/>
                      <w:szCs w:val="21"/>
                      <w:highlight w:val="none"/>
                    </w:rPr>
                  </w:pPr>
                  <w:r>
                    <w:rPr>
                      <w:color w:val="auto"/>
                      <w:szCs w:val="21"/>
                      <w:highlight w:val="none"/>
                    </w:rPr>
                    <w:t>-</w:t>
                  </w:r>
                </w:p>
              </w:tc>
              <w:tc>
                <w:tcPr>
                  <w:tcW w:w="374" w:type="pct"/>
                  <w:vMerge w:val="continue"/>
                  <w:vAlign w:val="center"/>
                </w:tcPr>
                <w:p w14:paraId="20608789">
                  <w:pPr>
                    <w:pStyle w:val="66"/>
                    <w:snapToGrid w:val="0"/>
                    <w:jc w:val="center"/>
                    <w:textAlignment w:val="auto"/>
                    <w:rPr>
                      <w:rFonts w:ascii="Times New Roman" w:hAnsi="Times New Roman" w:eastAsia="宋体"/>
                      <w:snapToGrid w:val="0"/>
                      <w:color w:val="auto"/>
                      <w:kern w:val="0"/>
                      <w:sz w:val="21"/>
                      <w:szCs w:val="21"/>
                      <w:highlight w:val="none"/>
                    </w:rPr>
                  </w:pPr>
                </w:p>
              </w:tc>
            </w:tr>
            <w:tr w14:paraId="5DFA0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687BC65C">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初期雨水收集</w:t>
                  </w:r>
                </w:p>
              </w:tc>
              <w:tc>
                <w:tcPr>
                  <w:tcW w:w="475" w:type="pct"/>
                  <w:vMerge w:val="restart"/>
                  <w:vAlign w:val="center"/>
                </w:tcPr>
                <w:p w14:paraId="2EC5242E">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初期雨水</w:t>
                  </w:r>
                </w:p>
              </w:tc>
              <w:tc>
                <w:tcPr>
                  <w:tcW w:w="293" w:type="pct"/>
                  <w:vMerge w:val="restart"/>
                  <w:vAlign w:val="center"/>
                </w:tcPr>
                <w:p w14:paraId="32601D21">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1546</w:t>
                  </w:r>
                </w:p>
              </w:tc>
              <w:tc>
                <w:tcPr>
                  <w:tcW w:w="442" w:type="pct"/>
                  <w:vAlign w:val="center"/>
                </w:tcPr>
                <w:p w14:paraId="6715490A">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1D296CD7">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3261C64C">
                  <w:pPr>
                    <w:widowControl/>
                    <w:jc w:val="center"/>
                    <w:textAlignment w:val="center"/>
                    <w:rPr>
                      <w:color w:val="auto"/>
                      <w:szCs w:val="21"/>
                      <w:highlight w:val="none"/>
                    </w:rPr>
                  </w:pPr>
                  <w:r>
                    <w:rPr>
                      <w:color w:val="auto"/>
                      <w:kern w:val="0"/>
                      <w:szCs w:val="21"/>
                      <w:highlight w:val="none"/>
                      <w:lang w:bidi="ar"/>
                    </w:rPr>
                    <w:t xml:space="preserve">0.0618 </w:t>
                  </w:r>
                </w:p>
              </w:tc>
              <w:tc>
                <w:tcPr>
                  <w:tcW w:w="395" w:type="pct"/>
                  <w:vMerge w:val="restart"/>
                  <w:vAlign w:val="center"/>
                </w:tcPr>
                <w:p w14:paraId="22D67FA5">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沉淀池</w:t>
                  </w:r>
                </w:p>
              </w:tc>
              <w:tc>
                <w:tcPr>
                  <w:tcW w:w="243" w:type="pct"/>
                  <w:vMerge w:val="restart"/>
                  <w:vAlign w:val="center"/>
                </w:tcPr>
                <w:p w14:paraId="40A71B60">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61718CF8">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1546</w:t>
                  </w:r>
                </w:p>
              </w:tc>
              <w:tc>
                <w:tcPr>
                  <w:tcW w:w="887" w:type="dxa"/>
                  <w:vAlign w:val="center"/>
                </w:tcPr>
                <w:p w14:paraId="2A9DF3A5">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77AB194D">
                  <w:pPr>
                    <w:widowControl/>
                    <w:jc w:val="center"/>
                    <w:textAlignment w:val="center"/>
                    <w:rPr>
                      <w:color w:val="auto"/>
                      <w:szCs w:val="21"/>
                      <w:highlight w:val="none"/>
                    </w:rPr>
                  </w:pPr>
                  <w:r>
                    <w:rPr>
                      <w:color w:val="auto"/>
                      <w:kern w:val="0"/>
                      <w:szCs w:val="21"/>
                      <w:highlight w:val="none"/>
                      <w:lang w:bidi="ar"/>
                    </w:rPr>
                    <w:t xml:space="preserve">0.0618 </w:t>
                  </w:r>
                </w:p>
              </w:tc>
              <w:tc>
                <w:tcPr>
                  <w:tcW w:w="355" w:type="pct"/>
                  <w:vAlign w:val="center"/>
                </w:tcPr>
                <w:p w14:paraId="3791EC08">
                  <w:pPr>
                    <w:snapToGrid w:val="0"/>
                    <w:jc w:val="center"/>
                    <w:rPr>
                      <w:color w:val="auto"/>
                      <w:szCs w:val="21"/>
                      <w:highlight w:val="none"/>
                    </w:rPr>
                  </w:pPr>
                  <w:r>
                    <w:rPr>
                      <w:color w:val="auto"/>
                      <w:szCs w:val="21"/>
                      <w:highlight w:val="none"/>
                    </w:rPr>
                    <w:t>-</w:t>
                  </w:r>
                </w:p>
              </w:tc>
              <w:tc>
                <w:tcPr>
                  <w:tcW w:w="374" w:type="pct"/>
                  <w:vMerge w:val="continue"/>
                  <w:vAlign w:val="center"/>
                </w:tcPr>
                <w:p w14:paraId="259B9363">
                  <w:pPr>
                    <w:pStyle w:val="66"/>
                    <w:snapToGrid w:val="0"/>
                    <w:jc w:val="center"/>
                    <w:textAlignment w:val="auto"/>
                    <w:rPr>
                      <w:rFonts w:ascii="Times New Roman" w:hAnsi="Times New Roman" w:eastAsia="宋体"/>
                      <w:snapToGrid w:val="0"/>
                      <w:color w:val="auto"/>
                      <w:kern w:val="0"/>
                      <w:sz w:val="21"/>
                      <w:szCs w:val="21"/>
                      <w:highlight w:val="none"/>
                    </w:rPr>
                  </w:pPr>
                </w:p>
              </w:tc>
            </w:tr>
            <w:tr w14:paraId="369B3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639A0E49">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7EA12B4F">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CD95000">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18FA7601">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2DEFEF6C">
                  <w:pPr>
                    <w:widowControl/>
                    <w:jc w:val="center"/>
                    <w:textAlignment w:val="center"/>
                    <w:rPr>
                      <w:bCs/>
                      <w:color w:val="auto"/>
                      <w:szCs w:val="21"/>
                      <w:highlight w:val="none"/>
                    </w:rPr>
                  </w:pPr>
                  <w:r>
                    <w:rPr>
                      <w:color w:val="auto"/>
                      <w:kern w:val="0"/>
                      <w:szCs w:val="21"/>
                      <w:highlight w:val="none"/>
                      <w:lang w:bidi="ar"/>
                    </w:rPr>
                    <w:t>80</w:t>
                  </w:r>
                </w:p>
              </w:tc>
              <w:tc>
                <w:tcPr>
                  <w:tcW w:w="711" w:type="dxa"/>
                  <w:vAlign w:val="center"/>
                </w:tcPr>
                <w:p w14:paraId="3AF8E510">
                  <w:pPr>
                    <w:widowControl/>
                    <w:jc w:val="center"/>
                    <w:textAlignment w:val="center"/>
                    <w:rPr>
                      <w:color w:val="auto"/>
                      <w:szCs w:val="21"/>
                      <w:highlight w:val="none"/>
                    </w:rPr>
                  </w:pPr>
                  <w:r>
                    <w:rPr>
                      <w:color w:val="auto"/>
                      <w:kern w:val="0"/>
                      <w:szCs w:val="21"/>
                      <w:highlight w:val="none"/>
                      <w:lang w:bidi="ar"/>
                    </w:rPr>
                    <w:t xml:space="preserve">0.1237 </w:t>
                  </w:r>
                </w:p>
              </w:tc>
              <w:tc>
                <w:tcPr>
                  <w:tcW w:w="395" w:type="pct"/>
                  <w:vMerge w:val="continue"/>
                  <w:vAlign w:val="center"/>
                </w:tcPr>
                <w:p w14:paraId="2F105A0A">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34D14C55">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3D940D29">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1336FD1C">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026A0B39">
                  <w:pPr>
                    <w:widowControl/>
                    <w:jc w:val="center"/>
                    <w:textAlignment w:val="center"/>
                    <w:rPr>
                      <w:color w:val="auto"/>
                      <w:szCs w:val="21"/>
                      <w:highlight w:val="none"/>
                    </w:rPr>
                  </w:pPr>
                  <w:r>
                    <w:rPr>
                      <w:color w:val="auto"/>
                      <w:kern w:val="0"/>
                      <w:szCs w:val="21"/>
                      <w:highlight w:val="none"/>
                      <w:lang w:bidi="ar"/>
                    </w:rPr>
                    <w:t xml:space="preserve">0.0618 </w:t>
                  </w:r>
                </w:p>
              </w:tc>
              <w:tc>
                <w:tcPr>
                  <w:tcW w:w="355" w:type="pct"/>
                  <w:vAlign w:val="center"/>
                </w:tcPr>
                <w:p w14:paraId="63F1FD39">
                  <w:pPr>
                    <w:snapToGrid w:val="0"/>
                    <w:jc w:val="center"/>
                    <w:rPr>
                      <w:color w:val="auto"/>
                      <w:szCs w:val="21"/>
                      <w:highlight w:val="none"/>
                    </w:rPr>
                  </w:pPr>
                  <w:r>
                    <w:rPr>
                      <w:color w:val="auto"/>
                      <w:szCs w:val="21"/>
                      <w:highlight w:val="none"/>
                    </w:rPr>
                    <w:t>-</w:t>
                  </w:r>
                </w:p>
              </w:tc>
              <w:tc>
                <w:tcPr>
                  <w:tcW w:w="374" w:type="pct"/>
                  <w:vMerge w:val="continue"/>
                  <w:vAlign w:val="center"/>
                </w:tcPr>
                <w:p w14:paraId="780ED364">
                  <w:pPr>
                    <w:pStyle w:val="66"/>
                    <w:snapToGrid w:val="0"/>
                    <w:jc w:val="center"/>
                    <w:textAlignment w:val="auto"/>
                    <w:rPr>
                      <w:rFonts w:ascii="Times New Roman" w:hAnsi="Times New Roman" w:eastAsia="宋体"/>
                      <w:snapToGrid w:val="0"/>
                      <w:color w:val="auto"/>
                      <w:kern w:val="0"/>
                      <w:sz w:val="21"/>
                      <w:szCs w:val="21"/>
                      <w:highlight w:val="none"/>
                    </w:rPr>
                  </w:pPr>
                </w:p>
              </w:tc>
            </w:tr>
            <w:tr w14:paraId="595F8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7A5C4B1F">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合计</w:t>
                  </w:r>
                </w:p>
              </w:tc>
              <w:tc>
                <w:tcPr>
                  <w:tcW w:w="475" w:type="pct"/>
                  <w:vMerge w:val="restart"/>
                  <w:vAlign w:val="center"/>
                </w:tcPr>
                <w:p w14:paraId="6D2C2EA1">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混合废水</w:t>
                  </w:r>
                </w:p>
              </w:tc>
              <w:tc>
                <w:tcPr>
                  <w:tcW w:w="293" w:type="pct"/>
                  <w:vMerge w:val="restart"/>
                  <w:vAlign w:val="center"/>
                </w:tcPr>
                <w:p w14:paraId="4B6A5C6C">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3586</w:t>
                  </w:r>
                </w:p>
              </w:tc>
              <w:tc>
                <w:tcPr>
                  <w:tcW w:w="442" w:type="pct"/>
                  <w:vAlign w:val="center"/>
                </w:tcPr>
                <w:p w14:paraId="61EFF833">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16ECA8E5">
                  <w:pPr>
                    <w:widowControl/>
                    <w:jc w:val="center"/>
                    <w:textAlignment w:val="center"/>
                    <w:rPr>
                      <w:bCs/>
                      <w:color w:val="auto"/>
                      <w:szCs w:val="21"/>
                      <w:highlight w:val="none"/>
                    </w:rPr>
                  </w:pPr>
                  <w:r>
                    <w:rPr>
                      <w:color w:val="auto"/>
                      <w:kern w:val="0"/>
                      <w:szCs w:val="21"/>
                      <w:highlight w:val="none"/>
                      <w:lang w:bidi="ar"/>
                    </w:rPr>
                    <w:t xml:space="preserve">193.9320 </w:t>
                  </w:r>
                </w:p>
              </w:tc>
              <w:tc>
                <w:tcPr>
                  <w:tcW w:w="711" w:type="dxa"/>
                  <w:vAlign w:val="center"/>
                </w:tcPr>
                <w:p w14:paraId="7E0F7D00">
                  <w:pPr>
                    <w:widowControl/>
                    <w:jc w:val="center"/>
                    <w:textAlignment w:val="center"/>
                    <w:rPr>
                      <w:color w:val="auto"/>
                      <w:szCs w:val="21"/>
                      <w:highlight w:val="none"/>
                    </w:rPr>
                  </w:pPr>
                  <w:r>
                    <w:rPr>
                      <w:color w:val="auto"/>
                      <w:kern w:val="0"/>
                      <w:szCs w:val="21"/>
                      <w:highlight w:val="none"/>
                      <w:lang w:bidi="ar"/>
                    </w:rPr>
                    <w:t xml:space="preserve">0.6954 </w:t>
                  </w:r>
                </w:p>
              </w:tc>
              <w:tc>
                <w:tcPr>
                  <w:tcW w:w="395" w:type="pct"/>
                  <w:vMerge w:val="restart"/>
                  <w:vAlign w:val="center"/>
                </w:tcPr>
                <w:p w14:paraId="2B53DF2D">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243" w:type="pct"/>
                  <w:vMerge w:val="restart"/>
                  <w:vAlign w:val="center"/>
                </w:tcPr>
                <w:p w14:paraId="699EE0B0">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5B5C6014">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3586</w:t>
                  </w:r>
                </w:p>
              </w:tc>
              <w:tc>
                <w:tcPr>
                  <w:tcW w:w="887" w:type="dxa"/>
                  <w:vAlign w:val="center"/>
                </w:tcPr>
                <w:p w14:paraId="17245E88">
                  <w:pPr>
                    <w:widowControl/>
                    <w:jc w:val="center"/>
                    <w:textAlignment w:val="center"/>
                    <w:rPr>
                      <w:color w:val="auto"/>
                      <w:szCs w:val="21"/>
                      <w:highlight w:val="none"/>
                    </w:rPr>
                  </w:pPr>
                  <w:r>
                    <w:rPr>
                      <w:color w:val="auto"/>
                      <w:kern w:val="0"/>
                      <w:szCs w:val="21"/>
                      <w:highlight w:val="none"/>
                      <w:lang w:bidi="ar"/>
                    </w:rPr>
                    <w:t xml:space="preserve">177.2002 </w:t>
                  </w:r>
                </w:p>
              </w:tc>
              <w:tc>
                <w:tcPr>
                  <w:tcW w:w="660" w:type="dxa"/>
                  <w:vAlign w:val="center"/>
                </w:tcPr>
                <w:p w14:paraId="48905FCB">
                  <w:pPr>
                    <w:widowControl/>
                    <w:jc w:val="center"/>
                    <w:textAlignment w:val="center"/>
                    <w:rPr>
                      <w:color w:val="auto"/>
                      <w:kern w:val="0"/>
                      <w:szCs w:val="21"/>
                      <w:highlight w:val="none"/>
                    </w:rPr>
                  </w:pPr>
                  <w:r>
                    <w:rPr>
                      <w:color w:val="auto"/>
                      <w:kern w:val="0"/>
                      <w:szCs w:val="21"/>
                      <w:highlight w:val="none"/>
                      <w:lang w:bidi="ar"/>
                    </w:rPr>
                    <w:t xml:space="preserve">0.6354 </w:t>
                  </w:r>
                </w:p>
              </w:tc>
              <w:tc>
                <w:tcPr>
                  <w:tcW w:w="355" w:type="pct"/>
                  <w:vAlign w:val="center"/>
                </w:tcPr>
                <w:p w14:paraId="06046A5F">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500</w:t>
                  </w:r>
                </w:p>
              </w:tc>
              <w:tc>
                <w:tcPr>
                  <w:tcW w:w="374" w:type="pct"/>
                  <w:vMerge w:val="restart"/>
                  <w:vAlign w:val="center"/>
                </w:tcPr>
                <w:p w14:paraId="396147BD">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宋体" w:eastAsia="宋体"/>
                      <w:snapToGrid w:val="0"/>
                      <w:color w:val="auto"/>
                      <w:kern w:val="0"/>
                      <w:sz w:val="21"/>
                      <w:szCs w:val="21"/>
                      <w:highlight w:val="none"/>
                    </w:rPr>
                    <w:t>接管</w:t>
                  </w:r>
                  <w:r>
                    <w:rPr>
                      <w:rFonts w:ascii="Times New Roman" w:hAnsi="宋体" w:eastAsia="宋体"/>
                      <w:snapToGrid w:val="0"/>
                      <w:color w:val="auto"/>
                      <w:kern w:val="0"/>
                      <w:sz w:val="21"/>
                      <w:szCs w:val="21"/>
                      <w:highlight w:val="none"/>
                    </w:rPr>
                    <w:t>东洲水处理有限公司</w:t>
                  </w:r>
                </w:p>
              </w:tc>
            </w:tr>
            <w:tr w14:paraId="2182A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508F5413">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7813A581">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6A41E767">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00A2A0A3">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01474042">
                  <w:pPr>
                    <w:widowControl/>
                    <w:jc w:val="center"/>
                    <w:textAlignment w:val="center"/>
                    <w:rPr>
                      <w:bCs/>
                      <w:color w:val="auto"/>
                      <w:szCs w:val="21"/>
                      <w:highlight w:val="none"/>
                    </w:rPr>
                  </w:pPr>
                  <w:r>
                    <w:rPr>
                      <w:color w:val="auto"/>
                      <w:kern w:val="0"/>
                      <w:szCs w:val="21"/>
                      <w:highlight w:val="none"/>
                      <w:lang w:bidi="ar"/>
                    </w:rPr>
                    <w:t xml:space="preserve">177.7133 </w:t>
                  </w:r>
                </w:p>
              </w:tc>
              <w:tc>
                <w:tcPr>
                  <w:tcW w:w="711" w:type="dxa"/>
                  <w:vAlign w:val="center"/>
                </w:tcPr>
                <w:p w14:paraId="58830A15">
                  <w:pPr>
                    <w:widowControl/>
                    <w:jc w:val="center"/>
                    <w:textAlignment w:val="center"/>
                    <w:rPr>
                      <w:color w:val="auto"/>
                      <w:szCs w:val="21"/>
                      <w:highlight w:val="none"/>
                    </w:rPr>
                  </w:pPr>
                  <w:r>
                    <w:rPr>
                      <w:color w:val="auto"/>
                      <w:kern w:val="0"/>
                      <w:szCs w:val="21"/>
                      <w:highlight w:val="none"/>
                      <w:lang w:bidi="ar"/>
                    </w:rPr>
                    <w:t xml:space="preserve">0.6373 </w:t>
                  </w:r>
                </w:p>
              </w:tc>
              <w:tc>
                <w:tcPr>
                  <w:tcW w:w="395" w:type="pct"/>
                  <w:vMerge w:val="continue"/>
                  <w:vAlign w:val="center"/>
                </w:tcPr>
                <w:p w14:paraId="0F9AF100">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1787DE74">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3DD915FC">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40F38C07">
                  <w:pPr>
                    <w:widowControl/>
                    <w:jc w:val="center"/>
                    <w:textAlignment w:val="center"/>
                    <w:rPr>
                      <w:color w:val="auto"/>
                      <w:szCs w:val="21"/>
                      <w:highlight w:val="none"/>
                    </w:rPr>
                  </w:pPr>
                  <w:r>
                    <w:rPr>
                      <w:color w:val="auto"/>
                      <w:kern w:val="0"/>
                      <w:szCs w:val="21"/>
                      <w:highlight w:val="none"/>
                      <w:lang w:bidi="ar"/>
                    </w:rPr>
                    <w:t xml:space="preserve">147.0831 </w:t>
                  </w:r>
                </w:p>
              </w:tc>
              <w:tc>
                <w:tcPr>
                  <w:tcW w:w="660" w:type="dxa"/>
                  <w:vAlign w:val="center"/>
                </w:tcPr>
                <w:p w14:paraId="06AFCFF1">
                  <w:pPr>
                    <w:widowControl/>
                    <w:jc w:val="center"/>
                    <w:textAlignment w:val="center"/>
                    <w:rPr>
                      <w:color w:val="auto"/>
                      <w:kern w:val="0"/>
                      <w:szCs w:val="21"/>
                      <w:highlight w:val="none"/>
                    </w:rPr>
                  </w:pPr>
                  <w:r>
                    <w:rPr>
                      <w:color w:val="auto"/>
                      <w:kern w:val="0"/>
                      <w:szCs w:val="21"/>
                      <w:highlight w:val="none"/>
                      <w:lang w:bidi="ar"/>
                    </w:rPr>
                    <w:t xml:space="preserve">0.5274 </w:t>
                  </w:r>
                </w:p>
              </w:tc>
              <w:tc>
                <w:tcPr>
                  <w:tcW w:w="355" w:type="pct"/>
                  <w:vAlign w:val="center"/>
                </w:tcPr>
                <w:p w14:paraId="61716FFE">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400</w:t>
                  </w:r>
                </w:p>
              </w:tc>
              <w:tc>
                <w:tcPr>
                  <w:tcW w:w="374" w:type="pct"/>
                  <w:vMerge w:val="continue"/>
                  <w:vAlign w:val="center"/>
                </w:tcPr>
                <w:p w14:paraId="4ABE7084">
                  <w:pPr>
                    <w:pStyle w:val="66"/>
                    <w:snapToGrid w:val="0"/>
                    <w:jc w:val="center"/>
                    <w:textAlignment w:val="auto"/>
                    <w:rPr>
                      <w:rFonts w:ascii="Times New Roman" w:hAnsi="Times New Roman" w:eastAsia="宋体"/>
                      <w:snapToGrid w:val="0"/>
                      <w:color w:val="auto"/>
                      <w:kern w:val="0"/>
                      <w:sz w:val="21"/>
                      <w:szCs w:val="21"/>
                      <w:highlight w:val="none"/>
                    </w:rPr>
                  </w:pPr>
                </w:p>
              </w:tc>
            </w:tr>
            <w:tr w14:paraId="70A37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3CDFF0C3">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7E6D1D70">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E84D96A">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57BE8903">
                  <w:pPr>
                    <w:widowControl/>
                    <w:jc w:val="center"/>
                    <w:textAlignment w:val="center"/>
                    <w:rPr>
                      <w:color w:val="auto"/>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811" w:type="dxa"/>
                  <w:vAlign w:val="center"/>
                </w:tcPr>
                <w:p w14:paraId="7CE31A17">
                  <w:pPr>
                    <w:widowControl/>
                    <w:jc w:val="center"/>
                    <w:textAlignment w:val="center"/>
                    <w:rPr>
                      <w:bCs/>
                      <w:color w:val="auto"/>
                      <w:szCs w:val="21"/>
                      <w:highlight w:val="none"/>
                    </w:rPr>
                  </w:pPr>
                  <w:r>
                    <w:rPr>
                      <w:color w:val="auto"/>
                      <w:kern w:val="0"/>
                      <w:szCs w:val="21"/>
                      <w:highlight w:val="none"/>
                      <w:lang w:bidi="ar"/>
                    </w:rPr>
                    <w:t xml:space="preserve">11.7122 </w:t>
                  </w:r>
                </w:p>
              </w:tc>
              <w:tc>
                <w:tcPr>
                  <w:tcW w:w="711" w:type="dxa"/>
                  <w:vAlign w:val="center"/>
                </w:tcPr>
                <w:p w14:paraId="2AF34670">
                  <w:pPr>
                    <w:widowControl/>
                    <w:jc w:val="center"/>
                    <w:textAlignment w:val="center"/>
                    <w:rPr>
                      <w:color w:val="auto"/>
                      <w:szCs w:val="21"/>
                      <w:highlight w:val="none"/>
                    </w:rPr>
                  </w:pPr>
                  <w:r>
                    <w:rPr>
                      <w:color w:val="auto"/>
                      <w:kern w:val="0"/>
                      <w:szCs w:val="21"/>
                      <w:highlight w:val="none"/>
                      <w:lang w:bidi="ar"/>
                    </w:rPr>
                    <w:t xml:space="preserve">0.0420 </w:t>
                  </w:r>
                </w:p>
              </w:tc>
              <w:tc>
                <w:tcPr>
                  <w:tcW w:w="395" w:type="pct"/>
                  <w:vMerge w:val="continue"/>
                  <w:vAlign w:val="center"/>
                </w:tcPr>
                <w:p w14:paraId="5704BFE5">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2E6A082A">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6FDB5485">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3F6405C4">
                  <w:pPr>
                    <w:widowControl/>
                    <w:jc w:val="center"/>
                    <w:textAlignment w:val="center"/>
                    <w:rPr>
                      <w:bCs/>
                      <w:color w:val="auto"/>
                      <w:szCs w:val="21"/>
                      <w:highlight w:val="none"/>
                    </w:rPr>
                  </w:pPr>
                  <w:r>
                    <w:rPr>
                      <w:color w:val="auto"/>
                      <w:kern w:val="0"/>
                      <w:szCs w:val="21"/>
                      <w:highlight w:val="none"/>
                      <w:lang w:bidi="ar"/>
                    </w:rPr>
                    <w:t xml:space="preserve">11.7122 </w:t>
                  </w:r>
                </w:p>
              </w:tc>
              <w:tc>
                <w:tcPr>
                  <w:tcW w:w="660" w:type="dxa"/>
                  <w:vAlign w:val="center"/>
                </w:tcPr>
                <w:p w14:paraId="402016E0">
                  <w:pPr>
                    <w:widowControl/>
                    <w:jc w:val="center"/>
                    <w:textAlignment w:val="center"/>
                    <w:rPr>
                      <w:color w:val="auto"/>
                      <w:szCs w:val="21"/>
                      <w:highlight w:val="none"/>
                    </w:rPr>
                  </w:pPr>
                  <w:r>
                    <w:rPr>
                      <w:color w:val="auto"/>
                      <w:kern w:val="0"/>
                      <w:szCs w:val="21"/>
                      <w:highlight w:val="none"/>
                      <w:lang w:bidi="ar"/>
                    </w:rPr>
                    <w:t xml:space="preserve">0.0420 </w:t>
                  </w:r>
                </w:p>
              </w:tc>
              <w:tc>
                <w:tcPr>
                  <w:tcW w:w="355" w:type="pct"/>
                  <w:vAlign w:val="center"/>
                </w:tcPr>
                <w:p w14:paraId="6B5BDA8F">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45</w:t>
                  </w:r>
                </w:p>
              </w:tc>
              <w:tc>
                <w:tcPr>
                  <w:tcW w:w="374" w:type="pct"/>
                  <w:vMerge w:val="continue"/>
                  <w:vAlign w:val="center"/>
                </w:tcPr>
                <w:p w14:paraId="6E16734D">
                  <w:pPr>
                    <w:pStyle w:val="66"/>
                    <w:snapToGrid w:val="0"/>
                    <w:jc w:val="center"/>
                    <w:textAlignment w:val="auto"/>
                    <w:rPr>
                      <w:rFonts w:ascii="Times New Roman" w:hAnsi="Times New Roman" w:eastAsia="宋体"/>
                      <w:snapToGrid w:val="0"/>
                      <w:color w:val="auto"/>
                      <w:kern w:val="0"/>
                      <w:sz w:val="21"/>
                      <w:szCs w:val="21"/>
                      <w:highlight w:val="none"/>
                    </w:rPr>
                  </w:pPr>
                </w:p>
              </w:tc>
            </w:tr>
            <w:tr w14:paraId="23B6B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71273D4A">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36FB7E81">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506924AC">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448699DE">
                  <w:pPr>
                    <w:widowControl/>
                    <w:jc w:val="center"/>
                    <w:textAlignment w:val="center"/>
                    <w:rPr>
                      <w:color w:val="auto"/>
                      <w:szCs w:val="21"/>
                      <w:highlight w:val="none"/>
                    </w:rPr>
                  </w:pPr>
                  <w:r>
                    <w:rPr>
                      <w:color w:val="auto"/>
                      <w:kern w:val="0"/>
                      <w:szCs w:val="21"/>
                      <w:highlight w:val="none"/>
                    </w:rPr>
                    <w:t>TN</w:t>
                  </w:r>
                </w:p>
              </w:tc>
              <w:tc>
                <w:tcPr>
                  <w:tcW w:w="811" w:type="dxa"/>
                  <w:vAlign w:val="center"/>
                </w:tcPr>
                <w:p w14:paraId="74180A86">
                  <w:pPr>
                    <w:widowControl/>
                    <w:jc w:val="center"/>
                    <w:textAlignment w:val="center"/>
                    <w:rPr>
                      <w:bCs/>
                      <w:color w:val="auto"/>
                      <w:szCs w:val="21"/>
                      <w:highlight w:val="none"/>
                    </w:rPr>
                  </w:pPr>
                  <w:r>
                    <w:rPr>
                      <w:color w:val="auto"/>
                      <w:kern w:val="0"/>
                      <w:szCs w:val="21"/>
                      <w:highlight w:val="none"/>
                      <w:lang w:bidi="ar"/>
                    </w:rPr>
                    <w:t xml:space="preserve">15.0586 </w:t>
                  </w:r>
                </w:p>
              </w:tc>
              <w:tc>
                <w:tcPr>
                  <w:tcW w:w="711" w:type="dxa"/>
                  <w:vAlign w:val="center"/>
                </w:tcPr>
                <w:p w14:paraId="525ACD35">
                  <w:pPr>
                    <w:widowControl/>
                    <w:jc w:val="center"/>
                    <w:textAlignment w:val="center"/>
                    <w:rPr>
                      <w:color w:val="auto"/>
                      <w:szCs w:val="21"/>
                      <w:highlight w:val="none"/>
                    </w:rPr>
                  </w:pPr>
                  <w:r>
                    <w:rPr>
                      <w:color w:val="auto"/>
                      <w:kern w:val="0"/>
                      <w:szCs w:val="21"/>
                      <w:highlight w:val="none"/>
                      <w:lang w:bidi="ar"/>
                    </w:rPr>
                    <w:t xml:space="preserve">0.0540 </w:t>
                  </w:r>
                </w:p>
              </w:tc>
              <w:tc>
                <w:tcPr>
                  <w:tcW w:w="395" w:type="pct"/>
                  <w:vMerge w:val="continue"/>
                  <w:vAlign w:val="center"/>
                </w:tcPr>
                <w:p w14:paraId="3135C3A6">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773D0ECC">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60DE7FFD">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29957229">
                  <w:pPr>
                    <w:widowControl/>
                    <w:jc w:val="center"/>
                    <w:textAlignment w:val="center"/>
                    <w:rPr>
                      <w:bCs/>
                      <w:color w:val="auto"/>
                      <w:szCs w:val="21"/>
                      <w:highlight w:val="none"/>
                    </w:rPr>
                  </w:pPr>
                  <w:r>
                    <w:rPr>
                      <w:color w:val="auto"/>
                      <w:kern w:val="0"/>
                      <w:szCs w:val="21"/>
                      <w:highlight w:val="none"/>
                      <w:lang w:bidi="ar"/>
                    </w:rPr>
                    <w:t xml:space="preserve">15.0586 </w:t>
                  </w:r>
                </w:p>
              </w:tc>
              <w:tc>
                <w:tcPr>
                  <w:tcW w:w="660" w:type="dxa"/>
                  <w:vAlign w:val="center"/>
                </w:tcPr>
                <w:p w14:paraId="2EBC08A6">
                  <w:pPr>
                    <w:widowControl/>
                    <w:jc w:val="center"/>
                    <w:textAlignment w:val="center"/>
                    <w:rPr>
                      <w:color w:val="auto"/>
                      <w:szCs w:val="21"/>
                      <w:highlight w:val="none"/>
                    </w:rPr>
                  </w:pPr>
                  <w:r>
                    <w:rPr>
                      <w:color w:val="auto"/>
                      <w:kern w:val="0"/>
                      <w:szCs w:val="21"/>
                      <w:highlight w:val="none"/>
                      <w:lang w:bidi="ar"/>
                    </w:rPr>
                    <w:t xml:space="preserve">0.0540 </w:t>
                  </w:r>
                </w:p>
              </w:tc>
              <w:tc>
                <w:tcPr>
                  <w:tcW w:w="355" w:type="pct"/>
                  <w:vAlign w:val="center"/>
                </w:tcPr>
                <w:p w14:paraId="0CDA0800">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70</w:t>
                  </w:r>
                </w:p>
              </w:tc>
              <w:tc>
                <w:tcPr>
                  <w:tcW w:w="374" w:type="pct"/>
                  <w:vMerge w:val="continue"/>
                  <w:vAlign w:val="center"/>
                </w:tcPr>
                <w:p w14:paraId="29DCBB61">
                  <w:pPr>
                    <w:pStyle w:val="66"/>
                    <w:snapToGrid w:val="0"/>
                    <w:jc w:val="center"/>
                    <w:textAlignment w:val="auto"/>
                    <w:rPr>
                      <w:rFonts w:ascii="Times New Roman" w:hAnsi="Times New Roman" w:eastAsia="宋体"/>
                      <w:snapToGrid w:val="0"/>
                      <w:color w:val="auto"/>
                      <w:kern w:val="0"/>
                      <w:sz w:val="21"/>
                      <w:szCs w:val="21"/>
                      <w:highlight w:val="none"/>
                    </w:rPr>
                  </w:pPr>
                </w:p>
              </w:tc>
            </w:tr>
            <w:tr w14:paraId="7AFA3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3A97A487">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401798C7">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177F5980">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63D5D90A">
                  <w:pPr>
                    <w:widowControl/>
                    <w:jc w:val="center"/>
                    <w:textAlignment w:val="center"/>
                    <w:rPr>
                      <w:color w:val="auto"/>
                      <w:szCs w:val="21"/>
                      <w:highlight w:val="none"/>
                    </w:rPr>
                  </w:pPr>
                  <w:r>
                    <w:rPr>
                      <w:color w:val="auto"/>
                      <w:kern w:val="0"/>
                      <w:szCs w:val="21"/>
                      <w:highlight w:val="none"/>
                    </w:rPr>
                    <w:t>TP</w:t>
                  </w:r>
                </w:p>
              </w:tc>
              <w:tc>
                <w:tcPr>
                  <w:tcW w:w="811" w:type="dxa"/>
                  <w:vAlign w:val="center"/>
                </w:tcPr>
                <w:p w14:paraId="5847AEB3">
                  <w:pPr>
                    <w:widowControl/>
                    <w:jc w:val="center"/>
                    <w:textAlignment w:val="center"/>
                    <w:rPr>
                      <w:bCs/>
                      <w:color w:val="auto"/>
                      <w:szCs w:val="21"/>
                      <w:highlight w:val="none"/>
                    </w:rPr>
                  </w:pPr>
                  <w:r>
                    <w:rPr>
                      <w:color w:val="auto"/>
                      <w:kern w:val="0"/>
                      <w:szCs w:val="21"/>
                      <w:highlight w:val="none"/>
                      <w:lang w:bidi="ar"/>
                    </w:rPr>
                    <w:t xml:space="preserve">1.6732 </w:t>
                  </w:r>
                </w:p>
              </w:tc>
              <w:tc>
                <w:tcPr>
                  <w:tcW w:w="711" w:type="dxa"/>
                  <w:vAlign w:val="center"/>
                </w:tcPr>
                <w:p w14:paraId="2B585FDB">
                  <w:pPr>
                    <w:widowControl/>
                    <w:jc w:val="center"/>
                    <w:textAlignment w:val="center"/>
                    <w:rPr>
                      <w:color w:val="auto"/>
                      <w:szCs w:val="21"/>
                      <w:highlight w:val="none"/>
                    </w:rPr>
                  </w:pPr>
                  <w:r>
                    <w:rPr>
                      <w:color w:val="auto"/>
                      <w:kern w:val="0"/>
                      <w:szCs w:val="21"/>
                      <w:highlight w:val="none"/>
                      <w:lang w:bidi="ar"/>
                    </w:rPr>
                    <w:t xml:space="preserve">0.0060 </w:t>
                  </w:r>
                </w:p>
              </w:tc>
              <w:tc>
                <w:tcPr>
                  <w:tcW w:w="395" w:type="pct"/>
                  <w:vMerge w:val="continue"/>
                  <w:vAlign w:val="center"/>
                </w:tcPr>
                <w:p w14:paraId="5B075333">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1750AFC7">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75FF8EC9">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6CE88BBF">
                  <w:pPr>
                    <w:widowControl/>
                    <w:jc w:val="center"/>
                    <w:textAlignment w:val="center"/>
                    <w:rPr>
                      <w:bCs/>
                      <w:color w:val="auto"/>
                      <w:szCs w:val="21"/>
                      <w:highlight w:val="none"/>
                    </w:rPr>
                  </w:pPr>
                  <w:r>
                    <w:rPr>
                      <w:color w:val="auto"/>
                      <w:kern w:val="0"/>
                      <w:szCs w:val="21"/>
                      <w:highlight w:val="none"/>
                      <w:lang w:bidi="ar"/>
                    </w:rPr>
                    <w:t xml:space="preserve">1.6732 </w:t>
                  </w:r>
                </w:p>
              </w:tc>
              <w:tc>
                <w:tcPr>
                  <w:tcW w:w="660" w:type="dxa"/>
                  <w:vAlign w:val="center"/>
                </w:tcPr>
                <w:p w14:paraId="009FBC7B">
                  <w:pPr>
                    <w:widowControl/>
                    <w:jc w:val="center"/>
                    <w:textAlignment w:val="center"/>
                    <w:rPr>
                      <w:color w:val="auto"/>
                      <w:szCs w:val="21"/>
                      <w:highlight w:val="none"/>
                    </w:rPr>
                  </w:pPr>
                  <w:r>
                    <w:rPr>
                      <w:color w:val="auto"/>
                      <w:kern w:val="0"/>
                      <w:szCs w:val="21"/>
                      <w:highlight w:val="none"/>
                      <w:lang w:bidi="ar"/>
                    </w:rPr>
                    <w:t xml:space="preserve">0.0060 </w:t>
                  </w:r>
                </w:p>
              </w:tc>
              <w:tc>
                <w:tcPr>
                  <w:tcW w:w="355" w:type="pct"/>
                  <w:vAlign w:val="center"/>
                </w:tcPr>
                <w:p w14:paraId="0CB33CF6">
                  <w:pPr>
                    <w:pStyle w:val="66"/>
                    <w:snapToGrid w:val="0"/>
                    <w:jc w:val="center"/>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8</w:t>
                  </w:r>
                </w:p>
              </w:tc>
              <w:tc>
                <w:tcPr>
                  <w:tcW w:w="374" w:type="pct"/>
                  <w:vMerge w:val="continue"/>
                  <w:vAlign w:val="center"/>
                </w:tcPr>
                <w:p w14:paraId="6DC11FD0">
                  <w:pPr>
                    <w:pStyle w:val="66"/>
                    <w:snapToGrid w:val="0"/>
                    <w:jc w:val="center"/>
                    <w:textAlignment w:val="auto"/>
                    <w:rPr>
                      <w:rFonts w:ascii="Times New Roman" w:hAnsi="Times New Roman" w:eastAsia="宋体"/>
                      <w:snapToGrid w:val="0"/>
                      <w:color w:val="auto"/>
                      <w:kern w:val="0"/>
                      <w:sz w:val="21"/>
                      <w:szCs w:val="21"/>
                      <w:highlight w:val="none"/>
                    </w:rPr>
                  </w:pPr>
                </w:p>
              </w:tc>
            </w:tr>
          </w:tbl>
          <w:p w14:paraId="5746EF99">
            <w:pPr>
              <w:adjustRightInd w:val="0"/>
              <w:snapToGrid w:val="0"/>
              <w:ind w:firstLine="200" w:firstLineChars="200"/>
              <w:jc w:val="left"/>
              <w:rPr>
                <w:rFonts w:hAnsi="宋体"/>
                <w:color w:val="auto"/>
                <w:kern w:val="0"/>
                <w:sz w:val="10"/>
                <w:szCs w:val="10"/>
                <w:highlight w:val="none"/>
              </w:rPr>
            </w:pPr>
          </w:p>
          <w:p w14:paraId="4733232A">
            <w:pPr>
              <w:adjustRightInd w:val="0"/>
              <w:snapToGrid w:val="0"/>
              <w:jc w:val="center"/>
              <w:rPr>
                <w:b/>
                <w:color w:val="auto"/>
                <w:kern w:val="0"/>
                <w:sz w:val="24"/>
                <w:highlight w:val="none"/>
              </w:rPr>
            </w:pPr>
            <w:r>
              <w:rPr>
                <w:rFonts w:hAnsi="宋体"/>
                <w:b/>
                <w:color w:val="auto"/>
                <w:kern w:val="0"/>
                <w:sz w:val="24"/>
                <w:highlight w:val="none"/>
              </w:rPr>
              <w:t>表</w:t>
            </w:r>
            <w:r>
              <w:rPr>
                <w:b/>
                <w:color w:val="auto"/>
                <w:kern w:val="0"/>
                <w:sz w:val="24"/>
                <w:highlight w:val="none"/>
              </w:rPr>
              <w:t xml:space="preserve">4-14 </w:t>
            </w:r>
            <w:r>
              <w:rPr>
                <w:rFonts w:hint="eastAsia"/>
                <w:b/>
                <w:color w:val="auto"/>
                <w:kern w:val="0"/>
                <w:sz w:val="24"/>
                <w:highlight w:val="none"/>
              </w:rPr>
              <w:t>全厂</w:t>
            </w:r>
            <w:r>
              <w:rPr>
                <w:rFonts w:hAnsi="宋体"/>
                <w:b/>
                <w:color w:val="auto"/>
                <w:kern w:val="0"/>
                <w:sz w:val="24"/>
                <w:highlight w:val="none"/>
              </w:rPr>
              <w:t>废水污染源源强核算结果及相关参数一览表</w:t>
            </w:r>
          </w:p>
          <w:tbl>
            <w:tblPr>
              <w:tblStyle w:val="24"/>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0"/>
              <w:gridCol w:w="974"/>
              <w:gridCol w:w="601"/>
              <w:gridCol w:w="907"/>
              <w:gridCol w:w="930"/>
              <w:gridCol w:w="815"/>
              <w:gridCol w:w="811"/>
              <w:gridCol w:w="499"/>
              <w:gridCol w:w="632"/>
              <w:gridCol w:w="1018"/>
              <w:gridCol w:w="757"/>
              <w:gridCol w:w="729"/>
              <w:gridCol w:w="768"/>
            </w:tblGrid>
            <w:tr w14:paraId="72FED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10343ECA">
                  <w:pPr>
                    <w:pStyle w:val="66"/>
                    <w:snapToGrid w:val="0"/>
                    <w:jc w:val="center"/>
                    <w:textAlignment w:val="auto"/>
                    <w:rPr>
                      <w:rFonts w:ascii="Times New Roman" w:hAnsi="Times New Roman" w:eastAsia="宋体"/>
                      <w:b/>
                      <w:color w:val="auto"/>
                      <w:kern w:val="0"/>
                      <w:sz w:val="21"/>
                      <w:szCs w:val="21"/>
                      <w:highlight w:val="none"/>
                    </w:rPr>
                  </w:pPr>
                  <w:r>
                    <w:rPr>
                      <w:rFonts w:ascii="Times New Roman" w:hAnsi="宋体" w:eastAsia="宋体"/>
                      <w:b/>
                      <w:color w:val="auto"/>
                      <w:kern w:val="0"/>
                      <w:sz w:val="21"/>
                      <w:szCs w:val="21"/>
                      <w:highlight w:val="none"/>
                    </w:rPr>
                    <w:t>工序</w:t>
                  </w:r>
                  <w:r>
                    <w:rPr>
                      <w:rFonts w:ascii="Times New Roman" w:hAnsi="Times New Roman" w:eastAsia="宋体"/>
                      <w:b/>
                      <w:color w:val="auto"/>
                      <w:kern w:val="0"/>
                      <w:sz w:val="21"/>
                      <w:szCs w:val="21"/>
                      <w:highlight w:val="none"/>
                    </w:rPr>
                    <w:t>/</w:t>
                  </w:r>
                </w:p>
                <w:p w14:paraId="4E96CEF2">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color w:val="auto"/>
                      <w:kern w:val="0"/>
                      <w:sz w:val="21"/>
                      <w:szCs w:val="21"/>
                      <w:highlight w:val="none"/>
                    </w:rPr>
                    <w:t>生产线</w:t>
                  </w:r>
                </w:p>
              </w:tc>
              <w:tc>
                <w:tcPr>
                  <w:tcW w:w="475" w:type="pct"/>
                  <w:vMerge w:val="restart"/>
                  <w:vAlign w:val="center"/>
                </w:tcPr>
                <w:p w14:paraId="303D706A">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污染源</w:t>
                  </w:r>
                </w:p>
              </w:tc>
              <w:tc>
                <w:tcPr>
                  <w:tcW w:w="293" w:type="pct"/>
                  <w:vMerge w:val="restart"/>
                  <w:vAlign w:val="center"/>
                </w:tcPr>
                <w:p w14:paraId="10B2D87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废水量</w:t>
                  </w:r>
                  <w:r>
                    <w:rPr>
                      <w:rFonts w:ascii="Times New Roman" w:hAnsi="Times New Roman" w:eastAsia="宋体"/>
                      <w:b/>
                      <w:snapToGrid w:val="0"/>
                      <w:color w:val="auto"/>
                      <w:kern w:val="0"/>
                      <w:sz w:val="21"/>
                      <w:szCs w:val="21"/>
                      <w:highlight w:val="none"/>
                    </w:rPr>
                    <w:t>t/a</w:t>
                  </w:r>
                </w:p>
              </w:tc>
              <w:tc>
                <w:tcPr>
                  <w:tcW w:w="442" w:type="pct"/>
                  <w:vMerge w:val="restart"/>
                  <w:vAlign w:val="center"/>
                </w:tcPr>
                <w:p w14:paraId="27DAEC4C">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污染物</w:t>
                  </w:r>
                </w:p>
              </w:tc>
              <w:tc>
                <w:tcPr>
                  <w:tcW w:w="850" w:type="pct"/>
                  <w:gridSpan w:val="2"/>
                  <w:vAlign w:val="center"/>
                </w:tcPr>
                <w:p w14:paraId="28AC14DA">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产生情况</w:t>
                  </w:r>
                </w:p>
              </w:tc>
              <w:tc>
                <w:tcPr>
                  <w:tcW w:w="638" w:type="pct"/>
                  <w:gridSpan w:val="2"/>
                  <w:vAlign w:val="center"/>
                </w:tcPr>
                <w:p w14:paraId="21E43B09">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治理措施</w:t>
                  </w:r>
                </w:p>
              </w:tc>
              <w:tc>
                <w:tcPr>
                  <w:tcW w:w="1173" w:type="pct"/>
                  <w:gridSpan w:val="3"/>
                  <w:vAlign w:val="center"/>
                </w:tcPr>
                <w:p w14:paraId="201828B2">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排放情况</w:t>
                  </w:r>
                </w:p>
              </w:tc>
              <w:tc>
                <w:tcPr>
                  <w:tcW w:w="355" w:type="pct"/>
                  <w:vMerge w:val="restart"/>
                  <w:vAlign w:val="center"/>
                </w:tcPr>
                <w:p w14:paraId="7BF32F2F">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标准浓度限值</w:t>
                  </w:r>
                </w:p>
                <w:p w14:paraId="0DD15F5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mg/L</w:t>
                  </w:r>
                </w:p>
              </w:tc>
              <w:tc>
                <w:tcPr>
                  <w:tcW w:w="374" w:type="pct"/>
                  <w:vMerge w:val="restart"/>
                  <w:vAlign w:val="center"/>
                </w:tcPr>
                <w:p w14:paraId="160297A8">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排放方式及去向</w:t>
                  </w:r>
                </w:p>
              </w:tc>
            </w:tr>
            <w:tr w14:paraId="3BC3E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12FE4EDF">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0862F32B">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56104E87">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Merge w:val="continue"/>
                  <w:vAlign w:val="center"/>
                </w:tcPr>
                <w:p w14:paraId="0FB2CA9E">
                  <w:pPr>
                    <w:pStyle w:val="66"/>
                    <w:snapToGrid w:val="0"/>
                    <w:jc w:val="center"/>
                    <w:textAlignment w:val="auto"/>
                    <w:rPr>
                      <w:rFonts w:ascii="Times New Roman" w:hAnsi="Times New Roman" w:eastAsia="宋体"/>
                      <w:snapToGrid w:val="0"/>
                      <w:color w:val="auto"/>
                      <w:kern w:val="0"/>
                      <w:sz w:val="21"/>
                      <w:szCs w:val="21"/>
                      <w:highlight w:val="none"/>
                    </w:rPr>
                  </w:pPr>
                </w:p>
              </w:tc>
              <w:tc>
                <w:tcPr>
                  <w:tcW w:w="453" w:type="pct"/>
                  <w:vAlign w:val="center"/>
                </w:tcPr>
                <w:p w14:paraId="0807CECF">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浓度</w:t>
                  </w:r>
                </w:p>
                <w:p w14:paraId="68A28B63">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mg/L</w:t>
                  </w:r>
                </w:p>
              </w:tc>
              <w:tc>
                <w:tcPr>
                  <w:tcW w:w="396" w:type="pct"/>
                  <w:vAlign w:val="center"/>
                </w:tcPr>
                <w:p w14:paraId="1178F325">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产生量</w:t>
                  </w:r>
                </w:p>
                <w:p w14:paraId="55BF46B9">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t/a</w:t>
                  </w:r>
                </w:p>
              </w:tc>
              <w:tc>
                <w:tcPr>
                  <w:tcW w:w="395" w:type="pct"/>
                  <w:vAlign w:val="center"/>
                </w:tcPr>
                <w:p w14:paraId="0434CDC9">
                  <w:pPr>
                    <w:adjustRightInd w:val="0"/>
                    <w:snapToGrid w:val="0"/>
                    <w:jc w:val="center"/>
                    <w:rPr>
                      <w:b/>
                      <w:snapToGrid w:val="0"/>
                      <w:color w:val="auto"/>
                      <w:kern w:val="0"/>
                      <w:szCs w:val="21"/>
                      <w:highlight w:val="none"/>
                    </w:rPr>
                  </w:pPr>
                  <w:r>
                    <w:rPr>
                      <w:rFonts w:hAnsi="宋体"/>
                      <w:b/>
                      <w:snapToGrid w:val="0"/>
                      <w:color w:val="auto"/>
                      <w:kern w:val="0"/>
                      <w:szCs w:val="21"/>
                      <w:highlight w:val="none"/>
                    </w:rPr>
                    <w:t>工艺</w:t>
                  </w:r>
                </w:p>
              </w:tc>
              <w:tc>
                <w:tcPr>
                  <w:tcW w:w="243" w:type="pct"/>
                  <w:vAlign w:val="center"/>
                </w:tcPr>
                <w:p w14:paraId="4FA4D9CF">
                  <w:pPr>
                    <w:adjustRightInd w:val="0"/>
                    <w:snapToGrid w:val="0"/>
                    <w:jc w:val="center"/>
                    <w:rPr>
                      <w:b/>
                      <w:snapToGrid w:val="0"/>
                      <w:color w:val="auto"/>
                      <w:kern w:val="0"/>
                      <w:szCs w:val="21"/>
                      <w:highlight w:val="none"/>
                    </w:rPr>
                  </w:pPr>
                  <w:r>
                    <w:rPr>
                      <w:rFonts w:hAnsi="宋体"/>
                      <w:b/>
                      <w:snapToGrid w:val="0"/>
                      <w:color w:val="auto"/>
                      <w:kern w:val="0"/>
                      <w:szCs w:val="21"/>
                      <w:highlight w:val="none"/>
                    </w:rPr>
                    <w:t>效率</w:t>
                  </w:r>
                  <w:r>
                    <w:rPr>
                      <w:b/>
                      <w:snapToGrid w:val="0"/>
                      <w:color w:val="auto"/>
                      <w:kern w:val="0"/>
                      <w:szCs w:val="21"/>
                      <w:highlight w:val="none"/>
                    </w:rPr>
                    <w:t>(%)</w:t>
                  </w:r>
                </w:p>
              </w:tc>
              <w:tc>
                <w:tcPr>
                  <w:tcW w:w="308" w:type="pct"/>
                  <w:vAlign w:val="center"/>
                </w:tcPr>
                <w:p w14:paraId="3F4C6712">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废水量</w:t>
                  </w:r>
                  <w:r>
                    <w:rPr>
                      <w:rFonts w:ascii="Times New Roman" w:hAnsi="Times New Roman" w:eastAsia="宋体"/>
                      <w:b/>
                      <w:snapToGrid w:val="0"/>
                      <w:color w:val="auto"/>
                      <w:kern w:val="0"/>
                      <w:sz w:val="21"/>
                      <w:szCs w:val="21"/>
                      <w:highlight w:val="none"/>
                    </w:rPr>
                    <w:t>t/a</w:t>
                  </w:r>
                </w:p>
              </w:tc>
              <w:tc>
                <w:tcPr>
                  <w:tcW w:w="496" w:type="pct"/>
                  <w:vAlign w:val="center"/>
                </w:tcPr>
                <w:p w14:paraId="3131D688">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浓度</w:t>
                  </w:r>
                </w:p>
                <w:p w14:paraId="7E5E7C60">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Times New Roman" w:eastAsia="宋体"/>
                      <w:b/>
                      <w:snapToGrid w:val="0"/>
                      <w:color w:val="auto"/>
                      <w:kern w:val="0"/>
                      <w:sz w:val="21"/>
                      <w:szCs w:val="21"/>
                      <w:highlight w:val="none"/>
                    </w:rPr>
                    <w:t>mg/L</w:t>
                  </w:r>
                </w:p>
              </w:tc>
              <w:tc>
                <w:tcPr>
                  <w:tcW w:w="368" w:type="pct"/>
                  <w:vAlign w:val="center"/>
                </w:tcPr>
                <w:p w14:paraId="17AE8462">
                  <w:pPr>
                    <w:pStyle w:val="66"/>
                    <w:snapToGrid w:val="0"/>
                    <w:jc w:val="center"/>
                    <w:textAlignment w:val="auto"/>
                    <w:rPr>
                      <w:rFonts w:ascii="Times New Roman" w:hAnsi="Times New Roman" w:eastAsia="宋体"/>
                      <w:b/>
                      <w:snapToGrid w:val="0"/>
                      <w:color w:val="auto"/>
                      <w:kern w:val="0"/>
                      <w:sz w:val="21"/>
                      <w:szCs w:val="21"/>
                      <w:highlight w:val="none"/>
                    </w:rPr>
                  </w:pPr>
                  <w:r>
                    <w:rPr>
                      <w:rFonts w:ascii="Times New Roman" w:hAnsi="宋体" w:eastAsia="宋体"/>
                      <w:b/>
                      <w:snapToGrid w:val="0"/>
                      <w:color w:val="auto"/>
                      <w:kern w:val="0"/>
                      <w:sz w:val="21"/>
                      <w:szCs w:val="21"/>
                      <w:highlight w:val="none"/>
                    </w:rPr>
                    <w:t>排放量</w:t>
                  </w:r>
                  <w:r>
                    <w:rPr>
                      <w:rFonts w:ascii="Times New Roman" w:hAnsi="Times New Roman" w:eastAsia="宋体"/>
                      <w:b/>
                      <w:snapToGrid w:val="0"/>
                      <w:color w:val="auto"/>
                      <w:kern w:val="0"/>
                      <w:sz w:val="21"/>
                      <w:szCs w:val="21"/>
                      <w:highlight w:val="none"/>
                    </w:rPr>
                    <w:t>t/a</w:t>
                  </w:r>
                </w:p>
              </w:tc>
              <w:tc>
                <w:tcPr>
                  <w:tcW w:w="355" w:type="pct"/>
                  <w:vMerge w:val="continue"/>
                  <w:vAlign w:val="center"/>
                </w:tcPr>
                <w:p w14:paraId="50069D68">
                  <w:pPr>
                    <w:pStyle w:val="66"/>
                    <w:snapToGrid w:val="0"/>
                    <w:jc w:val="center"/>
                    <w:textAlignment w:val="auto"/>
                    <w:rPr>
                      <w:rFonts w:ascii="Times New Roman" w:hAnsi="Times New Roman" w:eastAsia="宋体"/>
                      <w:snapToGrid w:val="0"/>
                      <w:color w:val="auto"/>
                      <w:kern w:val="0"/>
                      <w:sz w:val="21"/>
                      <w:szCs w:val="21"/>
                      <w:highlight w:val="none"/>
                    </w:rPr>
                  </w:pPr>
                </w:p>
              </w:tc>
              <w:tc>
                <w:tcPr>
                  <w:tcW w:w="374" w:type="pct"/>
                  <w:vMerge w:val="continue"/>
                  <w:vAlign w:val="center"/>
                </w:tcPr>
                <w:p w14:paraId="7156C085">
                  <w:pPr>
                    <w:pStyle w:val="66"/>
                    <w:snapToGrid w:val="0"/>
                    <w:jc w:val="center"/>
                    <w:textAlignment w:val="auto"/>
                    <w:rPr>
                      <w:rFonts w:ascii="Times New Roman" w:hAnsi="Times New Roman" w:eastAsia="宋体"/>
                      <w:snapToGrid w:val="0"/>
                      <w:color w:val="auto"/>
                      <w:kern w:val="0"/>
                      <w:sz w:val="21"/>
                      <w:szCs w:val="21"/>
                      <w:highlight w:val="none"/>
                    </w:rPr>
                  </w:pPr>
                </w:p>
              </w:tc>
            </w:tr>
            <w:tr w14:paraId="4E32A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26DBEA84">
                  <w:pPr>
                    <w:pStyle w:val="66"/>
                    <w:snapToGrid w:val="0"/>
                    <w:jc w:val="center"/>
                    <w:rPr>
                      <w:rFonts w:ascii="Times New Roman" w:hAnsi="宋体"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员工</w:t>
                  </w:r>
                </w:p>
                <w:p w14:paraId="0DD998A4">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生活</w:t>
                  </w:r>
                </w:p>
              </w:tc>
              <w:tc>
                <w:tcPr>
                  <w:tcW w:w="475" w:type="pct"/>
                  <w:vMerge w:val="restart"/>
                  <w:vAlign w:val="center"/>
                </w:tcPr>
                <w:p w14:paraId="50A85180">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生活污水</w:t>
                  </w:r>
                </w:p>
              </w:tc>
              <w:tc>
                <w:tcPr>
                  <w:tcW w:w="293" w:type="pct"/>
                  <w:vMerge w:val="restart"/>
                  <w:vAlign w:val="center"/>
                </w:tcPr>
                <w:p w14:paraId="580CCED8">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1200</w:t>
                  </w:r>
                </w:p>
              </w:tc>
              <w:tc>
                <w:tcPr>
                  <w:tcW w:w="442" w:type="pct"/>
                  <w:vAlign w:val="center"/>
                </w:tcPr>
                <w:p w14:paraId="5E56EED2">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3CF14498">
                  <w:pPr>
                    <w:widowControl/>
                    <w:jc w:val="center"/>
                    <w:textAlignment w:val="center"/>
                    <w:rPr>
                      <w:bCs/>
                      <w:color w:val="auto"/>
                      <w:szCs w:val="21"/>
                      <w:highlight w:val="none"/>
                    </w:rPr>
                  </w:pPr>
                  <w:r>
                    <w:rPr>
                      <w:color w:val="auto"/>
                      <w:kern w:val="0"/>
                      <w:szCs w:val="21"/>
                      <w:highlight w:val="none"/>
                      <w:lang w:bidi="ar"/>
                    </w:rPr>
                    <w:t>500</w:t>
                  </w:r>
                </w:p>
              </w:tc>
              <w:tc>
                <w:tcPr>
                  <w:tcW w:w="711" w:type="dxa"/>
                  <w:vAlign w:val="center"/>
                </w:tcPr>
                <w:p w14:paraId="0B6A5F6D">
                  <w:pPr>
                    <w:widowControl/>
                    <w:jc w:val="center"/>
                    <w:textAlignment w:val="center"/>
                    <w:rPr>
                      <w:color w:val="auto"/>
                      <w:szCs w:val="21"/>
                      <w:highlight w:val="none"/>
                    </w:rPr>
                  </w:pPr>
                  <w:r>
                    <w:rPr>
                      <w:color w:val="auto"/>
                      <w:kern w:val="0"/>
                      <w:szCs w:val="21"/>
                      <w:highlight w:val="none"/>
                      <w:lang w:bidi="ar"/>
                    </w:rPr>
                    <w:t xml:space="preserve">0.6000 </w:t>
                  </w:r>
                </w:p>
              </w:tc>
              <w:tc>
                <w:tcPr>
                  <w:tcW w:w="395" w:type="pct"/>
                  <w:vMerge w:val="restart"/>
                  <w:vAlign w:val="center"/>
                </w:tcPr>
                <w:p w14:paraId="522327D2">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化粪池</w:t>
                  </w:r>
                </w:p>
              </w:tc>
              <w:tc>
                <w:tcPr>
                  <w:tcW w:w="243" w:type="pct"/>
                  <w:vMerge w:val="restart"/>
                  <w:vAlign w:val="center"/>
                </w:tcPr>
                <w:p w14:paraId="09594A57">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62AF7DCD">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1200</w:t>
                  </w:r>
                </w:p>
              </w:tc>
              <w:tc>
                <w:tcPr>
                  <w:tcW w:w="887" w:type="dxa"/>
                  <w:vAlign w:val="center"/>
                </w:tcPr>
                <w:p w14:paraId="172C790F">
                  <w:pPr>
                    <w:widowControl/>
                    <w:jc w:val="center"/>
                    <w:textAlignment w:val="center"/>
                    <w:rPr>
                      <w:color w:val="auto"/>
                      <w:szCs w:val="21"/>
                      <w:highlight w:val="none"/>
                    </w:rPr>
                  </w:pPr>
                  <w:r>
                    <w:rPr>
                      <w:color w:val="auto"/>
                      <w:kern w:val="0"/>
                      <w:szCs w:val="21"/>
                      <w:highlight w:val="none"/>
                      <w:lang w:bidi="ar"/>
                    </w:rPr>
                    <w:t>450</w:t>
                  </w:r>
                </w:p>
              </w:tc>
              <w:tc>
                <w:tcPr>
                  <w:tcW w:w="660" w:type="dxa"/>
                  <w:vAlign w:val="center"/>
                </w:tcPr>
                <w:p w14:paraId="599F6F40">
                  <w:pPr>
                    <w:widowControl/>
                    <w:jc w:val="center"/>
                    <w:textAlignment w:val="center"/>
                    <w:rPr>
                      <w:color w:val="auto"/>
                      <w:szCs w:val="21"/>
                      <w:highlight w:val="none"/>
                    </w:rPr>
                  </w:pPr>
                  <w:r>
                    <w:rPr>
                      <w:color w:val="auto"/>
                      <w:kern w:val="0"/>
                      <w:szCs w:val="21"/>
                      <w:highlight w:val="none"/>
                      <w:lang w:bidi="ar"/>
                    </w:rPr>
                    <w:t xml:space="preserve">0.5400 </w:t>
                  </w:r>
                </w:p>
              </w:tc>
              <w:tc>
                <w:tcPr>
                  <w:tcW w:w="355" w:type="pct"/>
                  <w:vAlign w:val="center"/>
                </w:tcPr>
                <w:p w14:paraId="7B02001A">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restart"/>
                  <w:vAlign w:val="center"/>
                </w:tcPr>
                <w:p w14:paraId="3CFD19BA">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接管海门市东洲水处理有限公司集中处理</w:t>
                  </w:r>
                </w:p>
              </w:tc>
            </w:tr>
            <w:tr w14:paraId="03705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28CB9864">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6C564D38">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05C2DC60">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7353A770">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4F77C98E">
                  <w:pPr>
                    <w:widowControl/>
                    <w:jc w:val="center"/>
                    <w:textAlignment w:val="center"/>
                    <w:rPr>
                      <w:bCs/>
                      <w:color w:val="auto"/>
                      <w:szCs w:val="21"/>
                      <w:highlight w:val="none"/>
                    </w:rPr>
                  </w:pPr>
                  <w:r>
                    <w:rPr>
                      <w:color w:val="auto"/>
                      <w:kern w:val="0"/>
                      <w:szCs w:val="21"/>
                      <w:highlight w:val="none"/>
                      <w:lang w:bidi="ar"/>
                    </w:rPr>
                    <w:t>400</w:t>
                  </w:r>
                </w:p>
              </w:tc>
              <w:tc>
                <w:tcPr>
                  <w:tcW w:w="711" w:type="dxa"/>
                  <w:vAlign w:val="center"/>
                </w:tcPr>
                <w:p w14:paraId="3F1B23C8">
                  <w:pPr>
                    <w:widowControl/>
                    <w:jc w:val="center"/>
                    <w:textAlignment w:val="center"/>
                    <w:rPr>
                      <w:color w:val="auto"/>
                      <w:szCs w:val="21"/>
                      <w:highlight w:val="none"/>
                    </w:rPr>
                  </w:pPr>
                  <w:r>
                    <w:rPr>
                      <w:color w:val="auto"/>
                      <w:kern w:val="0"/>
                      <w:szCs w:val="21"/>
                      <w:highlight w:val="none"/>
                      <w:lang w:bidi="ar"/>
                    </w:rPr>
                    <w:t xml:space="preserve">0.4800 </w:t>
                  </w:r>
                </w:p>
              </w:tc>
              <w:tc>
                <w:tcPr>
                  <w:tcW w:w="395" w:type="pct"/>
                  <w:vMerge w:val="continue"/>
                  <w:vAlign w:val="center"/>
                </w:tcPr>
                <w:p w14:paraId="7A60D21B">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151D96E5">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61524497">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29219131">
                  <w:pPr>
                    <w:widowControl/>
                    <w:jc w:val="center"/>
                    <w:textAlignment w:val="center"/>
                    <w:rPr>
                      <w:color w:val="auto"/>
                      <w:szCs w:val="21"/>
                      <w:highlight w:val="none"/>
                    </w:rPr>
                  </w:pPr>
                  <w:r>
                    <w:rPr>
                      <w:color w:val="auto"/>
                      <w:kern w:val="0"/>
                      <w:szCs w:val="21"/>
                      <w:highlight w:val="none"/>
                      <w:lang w:bidi="ar"/>
                    </w:rPr>
                    <w:t>360</w:t>
                  </w:r>
                </w:p>
              </w:tc>
              <w:tc>
                <w:tcPr>
                  <w:tcW w:w="660" w:type="dxa"/>
                  <w:vAlign w:val="center"/>
                </w:tcPr>
                <w:p w14:paraId="5F69C411">
                  <w:pPr>
                    <w:widowControl/>
                    <w:jc w:val="center"/>
                    <w:textAlignment w:val="center"/>
                    <w:rPr>
                      <w:color w:val="auto"/>
                      <w:szCs w:val="21"/>
                      <w:highlight w:val="none"/>
                    </w:rPr>
                  </w:pPr>
                  <w:r>
                    <w:rPr>
                      <w:color w:val="auto"/>
                      <w:kern w:val="0"/>
                      <w:szCs w:val="21"/>
                      <w:highlight w:val="none"/>
                      <w:lang w:bidi="ar"/>
                    </w:rPr>
                    <w:t xml:space="preserve">0.4320 </w:t>
                  </w:r>
                </w:p>
              </w:tc>
              <w:tc>
                <w:tcPr>
                  <w:tcW w:w="355" w:type="pct"/>
                  <w:vAlign w:val="center"/>
                </w:tcPr>
                <w:p w14:paraId="46F31027">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79150A9B">
                  <w:pPr>
                    <w:pStyle w:val="66"/>
                    <w:snapToGrid w:val="0"/>
                    <w:jc w:val="center"/>
                    <w:textAlignment w:val="auto"/>
                    <w:rPr>
                      <w:rFonts w:ascii="Times New Roman" w:hAnsi="Times New Roman" w:eastAsia="宋体"/>
                      <w:snapToGrid w:val="0"/>
                      <w:color w:val="auto"/>
                      <w:kern w:val="0"/>
                      <w:sz w:val="21"/>
                      <w:szCs w:val="21"/>
                      <w:highlight w:val="none"/>
                    </w:rPr>
                  </w:pPr>
                </w:p>
              </w:tc>
            </w:tr>
            <w:tr w14:paraId="21A15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2E44862A">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12A90995">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5D5156D">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34BA3C57">
                  <w:pPr>
                    <w:widowControl/>
                    <w:jc w:val="center"/>
                    <w:textAlignment w:val="center"/>
                    <w:rPr>
                      <w:color w:val="auto"/>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811" w:type="dxa"/>
                  <w:vAlign w:val="center"/>
                </w:tcPr>
                <w:p w14:paraId="23EA2B59">
                  <w:pPr>
                    <w:widowControl/>
                    <w:jc w:val="center"/>
                    <w:textAlignment w:val="center"/>
                    <w:rPr>
                      <w:bCs/>
                      <w:color w:val="auto"/>
                      <w:szCs w:val="21"/>
                      <w:highlight w:val="none"/>
                    </w:rPr>
                  </w:pPr>
                  <w:r>
                    <w:rPr>
                      <w:color w:val="auto"/>
                      <w:kern w:val="0"/>
                      <w:szCs w:val="21"/>
                      <w:highlight w:val="none"/>
                      <w:lang w:bidi="ar"/>
                    </w:rPr>
                    <w:t>35</w:t>
                  </w:r>
                </w:p>
              </w:tc>
              <w:tc>
                <w:tcPr>
                  <w:tcW w:w="711" w:type="dxa"/>
                  <w:vAlign w:val="center"/>
                </w:tcPr>
                <w:p w14:paraId="30C555E0">
                  <w:pPr>
                    <w:widowControl/>
                    <w:jc w:val="center"/>
                    <w:textAlignment w:val="center"/>
                    <w:rPr>
                      <w:color w:val="auto"/>
                      <w:szCs w:val="21"/>
                      <w:highlight w:val="none"/>
                    </w:rPr>
                  </w:pPr>
                  <w:r>
                    <w:rPr>
                      <w:color w:val="auto"/>
                      <w:kern w:val="0"/>
                      <w:szCs w:val="21"/>
                      <w:highlight w:val="none"/>
                      <w:lang w:bidi="ar"/>
                    </w:rPr>
                    <w:t xml:space="preserve">0.0420 </w:t>
                  </w:r>
                </w:p>
              </w:tc>
              <w:tc>
                <w:tcPr>
                  <w:tcW w:w="395" w:type="pct"/>
                  <w:vMerge w:val="continue"/>
                  <w:vAlign w:val="center"/>
                </w:tcPr>
                <w:p w14:paraId="79A61F59">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33F6D92E">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3E246A65">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47466B93">
                  <w:pPr>
                    <w:widowControl/>
                    <w:jc w:val="center"/>
                    <w:textAlignment w:val="center"/>
                    <w:rPr>
                      <w:color w:val="auto"/>
                      <w:szCs w:val="21"/>
                      <w:highlight w:val="none"/>
                    </w:rPr>
                  </w:pPr>
                  <w:r>
                    <w:rPr>
                      <w:color w:val="auto"/>
                      <w:kern w:val="0"/>
                      <w:szCs w:val="21"/>
                      <w:highlight w:val="none"/>
                      <w:lang w:bidi="ar"/>
                    </w:rPr>
                    <w:t>35</w:t>
                  </w:r>
                </w:p>
              </w:tc>
              <w:tc>
                <w:tcPr>
                  <w:tcW w:w="660" w:type="dxa"/>
                  <w:vAlign w:val="center"/>
                </w:tcPr>
                <w:p w14:paraId="0A9D7861">
                  <w:pPr>
                    <w:widowControl/>
                    <w:jc w:val="center"/>
                    <w:textAlignment w:val="center"/>
                    <w:rPr>
                      <w:color w:val="auto"/>
                      <w:szCs w:val="21"/>
                      <w:highlight w:val="none"/>
                    </w:rPr>
                  </w:pPr>
                  <w:r>
                    <w:rPr>
                      <w:color w:val="auto"/>
                      <w:kern w:val="0"/>
                      <w:szCs w:val="21"/>
                      <w:highlight w:val="none"/>
                      <w:lang w:bidi="ar"/>
                    </w:rPr>
                    <w:t xml:space="preserve">0.0420 </w:t>
                  </w:r>
                </w:p>
              </w:tc>
              <w:tc>
                <w:tcPr>
                  <w:tcW w:w="355" w:type="pct"/>
                  <w:vAlign w:val="center"/>
                </w:tcPr>
                <w:p w14:paraId="328044D5">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56CC3CED">
                  <w:pPr>
                    <w:pStyle w:val="66"/>
                    <w:snapToGrid w:val="0"/>
                    <w:jc w:val="center"/>
                    <w:textAlignment w:val="auto"/>
                    <w:rPr>
                      <w:rFonts w:ascii="Times New Roman" w:hAnsi="Times New Roman" w:eastAsia="宋体"/>
                      <w:snapToGrid w:val="0"/>
                      <w:color w:val="auto"/>
                      <w:kern w:val="0"/>
                      <w:sz w:val="21"/>
                      <w:szCs w:val="21"/>
                      <w:highlight w:val="none"/>
                    </w:rPr>
                  </w:pPr>
                </w:p>
              </w:tc>
            </w:tr>
            <w:tr w14:paraId="3C846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70653847">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51D37A05">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31AC18C3">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78B382B6">
                  <w:pPr>
                    <w:widowControl/>
                    <w:jc w:val="center"/>
                    <w:textAlignment w:val="center"/>
                    <w:rPr>
                      <w:color w:val="auto"/>
                      <w:szCs w:val="21"/>
                      <w:highlight w:val="none"/>
                    </w:rPr>
                  </w:pPr>
                  <w:r>
                    <w:rPr>
                      <w:color w:val="auto"/>
                      <w:kern w:val="0"/>
                      <w:szCs w:val="21"/>
                      <w:highlight w:val="none"/>
                    </w:rPr>
                    <w:t>TN</w:t>
                  </w:r>
                </w:p>
              </w:tc>
              <w:tc>
                <w:tcPr>
                  <w:tcW w:w="811" w:type="dxa"/>
                  <w:vAlign w:val="center"/>
                </w:tcPr>
                <w:p w14:paraId="11509A43">
                  <w:pPr>
                    <w:widowControl/>
                    <w:jc w:val="center"/>
                    <w:textAlignment w:val="center"/>
                    <w:rPr>
                      <w:bCs/>
                      <w:color w:val="auto"/>
                      <w:szCs w:val="21"/>
                      <w:highlight w:val="none"/>
                    </w:rPr>
                  </w:pPr>
                  <w:r>
                    <w:rPr>
                      <w:color w:val="auto"/>
                      <w:kern w:val="0"/>
                      <w:szCs w:val="21"/>
                      <w:highlight w:val="none"/>
                      <w:lang w:bidi="ar"/>
                    </w:rPr>
                    <w:t>45</w:t>
                  </w:r>
                </w:p>
              </w:tc>
              <w:tc>
                <w:tcPr>
                  <w:tcW w:w="711" w:type="dxa"/>
                  <w:vAlign w:val="center"/>
                </w:tcPr>
                <w:p w14:paraId="5DE7AAC8">
                  <w:pPr>
                    <w:widowControl/>
                    <w:jc w:val="center"/>
                    <w:textAlignment w:val="center"/>
                    <w:rPr>
                      <w:color w:val="auto"/>
                      <w:szCs w:val="21"/>
                      <w:highlight w:val="none"/>
                    </w:rPr>
                  </w:pPr>
                  <w:r>
                    <w:rPr>
                      <w:color w:val="auto"/>
                      <w:kern w:val="0"/>
                      <w:szCs w:val="21"/>
                      <w:highlight w:val="none"/>
                      <w:lang w:bidi="ar"/>
                    </w:rPr>
                    <w:t xml:space="preserve">0.0540 </w:t>
                  </w:r>
                </w:p>
              </w:tc>
              <w:tc>
                <w:tcPr>
                  <w:tcW w:w="395" w:type="pct"/>
                  <w:vMerge w:val="continue"/>
                  <w:vAlign w:val="center"/>
                </w:tcPr>
                <w:p w14:paraId="17E80D9C">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21C961AC">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55FFF861">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79F8EBA7">
                  <w:pPr>
                    <w:widowControl/>
                    <w:jc w:val="center"/>
                    <w:textAlignment w:val="center"/>
                    <w:rPr>
                      <w:color w:val="auto"/>
                      <w:szCs w:val="21"/>
                      <w:highlight w:val="none"/>
                    </w:rPr>
                  </w:pPr>
                  <w:r>
                    <w:rPr>
                      <w:color w:val="auto"/>
                      <w:kern w:val="0"/>
                      <w:szCs w:val="21"/>
                      <w:highlight w:val="none"/>
                      <w:lang w:bidi="ar"/>
                    </w:rPr>
                    <w:t>45</w:t>
                  </w:r>
                </w:p>
              </w:tc>
              <w:tc>
                <w:tcPr>
                  <w:tcW w:w="660" w:type="dxa"/>
                  <w:vAlign w:val="center"/>
                </w:tcPr>
                <w:p w14:paraId="0CB9896D">
                  <w:pPr>
                    <w:widowControl/>
                    <w:jc w:val="center"/>
                    <w:textAlignment w:val="center"/>
                    <w:rPr>
                      <w:color w:val="auto"/>
                      <w:szCs w:val="21"/>
                      <w:highlight w:val="none"/>
                    </w:rPr>
                  </w:pPr>
                  <w:r>
                    <w:rPr>
                      <w:color w:val="auto"/>
                      <w:kern w:val="0"/>
                      <w:szCs w:val="21"/>
                      <w:highlight w:val="none"/>
                      <w:lang w:bidi="ar"/>
                    </w:rPr>
                    <w:t xml:space="preserve">0.0540 </w:t>
                  </w:r>
                </w:p>
              </w:tc>
              <w:tc>
                <w:tcPr>
                  <w:tcW w:w="355" w:type="pct"/>
                  <w:vAlign w:val="center"/>
                </w:tcPr>
                <w:p w14:paraId="25BD3AFC">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5415476D">
                  <w:pPr>
                    <w:pStyle w:val="66"/>
                    <w:snapToGrid w:val="0"/>
                    <w:jc w:val="center"/>
                    <w:textAlignment w:val="auto"/>
                    <w:rPr>
                      <w:rFonts w:ascii="Times New Roman" w:hAnsi="Times New Roman" w:eastAsia="宋体"/>
                      <w:snapToGrid w:val="0"/>
                      <w:color w:val="auto"/>
                      <w:kern w:val="0"/>
                      <w:sz w:val="21"/>
                      <w:szCs w:val="21"/>
                      <w:highlight w:val="none"/>
                    </w:rPr>
                  </w:pPr>
                </w:p>
              </w:tc>
            </w:tr>
            <w:tr w14:paraId="678F6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1E829CBD">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631C213F">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65B4F63">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6800D26A">
                  <w:pPr>
                    <w:widowControl/>
                    <w:jc w:val="center"/>
                    <w:textAlignment w:val="center"/>
                    <w:rPr>
                      <w:color w:val="auto"/>
                      <w:szCs w:val="21"/>
                      <w:highlight w:val="none"/>
                    </w:rPr>
                  </w:pPr>
                  <w:r>
                    <w:rPr>
                      <w:color w:val="auto"/>
                      <w:kern w:val="0"/>
                      <w:szCs w:val="21"/>
                      <w:highlight w:val="none"/>
                    </w:rPr>
                    <w:t>TP</w:t>
                  </w:r>
                </w:p>
              </w:tc>
              <w:tc>
                <w:tcPr>
                  <w:tcW w:w="811" w:type="dxa"/>
                  <w:vAlign w:val="center"/>
                </w:tcPr>
                <w:p w14:paraId="00880F86">
                  <w:pPr>
                    <w:widowControl/>
                    <w:jc w:val="center"/>
                    <w:textAlignment w:val="center"/>
                    <w:rPr>
                      <w:bCs/>
                      <w:color w:val="auto"/>
                      <w:szCs w:val="21"/>
                      <w:highlight w:val="none"/>
                    </w:rPr>
                  </w:pPr>
                  <w:r>
                    <w:rPr>
                      <w:color w:val="auto"/>
                      <w:kern w:val="0"/>
                      <w:szCs w:val="21"/>
                      <w:highlight w:val="none"/>
                      <w:lang w:bidi="ar"/>
                    </w:rPr>
                    <w:t>5</w:t>
                  </w:r>
                </w:p>
              </w:tc>
              <w:tc>
                <w:tcPr>
                  <w:tcW w:w="711" w:type="dxa"/>
                  <w:vAlign w:val="center"/>
                </w:tcPr>
                <w:p w14:paraId="14822086">
                  <w:pPr>
                    <w:widowControl/>
                    <w:jc w:val="center"/>
                    <w:textAlignment w:val="center"/>
                    <w:rPr>
                      <w:color w:val="auto"/>
                      <w:szCs w:val="21"/>
                      <w:highlight w:val="none"/>
                    </w:rPr>
                  </w:pPr>
                  <w:r>
                    <w:rPr>
                      <w:color w:val="auto"/>
                      <w:kern w:val="0"/>
                      <w:szCs w:val="21"/>
                      <w:highlight w:val="none"/>
                      <w:lang w:bidi="ar"/>
                    </w:rPr>
                    <w:t xml:space="preserve">0.0060 </w:t>
                  </w:r>
                </w:p>
              </w:tc>
              <w:tc>
                <w:tcPr>
                  <w:tcW w:w="395" w:type="pct"/>
                  <w:vMerge w:val="continue"/>
                  <w:vAlign w:val="center"/>
                </w:tcPr>
                <w:p w14:paraId="0CBD087F">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440237A7">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1D6C37F0">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1068FC02">
                  <w:pPr>
                    <w:widowControl/>
                    <w:jc w:val="center"/>
                    <w:textAlignment w:val="center"/>
                    <w:rPr>
                      <w:color w:val="auto"/>
                      <w:szCs w:val="21"/>
                      <w:highlight w:val="none"/>
                    </w:rPr>
                  </w:pPr>
                  <w:r>
                    <w:rPr>
                      <w:color w:val="auto"/>
                      <w:kern w:val="0"/>
                      <w:szCs w:val="21"/>
                      <w:highlight w:val="none"/>
                      <w:lang w:bidi="ar"/>
                    </w:rPr>
                    <w:t>5</w:t>
                  </w:r>
                </w:p>
              </w:tc>
              <w:tc>
                <w:tcPr>
                  <w:tcW w:w="660" w:type="dxa"/>
                  <w:vAlign w:val="center"/>
                </w:tcPr>
                <w:p w14:paraId="3AF754F3">
                  <w:pPr>
                    <w:widowControl/>
                    <w:jc w:val="center"/>
                    <w:textAlignment w:val="center"/>
                    <w:rPr>
                      <w:color w:val="auto"/>
                      <w:szCs w:val="21"/>
                      <w:highlight w:val="none"/>
                    </w:rPr>
                  </w:pPr>
                  <w:r>
                    <w:rPr>
                      <w:color w:val="auto"/>
                      <w:kern w:val="0"/>
                      <w:szCs w:val="21"/>
                      <w:highlight w:val="none"/>
                      <w:lang w:bidi="ar"/>
                    </w:rPr>
                    <w:t xml:space="preserve">0.0060 </w:t>
                  </w:r>
                </w:p>
              </w:tc>
              <w:tc>
                <w:tcPr>
                  <w:tcW w:w="355" w:type="pct"/>
                  <w:vAlign w:val="center"/>
                </w:tcPr>
                <w:p w14:paraId="1494FD92">
                  <w:pPr>
                    <w:pStyle w:val="66"/>
                    <w:snapToGrid w:val="0"/>
                    <w:jc w:val="center"/>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74" w:type="pct"/>
                  <w:vMerge w:val="continue"/>
                  <w:vAlign w:val="center"/>
                </w:tcPr>
                <w:p w14:paraId="48654EF5">
                  <w:pPr>
                    <w:pStyle w:val="66"/>
                    <w:snapToGrid w:val="0"/>
                    <w:jc w:val="center"/>
                    <w:textAlignment w:val="auto"/>
                    <w:rPr>
                      <w:rFonts w:ascii="Times New Roman" w:hAnsi="Times New Roman" w:eastAsia="宋体"/>
                      <w:snapToGrid w:val="0"/>
                      <w:color w:val="auto"/>
                      <w:kern w:val="0"/>
                      <w:sz w:val="21"/>
                      <w:szCs w:val="21"/>
                      <w:highlight w:val="none"/>
                    </w:rPr>
                  </w:pPr>
                </w:p>
              </w:tc>
            </w:tr>
            <w:tr w14:paraId="166D5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642F46A3">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冷却塔</w:t>
                  </w:r>
                </w:p>
              </w:tc>
              <w:tc>
                <w:tcPr>
                  <w:tcW w:w="475" w:type="pct"/>
                  <w:vMerge w:val="restart"/>
                  <w:vAlign w:val="center"/>
                </w:tcPr>
                <w:p w14:paraId="50FD6A39">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强排水</w:t>
                  </w:r>
                </w:p>
              </w:tc>
              <w:tc>
                <w:tcPr>
                  <w:tcW w:w="293" w:type="pct"/>
                  <w:vMerge w:val="restart"/>
                  <w:vAlign w:val="center"/>
                </w:tcPr>
                <w:p w14:paraId="329EE39C">
                  <w:pPr>
                    <w:pStyle w:val="66"/>
                    <w:snapToGrid w:val="0"/>
                    <w:jc w:val="center"/>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600</w:t>
                  </w:r>
                </w:p>
              </w:tc>
              <w:tc>
                <w:tcPr>
                  <w:tcW w:w="442" w:type="pct"/>
                  <w:vAlign w:val="center"/>
                </w:tcPr>
                <w:p w14:paraId="6DAF3002">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2124D9BF">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199A6F4D">
                  <w:pPr>
                    <w:widowControl/>
                    <w:jc w:val="center"/>
                    <w:textAlignment w:val="center"/>
                    <w:rPr>
                      <w:color w:val="auto"/>
                      <w:szCs w:val="21"/>
                      <w:highlight w:val="none"/>
                    </w:rPr>
                  </w:pPr>
                  <w:r>
                    <w:rPr>
                      <w:color w:val="auto"/>
                      <w:kern w:val="0"/>
                      <w:szCs w:val="21"/>
                      <w:highlight w:val="none"/>
                      <w:lang w:bidi="ar"/>
                    </w:rPr>
                    <w:t xml:space="preserve">0.0240 </w:t>
                  </w:r>
                </w:p>
              </w:tc>
              <w:tc>
                <w:tcPr>
                  <w:tcW w:w="395" w:type="pct"/>
                  <w:vMerge w:val="restart"/>
                  <w:vAlign w:val="center"/>
                </w:tcPr>
                <w:p w14:paraId="254C897A">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243" w:type="pct"/>
                  <w:vMerge w:val="restart"/>
                  <w:vAlign w:val="center"/>
                </w:tcPr>
                <w:p w14:paraId="5FD367A1">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w:t>
                  </w:r>
                </w:p>
              </w:tc>
              <w:tc>
                <w:tcPr>
                  <w:tcW w:w="308" w:type="pct"/>
                  <w:vMerge w:val="restart"/>
                  <w:vAlign w:val="center"/>
                </w:tcPr>
                <w:p w14:paraId="3E638A87">
                  <w:pPr>
                    <w:pStyle w:val="66"/>
                    <w:snapToGrid w:val="0"/>
                    <w:jc w:val="center"/>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600</w:t>
                  </w:r>
                </w:p>
              </w:tc>
              <w:tc>
                <w:tcPr>
                  <w:tcW w:w="887" w:type="dxa"/>
                  <w:vAlign w:val="center"/>
                </w:tcPr>
                <w:p w14:paraId="32525AC8">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6516C2B9">
                  <w:pPr>
                    <w:widowControl/>
                    <w:jc w:val="center"/>
                    <w:textAlignment w:val="center"/>
                    <w:rPr>
                      <w:color w:val="auto"/>
                      <w:szCs w:val="21"/>
                      <w:highlight w:val="none"/>
                    </w:rPr>
                  </w:pPr>
                  <w:r>
                    <w:rPr>
                      <w:color w:val="auto"/>
                      <w:kern w:val="0"/>
                      <w:szCs w:val="21"/>
                      <w:highlight w:val="none"/>
                      <w:lang w:bidi="ar"/>
                    </w:rPr>
                    <w:t xml:space="preserve">0.0240 </w:t>
                  </w:r>
                </w:p>
              </w:tc>
              <w:tc>
                <w:tcPr>
                  <w:tcW w:w="355" w:type="pct"/>
                  <w:vAlign w:val="center"/>
                </w:tcPr>
                <w:p w14:paraId="1B422764">
                  <w:pPr>
                    <w:pStyle w:val="66"/>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374" w:type="pct"/>
                  <w:vMerge w:val="continue"/>
                  <w:vAlign w:val="center"/>
                </w:tcPr>
                <w:p w14:paraId="63FEB343">
                  <w:pPr>
                    <w:pStyle w:val="66"/>
                    <w:snapToGrid w:val="0"/>
                    <w:jc w:val="center"/>
                    <w:textAlignment w:val="auto"/>
                    <w:rPr>
                      <w:rFonts w:ascii="Times New Roman" w:hAnsi="Times New Roman" w:eastAsia="宋体"/>
                      <w:snapToGrid w:val="0"/>
                      <w:color w:val="auto"/>
                      <w:kern w:val="0"/>
                      <w:sz w:val="21"/>
                      <w:szCs w:val="21"/>
                      <w:highlight w:val="none"/>
                    </w:rPr>
                  </w:pPr>
                </w:p>
              </w:tc>
            </w:tr>
            <w:tr w14:paraId="29BBE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416283ED">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6CA434BC">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6ED0C209">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1EAF2E82">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5486A8D8">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2516B04A">
                  <w:pPr>
                    <w:widowControl/>
                    <w:jc w:val="center"/>
                    <w:textAlignment w:val="center"/>
                    <w:rPr>
                      <w:color w:val="auto"/>
                      <w:szCs w:val="21"/>
                      <w:highlight w:val="none"/>
                    </w:rPr>
                  </w:pPr>
                  <w:r>
                    <w:rPr>
                      <w:color w:val="auto"/>
                      <w:kern w:val="0"/>
                      <w:szCs w:val="21"/>
                      <w:highlight w:val="none"/>
                      <w:lang w:bidi="ar"/>
                    </w:rPr>
                    <w:t xml:space="preserve">0.0240 </w:t>
                  </w:r>
                </w:p>
              </w:tc>
              <w:tc>
                <w:tcPr>
                  <w:tcW w:w="395" w:type="pct"/>
                  <w:vMerge w:val="continue"/>
                  <w:vAlign w:val="center"/>
                </w:tcPr>
                <w:p w14:paraId="541A57B7">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7B49F35F">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6A6BF110">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4E364477">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08BC6CFB">
                  <w:pPr>
                    <w:widowControl/>
                    <w:jc w:val="center"/>
                    <w:textAlignment w:val="center"/>
                    <w:rPr>
                      <w:color w:val="auto"/>
                      <w:szCs w:val="21"/>
                      <w:highlight w:val="none"/>
                    </w:rPr>
                  </w:pPr>
                  <w:r>
                    <w:rPr>
                      <w:color w:val="auto"/>
                      <w:kern w:val="0"/>
                      <w:szCs w:val="21"/>
                      <w:highlight w:val="none"/>
                      <w:lang w:bidi="ar"/>
                    </w:rPr>
                    <w:t xml:space="preserve">0.0240 </w:t>
                  </w:r>
                </w:p>
              </w:tc>
              <w:tc>
                <w:tcPr>
                  <w:tcW w:w="355" w:type="pct"/>
                  <w:vAlign w:val="center"/>
                </w:tcPr>
                <w:p w14:paraId="08CD0A53">
                  <w:pPr>
                    <w:pStyle w:val="66"/>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374" w:type="pct"/>
                  <w:vMerge w:val="continue"/>
                  <w:vAlign w:val="center"/>
                </w:tcPr>
                <w:p w14:paraId="316C0A77">
                  <w:pPr>
                    <w:pStyle w:val="66"/>
                    <w:snapToGrid w:val="0"/>
                    <w:jc w:val="center"/>
                    <w:textAlignment w:val="auto"/>
                    <w:rPr>
                      <w:rFonts w:ascii="Times New Roman" w:hAnsi="Times New Roman" w:eastAsia="宋体"/>
                      <w:snapToGrid w:val="0"/>
                      <w:color w:val="auto"/>
                      <w:kern w:val="0"/>
                      <w:sz w:val="21"/>
                      <w:szCs w:val="21"/>
                      <w:highlight w:val="none"/>
                    </w:rPr>
                  </w:pPr>
                </w:p>
              </w:tc>
            </w:tr>
            <w:tr w14:paraId="680A0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10FB5D69">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纯水制备</w:t>
                  </w:r>
                </w:p>
              </w:tc>
              <w:tc>
                <w:tcPr>
                  <w:tcW w:w="475" w:type="pct"/>
                  <w:vMerge w:val="restart"/>
                  <w:vAlign w:val="center"/>
                </w:tcPr>
                <w:p w14:paraId="572194ED">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制备弃水</w:t>
                  </w:r>
                </w:p>
              </w:tc>
              <w:tc>
                <w:tcPr>
                  <w:tcW w:w="293" w:type="pct"/>
                  <w:vMerge w:val="restart"/>
                  <w:vAlign w:val="center"/>
                </w:tcPr>
                <w:p w14:paraId="0061A658">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240</w:t>
                  </w:r>
                </w:p>
              </w:tc>
              <w:tc>
                <w:tcPr>
                  <w:tcW w:w="442" w:type="pct"/>
                  <w:vAlign w:val="center"/>
                </w:tcPr>
                <w:p w14:paraId="7862903C">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2F8D0AFF">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1740D676">
                  <w:pPr>
                    <w:widowControl/>
                    <w:jc w:val="center"/>
                    <w:textAlignment w:val="center"/>
                    <w:rPr>
                      <w:color w:val="auto"/>
                      <w:szCs w:val="21"/>
                      <w:highlight w:val="none"/>
                    </w:rPr>
                  </w:pPr>
                  <w:r>
                    <w:rPr>
                      <w:color w:val="auto"/>
                      <w:kern w:val="0"/>
                      <w:szCs w:val="21"/>
                      <w:highlight w:val="none"/>
                      <w:lang w:bidi="ar"/>
                    </w:rPr>
                    <w:t xml:space="preserve">0.0096 </w:t>
                  </w:r>
                </w:p>
              </w:tc>
              <w:tc>
                <w:tcPr>
                  <w:tcW w:w="395" w:type="pct"/>
                  <w:vMerge w:val="restart"/>
                  <w:vAlign w:val="center"/>
                </w:tcPr>
                <w:p w14:paraId="7F406E4D">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243" w:type="pct"/>
                  <w:vMerge w:val="restart"/>
                  <w:vAlign w:val="center"/>
                </w:tcPr>
                <w:p w14:paraId="5451AB63">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1A51E43C">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240</w:t>
                  </w:r>
                </w:p>
              </w:tc>
              <w:tc>
                <w:tcPr>
                  <w:tcW w:w="887" w:type="dxa"/>
                  <w:vAlign w:val="center"/>
                </w:tcPr>
                <w:p w14:paraId="0B6655A0">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5DCB7C77">
                  <w:pPr>
                    <w:widowControl/>
                    <w:jc w:val="center"/>
                    <w:textAlignment w:val="center"/>
                    <w:rPr>
                      <w:color w:val="auto"/>
                      <w:szCs w:val="21"/>
                      <w:highlight w:val="none"/>
                    </w:rPr>
                  </w:pPr>
                  <w:r>
                    <w:rPr>
                      <w:color w:val="auto"/>
                      <w:kern w:val="0"/>
                      <w:szCs w:val="21"/>
                      <w:highlight w:val="none"/>
                      <w:lang w:bidi="ar"/>
                    </w:rPr>
                    <w:t xml:space="preserve">0.0096 </w:t>
                  </w:r>
                </w:p>
              </w:tc>
              <w:tc>
                <w:tcPr>
                  <w:tcW w:w="355" w:type="pct"/>
                  <w:vAlign w:val="center"/>
                </w:tcPr>
                <w:p w14:paraId="4F0415E9">
                  <w:pPr>
                    <w:snapToGrid w:val="0"/>
                    <w:jc w:val="center"/>
                    <w:rPr>
                      <w:color w:val="auto"/>
                      <w:szCs w:val="21"/>
                      <w:highlight w:val="none"/>
                    </w:rPr>
                  </w:pPr>
                  <w:r>
                    <w:rPr>
                      <w:color w:val="auto"/>
                      <w:szCs w:val="21"/>
                      <w:highlight w:val="none"/>
                    </w:rPr>
                    <w:t>-</w:t>
                  </w:r>
                </w:p>
              </w:tc>
              <w:tc>
                <w:tcPr>
                  <w:tcW w:w="374" w:type="pct"/>
                  <w:vMerge w:val="continue"/>
                  <w:vAlign w:val="center"/>
                </w:tcPr>
                <w:p w14:paraId="6E011ADC">
                  <w:pPr>
                    <w:pStyle w:val="66"/>
                    <w:snapToGrid w:val="0"/>
                    <w:jc w:val="center"/>
                    <w:textAlignment w:val="auto"/>
                    <w:rPr>
                      <w:rFonts w:ascii="Times New Roman" w:hAnsi="Times New Roman" w:eastAsia="宋体"/>
                      <w:snapToGrid w:val="0"/>
                      <w:color w:val="auto"/>
                      <w:kern w:val="0"/>
                      <w:sz w:val="21"/>
                      <w:szCs w:val="21"/>
                      <w:highlight w:val="none"/>
                    </w:rPr>
                  </w:pPr>
                </w:p>
              </w:tc>
            </w:tr>
            <w:tr w14:paraId="2D9CE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3F956B37">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2F4B074F">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BF48CFA">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4D257597">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56EA21AB">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74C7DA9A">
                  <w:pPr>
                    <w:widowControl/>
                    <w:jc w:val="center"/>
                    <w:textAlignment w:val="center"/>
                    <w:rPr>
                      <w:color w:val="auto"/>
                      <w:szCs w:val="21"/>
                      <w:highlight w:val="none"/>
                    </w:rPr>
                  </w:pPr>
                  <w:r>
                    <w:rPr>
                      <w:color w:val="auto"/>
                      <w:kern w:val="0"/>
                      <w:szCs w:val="21"/>
                      <w:highlight w:val="none"/>
                      <w:lang w:bidi="ar"/>
                    </w:rPr>
                    <w:t xml:space="preserve">0.0096 </w:t>
                  </w:r>
                </w:p>
              </w:tc>
              <w:tc>
                <w:tcPr>
                  <w:tcW w:w="395" w:type="pct"/>
                  <w:vMerge w:val="continue"/>
                  <w:vAlign w:val="center"/>
                </w:tcPr>
                <w:p w14:paraId="48C2DB3F">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3E230586">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77172994">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4CC69AAD">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41E337F5">
                  <w:pPr>
                    <w:widowControl/>
                    <w:jc w:val="center"/>
                    <w:textAlignment w:val="center"/>
                    <w:rPr>
                      <w:color w:val="auto"/>
                      <w:szCs w:val="21"/>
                      <w:highlight w:val="none"/>
                    </w:rPr>
                  </w:pPr>
                  <w:r>
                    <w:rPr>
                      <w:color w:val="auto"/>
                      <w:kern w:val="0"/>
                      <w:szCs w:val="21"/>
                      <w:highlight w:val="none"/>
                      <w:lang w:bidi="ar"/>
                    </w:rPr>
                    <w:t xml:space="preserve">0.0096 </w:t>
                  </w:r>
                </w:p>
              </w:tc>
              <w:tc>
                <w:tcPr>
                  <w:tcW w:w="355" w:type="pct"/>
                  <w:vAlign w:val="center"/>
                </w:tcPr>
                <w:p w14:paraId="0B778F12">
                  <w:pPr>
                    <w:snapToGrid w:val="0"/>
                    <w:jc w:val="center"/>
                    <w:rPr>
                      <w:color w:val="auto"/>
                      <w:szCs w:val="21"/>
                      <w:highlight w:val="none"/>
                    </w:rPr>
                  </w:pPr>
                  <w:r>
                    <w:rPr>
                      <w:color w:val="auto"/>
                      <w:szCs w:val="21"/>
                      <w:highlight w:val="none"/>
                    </w:rPr>
                    <w:t>-</w:t>
                  </w:r>
                </w:p>
              </w:tc>
              <w:tc>
                <w:tcPr>
                  <w:tcW w:w="374" w:type="pct"/>
                  <w:vMerge w:val="continue"/>
                  <w:vAlign w:val="center"/>
                </w:tcPr>
                <w:p w14:paraId="58420D6F">
                  <w:pPr>
                    <w:pStyle w:val="66"/>
                    <w:snapToGrid w:val="0"/>
                    <w:jc w:val="center"/>
                    <w:textAlignment w:val="auto"/>
                    <w:rPr>
                      <w:rFonts w:ascii="Times New Roman" w:hAnsi="Times New Roman" w:eastAsia="宋体"/>
                      <w:snapToGrid w:val="0"/>
                      <w:color w:val="auto"/>
                      <w:kern w:val="0"/>
                      <w:sz w:val="21"/>
                      <w:szCs w:val="21"/>
                      <w:highlight w:val="none"/>
                    </w:rPr>
                  </w:pPr>
                </w:p>
              </w:tc>
            </w:tr>
            <w:tr w14:paraId="1F0BF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7D4958A8">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初期雨水收集</w:t>
                  </w:r>
                </w:p>
              </w:tc>
              <w:tc>
                <w:tcPr>
                  <w:tcW w:w="475" w:type="pct"/>
                  <w:vMerge w:val="restart"/>
                  <w:vAlign w:val="center"/>
                </w:tcPr>
                <w:p w14:paraId="4F15E2C1">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初期雨水</w:t>
                  </w:r>
                </w:p>
              </w:tc>
              <w:tc>
                <w:tcPr>
                  <w:tcW w:w="293" w:type="pct"/>
                  <w:vMerge w:val="restart"/>
                  <w:vAlign w:val="center"/>
                </w:tcPr>
                <w:p w14:paraId="3FF0E4DB">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1546</w:t>
                  </w:r>
                </w:p>
              </w:tc>
              <w:tc>
                <w:tcPr>
                  <w:tcW w:w="442" w:type="pct"/>
                  <w:vAlign w:val="center"/>
                </w:tcPr>
                <w:p w14:paraId="35B64681">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2EEF71F7">
                  <w:pPr>
                    <w:widowControl/>
                    <w:jc w:val="center"/>
                    <w:textAlignment w:val="center"/>
                    <w:rPr>
                      <w:bCs/>
                      <w:color w:val="auto"/>
                      <w:szCs w:val="21"/>
                      <w:highlight w:val="none"/>
                    </w:rPr>
                  </w:pPr>
                  <w:r>
                    <w:rPr>
                      <w:color w:val="auto"/>
                      <w:kern w:val="0"/>
                      <w:szCs w:val="21"/>
                      <w:highlight w:val="none"/>
                      <w:lang w:bidi="ar"/>
                    </w:rPr>
                    <w:t>40</w:t>
                  </w:r>
                </w:p>
              </w:tc>
              <w:tc>
                <w:tcPr>
                  <w:tcW w:w="711" w:type="dxa"/>
                  <w:vAlign w:val="center"/>
                </w:tcPr>
                <w:p w14:paraId="23C83FA4">
                  <w:pPr>
                    <w:widowControl/>
                    <w:jc w:val="center"/>
                    <w:textAlignment w:val="center"/>
                    <w:rPr>
                      <w:color w:val="auto"/>
                      <w:szCs w:val="21"/>
                      <w:highlight w:val="none"/>
                    </w:rPr>
                  </w:pPr>
                  <w:r>
                    <w:rPr>
                      <w:color w:val="auto"/>
                      <w:kern w:val="0"/>
                      <w:szCs w:val="21"/>
                      <w:highlight w:val="none"/>
                      <w:lang w:bidi="ar"/>
                    </w:rPr>
                    <w:t xml:space="preserve">0.0618 </w:t>
                  </w:r>
                </w:p>
              </w:tc>
              <w:tc>
                <w:tcPr>
                  <w:tcW w:w="395" w:type="pct"/>
                  <w:vMerge w:val="restart"/>
                  <w:vAlign w:val="center"/>
                </w:tcPr>
                <w:p w14:paraId="0B4E7A56">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沉淀池</w:t>
                  </w:r>
                </w:p>
              </w:tc>
              <w:tc>
                <w:tcPr>
                  <w:tcW w:w="243" w:type="pct"/>
                  <w:vMerge w:val="restart"/>
                  <w:vAlign w:val="center"/>
                </w:tcPr>
                <w:p w14:paraId="06BB309F">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5711C664">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1546</w:t>
                  </w:r>
                </w:p>
              </w:tc>
              <w:tc>
                <w:tcPr>
                  <w:tcW w:w="887" w:type="dxa"/>
                  <w:vAlign w:val="center"/>
                </w:tcPr>
                <w:p w14:paraId="7D3D6853">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6DB7E1DF">
                  <w:pPr>
                    <w:widowControl/>
                    <w:jc w:val="center"/>
                    <w:textAlignment w:val="center"/>
                    <w:rPr>
                      <w:color w:val="auto"/>
                      <w:szCs w:val="21"/>
                      <w:highlight w:val="none"/>
                    </w:rPr>
                  </w:pPr>
                  <w:r>
                    <w:rPr>
                      <w:color w:val="auto"/>
                      <w:kern w:val="0"/>
                      <w:szCs w:val="21"/>
                      <w:highlight w:val="none"/>
                      <w:lang w:bidi="ar"/>
                    </w:rPr>
                    <w:t xml:space="preserve">0.0618 </w:t>
                  </w:r>
                </w:p>
              </w:tc>
              <w:tc>
                <w:tcPr>
                  <w:tcW w:w="355" w:type="pct"/>
                  <w:vAlign w:val="center"/>
                </w:tcPr>
                <w:p w14:paraId="397FB5D4">
                  <w:pPr>
                    <w:snapToGrid w:val="0"/>
                    <w:jc w:val="center"/>
                    <w:rPr>
                      <w:color w:val="auto"/>
                      <w:szCs w:val="21"/>
                      <w:highlight w:val="none"/>
                    </w:rPr>
                  </w:pPr>
                  <w:r>
                    <w:rPr>
                      <w:color w:val="auto"/>
                      <w:szCs w:val="21"/>
                      <w:highlight w:val="none"/>
                    </w:rPr>
                    <w:t>-</w:t>
                  </w:r>
                </w:p>
              </w:tc>
              <w:tc>
                <w:tcPr>
                  <w:tcW w:w="374" w:type="pct"/>
                  <w:vMerge w:val="continue"/>
                  <w:vAlign w:val="center"/>
                </w:tcPr>
                <w:p w14:paraId="7704BDFF">
                  <w:pPr>
                    <w:pStyle w:val="66"/>
                    <w:snapToGrid w:val="0"/>
                    <w:jc w:val="center"/>
                    <w:textAlignment w:val="auto"/>
                    <w:rPr>
                      <w:rFonts w:ascii="Times New Roman" w:hAnsi="Times New Roman" w:eastAsia="宋体"/>
                      <w:snapToGrid w:val="0"/>
                      <w:color w:val="auto"/>
                      <w:kern w:val="0"/>
                      <w:sz w:val="21"/>
                      <w:szCs w:val="21"/>
                      <w:highlight w:val="none"/>
                    </w:rPr>
                  </w:pPr>
                </w:p>
              </w:tc>
            </w:tr>
            <w:tr w14:paraId="0D879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04F79DBC">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6392C1FC">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1AA3CCE0">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0E0945CD">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254AAB00">
                  <w:pPr>
                    <w:widowControl/>
                    <w:jc w:val="center"/>
                    <w:textAlignment w:val="center"/>
                    <w:rPr>
                      <w:bCs/>
                      <w:color w:val="auto"/>
                      <w:szCs w:val="21"/>
                      <w:highlight w:val="none"/>
                    </w:rPr>
                  </w:pPr>
                  <w:r>
                    <w:rPr>
                      <w:color w:val="auto"/>
                      <w:kern w:val="0"/>
                      <w:szCs w:val="21"/>
                      <w:highlight w:val="none"/>
                      <w:lang w:bidi="ar"/>
                    </w:rPr>
                    <w:t>80</w:t>
                  </w:r>
                </w:p>
              </w:tc>
              <w:tc>
                <w:tcPr>
                  <w:tcW w:w="711" w:type="dxa"/>
                  <w:vAlign w:val="center"/>
                </w:tcPr>
                <w:p w14:paraId="011D1A69">
                  <w:pPr>
                    <w:widowControl/>
                    <w:jc w:val="center"/>
                    <w:textAlignment w:val="center"/>
                    <w:rPr>
                      <w:color w:val="auto"/>
                      <w:szCs w:val="21"/>
                      <w:highlight w:val="none"/>
                    </w:rPr>
                  </w:pPr>
                  <w:r>
                    <w:rPr>
                      <w:color w:val="auto"/>
                      <w:kern w:val="0"/>
                      <w:szCs w:val="21"/>
                      <w:highlight w:val="none"/>
                      <w:lang w:bidi="ar"/>
                    </w:rPr>
                    <w:t xml:space="preserve">0.1237 </w:t>
                  </w:r>
                </w:p>
              </w:tc>
              <w:tc>
                <w:tcPr>
                  <w:tcW w:w="395" w:type="pct"/>
                  <w:vMerge w:val="continue"/>
                  <w:vAlign w:val="center"/>
                </w:tcPr>
                <w:p w14:paraId="62AB23E6">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724A60AF">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1CDA890E">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7620AD0B">
                  <w:pPr>
                    <w:widowControl/>
                    <w:jc w:val="center"/>
                    <w:textAlignment w:val="center"/>
                    <w:rPr>
                      <w:bCs/>
                      <w:color w:val="auto"/>
                      <w:szCs w:val="21"/>
                      <w:highlight w:val="none"/>
                    </w:rPr>
                  </w:pPr>
                  <w:r>
                    <w:rPr>
                      <w:color w:val="auto"/>
                      <w:kern w:val="0"/>
                      <w:szCs w:val="21"/>
                      <w:highlight w:val="none"/>
                      <w:lang w:bidi="ar"/>
                    </w:rPr>
                    <w:t>40</w:t>
                  </w:r>
                </w:p>
              </w:tc>
              <w:tc>
                <w:tcPr>
                  <w:tcW w:w="660" w:type="dxa"/>
                  <w:vAlign w:val="center"/>
                </w:tcPr>
                <w:p w14:paraId="167C8B95">
                  <w:pPr>
                    <w:widowControl/>
                    <w:jc w:val="center"/>
                    <w:textAlignment w:val="center"/>
                    <w:rPr>
                      <w:color w:val="auto"/>
                      <w:szCs w:val="21"/>
                      <w:highlight w:val="none"/>
                    </w:rPr>
                  </w:pPr>
                  <w:r>
                    <w:rPr>
                      <w:color w:val="auto"/>
                      <w:kern w:val="0"/>
                      <w:szCs w:val="21"/>
                      <w:highlight w:val="none"/>
                      <w:lang w:bidi="ar"/>
                    </w:rPr>
                    <w:t xml:space="preserve">0.0618 </w:t>
                  </w:r>
                </w:p>
              </w:tc>
              <w:tc>
                <w:tcPr>
                  <w:tcW w:w="355" w:type="pct"/>
                  <w:vAlign w:val="center"/>
                </w:tcPr>
                <w:p w14:paraId="1B3DE022">
                  <w:pPr>
                    <w:snapToGrid w:val="0"/>
                    <w:jc w:val="center"/>
                    <w:rPr>
                      <w:color w:val="auto"/>
                      <w:szCs w:val="21"/>
                      <w:highlight w:val="none"/>
                    </w:rPr>
                  </w:pPr>
                  <w:r>
                    <w:rPr>
                      <w:color w:val="auto"/>
                      <w:szCs w:val="21"/>
                      <w:highlight w:val="none"/>
                    </w:rPr>
                    <w:t>-</w:t>
                  </w:r>
                </w:p>
              </w:tc>
              <w:tc>
                <w:tcPr>
                  <w:tcW w:w="374" w:type="pct"/>
                  <w:vMerge w:val="continue"/>
                  <w:vAlign w:val="center"/>
                </w:tcPr>
                <w:p w14:paraId="49435E1F">
                  <w:pPr>
                    <w:pStyle w:val="66"/>
                    <w:snapToGrid w:val="0"/>
                    <w:jc w:val="center"/>
                    <w:textAlignment w:val="auto"/>
                    <w:rPr>
                      <w:rFonts w:ascii="Times New Roman" w:hAnsi="Times New Roman" w:eastAsia="宋体"/>
                      <w:snapToGrid w:val="0"/>
                      <w:color w:val="auto"/>
                      <w:kern w:val="0"/>
                      <w:sz w:val="21"/>
                      <w:szCs w:val="21"/>
                      <w:highlight w:val="none"/>
                    </w:rPr>
                  </w:pPr>
                </w:p>
              </w:tc>
            </w:tr>
            <w:tr w14:paraId="4EE77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restart"/>
                  <w:vAlign w:val="center"/>
                </w:tcPr>
                <w:p w14:paraId="5EAE0CF6">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合计</w:t>
                  </w:r>
                </w:p>
              </w:tc>
              <w:tc>
                <w:tcPr>
                  <w:tcW w:w="475" w:type="pct"/>
                  <w:vMerge w:val="restart"/>
                  <w:vAlign w:val="center"/>
                </w:tcPr>
                <w:p w14:paraId="70D80431">
                  <w:pPr>
                    <w:pStyle w:val="66"/>
                    <w:snapToGrid w:val="0"/>
                    <w:jc w:val="center"/>
                    <w:rPr>
                      <w:rFonts w:ascii="Times New Roman" w:hAnsi="Times New Roman" w:eastAsia="宋体"/>
                      <w:snapToGrid w:val="0"/>
                      <w:color w:val="auto"/>
                      <w:kern w:val="0"/>
                      <w:sz w:val="21"/>
                      <w:szCs w:val="21"/>
                      <w:highlight w:val="none"/>
                    </w:rPr>
                  </w:pPr>
                  <w:r>
                    <w:rPr>
                      <w:rFonts w:ascii="Times New Roman" w:hAnsi="宋体" w:eastAsia="宋体"/>
                      <w:snapToGrid w:val="0"/>
                      <w:color w:val="auto"/>
                      <w:kern w:val="0"/>
                      <w:sz w:val="21"/>
                      <w:szCs w:val="21"/>
                      <w:highlight w:val="none"/>
                    </w:rPr>
                    <w:t>混合废水</w:t>
                  </w:r>
                </w:p>
              </w:tc>
              <w:tc>
                <w:tcPr>
                  <w:tcW w:w="293" w:type="pct"/>
                  <w:vMerge w:val="restart"/>
                  <w:vAlign w:val="center"/>
                </w:tcPr>
                <w:p w14:paraId="5699191B">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3586</w:t>
                  </w:r>
                </w:p>
              </w:tc>
              <w:tc>
                <w:tcPr>
                  <w:tcW w:w="442" w:type="pct"/>
                  <w:vAlign w:val="center"/>
                </w:tcPr>
                <w:p w14:paraId="7738DC34">
                  <w:pPr>
                    <w:widowControl/>
                    <w:jc w:val="center"/>
                    <w:textAlignment w:val="center"/>
                    <w:rPr>
                      <w:color w:val="auto"/>
                      <w:szCs w:val="21"/>
                      <w:highlight w:val="none"/>
                    </w:rPr>
                  </w:pPr>
                  <w:r>
                    <w:rPr>
                      <w:color w:val="auto"/>
                      <w:kern w:val="0"/>
                      <w:szCs w:val="21"/>
                      <w:highlight w:val="none"/>
                    </w:rPr>
                    <w:t>COD</w:t>
                  </w:r>
                </w:p>
              </w:tc>
              <w:tc>
                <w:tcPr>
                  <w:tcW w:w="811" w:type="dxa"/>
                  <w:vAlign w:val="center"/>
                </w:tcPr>
                <w:p w14:paraId="3DD187AE">
                  <w:pPr>
                    <w:widowControl/>
                    <w:jc w:val="center"/>
                    <w:textAlignment w:val="center"/>
                    <w:rPr>
                      <w:bCs/>
                      <w:color w:val="auto"/>
                      <w:szCs w:val="21"/>
                      <w:highlight w:val="none"/>
                    </w:rPr>
                  </w:pPr>
                  <w:r>
                    <w:rPr>
                      <w:color w:val="auto"/>
                      <w:kern w:val="0"/>
                      <w:szCs w:val="21"/>
                      <w:highlight w:val="none"/>
                      <w:lang w:bidi="ar"/>
                    </w:rPr>
                    <w:t xml:space="preserve">193.9320 </w:t>
                  </w:r>
                </w:p>
              </w:tc>
              <w:tc>
                <w:tcPr>
                  <w:tcW w:w="711" w:type="dxa"/>
                  <w:vAlign w:val="center"/>
                </w:tcPr>
                <w:p w14:paraId="7C73FD14">
                  <w:pPr>
                    <w:widowControl/>
                    <w:jc w:val="center"/>
                    <w:textAlignment w:val="center"/>
                    <w:rPr>
                      <w:color w:val="auto"/>
                      <w:szCs w:val="21"/>
                      <w:highlight w:val="none"/>
                    </w:rPr>
                  </w:pPr>
                  <w:r>
                    <w:rPr>
                      <w:color w:val="auto"/>
                      <w:kern w:val="0"/>
                      <w:szCs w:val="21"/>
                      <w:highlight w:val="none"/>
                      <w:lang w:bidi="ar"/>
                    </w:rPr>
                    <w:t xml:space="preserve">0.6954 </w:t>
                  </w:r>
                </w:p>
              </w:tc>
              <w:tc>
                <w:tcPr>
                  <w:tcW w:w="395" w:type="pct"/>
                  <w:vMerge w:val="restart"/>
                  <w:vAlign w:val="center"/>
                </w:tcPr>
                <w:p w14:paraId="39638F9A">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243" w:type="pct"/>
                  <w:vMerge w:val="restart"/>
                  <w:vAlign w:val="center"/>
                </w:tcPr>
                <w:p w14:paraId="650EA9DA">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w:t>
                  </w:r>
                </w:p>
              </w:tc>
              <w:tc>
                <w:tcPr>
                  <w:tcW w:w="308" w:type="pct"/>
                  <w:vMerge w:val="restart"/>
                  <w:vAlign w:val="center"/>
                </w:tcPr>
                <w:p w14:paraId="59445791">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Times New Roman" w:eastAsia="宋体"/>
                      <w:snapToGrid w:val="0"/>
                      <w:color w:val="auto"/>
                      <w:kern w:val="0"/>
                      <w:sz w:val="21"/>
                      <w:szCs w:val="21"/>
                      <w:highlight w:val="none"/>
                    </w:rPr>
                    <w:t>3586</w:t>
                  </w:r>
                </w:p>
              </w:tc>
              <w:tc>
                <w:tcPr>
                  <w:tcW w:w="887" w:type="dxa"/>
                  <w:vAlign w:val="center"/>
                </w:tcPr>
                <w:p w14:paraId="0C6DC3D7">
                  <w:pPr>
                    <w:widowControl/>
                    <w:jc w:val="center"/>
                    <w:textAlignment w:val="center"/>
                    <w:rPr>
                      <w:color w:val="auto"/>
                      <w:szCs w:val="21"/>
                      <w:highlight w:val="none"/>
                    </w:rPr>
                  </w:pPr>
                  <w:r>
                    <w:rPr>
                      <w:color w:val="auto"/>
                      <w:kern w:val="0"/>
                      <w:szCs w:val="21"/>
                      <w:highlight w:val="none"/>
                      <w:lang w:bidi="ar"/>
                    </w:rPr>
                    <w:t xml:space="preserve">177.2002 </w:t>
                  </w:r>
                </w:p>
              </w:tc>
              <w:tc>
                <w:tcPr>
                  <w:tcW w:w="660" w:type="dxa"/>
                  <w:vAlign w:val="center"/>
                </w:tcPr>
                <w:p w14:paraId="50848CC1">
                  <w:pPr>
                    <w:widowControl/>
                    <w:jc w:val="center"/>
                    <w:textAlignment w:val="center"/>
                    <w:rPr>
                      <w:color w:val="auto"/>
                      <w:kern w:val="0"/>
                      <w:szCs w:val="21"/>
                      <w:highlight w:val="none"/>
                    </w:rPr>
                  </w:pPr>
                  <w:r>
                    <w:rPr>
                      <w:color w:val="auto"/>
                      <w:kern w:val="0"/>
                      <w:szCs w:val="21"/>
                      <w:highlight w:val="none"/>
                      <w:lang w:bidi="ar"/>
                    </w:rPr>
                    <w:t xml:space="preserve">0.6354 </w:t>
                  </w:r>
                </w:p>
              </w:tc>
              <w:tc>
                <w:tcPr>
                  <w:tcW w:w="355" w:type="pct"/>
                  <w:vAlign w:val="center"/>
                </w:tcPr>
                <w:p w14:paraId="7A205CE7">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500</w:t>
                  </w:r>
                </w:p>
              </w:tc>
              <w:tc>
                <w:tcPr>
                  <w:tcW w:w="374" w:type="pct"/>
                  <w:vMerge w:val="restart"/>
                  <w:vAlign w:val="center"/>
                </w:tcPr>
                <w:p w14:paraId="2EEA3F94">
                  <w:pPr>
                    <w:pStyle w:val="66"/>
                    <w:snapToGrid w:val="0"/>
                    <w:jc w:val="center"/>
                    <w:textAlignment w:val="auto"/>
                    <w:rPr>
                      <w:rFonts w:ascii="Times New Roman" w:hAnsi="Times New Roman" w:eastAsia="宋体"/>
                      <w:snapToGrid w:val="0"/>
                      <w:color w:val="auto"/>
                      <w:kern w:val="0"/>
                      <w:sz w:val="21"/>
                      <w:szCs w:val="21"/>
                      <w:highlight w:val="none"/>
                    </w:rPr>
                  </w:pPr>
                  <w:r>
                    <w:rPr>
                      <w:rFonts w:hint="eastAsia" w:ascii="Times New Roman" w:hAnsi="宋体" w:eastAsia="宋体"/>
                      <w:snapToGrid w:val="0"/>
                      <w:color w:val="auto"/>
                      <w:kern w:val="0"/>
                      <w:sz w:val="21"/>
                      <w:szCs w:val="21"/>
                      <w:highlight w:val="none"/>
                    </w:rPr>
                    <w:t>接管</w:t>
                  </w:r>
                  <w:r>
                    <w:rPr>
                      <w:rFonts w:ascii="Times New Roman" w:hAnsi="宋体" w:eastAsia="宋体"/>
                      <w:snapToGrid w:val="0"/>
                      <w:color w:val="auto"/>
                      <w:kern w:val="0"/>
                      <w:sz w:val="21"/>
                      <w:szCs w:val="21"/>
                      <w:highlight w:val="none"/>
                    </w:rPr>
                    <w:t>东洲水处理有限公司</w:t>
                  </w:r>
                </w:p>
              </w:tc>
            </w:tr>
            <w:tr w14:paraId="3F3A7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610B3101">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79943D1E">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5D547F2B">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116F2302">
                  <w:pPr>
                    <w:widowControl/>
                    <w:jc w:val="center"/>
                    <w:textAlignment w:val="center"/>
                    <w:rPr>
                      <w:color w:val="auto"/>
                      <w:szCs w:val="21"/>
                      <w:highlight w:val="none"/>
                    </w:rPr>
                  </w:pPr>
                  <w:r>
                    <w:rPr>
                      <w:color w:val="auto"/>
                      <w:kern w:val="0"/>
                      <w:szCs w:val="21"/>
                      <w:highlight w:val="none"/>
                    </w:rPr>
                    <w:t>SS</w:t>
                  </w:r>
                </w:p>
              </w:tc>
              <w:tc>
                <w:tcPr>
                  <w:tcW w:w="811" w:type="dxa"/>
                  <w:vAlign w:val="center"/>
                </w:tcPr>
                <w:p w14:paraId="4C7D35A5">
                  <w:pPr>
                    <w:widowControl/>
                    <w:jc w:val="center"/>
                    <w:textAlignment w:val="center"/>
                    <w:rPr>
                      <w:bCs/>
                      <w:color w:val="auto"/>
                      <w:szCs w:val="21"/>
                      <w:highlight w:val="none"/>
                    </w:rPr>
                  </w:pPr>
                  <w:r>
                    <w:rPr>
                      <w:color w:val="auto"/>
                      <w:kern w:val="0"/>
                      <w:szCs w:val="21"/>
                      <w:highlight w:val="none"/>
                      <w:lang w:bidi="ar"/>
                    </w:rPr>
                    <w:t xml:space="preserve">177.7133 </w:t>
                  </w:r>
                </w:p>
              </w:tc>
              <w:tc>
                <w:tcPr>
                  <w:tcW w:w="711" w:type="dxa"/>
                  <w:vAlign w:val="center"/>
                </w:tcPr>
                <w:p w14:paraId="64C6A103">
                  <w:pPr>
                    <w:widowControl/>
                    <w:jc w:val="center"/>
                    <w:textAlignment w:val="center"/>
                    <w:rPr>
                      <w:color w:val="auto"/>
                      <w:szCs w:val="21"/>
                      <w:highlight w:val="none"/>
                    </w:rPr>
                  </w:pPr>
                  <w:r>
                    <w:rPr>
                      <w:color w:val="auto"/>
                      <w:kern w:val="0"/>
                      <w:szCs w:val="21"/>
                      <w:highlight w:val="none"/>
                      <w:lang w:bidi="ar"/>
                    </w:rPr>
                    <w:t xml:space="preserve">0.6373 </w:t>
                  </w:r>
                </w:p>
              </w:tc>
              <w:tc>
                <w:tcPr>
                  <w:tcW w:w="395" w:type="pct"/>
                  <w:vMerge w:val="continue"/>
                  <w:vAlign w:val="center"/>
                </w:tcPr>
                <w:p w14:paraId="3498B40B">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4F44F4A1">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4667502B">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0295E8CE">
                  <w:pPr>
                    <w:widowControl/>
                    <w:jc w:val="center"/>
                    <w:textAlignment w:val="center"/>
                    <w:rPr>
                      <w:color w:val="auto"/>
                      <w:szCs w:val="21"/>
                      <w:highlight w:val="none"/>
                    </w:rPr>
                  </w:pPr>
                  <w:r>
                    <w:rPr>
                      <w:color w:val="auto"/>
                      <w:kern w:val="0"/>
                      <w:szCs w:val="21"/>
                      <w:highlight w:val="none"/>
                      <w:lang w:bidi="ar"/>
                    </w:rPr>
                    <w:t xml:space="preserve">147.0831 </w:t>
                  </w:r>
                </w:p>
              </w:tc>
              <w:tc>
                <w:tcPr>
                  <w:tcW w:w="660" w:type="dxa"/>
                  <w:vAlign w:val="center"/>
                </w:tcPr>
                <w:p w14:paraId="264718B9">
                  <w:pPr>
                    <w:widowControl/>
                    <w:jc w:val="center"/>
                    <w:textAlignment w:val="center"/>
                    <w:rPr>
                      <w:color w:val="auto"/>
                      <w:kern w:val="0"/>
                      <w:szCs w:val="21"/>
                      <w:highlight w:val="none"/>
                    </w:rPr>
                  </w:pPr>
                  <w:r>
                    <w:rPr>
                      <w:color w:val="auto"/>
                      <w:kern w:val="0"/>
                      <w:szCs w:val="21"/>
                      <w:highlight w:val="none"/>
                      <w:lang w:bidi="ar"/>
                    </w:rPr>
                    <w:t xml:space="preserve">0.5274 </w:t>
                  </w:r>
                </w:p>
              </w:tc>
              <w:tc>
                <w:tcPr>
                  <w:tcW w:w="355" w:type="pct"/>
                  <w:vAlign w:val="center"/>
                </w:tcPr>
                <w:p w14:paraId="4E6B9590">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400</w:t>
                  </w:r>
                </w:p>
              </w:tc>
              <w:tc>
                <w:tcPr>
                  <w:tcW w:w="374" w:type="pct"/>
                  <w:vMerge w:val="continue"/>
                  <w:vAlign w:val="center"/>
                </w:tcPr>
                <w:p w14:paraId="6491E804">
                  <w:pPr>
                    <w:pStyle w:val="66"/>
                    <w:snapToGrid w:val="0"/>
                    <w:jc w:val="center"/>
                    <w:textAlignment w:val="auto"/>
                    <w:rPr>
                      <w:rFonts w:ascii="Times New Roman" w:hAnsi="Times New Roman" w:eastAsia="宋体"/>
                      <w:snapToGrid w:val="0"/>
                      <w:color w:val="auto"/>
                      <w:kern w:val="0"/>
                      <w:sz w:val="21"/>
                      <w:szCs w:val="21"/>
                      <w:highlight w:val="none"/>
                    </w:rPr>
                  </w:pPr>
                </w:p>
              </w:tc>
            </w:tr>
            <w:tr w14:paraId="323C0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50DAC251">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3C339A70">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2A1FA378">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000A5EE4">
                  <w:pPr>
                    <w:widowControl/>
                    <w:jc w:val="center"/>
                    <w:textAlignment w:val="center"/>
                    <w:rPr>
                      <w:color w:val="auto"/>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811" w:type="dxa"/>
                  <w:vAlign w:val="center"/>
                </w:tcPr>
                <w:p w14:paraId="03AE3E75">
                  <w:pPr>
                    <w:widowControl/>
                    <w:jc w:val="center"/>
                    <w:textAlignment w:val="center"/>
                    <w:rPr>
                      <w:bCs/>
                      <w:color w:val="auto"/>
                      <w:szCs w:val="21"/>
                      <w:highlight w:val="none"/>
                    </w:rPr>
                  </w:pPr>
                  <w:r>
                    <w:rPr>
                      <w:color w:val="auto"/>
                      <w:kern w:val="0"/>
                      <w:szCs w:val="21"/>
                      <w:highlight w:val="none"/>
                      <w:lang w:bidi="ar"/>
                    </w:rPr>
                    <w:t xml:space="preserve">11.7122 </w:t>
                  </w:r>
                </w:p>
              </w:tc>
              <w:tc>
                <w:tcPr>
                  <w:tcW w:w="711" w:type="dxa"/>
                  <w:vAlign w:val="center"/>
                </w:tcPr>
                <w:p w14:paraId="290E7AEA">
                  <w:pPr>
                    <w:widowControl/>
                    <w:jc w:val="center"/>
                    <w:textAlignment w:val="center"/>
                    <w:rPr>
                      <w:color w:val="auto"/>
                      <w:szCs w:val="21"/>
                      <w:highlight w:val="none"/>
                    </w:rPr>
                  </w:pPr>
                  <w:r>
                    <w:rPr>
                      <w:color w:val="auto"/>
                      <w:kern w:val="0"/>
                      <w:szCs w:val="21"/>
                      <w:highlight w:val="none"/>
                      <w:lang w:bidi="ar"/>
                    </w:rPr>
                    <w:t xml:space="preserve">0.0420 </w:t>
                  </w:r>
                </w:p>
              </w:tc>
              <w:tc>
                <w:tcPr>
                  <w:tcW w:w="395" w:type="pct"/>
                  <w:vMerge w:val="continue"/>
                  <w:vAlign w:val="center"/>
                </w:tcPr>
                <w:p w14:paraId="20F36D60">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73B895A1">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5E066EF7">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06852DB2">
                  <w:pPr>
                    <w:widowControl/>
                    <w:jc w:val="center"/>
                    <w:textAlignment w:val="center"/>
                    <w:rPr>
                      <w:bCs/>
                      <w:color w:val="auto"/>
                      <w:szCs w:val="21"/>
                      <w:highlight w:val="none"/>
                    </w:rPr>
                  </w:pPr>
                  <w:r>
                    <w:rPr>
                      <w:color w:val="auto"/>
                      <w:kern w:val="0"/>
                      <w:szCs w:val="21"/>
                      <w:highlight w:val="none"/>
                      <w:lang w:bidi="ar"/>
                    </w:rPr>
                    <w:t xml:space="preserve">11.7122 </w:t>
                  </w:r>
                </w:p>
              </w:tc>
              <w:tc>
                <w:tcPr>
                  <w:tcW w:w="660" w:type="dxa"/>
                  <w:vAlign w:val="center"/>
                </w:tcPr>
                <w:p w14:paraId="3DFDF4F0">
                  <w:pPr>
                    <w:widowControl/>
                    <w:jc w:val="center"/>
                    <w:textAlignment w:val="center"/>
                    <w:rPr>
                      <w:color w:val="auto"/>
                      <w:szCs w:val="21"/>
                      <w:highlight w:val="none"/>
                    </w:rPr>
                  </w:pPr>
                  <w:r>
                    <w:rPr>
                      <w:color w:val="auto"/>
                      <w:kern w:val="0"/>
                      <w:szCs w:val="21"/>
                      <w:highlight w:val="none"/>
                      <w:lang w:bidi="ar"/>
                    </w:rPr>
                    <w:t xml:space="preserve">0.0420 </w:t>
                  </w:r>
                </w:p>
              </w:tc>
              <w:tc>
                <w:tcPr>
                  <w:tcW w:w="355" w:type="pct"/>
                  <w:vAlign w:val="center"/>
                </w:tcPr>
                <w:p w14:paraId="549D84D3">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45</w:t>
                  </w:r>
                </w:p>
              </w:tc>
              <w:tc>
                <w:tcPr>
                  <w:tcW w:w="374" w:type="pct"/>
                  <w:vMerge w:val="continue"/>
                  <w:vAlign w:val="center"/>
                </w:tcPr>
                <w:p w14:paraId="5CD29218">
                  <w:pPr>
                    <w:pStyle w:val="66"/>
                    <w:snapToGrid w:val="0"/>
                    <w:jc w:val="center"/>
                    <w:textAlignment w:val="auto"/>
                    <w:rPr>
                      <w:rFonts w:ascii="Times New Roman" w:hAnsi="Times New Roman" w:eastAsia="宋体"/>
                      <w:snapToGrid w:val="0"/>
                      <w:color w:val="auto"/>
                      <w:kern w:val="0"/>
                      <w:sz w:val="21"/>
                      <w:szCs w:val="21"/>
                      <w:highlight w:val="none"/>
                    </w:rPr>
                  </w:pPr>
                </w:p>
              </w:tc>
            </w:tr>
            <w:tr w14:paraId="5A689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030B9BE9">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47D0FE23">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0B06A343">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1603CA47">
                  <w:pPr>
                    <w:widowControl/>
                    <w:jc w:val="center"/>
                    <w:textAlignment w:val="center"/>
                    <w:rPr>
                      <w:color w:val="auto"/>
                      <w:szCs w:val="21"/>
                      <w:highlight w:val="none"/>
                    </w:rPr>
                  </w:pPr>
                  <w:r>
                    <w:rPr>
                      <w:color w:val="auto"/>
                      <w:kern w:val="0"/>
                      <w:szCs w:val="21"/>
                      <w:highlight w:val="none"/>
                    </w:rPr>
                    <w:t>TN</w:t>
                  </w:r>
                </w:p>
              </w:tc>
              <w:tc>
                <w:tcPr>
                  <w:tcW w:w="811" w:type="dxa"/>
                  <w:vAlign w:val="center"/>
                </w:tcPr>
                <w:p w14:paraId="63E23BF5">
                  <w:pPr>
                    <w:widowControl/>
                    <w:jc w:val="center"/>
                    <w:textAlignment w:val="center"/>
                    <w:rPr>
                      <w:bCs/>
                      <w:color w:val="auto"/>
                      <w:szCs w:val="21"/>
                      <w:highlight w:val="none"/>
                    </w:rPr>
                  </w:pPr>
                  <w:r>
                    <w:rPr>
                      <w:color w:val="auto"/>
                      <w:kern w:val="0"/>
                      <w:szCs w:val="21"/>
                      <w:highlight w:val="none"/>
                      <w:lang w:bidi="ar"/>
                    </w:rPr>
                    <w:t xml:space="preserve">15.0586 </w:t>
                  </w:r>
                </w:p>
              </w:tc>
              <w:tc>
                <w:tcPr>
                  <w:tcW w:w="711" w:type="dxa"/>
                  <w:vAlign w:val="center"/>
                </w:tcPr>
                <w:p w14:paraId="4DA6F077">
                  <w:pPr>
                    <w:widowControl/>
                    <w:jc w:val="center"/>
                    <w:textAlignment w:val="center"/>
                    <w:rPr>
                      <w:color w:val="auto"/>
                      <w:szCs w:val="21"/>
                      <w:highlight w:val="none"/>
                    </w:rPr>
                  </w:pPr>
                  <w:r>
                    <w:rPr>
                      <w:color w:val="auto"/>
                      <w:kern w:val="0"/>
                      <w:szCs w:val="21"/>
                      <w:highlight w:val="none"/>
                      <w:lang w:bidi="ar"/>
                    </w:rPr>
                    <w:t xml:space="preserve">0.0540 </w:t>
                  </w:r>
                </w:p>
              </w:tc>
              <w:tc>
                <w:tcPr>
                  <w:tcW w:w="395" w:type="pct"/>
                  <w:vMerge w:val="continue"/>
                  <w:vAlign w:val="center"/>
                </w:tcPr>
                <w:p w14:paraId="55A531B2">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1A854DB2">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3EC25A5B">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21B9C304">
                  <w:pPr>
                    <w:widowControl/>
                    <w:jc w:val="center"/>
                    <w:textAlignment w:val="center"/>
                    <w:rPr>
                      <w:bCs/>
                      <w:color w:val="auto"/>
                      <w:szCs w:val="21"/>
                      <w:highlight w:val="none"/>
                    </w:rPr>
                  </w:pPr>
                  <w:r>
                    <w:rPr>
                      <w:color w:val="auto"/>
                      <w:kern w:val="0"/>
                      <w:szCs w:val="21"/>
                      <w:highlight w:val="none"/>
                      <w:lang w:bidi="ar"/>
                    </w:rPr>
                    <w:t xml:space="preserve">15.0586 </w:t>
                  </w:r>
                </w:p>
              </w:tc>
              <w:tc>
                <w:tcPr>
                  <w:tcW w:w="660" w:type="dxa"/>
                  <w:vAlign w:val="center"/>
                </w:tcPr>
                <w:p w14:paraId="4CA5A8E7">
                  <w:pPr>
                    <w:widowControl/>
                    <w:jc w:val="center"/>
                    <w:textAlignment w:val="center"/>
                    <w:rPr>
                      <w:color w:val="auto"/>
                      <w:szCs w:val="21"/>
                      <w:highlight w:val="none"/>
                    </w:rPr>
                  </w:pPr>
                  <w:r>
                    <w:rPr>
                      <w:color w:val="auto"/>
                      <w:kern w:val="0"/>
                      <w:szCs w:val="21"/>
                      <w:highlight w:val="none"/>
                      <w:lang w:bidi="ar"/>
                    </w:rPr>
                    <w:t xml:space="preserve">0.0540 </w:t>
                  </w:r>
                </w:p>
              </w:tc>
              <w:tc>
                <w:tcPr>
                  <w:tcW w:w="355" w:type="pct"/>
                  <w:vAlign w:val="center"/>
                </w:tcPr>
                <w:p w14:paraId="4374B2BF">
                  <w:pPr>
                    <w:pStyle w:val="66"/>
                    <w:snapToGrid w:val="0"/>
                    <w:jc w:val="center"/>
                    <w:textAlignment w:val="auto"/>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70</w:t>
                  </w:r>
                </w:p>
              </w:tc>
              <w:tc>
                <w:tcPr>
                  <w:tcW w:w="374" w:type="pct"/>
                  <w:vMerge w:val="continue"/>
                  <w:vAlign w:val="center"/>
                </w:tcPr>
                <w:p w14:paraId="136320FF">
                  <w:pPr>
                    <w:pStyle w:val="66"/>
                    <w:snapToGrid w:val="0"/>
                    <w:jc w:val="center"/>
                    <w:textAlignment w:val="auto"/>
                    <w:rPr>
                      <w:rFonts w:ascii="Times New Roman" w:hAnsi="Times New Roman" w:eastAsia="宋体"/>
                      <w:snapToGrid w:val="0"/>
                      <w:color w:val="auto"/>
                      <w:kern w:val="0"/>
                      <w:sz w:val="21"/>
                      <w:szCs w:val="21"/>
                      <w:highlight w:val="none"/>
                    </w:rPr>
                  </w:pPr>
                </w:p>
              </w:tc>
            </w:tr>
            <w:tr w14:paraId="072C6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5" w:type="pct"/>
                  <w:vMerge w:val="continue"/>
                  <w:vAlign w:val="center"/>
                </w:tcPr>
                <w:p w14:paraId="5BE40784">
                  <w:pPr>
                    <w:pStyle w:val="66"/>
                    <w:snapToGrid w:val="0"/>
                    <w:jc w:val="center"/>
                    <w:textAlignment w:val="auto"/>
                    <w:rPr>
                      <w:rFonts w:ascii="Times New Roman" w:hAnsi="Times New Roman" w:eastAsia="宋体"/>
                      <w:snapToGrid w:val="0"/>
                      <w:color w:val="auto"/>
                      <w:kern w:val="0"/>
                      <w:sz w:val="21"/>
                      <w:szCs w:val="21"/>
                      <w:highlight w:val="none"/>
                    </w:rPr>
                  </w:pPr>
                </w:p>
              </w:tc>
              <w:tc>
                <w:tcPr>
                  <w:tcW w:w="475" w:type="pct"/>
                  <w:vMerge w:val="continue"/>
                  <w:vAlign w:val="center"/>
                </w:tcPr>
                <w:p w14:paraId="1C762DE4">
                  <w:pPr>
                    <w:pStyle w:val="66"/>
                    <w:snapToGrid w:val="0"/>
                    <w:jc w:val="center"/>
                    <w:textAlignment w:val="auto"/>
                    <w:rPr>
                      <w:rFonts w:ascii="Times New Roman" w:hAnsi="Times New Roman" w:eastAsia="宋体"/>
                      <w:snapToGrid w:val="0"/>
                      <w:color w:val="auto"/>
                      <w:kern w:val="0"/>
                      <w:sz w:val="21"/>
                      <w:szCs w:val="21"/>
                      <w:highlight w:val="none"/>
                    </w:rPr>
                  </w:pPr>
                </w:p>
              </w:tc>
              <w:tc>
                <w:tcPr>
                  <w:tcW w:w="293" w:type="pct"/>
                  <w:vMerge w:val="continue"/>
                  <w:vAlign w:val="center"/>
                </w:tcPr>
                <w:p w14:paraId="75F9AB5F">
                  <w:pPr>
                    <w:pStyle w:val="66"/>
                    <w:snapToGrid w:val="0"/>
                    <w:jc w:val="center"/>
                    <w:textAlignment w:val="auto"/>
                    <w:rPr>
                      <w:rFonts w:ascii="Times New Roman" w:hAnsi="Times New Roman" w:eastAsia="宋体"/>
                      <w:snapToGrid w:val="0"/>
                      <w:color w:val="auto"/>
                      <w:kern w:val="0"/>
                      <w:sz w:val="21"/>
                      <w:szCs w:val="21"/>
                      <w:highlight w:val="none"/>
                    </w:rPr>
                  </w:pPr>
                </w:p>
              </w:tc>
              <w:tc>
                <w:tcPr>
                  <w:tcW w:w="442" w:type="pct"/>
                  <w:vAlign w:val="center"/>
                </w:tcPr>
                <w:p w14:paraId="54EB1F0D">
                  <w:pPr>
                    <w:widowControl/>
                    <w:jc w:val="center"/>
                    <w:textAlignment w:val="center"/>
                    <w:rPr>
                      <w:color w:val="auto"/>
                      <w:szCs w:val="21"/>
                      <w:highlight w:val="none"/>
                    </w:rPr>
                  </w:pPr>
                  <w:r>
                    <w:rPr>
                      <w:color w:val="auto"/>
                      <w:kern w:val="0"/>
                      <w:szCs w:val="21"/>
                      <w:highlight w:val="none"/>
                    </w:rPr>
                    <w:t>TP</w:t>
                  </w:r>
                </w:p>
              </w:tc>
              <w:tc>
                <w:tcPr>
                  <w:tcW w:w="811" w:type="dxa"/>
                  <w:vAlign w:val="center"/>
                </w:tcPr>
                <w:p w14:paraId="579026CE">
                  <w:pPr>
                    <w:widowControl/>
                    <w:jc w:val="center"/>
                    <w:textAlignment w:val="center"/>
                    <w:rPr>
                      <w:bCs/>
                      <w:color w:val="auto"/>
                      <w:szCs w:val="21"/>
                      <w:highlight w:val="none"/>
                    </w:rPr>
                  </w:pPr>
                  <w:r>
                    <w:rPr>
                      <w:color w:val="auto"/>
                      <w:kern w:val="0"/>
                      <w:szCs w:val="21"/>
                      <w:highlight w:val="none"/>
                      <w:lang w:bidi="ar"/>
                    </w:rPr>
                    <w:t xml:space="preserve">1.6732 </w:t>
                  </w:r>
                </w:p>
              </w:tc>
              <w:tc>
                <w:tcPr>
                  <w:tcW w:w="711" w:type="dxa"/>
                  <w:vAlign w:val="center"/>
                </w:tcPr>
                <w:p w14:paraId="033C5CB6">
                  <w:pPr>
                    <w:widowControl/>
                    <w:jc w:val="center"/>
                    <w:textAlignment w:val="center"/>
                    <w:rPr>
                      <w:color w:val="auto"/>
                      <w:szCs w:val="21"/>
                      <w:highlight w:val="none"/>
                    </w:rPr>
                  </w:pPr>
                  <w:r>
                    <w:rPr>
                      <w:color w:val="auto"/>
                      <w:kern w:val="0"/>
                      <w:szCs w:val="21"/>
                      <w:highlight w:val="none"/>
                      <w:lang w:bidi="ar"/>
                    </w:rPr>
                    <w:t xml:space="preserve">0.0060 </w:t>
                  </w:r>
                </w:p>
              </w:tc>
              <w:tc>
                <w:tcPr>
                  <w:tcW w:w="395" w:type="pct"/>
                  <w:vMerge w:val="continue"/>
                  <w:vAlign w:val="center"/>
                </w:tcPr>
                <w:p w14:paraId="3FDD56B4">
                  <w:pPr>
                    <w:pStyle w:val="66"/>
                    <w:snapToGrid w:val="0"/>
                    <w:jc w:val="center"/>
                    <w:textAlignment w:val="auto"/>
                    <w:rPr>
                      <w:rFonts w:ascii="Times New Roman" w:hAnsi="Times New Roman" w:eastAsia="宋体"/>
                      <w:snapToGrid w:val="0"/>
                      <w:color w:val="auto"/>
                      <w:kern w:val="0"/>
                      <w:sz w:val="21"/>
                      <w:szCs w:val="21"/>
                      <w:highlight w:val="none"/>
                    </w:rPr>
                  </w:pPr>
                </w:p>
              </w:tc>
              <w:tc>
                <w:tcPr>
                  <w:tcW w:w="243" w:type="pct"/>
                  <w:vMerge w:val="continue"/>
                  <w:vAlign w:val="center"/>
                </w:tcPr>
                <w:p w14:paraId="414110A4">
                  <w:pPr>
                    <w:pStyle w:val="66"/>
                    <w:snapToGrid w:val="0"/>
                    <w:jc w:val="center"/>
                    <w:textAlignment w:val="auto"/>
                    <w:rPr>
                      <w:rFonts w:ascii="Times New Roman" w:hAnsi="Times New Roman" w:eastAsia="宋体"/>
                      <w:snapToGrid w:val="0"/>
                      <w:color w:val="auto"/>
                      <w:kern w:val="0"/>
                      <w:sz w:val="21"/>
                      <w:szCs w:val="21"/>
                      <w:highlight w:val="none"/>
                    </w:rPr>
                  </w:pPr>
                </w:p>
              </w:tc>
              <w:tc>
                <w:tcPr>
                  <w:tcW w:w="308" w:type="pct"/>
                  <w:vMerge w:val="continue"/>
                  <w:vAlign w:val="center"/>
                </w:tcPr>
                <w:p w14:paraId="221C5260">
                  <w:pPr>
                    <w:pStyle w:val="66"/>
                    <w:snapToGrid w:val="0"/>
                    <w:jc w:val="center"/>
                    <w:textAlignment w:val="auto"/>
                    <w:rPr>
                      <w:rFonts w:ascii="Times New Roman" w:hAnsi="Times New Roman" w:eastAsia="宋体"/>
                      <w:snapToGrid w:val="0"/>
                      <w:color w:val="auto"/>
                      <w:kern w:val="0"/>
                      <w:sz w:val="21"/>
                      <w:szCs w:val="21"/>
                      <w:highlight w:val="none"/>
                    </w:rPr>
                  </w:pPr>
                </w:p>
              </w:tc>
              <w:tc>
                <w:tcPr>
                  <w:tcW w:w="887" w:type="dxa"/>
                  <w:vAlign w:val="center"/>
                </w:tcPr>
                <w:p w14:paraId="519D58F4">
                  <w:pPr>
                    <w:widowControl/>
                    <w:jc w:val="center"/>
                    <w:textAlignment w:val="center"/>
                    <w:rPr>
                      <w:bCs/>
                      <w:color w:val="auto"/>
                      <w:szCs w:val="21"/>
                      <w:highlight w:val="none"/>
                    </w:rPr>
                  </w:pPr>
                  <w:r>
                    <w:rPr>
                      <w:color w:val="auto"/>
                      <w:kern w:val="0"/>
                      <w:szCs w:val="21"/>
                      <w:highlight w:val="none"/>
                      <w:lang w:bidi="ar"/>
                    </w:rPr>
                    <w:t xml:space="preserve">1.6732 </w:t>
                  </w:r>
                </w:p>
              </w:tc>
              <w:tc>
                <w:tcPr>
                  <w:tcW w:w="660" w:type="dxa"/>
                  <w:vAlign w:val="center"/>
                </w:tcPr>
                <w:p w14:paraId="0ECD8016">
                  <w:pPr>
                    <w:widowControl/>
                    <w:jc w:val="center"/>
                    <w:textAlignment w:val="center"/>
                    <w:rPr>
                      <w:color w:val="auto"/>
                      <w:szCs w:val="21"/>
                      <w:highlight w:val="none"/>
                    </w:rPr>
                  </w:pPr>
                  <w:r>
                    <w:rPr>
                      <w:color w:val="auto"/>
                      <w:kern w:val="0"/>
                      <w:szCs w:val="21"/>
                      <w:highlight w:val="none"/>
                      <w:lang w:bidi="ar"/>
                    </w:rPr>
                    <w:t xml:space="preserve">0.0060 </w:t>
                  </w:r>
                </w:p>
              </w:tc>
              <w:tc>
                <w:tcPr>
                  <w:tcW w:w="355" w:type="pct"/>
                  <w:vAlign w:val="center"/>
                </w:tcPr>
                <w:p w14:paraId="412E780C">
                  <w:pPr>
                    <w:pStyle w:val="66"/>
                    <w:snapToGrid w:val="0"/>
                    <w:jc w:val="center"/>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8</w:t>
                  </w:r>
                </w:p>
              </w:tc>
              <w:tc>
                <w:tcPr>
                  <w:tcW w:w="374" w:type="pct"/>
                  <w:vMerge w:val="continue"/>
                  <w:vAlign w:val="center"/>
                </w:tcPr>
                <w:p w14:paraId="25C3BF18">
                  <w:pPr>
                    <w:pStyle w:val="66"/>
                    <w:snapToGrid w:val="0"/>
                    <w:jc w:val="center"/>
                    <w:textAlignment w:val="auto"/>
                    <w:rPr>
                      <w:rFonts w:ascii="Times New Roman" w:hAnsi="Times New Roman" w:eastAsia="宋体"/>
                      <w:snapToGrid w:val="0"/>
                      <w:color w:val="auto"/>
                      <w:kern w:val="0"/>
                      <w:sz w:val="21"/>
                      <w:szCs w:val="21"/>
                      <w:highlight w:val="none"/>
                    </w:rPr>
                  </w:pPr>
                </w:p>
              </w:tc>
            </w:tr>
          </w:tbl>
          <w:p w14:paraId="644DACB7">
            <w:pPr>
              <w:adjustRightInd w:val="0"/>
              <w:snapToGrid w:val="0"/>
              <w:spacing w:line="360" w:lineRule="auto"/>
              <w:ind w:firstLine="482" w:firstLineChars="200"/>
              <w:jc w:val="left"/>
              <w:rPr>
                <w:b/>
                <w:color w:val="auto"/>
                <w:kern w:val="0"/>
                <w:sz w:val="24"/>
                <w:highlight w:val="none"/>
              </w:rPr>
            </w:pPr>
            <w:r>
              <w:rPr>
                <w:rFonts w:hint="eastAsia" w:hAnsi="宋体"/>
                <w:b/>
                <w:color w:val="auto"/>
                <w:kern w:val="0"/>
                <w:sz w:val="24"/>
                <w:highlight w:val="none"/>
              </w:rPr>
              <w:t>2.3</w:t>
            </w:r>
            <w:r>
              <w:rPr>
                <w:rFonts w:hAnsi="宋体"/>
                <w:b/>
                <w:color w:val="auto"/>
                <w:kern w:val="0"/>
                <w:sz w:val="24"/>
                <w:highlight w:val="none"/>
              </w:rPr>
              <w:t>废水类别、污染物及污染治理设施信息</w:t>
            </w:r>
          </w:p>
          <w:p w14:paraId="5B787E44">
            <w:pPr>
              <w:adjustRightInd w:val="0"/>
              <w:snapToGrid w:val="0"/>
              <w:spacing w:line="360" w:lineRule="auto"/>
              <w:ind w:firstLine="480" w:firstLineChars="200"/>
              <w:rPr>
                <w:color w:val="auto"/>
                <w:kern w:val="0"/>
                <w:sz w:val="24"/>
                <w:highlight w:val="none"/>
              </w:rPr>
            </w:pPr>
            <w:r>
              <w:rPr>
                <w:rFonts w:hAnsi="宋体"/>
                <w:color w:val="auto"/>
                <w:kern w:val="0"/>
                <w:sz w:val="24"/>
                <w:highlight w:val="none"/>
              </w:rPr>
              <w:t>废水类别、污染物及污染治理设施信息表见表</w:t>
            </w:r>
            <w:r>
              <w:rPr>
                <w:color w:val="auto"/>
                <w:kern w:val="0"/>
                <w:sz w:val="24"/>
                <w:highlight w:val="none"/>
              </w:rPr>
              <w:t>4-</w:t>
            </w:r>
            <w:r>
              <w:rPr>
                <w:rFonts w:hint="eastAsia"/>
                <w:color w:val="auto"/>
                <w:kern w:val="0"/>
                <w:sz w:val="24"/>
                <w:highlight w:val="none"/>
              </w:rPr>
              <w:t>1</w:t>
            </w:r>
            <w:r>
              <w:rPr>
                <w:rFonts w:hint="default"/>
                <w:color w:val="auto"/>
                <w:kern w:val="0"/>
                <w:sz w:val="24"/>
                <w:highlight w:val="none"/>
              </w:rPr>
              <w:t>5</w:t>
            </w:r>
            <w:r>
              <w:rPr>
                <w:rFonts w:hAnsi="宋体"/>
                <w:snapToGrid w:val="0"/>
                <w:color w:val="auto"/>
                <w:kern w:val="0"/>
                <w:sz w:val="24"/>
                <w:highlight w:val="none"/>
              </w:rPr>
              <w:t>。</w:t>
            </w:r>
          </w:p>
          <w:p w14:paraId="7436A369">
            <w:pPr>
              <w:adjustRightInd w:val="0"/>
              <w:snapToGrid w:val="0"/>
              <w:jc w:val="center"/>
              <w:rPr>
                <w:b/>
                <w:color w:val="auto"/>
                <w:kern w:val="0"/>
                <w:szCs w:val="21"/>
                <w:highlight w:val="none"/>
              </w:rPr>
            </w:pPr>
            <w:r>
              <w:rPr>
                <w:b/>
                <w:color w:val="auto"/>
                <w:kern w:val="0"/>
                <w:sz w:val="24"/>
                <w:highlight w:val="none"/>
              </w:rPr>
              <w:t>4-</w:t>
            </w:r>
            <w:r>
              <w:rPr>
                <w:rFonts w:hint="eastAsia"/>
                <w:b/>
                <w:color w:val="auto"/>
                <w:kern w:val="0"/>
                <w:sz w:val="24"/>
                <w:highlight w:val="none"/>
              </w:rPr>
              <w:t>1</w:t>
            </w:r>
            <w:r>
              <w:rPr>
                <w:rFonts w:hint="default"/>
                <w:b/>
                <w:color w:val="auto"/>
                <w:kern w:val="0"/>
                <w:sz w:val="24"/>
                <w:highlight w:val="none"/>
              </w:rPr>
              <w:t>5</w:t>
            </w:r>
            <w:r>
              <w:rPr>
                <w:b/>
                <w:color w:val="auto"/>
                <w:kern w:val="0"/>
                <w:sz w:val="24"/>
                <w:highlight w:val="none"/>
              </w:rPr>
              <w:t xml:space="preserve"> 废水类别、污染物及污染治理设施信息表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34"/>
              <w:gridCol w:w="806"/>
              <w:gridCol w:w="1116"/>
              <w:gridCol w:w="716"/>
              <w:gridCol w:w="1167"/>
              <w:gridCol w:w="833"/>
              <w:gridCol w:w="794"/>
              <w:gridCol w:w="1130"/>
              <w:gridCol w:w="782"/>
              <w:gridCol w:w="823"/>
              <w:gridCol w:w="1750"/>
            </w:tblGrid>
            <w:tr w14:paraId="0FF301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63" w:type="pct"/>
                  <w:vMerge w:val="restart"/>
                  <w:vAlign w:val="center"/>
                </w:tcPr>
                <w:p w14:paraId="08B10416">
                  <w:pPr>
                    <w:pStyle w:val="103"/>
                    <w:rPr>
                      <w:rFonts w:eastAsia="宋体"/>
                      <w:b/>
                      <w:color w:val="auto"/>
                      <w:sz w:val="21"/>
                      <w:highlight w:val="none"/>
                    </w:rPr>
                  </w:pPr>
                  <w:r>
                    <w:rPr>
                      <w:rFonts w:eastAsia="宋体"/>
                      <w:b/>
                      <w:color w:val="auto"/>
                      <w:sz w:val="21"/>
                      <w:highlight w:val="none"/>
                    </w:rPr>
                    <w:t>序号</w:t>
                  </w:r>
                </w:p>
              </w:tc>
              <w:tc>
                <w:tcPr>
                  <w:tcW w:w="393" w:type="pct"/>
                  <w:vMerge w:val="restart"/>
                  <w:vAlign w:val="center"/>
                </w:tcPr>
                <w:p w14:paraId="4917052F">
                  <w:pPr>
                    <w:pStyle w:val="103"/>
                    <w:rPr>
                      <w:rFonts w:eastAsia="宋体"/>
                      <w:b/>
                      <w:color w:val="auto"/>
                      <w:sz w:val="21"/>
                      <w:highlight w:val="none"/>
                    </w:rPr>
                  </w:pPr>
                  <w:r>
                    <w:rPr>
                      <w:rFonts w:eastAsia="宋体"/>
                      <w:b/>
                      <w:color w:val="auto"/>
                      <w:sz w:val="21"/>
                      <w:highlight w:val="none"/>
                    </w:rPr>
                    <w:t>废水</w:t>
                  </w:r>
                </w:p>
                <w:p w14:paraId="6007BEE7">
                  <w:pPr>
                    <w:pStyle w:val="103"/>
                    <w:rPr>
                      <w:rFonts w:eastAsia="宋体"/>
                      <w:b/>
                      <w:color w:val="auto"/>
                      <w:sz w:val="21"/>
                      <w:highlight w:val="none"/>
                    </w:rPr>
                  </w:pPr>
                  <w:r>
                    <w:rPr>
                      <w:rFonts w:eastAsia="宋体"/>
                      <w:b/>
                      <w:color w:val="auto"/>
                      <w:sz w:val="21"/>
                      <w:highlight w:val="none"/>
                    </w:rPr>
                    <w:t>类别</w:t>
                  </w:r>
                </w:p>
              </w:tc>
              <w:tc>
                <w:tcPr>
                  <w:tcW w:w="544" w:type="pct"/>
                  <w:vMerge w:val="restart"/>
                  <w:vAlign w:val="center"/>
                </w:tcPr>
                <w:p w14:paraId="441D8578">
                  <w:pPr>
                    <w:pStyle w:val="103"/>
                    <w:rPr>
                      <w:rFonts w:eastAsia="宋体"/>
                      <w:b/>
                      <w:color w:val="auto"/>
                      <w:sz w:val="21"/>
                      <w:highlight w:val="none"/>
                    </w:rPr>
                  </w:pPr>
                  <w:r>
                    <w:rPr>
                      <w:rFonts w:eastAsia="宋体"/>
                      <w:b/>
                      <w:color w:val="auto"/>
                      <w:sz w:val="21"/>
                      <w:highlight w:val="none"/>
                    </w:rPr>
                    <w:t>污染物</w:t>
                  </w:r>
                </w:p>
                <w:p w14:paraId="000D45D1">
                  <w:pPr>
                    <w:pStyle w:val="103"/>
                    <w:rPr>
                      <w:rFonts w:eastAsia="宋体"/>
                      <w:b/>
                      <w:color w:val="auto"/>
                      <w:sz w:val="21"/>
                      <w:highlight w:val="none"/>
                    </w:rPr>
                  </w:pPr>
                  <w:r>
                    <w:rPr>
                      <w:rFonts w:eastAsia="宋体"/>
                      <w:b/>
                      <w:color w:val="auto"/>
                      <w:sz w:val="21"/>
                      <w:highlight w:val="none"/>
                    </w:rPr>
                    <w:t>种类</w:t>
                  </w:r>
                </w:p>
              </w:tc>
              <w:tc>
                <w:tcPr>
                  <w:tcW w:w="349" w:type="pct"/>
                  <w:vMerge w:val="restart"/>
                  <w:vAlign w:val="center"/>
                </w:tcPr>
                <w:p w14:paraId="41D77E06">
                  <w:pPr>
                    <w:pStyle w:val="103"/>
                    <w:rPr>
                      <w:rFonts w:eastAsia="宋体"/>
                      <w:b/>
                      <w:color w:val="auto"/>
                      <w:sz w:val="21"/>
                      <w:highlight w:val="none"/>
                    </w:rPr>
                  </w:pPr>
                  <w:r>
                    <w:rPr>
                      <w:rFonts w:eastAsia="宋体"/>
                      <w:b/>
                      <w:color w:val="auto"/>
                      <w:sz w:val="21"/>
                      <w:highlight w:val="none"/>
                    </w:rPr>
                    <w:t>排放去向</w:t>
                  </w:r>
                </w:p>
              </w:tc>
              <w:tc>
                <w:tcPr>
                  <w:tcW w:w="569" w:type="pct"/>
                  <w:vMerge w:val="restart"/>
                  <w:vAlign w:val="center"/>
                </w:tcPr>
                <w:p w14:paraId="62346F9F">
                  <w:pPr>
                    <w:pStyle w:val="103"/>
                    <w:rPr>
                      <w:rFonts w:eastAsia="宋体"/>
                      <w:b/>
                      <w:color w:val="auto"/>
                      <w:sz w:val="21"/>
                      <w:highlight w:val="none"/>
                    </w:rPr>
                  </w:pPr>
                  <w:r>
                    <w:rPr>
                      <w:rFonts w:eastAsia="宋体"/>
                      <w:b/>
                      <w:color w:val="auto"/>
                      <w:sz w:val="21"/>
                      <w:highlight w:val="none"/>
                    </w:rPr>
                    <w:t>排放规律</w:t>
                  </w:r>
                </w:p>
              </w:tc>
              <w:tc>
                <w:tcPr>
                  <w:tcW w:w="1344" w:type="pct"/>
                  <w:gridSpan w:val="3"/>
                  <w:vAlign w:val="center"/>
                </w:tcPr>
                <w:p w14:paraId="18E8235E">
                  <w:pPr>
                    <w:pStyle w:val="103"/>
                    <w:rPr>
                      <w:rFonts w:eastAsia="宋体"/>
                      <w:b/>
                      <w:color w:val="auto"/>
                      <w:sz w:val="21"/>
                      <w:highlight w:val="none"/>
                    </w:rPr>
                  </w:pPr>
                  <w:r>
                    <w:rPr>
                      <w:rFonts w:eastAsia="宋体"/>
                      <w:b/>
                      <w:color w:val="auto"/>
                      <w:sz w:val="21"/>
                      <w:highlight w:val="none"/>
                    </w:rPr>
                    <w:t>污染治理设施</w:t>
                  </w:r>
                </w:p>
              </w:tc>
              <w:tc>
                <w:tcPr>
                  <w:tcW w:w="381" w:type="pct"/>
                  <w:vMerge w:val="restart"/>
                  <w:vAlign w:val="center"/>
                </w:tcPr>
                <w:p w14:paraId="47FA5105">
                  <w:pPr>
                    <w:pStyle w:val="103"/>
                    <w:rPr>
                      <w:rFonts w:eastAsia="宋体"/>
                      <w:b/>
                      <w:color w:val="auto"/>
                      <w:sz w:val="21"/>
                      <w:highlight w:val="none"/>
                    </w:rPr>
                  </w:pPr>
                  <w:r>
                    <w:rPr>
                      <w:rFonts w:eastAsia="宋体"/>
                      <w:b/>
                      <w:color w:val="auto"/>
                      <w:sz w:val="21"/>
                      <w:highlight w:val="none"/>
                    </w:rPr>
                    <w:t>排放口编号</w:t>
                  </w:r>
                </w:p>
              </w:tc>
              <w:tc>
                <w:tcPr>
                  <w:tcW w:w="401" w:type="pct"/>
                  <w:vMerge w:val="restart"/>
                  <w:vAlign w:val="center"/>
                </w:tcPr>
                <w:p w14:paraId="385455D7">
                  <w:pPr>
                    <w:pStyle w:val="103"/>
                    <w:rPr>
                      <w:rFonts w:eastAsia="宋体"/>
                      <w:b/>
                      <w:color w:val="auto"/>
                      <w:sz w:val="21"/>
                      <w:highlight w:val="none"/>
                    </w:rPr>
                  </w:pPr>
                  <w:r>
                    <w:rPr>
                      <w:rFonts w:eastAsia="宋体"/>
                      <w:b/>
                      <w:color w:val="auto"/>
                      <w:sz w:val="21"/>
                      <w:highlight w:val="none"/>
                    </w:rPr>
                    <w:t>排放口设置是否符合要求</w:t>
                  </w:r>
                </w:p>
              </w:tc>
              <w:tc>
                <w:tcPr>
                  <w:tcW w:w="853" w:type="pct"/>
                  <w:vMerge w:val="restart"/>
                  <w:vAlign w:val="center"/>
                </w:tcPr>
                <w:p w14:paraId="099DD1D7">
                  <w:pPr>
                    <w:pStyle w:val="103"/>
                    <w:rPr>
                      <w:rFonts w:eastAsia="宋体"/>
                      <w:b/>
                      <w:color w:val="auto"/>
                      <w:sz w:val="21"/>
                      <w:highlight w:val="none"/>
                    </w:rPr>
                  </w:pPr>
                  <w:r>
                    <w:rPr>
                      <w:rFonts w:eastAsia="宋体"/>
                      <w:b/>
                      <w:color w:val="auto"/>
                      <w:sz w:val="21"/>
                      <w:highlight w:val="none"/>
                    </w:rPr>
                    <w:t>排放口类型</w:t>
                  </w:r>
                </w:p>
              </w:tc>
            </w:tr>
            <w:tr w14:paraId="2F39CB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63" w:type="pct"/>
                  <w:vMerge w:val="continue"/>
                  <w:vAlign w:val="center"/>
                </w:tcPr>
                <w:p w14:paraId="02CFA201">
                  <w:pPr>
                    <w:pStyle w:val="103"/>
                    <w:rPr>
                      <w:rFonts w:eastAsia="宋体"/>
                      <w:color w:val="auto"/>
                      <w:sz w:val="21"/>
                      <w:highlight w:val="none"/>
                    </w:rPr>
                  </w:pPr>
                </w:p>
              </w:tc>
              <w:tc>
                <w:tcPr>
                  <w:tcW w:w="393" w:type="pct"/>
                  <w:vMerge w:val="continue"/>
                  <w:vAlign w:val="center"/>
                </w:tcPr>
                <w:p w14:paraId="252DBD7F">
                  <w:pPr>
                    <w:pStyle w:val="103"/>
                    <w:rPr>
                      <w:rFonts w:eastAsia="宋体"/>
                      <w:color w:val="auto"/>
                      <w:sz w:val="21"/>
                      <w:highlight w:val="none"/>
                    </w:rPr>
                  </w:pPr>
                </w:p>
              </w:tc>
              <w:tc>
                <w:tcPr>
                  <w:tcW w:w="544" w:type="pct"/>
                  <w:vMerge w:val="continue"/>
                  <w:vAlign w:val="center"/>
                </w:tcPr>
                <w:p w14:paraId="13F5BC72">
                  <w:pPr>
                    <w:pStyle w:val="103"/>
                    <w:rPr>
                      <w:rFonts w:eastAsia="宋体"/>
                      <w:color w:val="auto"/>
                      <w:sz w:val="21"/>
                      <w:highlight w:val="none"/>
                    </w:rPr>
                  </w:pPr>
                </w:p>
              </w:tc>
              <w:tc>
                <w:tcPr>
                  <w:tcW w:w="349" w:type="pct"/>
                  <w:vMerge w:val="continue"/>
                  <w:vAlign w:val="center"/>
                </w:tcPr>
                <w:p w14:paraId="6AECD793">
                  <w:pPr>
                    <w:pStyle w:val="103"/>
                    <w:rPr>
                      <w:rFonts w:eastAsia="宋体"/>
                      <w:color w:val="auto"/>
                      <w:sz w:val="21"/>
                      <w:highlight w:val="none"/>
                    </w:rPr>
                  </w:pPr>
                </w:p>
              </w:tc>
              <w:tc>
                <w:tcPr>
                  <w:tcW w:w="569" w:type="pct"/>
                  <w:vMerge w:val="continue"/>
                  <w:vAlign w:val="center"/>
                </w:tcPr>
                <w:p w14:paraId="5D6075C4">
                  <w:pPr>
                    <w:pStyle w:val="103"/>
                    <w:rPr>
                      <w:rFonts w:eastAsia="宋体"/>
                      <w:color w:val="auto"/>
                      <w:sz w:val="21"/>
                      <w:highlight w:val="none"/>
                    </w:rPr>
                  </w:pPr>
                </w:p>
              </w:tc>
              <w:tc>
                <w:tcPr>
                  <w:tcW w:w="406" w:type="pct"/>
                  <w:vAlign w:val="center"/>
                </w:tcPr>
                <w:p w14:paraId="7EC23D71">
                  <w:pPr>
                    <w:pStyle w:val="103"/>
                    <w:rPr>
                      <w:rFonts w:eastAsia="宋体"/>
                      <w:b/>
                      <w:color w:val="auto"/>
                      <w:sz w:val="21"/>
                      <w:highlight w:val="none"/>
                    </w:rPr>
                  </w:pPr>
                  <w:r>
                    <w:rPr>
                      <w:rFonts w:eastAsia="宋体"/>
                      <w:b/>
                      <w:color w:val="auto"/>
                      <w:sz w:val="21"/>
                      <w:highlight w:val="none"/>
                    </w:rPr>
                    <w:t>污染治理设施编号</w:t>
                  </w:r>
                </w:p>
              </w:tc>
              <w:tc>
                <w:tcPr>
                  <w:tcW w:w="387" w:type="pct"/>
                  <w:vAlign w:val="center"/>
                </w:tcPr>
                <w:p w14:paraId="7E35B7FC">
                  <w:pPr>
                    <w:pStyle w:val="103"/>
                    <w:rPr>
                      <w:rFonts w:eastAsia="宋体"/>
                      <w:b/>
                      <w:color w:val="auto"/>
                      <w:sz w:val="21"/>
                      <w:highlight w:val="none"/>
                    </w:rPr>
                  </w:pPr>
                  <w:r>
                    <w:rPr>
                      <w:rFonts w:eastAsia="宋体"/>
                      <w:b/>
                      <w:color w:val="auto"/>
                      <w:sz w:val="21"/>
                      <w:highlight w:val="none"/>
                    </w:rPr>
                    <w:t>污染治理设施名称</w:t>
                  </w:r>
                </w:p>
              </w:tc>
              <w:tc>
                <w:tcPr>
                  <w:tcW w:w="550" w:type="pct"/>
                  <w:vAlign w:val="center"/>
                </w:tcPr>
                <w:p w14:paraId="34699660">
                  <w:pPr>
                    <w:pStyle w:val="103"/>
                    <w:rPr>
                      <w:rFonts w:eastAsia="宋体"/>
                      <w:b/>
                      <w:color w:val="auto"/>
                      <w:sz w:val="21"/>
                      <w:highlight w:val="none"/>
                    </w:rPr>
                  </w:pPr>
                  <w:r>
                    <w:rPr>
                      <w:rFonts w:eastAsia="宋体"/>
                      <w:b/>
                      <w:color w:val="auto"/>
                      <w:sz w:val="21"/>
                      <w:highlight w:val="none"/>
                    </w:rPr>
                    <w:t>污染治理设施工艺</w:t>
                  </w:r>
                </w:p>
              </w:tc>
              <w:tc>
                <w:tcPr>
                  <w:tcW w:w="381" w:type="pct"/>
                  <w:vMerge w:val="continue"/>
                  <w:vAlign w:val="center"/>
                </w:tcPr>
                <w:p w14:paraId="140369C6">
                  <w:pPr>
                    <w:pStyle w:val="103"/>
                    <w:rPr>
                      <w:rFonts w:eastAsia="宋体"/>
                      <w:color w:val="auto"/>
                      <w:sz w:val="21"/>
                      <w:highlight w:val="none"/>
                    </w:rPr>
                  </w:pPr>
                </w:p>
              </w:tc>
              <w:tc>
                <w:tcPr>
                  <w:tcW w:w="401" w:type="pct"/>
                  <w:vMerge w:val="continue"/>
                  <w:vAlign w:val="center"/>
                </w:tcPr>
                <w:p w14:paraId="64A0C787">
                  <w:pPr>
                    <w:pStyle w:val="103"/>
                    <w:rPr>
                      <w:rFonts w:eastAsia="宋体"/>
                      <w:color w:val="auto"/>
                      <w:sz w:val="21"/>
                      <w:highlight w:val="none"/>
                    </w:rPr>
                  </w:pPr>
                </w:p>
              </w:tc>
              <w:tc>
                <w:tcPr>
                  <w:tcW w:w="853" w:type="pct"/>
                  <w:vMerge w:val="continue"/>
                  <w:vAlign w:val="center"/>
                </w:tcPr>
                <w:p w14:paraId="7DCBBC52">
                  <w:pPr>
                    <w:pStyle w:val="103"/>
                    <w:rPr>
                      <w:rFonts w:eastAsia="宋体"/>
                      <w:color w:val="auto"/>
                      <w:sz w:val="21"/>
                      <w:highlight w:val="none"/>
                    </w:rPr>
                  </w:pPr>
                </w:p>
              </w:tc>
            </w:tr>
            <w:tr w14:paraId="701615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63" w:type="pct"/>
                  <w:vAlign w:val="center"/>
                </w:tcPr>
                <w:p w14:paraId="0D1A0F49">
                  <w:pPr>
                    <w:pStyle w:val="103"/>
                    <w:rPr>
                      <w:rFonts w:eastAsia="宋体"/>
                      <w:color w:val="auto"/>
                      <w:sz w:val="21"/>
                      <w:highlight w:val="none"/>
                    </w:rPr>
                  </w:pPr>
                  <w:r>
                    <w:rPr>
                      <w:rFonts w:eastAsia="宋体"/>
                      <w:color w:val="auto"/>
                      <w:sz w:val="21"/>
                      <w:highlight w:val="none"/>
                    </w:rPr>
                    <w:t>1</w:t>
                  </w:r>
                </w:p>
              </w:tc>
              <w:tc>
                <w:tcPr>
                  <w:tcW w:w="393" w:type="pct"/>
                  <w:vAlign w:val="center"/>
                </w:tcPr>
                <w:p w14:paraId="1D172DB8">
                  <w:pPr>
                    <w:pStyle w:val="103"/>
                    <w:rPr>
                      <w:rFonts w:eastAsia="宋体"/>
                      <w:color w:val="auto"/>
                      <w:sz w:val="21"/>
                      <w:highlight w:val="none"/>
                    </w:rPr>
                  </w:pPr>
                  <w:r>
                    <w:rPr>
                      <w:rFonts w:eastAsia="宋体"/>
                      <w:color w:val="auto"/>
                      <w:sz w:val="21"/>
                      <w:highlight w:val="none"/>
                    </w:rPr>
                    <w:t>生活</w:t>
                  </w:r>
                </w:p>
                <w:p w14:paraId="73CB85B4">
                  <w:pPr>
                    <w:pStyle w:val="103"/>
                    <w:rPr>
                      <w:rFonts w:eastAsia="宋体"/>
                      <w:color w:val="auto"/>
                      <w:sz w:val="21"/>
                      <w:highlight w:val="none"/>
                    </w:rPr>
                  </w:pPr>
                  <w:r>
                    <w:rPr>
                      <w:rFonts w:eastAsia="宋体"/>
                      <w:color w:val="auto"/>
                      <w:sz w:val="21"/>
                      <w:highlight w:val="none"/>
                    </w:rPr>
                    <w:t>污水</w:t>
                  </w:r>
                </w:p>
              </w:tc>
              <w:tc>
                <w:tcPr>
                  <w:tcW w:w="544" w:type="pct"/>
                  <w:vAlign w:val="center"/>
                </w:tcPr>
                <w:p w14:paraId="2DA5C7EF">
                  <w:pPr>
                    <w:pStyle w:val="103"/>
                    <w:rPr>
                      <w:rFonts w:eastAsia="宋体"/>
                      <w:color w:val="auto"/>
                      <w:sz w:val="21"/>
                      <w:highlight w:val="none"/>
                    </w:rPr>
                  </w:pPr>
                  <w:r>
                    <w:rPr>
                      <w:rFonts w:eastAsia="宋体"/>
                      <w:color w:val="auto"/>
                      <w:sz w:val="21"/>
                      <w:highlight w:val="none"/>
                    </w:rPr>
                    <w:t>COD、SS、NH</w:t>
                  </w:r>
                  <w:r>
                    <w:rPr>
                      <w:rFonts w:eastAsia="宋体"/>
                      <w:color w:val="auto"/>
                      <w:sz w:val="21"/>
                      <w:highlight w:val="none"/>
                      <w:vertAlign w:val="subscript"/>
                    </w:rPr>
                    <w:t>3</w:t>
                  </w:r>
                  <w:r>
                    <w:rPr>
                      <w:rFonts w:eastAsia="宋体"/>
                      <w:color w:val="auto"/>
                      <w:sz w:val="21"/>
                      <w:highlight w:val="none"/>
                    </w:rPr>
                    <w:t>-N、TP、TN</w:t>
                  </w:r>
                </w:p>
              </w:tc>
              <w:tc>
                <w:tcPr>
                  <w:tcW w:w="349" w:type="pct"/>
                  <w:vAlign w:val="center"/>
                </w:tcPr>
                <w:p w14:paraId="0272269B">
                  <w:pPr>
                    <w:pStyle w:val="103"/>
                    <w:rPr>
                      <w:rFonts w:eastAsia="宋体"/>
                      <w:color w:val="auto"/>
                      <w:sz w:val="21"/>
                      <w:highlight w:val="none"/>
                    </w:rPr>
                  </w:pPr>
                  <w:r>
                    <w:rPr>
                      <w:rFonts w:eastAsia="宋体"/>
                      <w:color w:val="auto"/>
                      <w:sz w:val="21"/>
                      <w:highlight w:val="none"/>
                    </w:rPr>
                    <w:t>进入城市污水处理厂</w:t>
                  </w:r>
                </w:p>
              </w:tc>
              <w:tc>
                <w:tcPr>
                  <w:tcW w:w="569" w:type="pct"/>
                  <w:vAlign w:val="center"/>
                </w:tcPr>
                <w:p w14:paraId="09E2274E">
                  <w:pPr>
                    <w:pStyle w:val="103"/>
                    <w:rPr>
                      <w:rFonts w:eastAsia="宋体"/>
                      <w:color w:val="auto"/>
                      <w:sz w:val="21"/>
                      <w:highlight w:val="none"/>
                    </w:rPr>
                  </w:pPr>
                  <w:r>
                    <w:rPr>
                      <w:rFonts w:eastAsia="宋体"/>
                      <w:color w:val="auto"/>
                      <w:sz w:val="21"/>
                      <w:highlight w:val="none"/>
                    </w:rPr>
                    <w:t>间接排放，排放期间流量不稳定且无规律，但不属于冲击型排放</w:t>
                  </w:r>
                </w:p>
              </w:tc>
              <w:tc>
                <w:tcPr>
                  <w:tcW w:w="406" w:type="pct"/>
                  <w:vAlign w:val="center"/>
                </w:tcPr>
                <w:p w14:paraId="546BAB14">
                  <w:pPr>
                    <w:pStyle w:val="103"/>
                    <w:rPr>
                      <w:rFonts w:eastAsia="宋体"/>
                      <w:color w:val="auto"/>
                      <w:sz w:val="21"/>
                      <w:highlight w:val="none"/>
                    </w:rPr>
                  </w:pPr>
                  <w:r>
                    <w:rPr>
                      <w:rFonts w:eastAsia="宋体"/>
                      <w:color w:val="auto"/>
                      <w:sz w:val="21"/>
                      <w:highlight w:val="none"/>
                    </w:rPr>
                    <w:t>TW-001</w:t>
                  </w:r>
                </w:p>
              </w:tc>
              <w:tc>
                <w:tcPr>
                  <w:tcW w:w="387" w:type="pct"/>
                  <w:vAlign w:val="center"/>
                </w:tcPr>
                <w:p w14:paraId="47C5E1D8">
                  <w:pPr>
                    <w:pStyle w:val="103"/>
                    <w:rPr>
                      <w:rFonts w:eastAsia="宋体"/>
                      <w:color w:val="auto"/>
                      <w:sz w:val="21"/>
                      <w:highlight w:val="none"/>
                    </w:rPr>
                  </w:pPr>
                  <w:r>
                    <w:rPr>
                      <w:rFonts w:eastAsia="宋体"/>
                      <w:color w:val="auto"/>
                      <w:sz w:val="21"/>
                      <w:highlight w:val="none"/>
                    </w:rPr>
                    <w:t>化粪池</w:t>
                  </w:r>
                </w:p>
              </w:tc>
              <w:tc>
                <w:tcPr>
                  <w:tcW w:w="550" w:type="pct"/>
                  <w:vAlign w:val="center"/>
                </w:tcPr>
                <w:p w14:paraId="06F6017C">
                  <w:pPr>
                    <w:pStyle w:val="103"/>
                    <w:rPr>
                      <w:rFonts w:eastAsia="宋体"/>
                      <w:color w:val="auto"/>
                      <w:sz w:val="21"/>
                      <w:highlight w:val="none"/>
                    </w:rPr>
                  </w:pPr>
                  <w:r>
                    <w:rPr>
                      <w:rFonts w:eastAsia="宋体"/>
                      <w:color w:val="auto"/>
                      <w:sz w:val="21"/>
                      <w:highlight w:val="none"/>
                    </w:rPr>
                    <w:t>过滤沉淀+厌氧消化</w:t>
                  </w:r>
                </w:p>
              </w:tc>
              <w:tc>
                <w:tcPr>
                  <w:tcW w:w="381" w:type="pct"/>
                  <w:vAlign w:val="center"/>
                </w:tcPr>
                <w:p w14:paraId="32F80188">
                  <w:pPr>
                    <w:pStyle w:val="103"/>
                    <w:rPr>
                      <w:rFonts w:eastAsia="宋体"/>
                      <w:color w:val="auto"/>
                      <w:sz w:val="21"/>
                      <w:highlight w:val="none"/>
                    </w:rPr>
                  </w:pPr>
                  <w:r>
                    <w:rPr>
                      <w:rFonts w:eastAsia="宋体"/>
                      <w:color w:val="auto"/>
                      <w:sz w:val="21"/>
                      <w:highlight w:val="none"/>
                    </w:rPr>
                    <w:t>DW001</w:t>
                  </w:r>
                </w:p>
              </w:tc>
              <w:tc>
                <w:tcPr>
                  <w:tcW w:w="401" w:type="pct"/>
                  <w:vAlign w:val="center"/>
                </w:tcPr>
                <w:p w14:paraId="67E2D14E">
                  <w:pPr>
                    <w:pStyle w:val="103"/>
                    <w:rPr>
                      <w:rFonts w:eastAsia="宋体"/>
                      <w:color w:val="auto"/>
                      <w:sz w:val="21"/>
                      <w:highlight w:val="none"/>
                    </w:rPr>
                  </w:pPr>
                  <w:r>
                    <w:rPr>
                      <w:rFonts w:eastAsia="宋体"/>
                      <w:color w:val="auto"/>
                      <w:sz w:val="21"/>
                      <w:highlight w:val="none"/>
                    </w:rPr>
                    <w:t>√是</w:t>
                  </w:r>
                </w:p>
                <w:p w14:paraId="5EAD38AE">
                  <w:pPr>
                    <w:pStyle w:val="103"/>
                    <w:rPr>
                      <w:rFonts w:eastAsia="宋体"/>
                      <w:color w:val="auto"/>
                      <w:sz w:val="21"/>
                      <w:highlight w:val="none"/>
                    </w:rPr>
                  </w:pPr>
                  <w:r>
                    <w:rPr>
                      <w:rFonts w:hint="eastAsia" w:ascii="宋体" w:hAnsi="宋体" w:eastAsia="宋体" w:cs="宋体"/>
                      <w:color w:val="auto"/>
                      <w:sz w:val="21"/>
                      <w:highlight w:val="none"/>
                    </w:rPr>
                    <w:t>□</w:t>
                  </w:r>
                  <w:r>
                    <w:rPr>
                      <w:rFonts w:eastAsia="宋体"/>
                      <w:color w:val="auto"/>
                      <w:sz w:val="21"/>
                      <w:highlight w:val="none"/>
                    </w:rPr>
                    <w:t>否</w:t>
                  </w:r>
                </w:p>
              </w:tc>
              <w:tc>
                <w:tcPr>
                  <w:tcW w:w="853" w:type="pct"/>
                  <w:vAlign w:val="center"/>
                </w:tcPr>
                <w:p w14:paraId="767A6FC0">
                  <w:pPr>
                    <w:pStyle w:val="103"/>
                    <w:jc w:val="both"/>
                    <w:rPr>
                      <w:rFonts w:eastAsia="宋体"/>
                      <w:color w:val="auto"/>
                      <w:sz w:val="21"/>
                      <w:highlight w:val="none"/>
                    </w:rPr>
                  </w:pPr>
                  <w:r>
                    <w:rPr>
                      <w:rFonts w:eastAsia="宋体"/>
                      <w:color w:val="auto"/>
                      <w:sz w:val="21"/>
                      <w:highlight w:val="none"/>
                    </w:rPr>
                    <w:t>√企业总排</w:t>
                  </w:r>
                </w:p>
                <w:p w14:paraId="395BB9E9">
                  <w:pPr>
                    <w:pStyle w:val="103"/>
                    <w:jc w:val="both"/>
                    <w:rPr>
                      <w:rFonts w:ascii="宋体" w:hAnsi="宋体" w:eastAsia="宋体" w:cs="宋体"/>
                      <w:color w:val="auto"/>
                      <w:sz w:val="21"/>
                      <w:highlight w:val="none"/>
                    </w:rPr>
                  </w:pPr>
                  <w:r>
                    <w:rPr>
                      <w:rFonts w:hint="eastAsia" w:ascii="宋体" w:hAnsi="宋体" w:eastAsia="宋体" w:cs="宋体"/>
                      <w:color w:val="auto"/>
                      <w:sz w:val="21"/>
                      <w:highlight w:val="none"/>
                    </w:rPr>
                    <w:t>□雨水排放</w:t>
                  </w:r>
                </w:p>
                <w:p w14:paraId="0C5B5109">
                  <w:pPr>
                    <w:pStyle w:val="103"/>
                    <w:jc w:val="both"/>
                    <w:rPr>
                      <w:rFonts w:ascii="宋体" w:hAnsi="宋体" w:eastAsia="宋体" w:cs="宋体"/>
                      <w:color w:val="auto"/>
                      <w:sz w:val="21"/>
                      <w:highlight w:val="none"/>
                    </w:rPr>
                  </w:pPr>
                  <w:r>
                    <w:rPr>
                      <w:rFonts w:hint="eastAsia" w:ascii="宋体" w:hAnsi="宋体" w:eastAsia="宋体" w:cs="宋体"/>
                      <w:color w:val="auto"/>
                      <w:sz w:val="21"/>
                      <w:highlight w:val="none"/>
                    </w:rPr>
                    <w:t>□清净下水排放</w:t>
                  </w:r>
                </w:p>
                <w:p w14:paraId="18A6AB4B">
                  <w:pPr>
                    <w:pStyle w:val="103"/>
                    <w:jc w:val="both"/>
                    <w:rPr>
                      <w:rFonts w:ascii="宋体" w:hAnsi="宋体" w:eastAsia="宋体" w:cs="宋体"/>
                      <w:color w:val="auto"/>
                      <w:sz w:val="21"/>
                      <w:highlight w:val="none"/>
                    </w:rPr>
                  </w:pPr>
                  <w:r>
                    <w:rPr>
                      <w:rFonts w:hint="eastAsia" w:ascii="宋体" w:hAnsi="宋体" w:eastAsia="宋体" w:cs="宋体"/>
                      <w:color w:val="auto"/>
                      <w:sz w:val="21"/>
                      <w:highlight w:val="none"/>
                    </w:rPr>
                    <w:t>□温排水排放</w:t>
                  </w:r>
                </w:p>
                <w:p w14:paraId="45CB5C55">
                  <w:pPr>
                    <w:pStyle w:val="103"/>
                    <w:jc w:val="both"/>
                    <w:rPr>
                      <w:rFonts w:eastAsia="宋体"/>
                      <w:color w:val="auto"/>
                      <w:sz w:val="21"/>
                      <w:highlight w:val="none"/>
                    </w:rPr>
                  </w:pPr>
                  <w:r>
                    <w:rPr>
                      <w:rFonts w:hint="eastAsia" w:ascii="宋体" w:hAnsi="宋体" w:eastAsia="宋体" w:cs="宋体"/>
                      <w:color w:val="auto"/>
                      <w:sz w:val="21"/>
                      <w:highlight w:val="none"/>
                    </w:rPr>
                    <w:t>□</w:t>
                  </w:r>
                  <w:r>
                    <w:rPr>
                      <w:rFonts w:eastAsia="宋体"/>
                      <w:color w:val="auto"/>
                      <w:sz w:val="21"/>
                      <w:highlight w:val="none"/>
                    </w:rPr>
                    <w:t>车间或车间处理设施排放口</w:t>
                  </w:r>
                </w:p>
              </w:tc>
            </w:tr>
          </w:tbl>
          <w:p w14:paraId="65B3E5D5">
            <w:pPr>
              <w:adjustRightInd w:val="0"/>
              <w:snapToGrid w:val="0"/>
              <w:rPr>
                <w:color w:val="auto"/>
                <w:kern w:val="0"/>
                <w:sz w:val="10"/>
                <w:szCs w:val="10"/>
                <w:highlight w:val="none"/>
              </w:rPr>
            </w:pPr>
          </w:p>
          <w:p w14:paraId="0517DEE4">
            <w:pPr>
              <w:adjustRightInd w:val="0"/>
              <w:snapToGrid w:val="0"/>
              <w:spacing w:line="360" w:lineRule="auto"/>
              <w:ind w:firstLine="480" w:firstLineChars="200"/>
              <w:jc w:val="left"/>
              <w:rPr>
                <w:rFonts w:hAnsi="宋体"/>
                <w:b/>
                <w:color w:val="auto"/>
                <w:kern w:val="0"/>
                <w:sz w:val="24"/>
                <w:highlight w:val="none"/>
              </w:rPr>
            </w:pPr>
            <w:r>
              <w:rPr>
                <w:rFonts w:hAnsi="宋体"/>
                <w:color w:val="auto"/>
                <w:kern w:val="0"/>
                <w:sz w:val="24"/>
                <w:highlight w:val="none"/>
              </w:rPr>
              <w:t>废水间接排放口基本情况见表</w:t>
            </w:r>
            <w:r>
              <w:rPr>
                <w:color w:val="auto"/>
                <w:kern w:val="0"/>
                <w:sz w:val="24"/>
                <w:highlight w:val="none"/>
              </w:rPr>
              <w:t>4-</w:t>
            </w:r>
            <w:r>
              <w:rPr>
                <w:rFonts w:hint="eastAsia"/>
                <w:color w:val="auto"/>
                <w:kern w:val="0"/>
                <w:sz w:val="24"/>
                <w:highlight w:val="none"/>
              </w:rPr>
              <w:t>1</w:t>
            </w:r>
            <w:r>
              <w:rPr>
                <w:rFonts w:hint="default"/>
                <w:color w:val="auto"/>
                <w:kern w:val="0"/>
                <w:sz w:val="24"/>
                <w:highlight w:val="none"/>
              </w:rPr>
              <w:t>6</w:t>
            </w:r>
            <w:r>
              <w:rPr>
                <w:rFonts w:hAnsi="宋体"/>
                <w:snapToGrid w:val="0"/>
                <w:color w:val="auto"/>
                <w:kern w:val="0"/>
                <w:sz w:val="24"/>
                <w:highlight w:val="none"/>
              </w:rPr>
              <w:t>。</w:t>
            </w:r>
          </w:p>
          <w:p w14:paraId="2298259D">
            <w:pPr>
              <w:adjustRightInd w:val="0"/>
              <w:snapToGrid w:val="0"/>
              <w:jc w:val="center"/>
              <w:rPr>
                <w:rFonts w:hAnsi="宋体"/>
                <w:b/>
                <w:color w:val="auto"/>
                <w:kern w:val="0"/>
                <w:sz w:val="24"/>
                <w:highlight w:val="none"/>
              </w:rPr>
            </w:pPr>
          </w:p>
          <w:p w14:paraId="6B98DC6E">
            <w:pPr>
              <w:adjustRightInd w:val="0"/>
              <w:snapToGrid w:val="0"/>
              <w:jc w:val="center"/>
              <w:rPr>
                <w:rFonts w:hAnsi="宋体"/>
                <w:b/>
                <w:color w:val="auto"/>
                <w:kern w:val="0"/>
                <w:sz w:val="24"/>
                <w:highlight w:val="none"/>
              </w:rPr>
            </w:pPr>
          </w:p>
          <w:p w14:paraId="05D3B94C">
            <w:pPr>
              <w:adjustRightInd w:val="0"/>
              <w:snapToGrid w:val="0"/>
              <w:jc w:val="center"/>
              <w:rPr>
                <w:b/>
                <w:color w:val="auto"/>
                <w:kern w:val="0"/>
                <w:sz w:val="24"/>
                <w:highlight w:val="none"/>
              </w:rPr>
            </w:pPr>
            <w:r>
              <w:rPr>
                <w:rFonts w:hAnsi="宋体"/>
                <w:b/>
                <w:color w:val="auto"/>
                <w:kern w:val="0"/>
                <w:sz w:val="24"/>
                <w:highlight w:val="none"/>
              </w:rPr>
              <w:t>表</w:t>
            </w:r>
            <w:r>
              <w:rPr>
                <w:b/>
                <w:color w:val="auto"/>
                <w:kern w:val="0"/>
                <w:sz w:val="24"/>
                <w:highlight w:val="none"/>
              </w:rPr>
              <w:t>4-</w:t>
            </w:r>
            <w:r>
              <w:rPr>
                <w:rFonts w:hint="eastAsia"/>
                <w:b/>
                <w:color w:val="auto"/>
                <w:kern w:val="0"/>
                <w:sz w:val="24"/>
                <w:highlight w:val="none"/>
              </w:rPr>
              <w:t>1</w:t>
            </w:r>
            <w:r>
              <w:rPr>
                <w:rFonts w:hint="default"/>
                <w:b/>
                <w:color w:val="auto"/>
                <w:kern w:val="0"/>
                <w:sz w:val="24"/>
                <w:highlight w:val="none"/>
              </w:rPr>
              <w:t>6</w:t>
            </w:r>
            <w:r>
              <w:rPr>
                <w:b/>
                <w:color w:val="auto"/>
                <w:kern w:val="0"/>
                <w:sz w:val="24"/>
                <w:highlight w:val="none"/>
              </w:rPr>
              <w:t xml:space="preserve"> </w:t>
            </w:r>
            <w:r>
              <w:rPr>
                <w:rFonts w:hAnsi="宋体"/>
                <w:b/>
                <w:color w:val="auto"/>
                <w:kern w:val="0"/>
                <w:sz w:val="24"/>
                <w:highlight w:val="none"/>
              </w:rPr>
              <w:t>废水间接排放口基本情况表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58"/>
              <w:gridCol w:w="874"/>
              <w:gridCol w:w="1067"/>
              <w:gridCol w:w="956"/>
              <w:gridCol w:w="773"/>
              <w:gridCol w:w="948"/>
              <w:gridCol w:w="1317"/>
              <w:gridCol w:w="718"/>
              <w:gridCol w:w="899"/>
              <w:gridCol w:w="944"/>
              <w:gridCol w:w="1403"/>
            </w:tblGrid>
            <w:tr w14:paraId="529D08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75" w:type="pct"/>
                  <w:vMerge w:val="restart"/>
                  <w:vAlign w:val="center"/>
                </w:tcPr>
                <w:p w14:paraId="683BC603">
                  <w:pPr>
                    <w:pStyle w:val="103"/>
                    <w:rPr>
                      <w:rFonts w:eastAsia="宋体"/>
                      <w:b/>
                      <w:color w:val="auto"/>
                      <w:sz w:val="21"/>
                      <w:highlight w:val="none"/>
                    </w:rPr>
                  </w:pPr>
                  <w:r>
                    <w:rPr>
                      <w:rFonts w:eastAsia="宋体"/>
                      <w:b/>
                      <w:color w:val="auto"/>
                      <w:sz w:val="21"/>
                      <w:highlight w:val="none"/>
                    </w:rPr>
                    <w:t>序号</w:t>
                  </w:r>
                </w:p>
              </w:tc>
              <w:tc>
                <w:tcPr>
                  <w:tcW w:w="426" w:type="pct"/>
                  <w:vMerge w:val="restart"/>
                  <w:vAlign w:val="center"/>
                </w:tcPr>
                <w:p w14:paraId="72A35744">
                  <w:pPr>
                    <w:pStyle w:val="103"/>
                    <w:rPr>
                      <w:rFonts w:eastAsia="宋体"/>
                      <w:b/>
                      <w:color w:val="auto"/>
                      <w:sz w:val="21"/>
                      <w:highlight w:val="none"/>
                    </w:rPr>
                  </w:pPr>
                  <w:r>
                    <w:rPr>
                      <w:rFonts w:eastAsia="宋体"/>
                      <w:b/>
                      <w:color w:val="auto"/>
                      <w:sz w:val="21"/>
                      <w:highlight w:val="none"/>
                    </w:rPr>
                    <w:t>排放口编号</w:t>
                  </w:r>
                </w:p>
              </w:tc>
              <w:tc>
                <w:tcPr>
                  <w:tcW w:w="986" w:type="pct"/>
                  <w:gridSpan w:val="2"/>
                  <w:vAlign w:val="center"/>
                </w:tcPr>
                <w:p w14:paraId="536718D5">
                  <w:pPr>
                    <w:pStyle w:val="103"/>
                    <w:rPr>
                      <w:rFonts w:eastAsia="宋体"/>
                      <w:b/>
                      <w:color w:val="auto"/>
                      <w:sz w:val="21"/>
                      <w:highlight w:val="none"/>
                    </w:rPr>
                  </w:pPr>
                  <w:r>
                    <w:rPr>
                      <w:rFonts w:eastAsia="宋体"/>
                      <w:b/>
                      <w:color w:val="auto"/>
                      <w:sz w:val="21"/>
                      <w:highlight w:val="none"/>
                    </w:rPr>
                    <w:t>排放口坐标</w:t>
                  </w:r>
                </w:p>
              </w:tc>
              <w:tc>
                <w:tcPr>
                  <w:tcW w:w="377" w:type="pct"/>
                  <w:vMerge w:val="restart"/>
                  <w:tcMar>
                    <w:left w:w="0" w:type="dxa"/>
                    <w:right w:w="0" w:type="dxa"/>
                  </w:tcMar>
                  <w:vAlign w:val="center"/>
                </w:tcPr>
                <w:p w14:paraId="5B6ED267">
                  <w:pPr>
                    <w:pStyle w:val="103"/>
                    <w:rPr>
                      <w:rFonts w:eastAsia="宋体"/>
                      <w:b/>
                      <w:color w:val="auto"/>
                      <w:sz w:val="21"/>
                      <w:highlight w:val="none"/>
                    </w:rPr>
                  </w:pPr>
                  <w:r>
                    <w:rPr>
                      <w:rFonts w:eastAsia="宋体"/>
                      <w:b/>
                      <w:color w:val="auto"/>
                      <w:sz w:val="21"/>
                      <w:highlight w:val="none"/>
                    </w:rPr>
                    <w:t>废水排放</w:t>
                  </w:r>
                  <w:r>
                    <w:rPr>
                      <w:rFonts w:hint="eastAsia" w:eastAsia="宋体"/>
                      <w:b/>
                      <w:color w:val="auto"/>
                      <w:sz w:val="21"/>
                      <w:highlight w:val="none"/>
                    </w:rPr>
                    <w:t>量</w:t>
                  </w:r>
                  <w:r>
                    <w:rPr>
                      <w:rFonts w:eastAsia="宋体"/>
                      <w:b/>
                      <w:color w:val="auto"/>
                      <w:sz w:val="21"/>
                      <w:highlight w:val="none"/>
                    </w:rPr>
                    <w:t>(t/a)</w:t>
                  </w:r>
                </w:p>
              </w:tc>
              <w:tc>
                <w:tcPr>
                  <w:tcW w:w="1454" w:type="pct"/>
                  <w:gridSpan w:val="3"/>
                  <w:vAlign w:val="center"/>
                </w:tcPr>
                <w:p w14:paraId="7904F3DB">
                  <w:pPr>
                    <w:pStyle w:val="103"/>
                    <w:rPr>
                      <w:rFonts w:eastAsia="宋体"/>
                      <w:b/>
                      <w:color w:val="auto"/>
                      <w:sz w:val="21"/>
                      <w:highlight w:val="none"/>
                    </w:rPr>
                  </w:pPr>
                  <w:r>
                    <w:rPr>
                      <w:rFonts w:eastAsia="宋体"/>
                      <w:b/>
                      <w:color w:val="auto"/>
                      <w:sz w:val="21"/>
                      <w:highlight w:val="none"/>
                    </w:rPr>
                    <w:t>污染治理设施</w:t>
                  </w:r>
                </w:p>
              </w:tc>
              <w:tc>
                <w:tcPr>
                  <w:tcW w:w="1582" w:type="pct"/>
                  <w:gridSpan w:val="3"/>
                  <w:vAlign w:val="center"/>
                </w:tcPr>
                <w:p w14:paraId="23CB9550">
                  <w:pPr>
                    <w:pStyle w:val="103"/>
                    <w:rPr>
                      <w:rFonts w:eastAsia="宋体"/>
                      <w:b/>
                      <w:color w:val="auto"/>
                      <w:sz w:val="21"/>
                      <w:highlight w:val="none"/>
                    </w:rPr>
                  </w:pPr>
                  <w:r>
                    <w:rPr>
                      <w:rFonts w:eastAsia="宋体"/>
                      <w:b/>
                      <w:color w:val="auto"/>
                      <w:sz w:val="21"/>
                      <w:highlight w:val="none"/>
                    </w:rPr>
                    <w:t>受纳污水处理厂信息</w:t>
                  </w:r>
                </w:p>
              </w:tc>
            </w:tr>
            <w:tr w14:paraId="19C206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175" w:type="pct"/>
                  <w:vMerge w:val="continue"/>
                  <w:vAlign w:val="center"/>
                </w:tcPr>
                <w:p w14:paraId="14E70C00">
                  <w:pPr>
                    <w:pStyle w:val="103"/>
                    <w:rPr>
                      <w:rFonts w:eastAsia="宋体"/>
                      <w:b/>
                      <w:color w:val="auto"/>
                      <w:sz w:val="21"/>
                      <w:highlight w:val="none"/>
                    </w:rPr>
                  </w:pPr>
                </w:p>
              </w:tc>
              <w:tc>
                <w:tcPr>
                  <w:tcW w:w="426" w:type="pct"/>
                  <w:vMerge w:val="continue"/>
                  <w:vAlign w:val="center"/>
                </w:tcPr>
                <w:p w14:paraId="5D2185EA">
                  <w:pPr>
                    <w:pStyle w:val="103"/>
                    <w:rPr>
                      <w:rFonts w:eastAsia="宋体"/>
                      <w:b/>
                      <w:color w:val="auto"/>
                      <w:sz w:val="21"/>
                      <w:highlight w:val="none"/>
                    </w:rPr>
                  </w:pPr>
                </w:p>
              </w:tc>
              <w:tc>
                <w:tcPr>
                  <w:tcW w:w="520" w:type="pct"/>
                  <w:vAlign w:val="center"/>
                </w:tcPr>
                <w:p w14:paraId="116F5D65">
                  <w:pPr>
                    <w:pStyle w:val="103"/>
                    <w:rPr>
                      <w:rFonts w:eastAsia="宋体"/>
                      <w:b/>
                      <w:color w:val="auto"/>
                      <w:sz w:val="21"/>
                      <w:highlight w:val="none"/>
                    </w:rPr>
                  </w:pPr>
                  <w:r>
                    <w:rPr>
                      <w:rFonts w:eastAsia="宋体"/>
                      <w:b/>
                      <w:color w:val="auto"/>
                      <w:sz w:val="21"/>
                      <w:highlight w:val="none"/>
                    </w:rPr>
                    <w:t>经度/°</w:t>
                  </w:r>
                </w:p>
              </w:tc>
              <w:tc>
                <w:tcPr>
                  <w:tcW w:w="466" w:type="pct"/>
                  <w:vAlign w:val="center"/>
                </w:tcPr>
                <w:p w14:paraId="79F49167">
                  <w:pPr>
                    <w:pStyle w:val="103"/>
                    <w:rPr>
                      <w:rFonts w:eastAsia="宋体"/>
                      <w:b/>
                      <w:color w:val="auto"/>
                      <w:sz w:val="21"/>
                      <w:highlight w:val="none"/>
                    </w:rPr>
                  </w:pPr>
                  <w:r>
                    <w:rPr>
                      <w:rFonts w:eastAsia="宋体"/>
                      <w:b/>
                      <w:color w:val="auto"/>
                      <w:sz w:val="21"/>
                      <w:highlight w:val="none"/>
                    </w:rPr>
                    <w:t>纬度/°</w:t>
                  </w:r>
                </w:p>
              </w:tc>
              <w:tc>
                <w:tcPr>
                  <w:tcW w:w="377" w:type="pct"/>
                  <w:vMerge w:val="continue"/>
                  <w:vAlign w:val="center"/>
                </w:tcPr>
                <w:p w14:paraId="2FB73B6C">
                  <w:pPr>
                    <w:pStyle w:val="103"/>
                    <w:rPr>
                      <w:rFonts w:eastAsia="宋体"/>
                      <w:b/>
                      <w:color w:val="auto"/>
                      <w:sz w:val="21"/>
                      <w:highlight w:val="none"/>
                    </w:rPr>
                  </w:pPr>
                </w:p>
              </w:tc>
              <w:tc>
                <w:tcPr>
                  <w:tcW w:w="462" w:type="pct"/>
                  <w:vAlign w:val="center"/>
                </w:tcPr>
                <w:p w14:paraId="6AF56571">
                  <w:pPr>
                    <w:pStyle w:val="103"/>
                    <w:rPr>
                      <w:rFonts w:eastAsia="宋体"/>
                      <w:b/>
                      <w:color w:val="auto"/>
                      <w:sz w:val="21"/>
                      <w:highlight w:val="none"/>
                    </w:rPr>
                  </w:pPr>
                  <w:r>
                    <w:rPr>
                      <w:rFonts w:eastAsia="宋体"/>
                      <w:b/>
                      <w:color w:val="auto"/>
                      <w:sz w:val="21"/>
                      <w:highlight w:val="none"/>
                    </w:rPr>
                    <w:t>排放</w:t>
                  </w:r>
                </w:p>
                <w:p w14:paraId="406BF599">
                  <w:pPr>
                    <w:pStyle w:val="103"/>
                    <w:rPr>
                      <w:rFonts w:eastAsia="宋体"/>
                      <w:b/>
                      <w:color w:val="auto"/>
                      <w:sz w:val="21"/>
                      <w:highlight w:val="none"/>
                    </w:rPr>
                  </w:pPr>
                  <w:r>
                    <w:rPr>
                      <w:rFonts w:eastAsia="宋体"/>
                      <w:b/>
                      <w:color w:val="auto"/>
                      <w:sz w:val="21"/>
                      <w:highlight w:val="none"/>
                    </w:rPr>
                    <w:t>去向</w:t>
                  </w:r>
                </w:p>
              </w:tc>
              <w:tc>
                <w:tcPr>
                  <w:tcW w:w="642" w:type="pct"/>
                  <w:vAlign w:val="center"/>
                </w:tcPr>
                <w:p w14:paraId="27C0BDCA">
                  <w:pPr>
                    <w:pStyle w:val="103"/>
                    <w:rPr>
                      <w:rFonts w:eastAsia="宋体"/>
                      <w:b/>
                      <w:color w:val="auto"/>
                      <w:sz w:val="21"/>
                      <w:highlight w:val="none"/>
                    </w:rPr>
                  </w:pPr>
                  <w:r>
                    <w:rPr>
                      <w:rFonts w:eastAsia="宋体"/>
                      <w:b/>
                      <w:color w:val="auto"/>
                      <w:sz w:val="21"/>
                      <w:highlight w:val="none"/>
                    </w:rPr>
                    <w:t>排放</w:t>
                  </w:r>
                </w:p>
                <w:p w14:paraId="7512DD32">
                  <w:pPr>
                    <w:pStyle w:val="103"/>
                    <w:rPr>
                      <w:rFonts w:eastAsia="宋体"/>
                      <w:b/>
                      <w:color w:val="auto"/>
                      <w:sz w:val="21"/>
                      <w:highlight w:val="none"/>
                    </w:rPr>
                  </w:pPr>
                  <w:r>
                    <w:rPr>
                      <w:rFonts w:eastAsia="宋体"/>
                      <w:b/>
                      <w:color w:val="auto"/>
                      <w:sz w:val="21"/>
                      <w:highlight w:val="none"/>
                    </w:rPr>
                    <w:t>规律</w:t>
                  </w:r>
                </w:p>
              </w:tc>
              <w:tc>
                <w:tcPr>
                  <w:tcW w:w="350" w:type="pct"/>
                  <w:vAlign w:val="center"/>
                </w:tcPr>
                <w:p w14:paraId="052D859D">
                  <w:pPr>
                    <w:pStyle w:val="103"/>
                    <w:rPr>
                      <w:rFonts w:eastAsia="宋体"/>
                      <w:b/>
                      <w:color w:val="auto"/>
                      <w:sz w:val="21"/>
                      <w:highlight w:val="none"/>
                    </w:rPr>
                  </w:pPr>
                  <w:r>
                    <w:rPr>
                      <w:rFonts w:eastAsia="宋体"/>
                      <w:b/>
                      <w:color w:val="auto"/>
                      <w:sz w:val="21"/>
                      <w:highlight w:val="none"/>
                    </w:rPr>
                    <w:t>间歇排放时段</w:t>
                  </w:r>
                </w:p>
              </w:tc>
              <w:tc>
                <w:tcPr>
                  <w:tcW w:w="438" w:type="pct"/>
                  <w:vAlign w:val="center"/>
                </w:tcPr>
                <w:p w14:paraId="77A7F548">
                  <w:pPr>
                    <w:pStyle w:val="103"/>
                    <w:rPr>
                      <w:rFonts w:eastAsia="宋体"/>
                      <w:b/>
                      <w:color w:val="auto"/>
                      <w:sz w:val="21"/>
                      <w:highlight w:val="none"/>
                    </w:rPr>
                  </w:pPr>
                  <w:r>
                    <w:rPr>
                      <w:rFonts w:eastAsia="宋体"/>
                      <w:b/>
                      <w:color w:val="auto"/>
                      <w:sz w:val="21"/>
                      <w:highlight w:val="none"/>
                    </w:rPr>
                    <w:t>名称</w:t>
                  </w:r>
                </w:p>
              </w:tc>
              <w:tc>
                <w:tcPr>
                  <w:tcW w:w="460" w:type="pct"/>
                  <w:vAlign w:val="center"/>
                </w:tcPr>
                <w:p w14:paraId="4D6881FB">
                  <w:pPr>
                    <w:pStyle w:val="103"/>
                    <w:rPr>
                      <w:rFonts w:eastAsia="宋体"/>
                      <w:b/>
                      <w:color w:val="auto"/>
                      <w:sz w:val="21"/>
                      <w:highlight w:val="none"/>
                    </w:rPr>
                  </w:pPr>
                  <w:r>
                    <w:rPr>
                      <w:rFonts w:eastAsia="宋体"/>
                      <w:b/>
                      <w:color w:val="auto"/>
                      <w:sz w:val="21"/>
                      <w:highlight w:val="none"/>
                    </w:rPr>
                    <w:t>污染物</w:t>
                  </w:r>
                </w:p>
                <w:p w14:paraId="51A01BC2">
                  <w:pPr>
                    <w:pStyle w:val="103"/>
                    <w:rPr>
                      <w:rFonts w:eastAsia="宋体"/>
                      <w:b/>
                      <w:color w:val="auto"/>
                      <w:sz w:val="21"/>
                      <w:highlight w:val="none"/>
                    </w:rPr>
                  </w:pPr>
                  <w:r>
                    <w:rPr>
                      <w:rFonts w:eastAsia="宋体"/>
                      <w:b/>
                      <w:color w:val="auto"/>
                      <w:sz w:val="21"/>
                      <w:highlight w:val="none"/>
                    </w:rPr>
                    <w:t>种类</w:t>
                  </w:r>
                </w:p>
              </w:tc>
              <w:tc>
                <w:tcPr>
                  <w:tcW w:w="684" w:type="pct"/>
                  <w:tcMar>
                    <w:left w:w="0" w:type="dxa"/>
                    <w:right w:w="0" w:type="dxa"/>
                  </w:tcMar>
                  <w:vAlign w:val="center"/>
                </w:tcPr>
                <w:p w14:paraId="5463717E">
                  <w:pPr>
                    <w:pStyle w:val="103"/>
                    <w:rPr>
                      <w:rFonts w:eastAsia="宋体"/>
                      <w:b/>
                      <w:color w:val="auto"/>
                      <w:sz w:val="21"/>
                      <w:highlight w:val="none"/>
                    </w:rPr>
                  </w:pPr>
                  <w:r>
                    <w:rPr>
                      <w:rFonts w:eastAsia="宋体"/>
                      <w:b/>
                      <w:color w:val="auto"/>
                      <w:sz w:val="21"/>
                      <w:highlight w:val="none"/>
                    </w:rPr>
                    <w:t>国家或地方污染物排放标准限值(mg/L)</w:t>
                  </w:r>
                </w:p>
              </w:tc>
            </w:tr>
            <w:tr w14:paraId="3AE84A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175" w:type="pct"/>
                  <w:vMerge w:val="restart"/>
                  <w:vAlign w:val="center"/>
                </w:tcPr>
                <w:p w14:paraId="5FDB1981">
                  <w:pPr>
                    <w:pStyle w:val="103"/>
                    <w:rPr>
                      <w:rFonts w:eastAsia="宋体"/>
                      <w:color w:val="auto"/>
                      <w:sz w:val="21"/>
                      <w:highlight w:val="none"/>
                    </w:rPr>
                  </w:pPr>
                  <w:r>
                    <w:rPr>
                      <w:rFonts w:eastAsia="宋体"/>
                      <w:color w:val="auto"/>
                      <w:sz w:val="21"/>
                      <w:highlight w:val="none"/>
                    </w:rPr>
                    <w:t>1</w:t>
                  </w:r>
                </w:p>
              </w:tc>
              <w:tc>
                <w:tcPr>
                  <w:tcW w:w="426" w:type="pct"/>
                  <w:vMerge w:val="restart"/>
                  <w:vAlign w:val="center"/>
                </w:tcPr>
                <w:p w14:paraId="6832C0E3">
                  <w:pPr>
                    <w:pStyle w:val="103"/>
                    <w:rPr>
                      <w:rFonts w:eastAsia="宋体"/>
                      <w:color w:val="auto"/>
                      <w:sz w:val="21"/>
                      <w:highlight w:val="none"/>
                    </w:rPr>
                  </w:pPr>
                  <w:r>
                    <w:rPr>
                      <w:rFonts w:eastAsia="宋体"/>
                      <w:color w:val="auto"/>
                      <w:sz w:val="21"/>
                      <w:highlight w:val="none"/>
                    </w:rPr>
                    <w:t>DW001</w:t>
                  </w:r>
                </w:p>
              </w:tc>
              <w:tc>
                <w:tcPr>
                  <w:tcW w:w="520" w:type="pct"/>
                  <w:vMerge w:val="restart"/>
                  <w:vAlign w:val="center"/>
                </w:tcPr>
                <w:p w14:paraId="10F08F02">
                  <w:pPr>
                    <w:widowControl/>
                    <w:adjustRightInd w:val="0"/>
                    <w:snapToGrid w:val="0"/>
                    <w:jc w:val="center"/>
                    <w:rPr>
                      <w:color w:val="auto"/>
                      <w:szCs w:val="21"/>
                      <w:highlight w:val="none"/>
                    </w:rPr>
                  </w:pPr>
                  <w:r>
                    <w:rPr>
                      <w:color w:val="auto"/>
                      <w:szCs w:val="21"/>
                      <w:highlight w:val="none"/>
                    </w:rPr>
                    <w:t>121.197562914</w:t>
                  </w:r>
                </w:p>
              </w:tc>
              <w:tc>
                <w:tcPr>
                  <w:tcW w:w="466" w:type="pct"/>
                  <w:vMerge w:val="restart"/>
                  <w:vAlign w:val="center"/>
                </w:tcPr>
                <w:p w14:paraId="4978A916">
                  <w:pPr>
                    <w:widowControl/>
                    <w:adjustRightInd w:val="0"/>
                    <w:snapToGrid w:val="0"/>
                    <w:jc w:val="center"/>
                    <w:rPr>
                      <w:color w:val="auto"/>
                      <w:szCs w:val="21"/>
                      <w:highlight w:val="none"/>
                    </w:rPr>
                  </w:pPr>
                  <w:r>
                    <w:rPr>
                      <w:color w:val="auto"/>
                      <w:szCs w:val="21"/>
                      <w:highlight w:val="none"/>
                    </w:rPr>
                    <w:t>31.909878235</w:t>
                  </w:r>
                </w:p>
              </w:tc>
              <w:tc>
                <w:tcPr>
                  <w:tcW w:w="377" w:type="pct"/>
                  <w:vMerge w:val="restart"/>
                  <w:vAlign w:val="center"/>
                </w:tcPr>
                <w:p w14:paraId="74008151">
                  <w:pPr>
                    <w:pStyle w:val="103"/>
                    <w:rPr>
                      <w:rFonts w:eastAsia="宋体"/>
                      <w:color w:val="auto"/>
                      <w:sz w:val="21"/>
                      <w:highlight w:val="none"/>
                    </w:rPr>
                  </w:pPr>
                  <w:r>
                    <w:rPr>
                      <w:rFonts w:eastAsia="宋体"/>
                      <w:color w:val="auto"/>
                      <w:sz w:val="21"/>
                      <w:highlight w:val="none"/>
                    </w:rPr>
                    <w:t>3586</w:t>
                  </w:r>
                </w:p>
              </w:tc>
              <w:tc>
                <w:tcPr>
                  <w:tcW w:w="462" w:type="pct"/>
                  <w:vMerge w:val="restart"/>
                  <w:vAlign w:val="center"/>
                </w:tcPr>
                <w:p w14:paraId="545970FE">
                  <w:pPr>
                    <w:pStyle w:val="103"/>
                    <w:rPr>
                      <w:rFonts w:eastAsia="宋体"/>
                      <w:color w:val="auto"/>
                      <w:sz w:val="21"/>
                      <w:highlight w:val="none"/>
                    </w:rPr>
                  </w:pPr>
                  <w:r>
                    <w:rPr>
                      <w:rFonts w:eastAsia="宋体"/>
                      <w:color w:val="auto"/>
                      <w:sz w:val="21"/>
                      <w:highlight w:val="none"/>
                    </w:rPr>
                    <w:t>进入城市污水处理厂</w:t>
                  </w:r>
                </w:p>
              </w:tc>
              <w:tc>
                <w:tcPr>
                  <w:tcW w:w="642" w:type="pct"/>
                  <w:vMerge w:val="restart"/>
                  <w:vAlign w:val="center"/>
                </w:tcPr>
                <w:p w14:paraId="7D4BDEB5">
                  <w:pPr>
                    <w:pStyle w:val="103"/>
                    <w:rPr>
                      <w:rFonts w:eastAsia="宋体"/>
                      <w:color w:val="auto"/>
                      <w:sz w:val="21"/>
                      <w:highlight w:val="none"/>
                    </w:rPr>
                  </w:pPr>
                  <w:r>
                    <w:rPr>
                      <w:rFonts w:eastAsia="宋体"/>
                      <w:color w:val="auto"/>
                      <w:sz w:val="21"/>
                      <w:highlight w:val="none"/>
                    </w:rPr>
                    <w:t>间接排放，排放期间流量不稳定且无规律，但不属于冲击型排放</w:t>
                  </w:r>
                </w:p>
              </w:tc>
              <w:tc>
                <w:tcPr>
                  <w:tcW w:w="350" w:type="pct"/>
                  <w:vMerge w:val="restart"/>
                  <w:vAlign w:val="center"/>
                </w:tcPr>
                <w:p w14:paraId="62841068">
                  <w:pPr>
                    <w:pStyle w:val="103"/>
                    <w:rPr>
                      <w:rFonts w:eastAsia="宋体"/>
                      <w:color w:val="auto"/>
                      <w:sz w:val="21"/>
                      <w:highlight w:val="none"/>
                    </w:rPr>
                  </w:pPr>
                  <w:r>
                    <w:rPr>
                      <w:rFonts w:eastAsia="宋体"/>
                      <w:color w:val="auto"/>
                      <w:sz w:val="21"/>
                      <w:highlight w:val="none"/>
                    </w:rPr>
                    <w:t>有废水产生期间</w:t>
                  </w:r>
                </w:p>
              </w:tc>
              <w:tc>
                <w:tcPr>
                  <w:tcW w:w="438" w:type="pct"/>
                  <w:vMerge w:val="restart"/>
                  <w:vAlign w:val="center"/>
                </w:tcPr>
                <w:p w14:paraId="1EF00807">
                  <w:pPr>
                    <w:pStyle w:val="103"/>
                    <w:rPr>
                      <w:rFonts w:eastAsia="宋体"/>
                      <w:color w:val="auto"/>
                      <w:sz w:val="21"/>
                      <w:highlight w:val="none"/>
                    </w:rPr>
                  </w:pPr>
                  <w:r>
                    <w:rPr>
                      <w:rFonts w:eastAsia="宋体"/>
                      <w:color w:val="auto"/>
                      <w:sz w:val="21"/>
                      <w:highlight w:val="none"/>
                    </w:rPr>
                    <w:t>海门市东洲水处理有限公司</w:t>
                  </w:r>
                </w:p>
              </w:tc>
              <w:tc>
                <w:tcPr>
                  <w:tcW w:w="460" w:type="pct"/>
                  <w:vAlign w:val="center"/>
                </w:tcPr>
                <w:p w14:paraId="185DC653">
                  <w:pPr>
                    <w:pStyle w:val="103"/>
                    <w:rPr>
                      <w:rFonts w:eastAsia="宋体"/>
                      <w:color w:val="auto"/>
                      <w:sz w:val="21"/>
                      <w:highlight w:val="none"/>
                    </w:rPr>
                  </w:pPr>
                  <w:r>
                    <w:rPr>
                      <w:rFonts w:eastAsia="宋体"/>
                      <w:color w:val="auto"/>
                      <w:sz w:val="21"/>
                      <w:highlight w:val="none"/>
                    </w:rPr>
                    <w:t>pH</w:t>
                  </w:r>
                </w:p>
              </w:tc>
              <w:tc>
                <w:tcPr>
                  <w:tcW w:w="684" w:type="pct"/>
                  <w:vAlign w:val="center"/>
                </w:tcPr>
                <w:p w14:paraId="236B824A">
                  <w:pPr>
                    <w:pStyle w:val="103"/>
                    <w:rPr>
                      <w:rFonts w:eastAsia="宋体"/>
                      <w:color w:val="auto"/>
                      <w:sz w:val="21"/>
                      <w:highlight w:val="none"/>
                    </w:rPr>
                  </w:pPr>
                  <w:r>
                    <w:rPr>
                      <w:rFonts w:eastAsia="宋体"/>
                      <w:color w:val="auto"/>
                      <w:sz w:val="21"/>
                      <w:highlight w:val="none"/>
                    </w:rPr>
                    <w:t>6~9</w:t>
                  </w:r>
                </w:p>
              </w:tc>
            </w:tr>
            <w:tr w14:paraId="143E6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175" w:type="pct"/>
                  <w:vMerge w:val="continue"/>
                  <w:vAlign w:val="center"/>
                </w:tcPr>
                <w:p w14:paraId="4E93A973">
                  <w:pPr>
                    <w:pStyle w:val="103"/>
                    <w:rPr>
                      <w:rFonts w:eastAsia="宋体"/>
                      <w:color w:val="auto"/>
                      <w:sz w:val="21"/>
                      <w:highlight w:val="none"/>
                    </w:rPr>
                  </w:pPr>
                </w:p>
              </w:tc>
              <w:tc>
                <w:tcPr>
                  <w:tcW w:w="426" w:type="pct"/>
                  <w:vMerge w:val="continue"/>
                  <w:vAlign w:val="center"/>
                </w:tcPr>
                <w:p w14:paraId="2C3F09AD">
                  <w:pPr>
                    <w:pStyle w:val="103"/>
                    <w:rPr>
                      <w:rFonts w:eastAsia="宋体"/>
                      <w:color w:val="auto"/>
                      <w:sz w:val="21"/>
                      <w:highlight w:val="none"/>
                    </w:rPr>
                  </w:pPr>
                </w:p>
              </w:tc>
              <w:tc>
                <w:tcPr>
                  <w:tcW w:w="520" w:type="pct"/>
                  <w:vMerge w:val="continue"/>
                  <w:vAlign w:val="center"/>
                </w:tcPr>
                <w:p w14:paraId="7F83DE59">
                  <w:pPr>
                    <w:widowControl/>
                    <w:adjustRightInd w:val="0"/>
                    <w:snapToGrid w:val="0"/>
                    <w:jc w:val="center"/>
                    <w:rPr>
                      <w:color w:val="auto"/>
                      <w:kern w:val="0"/>
                      <w:szCs w:val="21"/>
                      <w:highlight w:val="none"/>
                    </w:rPr>
                  </w:pPr>
                </w:p>
              </w:tc>
              <w:tc>
                <w:tcPr>
                  <w:tcW w:w="466" w:type="pct"/>
                  <w:vMerge w:val="continue"/>
                  <w:vAlign w:val="center"/>
                </w:tcPr>
                <w:p w14:paraId="2327E6FC">
                  <w:pPr>
                    <w:widowControl/>
                    <w:adjustRightInd w:val="0"/>
                    <w:snapToGrid w:val="0"/>
                    <w:jc w:val="center"/>
                    <w:rPr>
                      <w:color w:val="auto"/>
                      <w:kern w:val="0"/>
                      <w:szCs w:val="21"/>
                      <w:highlight w:val="none"/>
                    </w:rPr>
                  </w:pPr>
                </w:p>
              </w:tc>
              <w:tc>
                <w:tcPr>
                  <w:tcW w:w="377" w:type="pct"/>
                  <w:vMerge w:val="continue"/>
                  <w:vAlign w:val="center"/>
                </w:tcPr>
                <w:p w14:paraId="01DFFFCF">
                  <w:pPr>
                    <w:pStyle w:val="103"/>
                    <w:rPr>
                      <w:rFonts w:eastAsia="宋体"/>
                      <w:color w:val="auto"/>
                      <w:sz w:val="21"/>
                      <w:highlight w:val="none"/>
                    </w:rPr>
                  </w:pPr>
                </w:p>
              </w:tc>
              <w:tc>
                <w:tcPr>
                  <w:tcW w:w="462" w:type="pct"/>
                  <w:vMerge w:val="continue"/>
                  <w:vAlign w:val="center"/>
                </w:tcPr>
                <w:p w14:paraId="01BC0E9C">
                  <w:pPr>
                    <w:pStyle w:val="103"/>
                    <w:rPr>
                      <w:rFonts w:eastAsia="宋体"/>
                      <w:color w:val="auto"/>
                      <w:sz w:val="21"/>
                      <w:highlight w:val="none"/>
                    </w:rPr>
                  </w:pPr>
                </w:p>
              </w:tc>
              <w:tc>
                <w:tcPr>
                  <w:tcW w:w="642" w:type="pct"/>
                  <w:vMerge w:val="continue"/>
                  <w:vAlign w:val="center"/>
                </w:tcPr>
                <w:p w14:paraId="737256E0">
                  <w:pPr>
                    <w:pStyle w:val="103"/>
                    <w:rPr>
                      <w:rFonts w:eastAsia="宋体"/>
                      <w:color w:val="auto"/>
                      <w:sz w:val="21"/>
                      <w:highlight w:val="none"/>
                    </w:rPr>
                  </w:pPr>
                </w:p>
              </w:tc>
              <w:tc>
                <w:tcPr>
                  <w:tcW w:w="350" w:type="pct"/>
                  <w:vMerge w:val="continue"/>
                  <w:vAlign w:val="center"/>
                </w:tcPr>
                <w:p w14:paraId="240FCC98">
                  <w:pPr>
                    <w:pStyle w:val="103"/>
                    <w:rPr>
                      <w:rFonts w:eastAsia="宋体"/>
                      <w:color w:val="auto"/>
                      <w:sz w:val="21"/>
                      <w:highlight w:val="none"/>
                    </w:rPr>
                  </w:pPr>
                </w:p>
              </w:tc>
              <w:tc>
                <w:tcPr>
                  <w:tcW w:w="438" w:type="pct"/>
                  <w:vMerge w:val="continue"/>
                  <w:vAlign w:val="center"/>
                </w:tcPr>
                <w:p w14:paraId="157DB098">
                  <w:pPr>
                    <w:pStyle w:val="103"/>
                    <w:rPr>
                      <w:rFonts w:eastAsia="宋体"/>
                      <w:color w:val="auto"/>
                      <w:sz w:val="21"/>
                      <w:highlight w:val="none"/>
                    </w:rPr>
                  </w:pPr>
                </w:p>
              </w:tc>
              <w:tc>
                <w:tcPr>
                  <w:tcW w:w="460" w:type="pct"/>
                  <w:vAlign w:val="center"/>
                </w:tcPr>
                <w:p w14:paraId="532BE374">
                  <w:pPr>
                    <w:pStyle w:val="103"/>
                    <w:rPr>
                      <w:rFonts w:eastAsia="宋体"/>
                      <w:color w:val="auto"/>
                      <w:sz w:val="21"/>
                      <w:highlight w:val="none"/>
                    </w:rPr>
                  </w:pPr>
                  <w:r>
                    <w:rPr>
                      <w:rFonts w:eastAsia="宋体"/>
                      <w:color w:val="auto"/>
                      <w:sz w:val="21"/>
                      <w:highlight w:val="none"/>
                    </w:rPr>
                    <w:t>COD</w:t>
                  </w:r>
                </w:p>
              </w:tc>
              <w:tc>
                <w:tcPr>
                  <w:tcW w:w="684" w:type="pct"/>
                  <w:vAlign w:val="center"/>
                </w:tcPr>
                <w:p w14:paraId="27997A6C">
                  <w:pPr>
                    <w:pStyle w:val="103"/>
                    <w:rPr>
                      <w:rFonts w:eastAsia="宋体"/>
                      <w:color w:val="auto"/>
                      <w:sz w:val="21"/>
                      <w:highlight w:val="none"/>
                    </w:rPr>
                  </w:pPr>
                  <w:r>
                    <w:rPr>
                      <w:rFonts w:eastAsia="宋体"/>
                      <w:color w:val="auto"/>
                      <w:sz w:val="21"/>
                      <w:highlight w:val="none"/>
                    </w:rPr>
                    <w:t>50</w:t>
                  </w:r>
                </w:p>
              </w:tc>
            </w:tr>
            <w:tr w14:paraId="7A4382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175" w:type="pct"/>
                  <w:vMerge w:val="continue"/>
                  <w:vAlign w:val="center"/>
                </w:tcPr>
                <w:p w14:paraId="1BB98AF8">
                  <w:pPr>
                    <w:pStyle w:val="103"/>
                    <w:rPr>
                      <w:rFonts w:eastAsia="宋体"/>
                      <w:color w:val="auto"/>
                      <w:sz w:val="21"/>
                      <w:highlight w:val="none"/>
                    </w:rPr>
                  </w:pPr>
                </w:p>
              </w:tc>
              <w:tc>
                <w:tcPr>
                  <w:tcW w:w="426" w:type="pct"/>
                  <w:vMerge w:val="continue"/>
                  <w:vAlign w:val="center"/>
                </w:tcPr>
                <w:p w14:paraId="7158C18F">
                  <w:pPr>
                    <w:pStyle w:val="103"/>
                    <w:rPr>
                      <w:rFonts w:eastAsia="宋体"/>
                      <w:color w:val="auto"/>
                      <w:sz w:val="21"/>
                      <w:highlight w:val="none"/>
                    </w:rPr>
                  </w:pPr>
                </w:p>
              </w:tc>
              <w:tc>
                <w:tcPr>
                  <w:tcW w:w="520" w:type="pct"/>
                  <w:vMerge w:val="continue"/>
                  <w:vAlign w:val="center"/>
                </w:tcPr>
                <w:p w14:paraId="2CEBFA4E">
                  <w:pPr>
                    <w:pStyle w:val="103"/>
                    <w:rPr>
                      <w:rFonts w:eastAsia="宋体"/>
                      <w:color w:val="auto"/>
                      <w:sz w:val="21"/>
                      <w:highlight w:val="none"/>
                    </w:rPr>
                  </w:pPr>
                </w:p>
              </w:tc>
              <w:tc>
                <w:tcPr>
                  <w:tcW w:w="466" w:type="pct"/>
                  <w:vMerge w:val="continue"/>
                  <w:vAlign w:val="center"/>
                </w:tcPr>
                <w:p w14:paraId="23E8C5C1">
                  <w:pPr>
                    <w:pStyle w:val="103"/>
                    <w:rPr>
                      <w:rFonts w:eastAsia="宋体"/>
                      <w:color w:val="auto"/>
                      <w:sz w:val="21"/>
                      <w:highlight w:val="none"/>
                    </w:rPr>
                  </w:pPr>
                </w:p>
              </w:tc>
              <w:tc>
                <w:tcPr>
                  <w:tcW w:w="377" w:type="pct"/>
                  <w:vMerge w:val="continue"/>
                  <w:vAlign w:val="center"/>
                </w:tcPr>
                <w:p w14:paraId="204D7D0A">
                  <w:pPr>
                    <w:pStyle w:val="103"/>
                    <w:rPr>
                      <w:rFonts w:eastAsia="宋体"/>
                      <w:color w:val="auto"/>
                      <w:sz w:val="21"/>
                      <w:highlight w:val="none"/>
                    </w:rPr>
                  </w:pPr>
                </w:p>
              </w:tc>
              <w:tc>
                <w:tcPr>
                  <w:tcW w:w="462" w:type="pct"/>
                  <w:vMerge w:val="continue"/>
                  <w:vAlign w:val="center"/>
                </w:tcPr>
                <w:p w14:paraId="7C52438F">
                  <w:pPr>
                    <w:pStyle w:val="103"/>
                    <w:rPr>
                      <w:rFonts w:eastAsia="宋体"/>
                      <w:color w:val="auto"/>
                      <w:sz w:val="21"/>
                      <w:highlight w:val="none"/>
                    </w:rPr>
                  </w:pPr>
                </w:p>
              </w:tc>
              <w:tc>
                <w:tcPr>
                  <w:tcW w:w="642" w:type="pct"/>
                  <w:vMerge w:val="continue"/>
                  <w:vAlign w:val="center"/>
                </w:tcPr>
                <w:p w14:paraId="53A73DE8">
                  <w:pPr>
                    <w:pStyle w:val="103"/>
                    <w:rPr>
                      <w:rFonts w:eastAsia="宋体"/>
                      <w:color w:val="auto"/>
                      <w:sz w:val="21"/>
                      <w:highlight w:val="none"/>
                    </w:rPr>
                  </w:pPr>
                </w:p>
              </w:tc>
              <w:tc>
                <w:tcPr>
                  <w:tcW w:w="350" w:type="pct"/>
                  <w:vMerge w:val="continue"/>
                  <w:vAlign w:val="center"/>
                </w:tcPr>
                <w:p w14:paraId="5A192650">
                  <w:pPr>
                    <w:pStyle w:val="103"/>
                    <w:rPr>
                      <w:rFonts w:eastAsia="宋体"/>
                      <w:color w:val="auto"/>
                      <w:sz w:val="21"/>
                      <w:highlight w:val="none"/>
                    </w:rPr>
                  </w:pPr>
                </w:p>
              </w:tc>
              <w:tc>
                <w:tcPr>
                  <w:tcW w:w="438" w:type="pct"/>
                  <w:vMerge w:val="continue"/>
                  <w:vAlign w:val="center"/>
                </w:tcPr>
                <w:p w14:paraId="6871266B">
                  <w:pPr>
                    <w:pStyle w:val="103"/>
                    <w:rPr>
                      <w:rFonts w:eastAsia="宋体"/>
                      <w:color w:val="auto"/>
                      <w:sz w:val="21"/>
                      <w:highlight w:val="none"/>
                    </w:rPr>
                  </w:pPr>
                </w:p>
              </w:tc>
              <w:tc>
                <w:tcPr>
                  <w:tcW w:w="460" w:type="pct"/>
                  <w:vAlign w:val="center"/>
                </w:tcPr>
                <w:p w14:paraId="31B64801">
                  <w:pPr>
                    <w:pStyle w:val="103"/>
                    <w:rPr>
                      <w:rFonts w:eastAsia="宋体"/>
                      <w:color w:val="auto"/>
                      <w:sz w:val="21"/>
                      <w:highlight w:val="none"/>
                    </w:rPr>
                  </w:pPr>
                  <w:r>
                    <w:rPr>
                      <w:rFonts w:eastAsia="宋体"/>
                      <w:color w:val="auto"/>
                      <w:sz w:val="21"/>
                      <w:highlight w:val="none"/>
                    </w:rPr>
                    <w:t>SS</w:t>
                  </w:r>
                </w:p>
              </w:tc>
              <w:tc>
                <w:tcPr>
                  <w:tcW w:w="684" w:type="pct"/>
                  <w:vAlign w:val="center"/>
                </w:tcPr>
                <w:p w14:paraId="7A9A2305">
                  <w:pPr>
                    <w:pStyle w:val="103"/>
                    <w:rPr>
                      <w:rFonts w:eastAsia="宋体"/>
                      <w:color w:val="auto"/>
                      <w:sz w:val="21"/>
                      <w:highlight w:val="none"/>
                    </w:rPr>
                  </w:pPr>
                  <w:r>
                    <w:rPr>
                      <w:rFonts w:eastAsia="宋体"/>
                      <w:color w:val="auto"/>
                      <w:sz w:val="21"/>
                      <w:highlight w:val="none"/>
                    </w:rPr>
                    <w:t>10</w:t>
                  </w:r>
                </w:p>
              </w:tc>
            </w:tr>
            <w:tr w14:paraId="7078BB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175" w:type="pct"/>
                  <w:vMerge w:val="continue"/>
                  <w:vAlign w:val="center"/>
                </w:tcPr>
                <w:p w14:paraId="3F11CF1A">
                  <w:pPr>
                    <w:pStyle w:val="103"/>
                    <w:rPr>
                      <w:rFonts w:eastAsia="宋体"/>
                      <w:color w:val="auto"/>
                      <w:sz w:val="21"/>
                      <w:highlight w:val="none"/>
                    </w:rPr>
                  </w:pPr>
                </w:p>
              </w:tc>
              <w:tc>
                <w:tcPr>
                  <w:tcW w:w="426" w:type="pct"/>
                  <w:vMerge w:val="continue"/>
                  <w:vAlign w:val="center"/>
                </w:tcPr>
                <w:p w14:paraId="5DB39504">
                  <w:pPr>
                    <w:pStyle w:val="103"/>
                    <w:rPr>
                      <w:rFonts w:eastAsia="宋体"/>
                      <w:color w:val="auto"/>
                      <w:sz w:val="21"/>
                      <w:highlight w:val="none"/>
                    </w:rPr>
                  </w:pPr>
                </w:p>
              </w:tc>
              <w:tc>
                <w:tcPr>
                  <w:tcW w:w="520" w:type="pct"/>
                  <w:vMerge w:val="continue"/>
                  <w:vAlign w:val="center"/>
                </w:tcPr>
                <w:p w14:paraId="50531103">
                  <w:pPr>
                    <w:pStyle w:val="103"/>
                    <w:rPr>
                      <w:rFonts w:eastAsia="宋体"/>
                      <w:color w:val="auto"/>
                      <w:sz w:val="21"/>
                      <w:highlight w:val="none"/>
                    </w:rPr>
                  </w:pPr>
                </w:p>
              </w:tc>
              <w:tc>
                <w:tcPr>
                  <w:tcW w:w="466" w:type="pct"/>
                  <w:vMerge w:val="continue"/>
                  <w:vAlign w:val="center"/>
                </w:tcPr>
                <w:p w14:paraId="13441996">
                  <w:pPr>
                    <w:pStyle w:val="103"/>
                    <w:rPr>
                      <w:rFonts w:eastAsia="宋体"/>
                      <w:color w:val="auto"/>
                      <w:sz w:val="21"/>
                      <w:highlight w:val="none"/>
                    </w:rPr>
                  </w:pPr>
                </w:p>
              </w:tc>
              <w:tc>
                <w:tcPr>
                  <w:tcW w:w="377" w:type="pct"/>
                  <w:vMerge w:val="continue"/>
                  <w:vAlign w:val="center"/>
                </w:tcPr>
                <w:p w14:paraId="65DB2726">
                  <w:pPr>
                    <w:pStyle w:val="103"/>
                    <w:rPr>
                      <w:rFonts w:eastAsia="宋体"/>
                      <w:color w:val="auto"/>
                      <w:sz w:val="21"/>
                      <w:highlight w:val="none"/>
                    </w:rPr>
                  </w:pPr>
                </w:p>
              </w:tc>
              <w:tc>
                <w:tcPr>
                  <w:tcW w:w="462" w:type="pct"/>
                  <w:vMerge w:val="continue"/>
                  <w:vAlign w:val="center"/>
                </w:tcPr>
                <w:p w14:paraId="39FCD31B">
                  <w:pPr>
                    <w:pStyle w:val="103"/>
                    <w:rPr>
                      <w:rFonts w:eastAsia="宋体"/>
                      <w:color w:val="auto"/>
                      <w:sz w:val="21"/>
                      <w:highlight w:val="none"/>
                    </w:rPr>
                  </w:pPr>
                </w:p>
              </w:tc>
              <w:tc>
                <w:tcPr>
                  <w:tcW w:w="642" w:type="pct"/>
                  <w:vMerge w:val="continue"/>
                  <w:vAlign w:val="center"/>
                </w:tcPr>
                <w:p w14:paraId="0FE70D6E">
                  <w:pPr>
                    <w:pStyle w:val="103"/>
                    <w:rPr>
                      <w:rFonts w:eastAsia="宋体"/>
                      <w:color w:val="auto"/>
                      <w:sz w:val="21"/>
                      <w:highlight w:val="none"/>
                    </w:rPr>
                  </w:pPr>
                </w:p>
              </w:tc>
              <w:tc>
                <w:tcPr>
                  <w:tcW w:w="350" w:type="pct"/>
                  <w:vMerge w:val="continue"/>
                  <w:vAlign w:val="center"/>
                </w:tcPr>
                <w:p w14:paraId="56FF2890">
                  <w:pPr>
                    <w:pStyle w:val="103"/>
                    <w:rPr>
                      <w:rFonts w:eastAsia="宋体"/>
                      <w:color w:val="auto"/>
                      <w:sz w:val="21"/>
                      <w:highlight w:val="none"/>
                    </w:rPr>
                  </w:pPr>
                </w:p>
              </w:tc>
              <w:tc>
                <w:tcPr>
                  <w:tcW w:w="438" w:type="pct"/>
                  <w:vMerge w:val="continue"/>
                  <w:vAlign w:val="center"/>
                </w:tcPr>
                <w:p w14:paraId="17C179C8">
                  <w:pPr>
                    <w:pStyle w:val="103"/>
                    <w:rPr>
                      <w:rFonts w:eastAsia="宋体"/>
                      <w:color w:val="auto"/>
                      <w:sz w:val="21"/>
                      <w:highlight w:val="none"/>
                    </w:rPr>
                  </w:pPr>
                </w:p>
              </w:tc>
              <w:tc>
                <w:tcPr>
                  <w:tcW w:w="460" w:type="pct"/>
                  <w:vAlign w:val="center"/>
                </w:tcPr>
                <w:p w14:paraId="4EF54534">
                  <w:pPr>
                    <w:pStyle w:val="103"/>
                    <w:rPr>
                      <w:rFonts w:eastAsia="宋体"/>
                      <w:color w:val="auto"/>
                      <w:sz w:val="21"/>
                      <w:highlight w:val="none"/>
                    </w:rPr>
                  </w:pPr>
                  <w:r>
                    <w:rPr>
                      <w:rFonts w:eastAsia="宋体"/>
                      <w:color w:val="auto"/>
                      <w:sz w:val="21"/>
                      <w:highlight w:val="none"/>
                    </w:rPr>
                    <w:t>NH</w:t>
                  </w:r>
                  <w:r>
                    <w:rPr>
                      <w:rFonts w:eastAsia="宋体"/>
                      <w:color w:val="auto"/>
                      <w:sz w:val="21"/>
                      <w:highlight w:val="none"/>
                      <w:vertAlign w:val="subscript"/>
                    </w:rPr>
                    <w:t>3</w:t>
                  </w:r>
                  <w:r>
                    <w:rPr>
                      <w:rFonts w:eastAsia="宋体"/>
                      <w:color w:val="auto"/>
                      <w:sz w:val="21"/>
                      <w:highlight w:val="none"/>
                    </w:rPr>
                    <w:t>-N</w:t>
                  </w:r>
                </w:p>
              </w:tc>
              <w:tc>
                <w:tcPr>
                  <w:tcW w:w="684" w:type="pct"/>
                  <w:vAlign w:val="center"/>
                </w:tcPr>
                <w:p w14:paraId="08F709B4">
                  <w:pPr>
                    <w:pStyle w:val="103"/>
                    <w:rPr>
                      <w:rFonts w:eastAsia="宋体"/>
                      <w:color w:val="auto"/>
                      <w:sz w:val="21"/>
                      <w:highlight w:val="none"/>
                    </w:rPr>
                  </w:pPr>
                  <w:r>
                    <w:rPr>
                      <w:rFonts w:eastAsia="宋体"/>
                      <w:color w:val="auto"/>
                      <w:sz w:val="21"/>
                      <w:highlight w:val="none"/>
                    </w:rPr>
                    <w:t>5</w:t>
                  </w:r>
                </w:p>
              </w:tc>
            </w:tr>
            <w:tr w14:paraId="2F7B3E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175" w:type="pct"/>
                  <w:vMerge w:val="continue"/>
                  <w:vAlign w:val="center"/>
                </w:tcPr>
                <w:p w14:paraId="2C2079B2">
                  <w:pPr>
                    <w:pStyle w:val="103"/>
                    <w:rPr>
                      <w:rFonts w:eastAsia="宋体"/>
                      <w:color w:val="auto"/>
                      <w:sz w:val="21"/>
                      <w:highlight w:val="none"/>
                    </w:rPr>
                  </w:pPr>
                </w:p>
              </w:tc>
              <w:tc>
                <w:tcPr>
                  <w:tcW w:w="426" w:type="pct"/>
                  <w:vMerge w:val="continue"/>
                  <w:vAlign w:val="center"/>
                </w:tcPr>
                <w:p w14:paraId="4F0AC054">
                  <w:pPr>
                    <w:pStyle w:val="103"/>
                    <w:rPr>
                      <w:rFonts w:eastAsia="宋体"/>
                      <w:color w:val="auto"/>
                      <w:sz w:val="21"/>
                      <w:highlight w:val="none"/>
                    </w:rPr>
                  </w:pPr>
                </w:p>
              </w:tc>
              <w:tc>
                <w:tcPr>
                  <w:tcW w:w="520" w:type="pct"/>
                  <w:vMerge w:val="continue"/>
                  <w:vAlign w:val="center"/>
                </w:tcPr>
                <w:p w14:paraId="60421A1B">
                  <w:pPr>
                    <w:pStyle w:val="103"/>
                    <w:rPr>
                      <w:rFonts w:eastAsia="宋体"/>
                      <w:color w:val="auto"/>
                      <w:sz w:val="21"/>
                      <w:highlight w:val="none"/>
                    </w:rPr>
                  </w:pPr>
                </w:p>
              </w:tc>
              <w:tc>
                <w:tcPr>
                  <w:tcW w:w="466" w:type="pct"/>
                  <w:vMerge w:val="continue"/>
                  <w:vAlign w:val="center"/>
                </w:tcPr>
                <w:p w14:paraId="5E8BFD02">
                  <w:pPr>
                    <w:pStyle w:val="103"/>
                    <w:rPr>
                      <w:rFonts w:eastAsia="宋体"/>
                      <w:color w:val="auto"/>
                      <w:sz w:val="21"/>
                      <w:highlight w:val="none"/>
                    </w:rPr>
                  </w:pPr>
                </w:p>
              </w:tc>
              <w:tc>
                <w:tcPr>
                  <w:tcW w:w="377" w:type="pct"/>
                  <w:vMerge w:val="continue"/>
                  <w:vAlign w:val="center"/>
                </w:tcPr>
                <w:p w14:paraId="2448CFF1">
                  <w:pPr>
                    <w:pStyle w:val="103"/>
                    <w:rPr>
                      <w:rFonts w:eastAsia="宋体"/>
                      <w:color w:val="auto"/>
                      <w:sz w:val="21"/>
                      <w:highlight w:val="none"/>
                    </w:rPr>
                  </w:pPr>
                </w:p>
              </w:tc>
              <w:tc>
                <w:tcPr>
                  <w:tcW w:w="462" w:type="pct"/>
                  <w:vMerge w:val="continue"/>
                  <w:vAlign w:val="center"/>
                </w:tcPr>
                <w:p w14:paraId="22B16288">
                  <w:pPr>
                    <w:pStyle w:val="103"/>
                    <w:rPr>
                      <w:rFonts w:eastAsia="宋体"/>
                      <w:color w:val="auto"/>
                      <w:sz w:val="21"/>
                      <w:highlight w:val="none"/>
                    </w:rPr>
                  </w:pPr>
                </w:p>
              </w:tc>
              <w:tc>
                <w:tcPr>
                  <w:tcW w:w="642" w:type="pct"/>
                  <w:vMerge w:val="continue"/>
                  <w:vAlign w:val="center"/>
                </w:tcPr>
                <w:p w14:paraId="5DAE4B8B">
                  <w:pPr>
                    <w:pStyle w:val="103"/>
                    <w:rPr>
                      <w:rFonts w:eastAsia="宋体"/>
                      <w:color w:val="auto"/>
                      <w:sz w:val="21"/>
                      <w:highlight w:val="none"/>
                    </w:rPr>
                  </w:pPr>
                </w:p>
              </w:tc>
              <w:tc>
                <w:tcPr>
                  <w:tcW w:w="350" w:type="pct"/>
                  <w:vMerge w:val="continue"/>
                  <w:vAlign w:val="center"/>
                </w:tcPr>
                <w:p w14:paraId="23B84621">
                  <w:pPr>
                    <w:pStyle w:val="103"/>
                    <w:rPr>
                      <w:rFonts w:eastAsia="宋体"/>
                      <w:color w:val="auto"/>
                      <w:sz w:val="21"/>
                      <w:highlight w:val="none"/>
                    </w:rPr>
                  </w:pPr>
                </w:p>
              </w:tc>
              <w:tc>
                <w:tcPr>
                  <w:tcW w:w="438" w:type="pct"/>
                  <w:vMerge w:val="continue"/>
                  <w:vAlign w:val="center"/>
                </w:tcPr>
                <w:p w14:paraId="668E560C">
                  <w:pPr>
                    <w:pStyle w:val="103"/>
                    <w:rPr>
                      <w:rFonts w:eastAsia="宋体"/>
                      <w:color w:val="auto"/>
                      <w:sz w:val="21"/>
                      <w:highlight w:val="none"/>
                    </w:rPr>
                  </w:pPr>
                </w:p>
              </w:tc>
              <w:tc>
                <w:tcPr>
                  <w:tcW w:w="460" w:type="pct"/>
                  <w:vAlign w:val="center"/>
                </w:tcPr>
                <w:p w14:paraId="40B15BC5">
                  <w:pPr>
                    <w:pStyle w:val="103"/>
                    <w:rPr>
                      <w:rFonts w:eastAsia="宋体"/>
                      <w:color w:val="auto"/>
                      <w:sz w:val="21"/>
                      <w:highlight w:val="none"/>
                    </w:rPr>
                  </w:pPr>
                  <w:r>
                    <w:rPr>
                      <w:rFonts w:eastAsia="宋体"/>
                      <w:color w:val="auto"/>
                      <w:sz w:val="21"/>
                      <w:highlight w:val="none"/>
                    </w:rPr>
                    <w:t>TN</w:t>
                  </w:r>
                </w:p>
              </w:tc>
              <w:tc>
                <w:tcPr>
                  <w:tcW w:w="684" w:type="pct"/>
                  <w:vAlign w:val="center"/>
                </w:tcPr>
                <w:p w14:paraId="75C0F537">
                  <w:pPr>
                    <w:pStyle w:val="103"/>
                    <w:rPr>
                      <w:rFonts w:eastAsia="宋体"/>
                      <w:color w:val="auto"/>
                      <w:sz w:val="21"/>
                      <w:highlight w:val="none"/>
                    </w:rPr>
                  </w:pPr>
                  <w:r>
                    <w:rPr>
                      <w:rFonts w:eastAsia="宋体"/>
                      <w:color w:val="auto"/>
                      <w:sz w:val="21"/>
                      <w:highlight w:val="none"/>
                    </w:rPr>
                    <w:t>15</w:t>
                  </w:r>
                </w:p>
              </w:tc>
            </w:tr>
            <w:tr w14:paraId="3B48C0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175" w:type="pct"/>
                  <w:vMerge w:val="continue"/>
                  <w:vAlign w:val="center"/>
                </w:tcPr>
                <w:p w14:paraId="61CB04FA">
                  <w:pPr>
                    <w:pStyle w:val="103"/>
                    <w:rPr>
                      <w:rFonts w:eastAsia="宋体"/>
                      <w:color w:val="auto"/>
                      <w:sz w:val="21"/>
                      <w:highlight w:val="none"/>
                    </w:rPr>
                  </w:pPr>
                </w:p>
              </w:tc>
              <w:tc>
                <w:tcPr>
                  <w:tcW w:w="426" w:type="pct"/>
                  <w:vMerge w:val="continue"/>
                  <w:vAlign w:val="center"/>
                </w:tcPr>
                <w:p w14:paraId="157ED9B1">
                  <w:pPr>
                    <w:pStyle w:val="103"/>
                    <w:rPr>
                      <w:rFonts w:eastAsia="宋体"/>
                      <w:color w:val="auto"/>
                      <w:sz w:val="21"/>
                      <w:highlight w:val="none"/>
                    </w:rPr>
                  </w:pPr>
                </w:p>
              </w:tc>
              <w:tc>
                <w:tcPr>
                  <w:tcW w:w="520" w:type="pct"/>
                  <w:vMerge w:val="continue"/>
                  <w:vAlign w:val="center"/>
                </w:tcPr>
                <w:p w14:paraId="3D1BB3B5">
                  <w:pPr>
                    <w:pStyle w:val="103"/>
                    <w:rPr>
                      <w:rFonts w:eastAsia="宋体"/>
                      <w:color w:val="auto"/>
                      <w:sz w:val="21"/>
                      <w:highlight w:val="none"/>
                    </w:rPr>
                  </w:pPr>
                </w:p>
              </w:tc>
              <w:tc>
                <w:tcPr>
                  <w:tcW w:w="466" w:type="pct"/>
                  <w:vMerge w:val="continue"/>
                  <w:vAlign w:val="center"/>
                </w:tcPr>
                <w:p w14:paraId="15DE06E7">
                  <w:pPr>
                    <w:pStyle w:val="103"/>
                    <w:rPr>
                      <w:rFonts w:eastAsia="宋体"/>
                      <w:color w:val="auto"/>
                      <w:sz w:val="21"/>
                      <w:highlight w:val="none"/>
                    </w:rPr>
                  </w:pPr>
                </w:p>
              </w:tc>
              <w:tc>
                <w:tcPr>
                  <w:tcW w:w="377" w:type="pct"/>
                  <w:vMerge w:val="continue"/>
                  <w:vAlign w:val="center"/>
                </w:tcPr>
                <w:p w14:paraId="24EA5B71">
                  <w:pPr>
                    <w:pStyle w:val="103"/>
                    <w:rPr>
                      <w:rFonts w:eastAsia="宋体"/>
                      <w:color w:val="auto"/>
                      <w:sz w:val="21"/>
                      <w:highlight w:val="none"/>
                    </w:rPr>
                  </w:pPr>
                </w:p>
              </w:tc>
              <w:tc>
                <w:tcPr>
                  <w:tcW w:w="462" w:type="pct"/>
                  <w:vMerge w:val="continue"/>
                  <w:vAlign w:val="center"/>
                </w:tcPr>
                <w:p w14:paraId="04061453">
                  <w:pPr>
                    <w:pStyle w:val="103"/>
                    <w:rPr>
                      <w:rFonts w:eastAsia="宋体"/>
                      <w:color w:val="auto"/>
                      <w:sz w:val="21"/>
                      <w:highlight w:val="none"/>
                    </w:rPr>
                  </w:pPr>
                </w:p>
              </w:tc>
              <w:tc>
                <w:tcPr>
                  <w:tcW w:w="642" w:type="pct"/>
                  <w:vMerge w:val="continue"/>
                  <w:vAlign w:val="center"/>
                </w:tcPr>
                <w:p w14:paraId="7D950FFE">
                  <w:pPr>
                    <w:pStyle w:val="103"/>
                    <w:rPr>
                      <w:rFonts w:eastAsia="宋体"/>
                      <w:color w:val="auto"/>
                      <w:sz w:val="21"/>
                      <w:highlight w:val="none"/>
                    </w:rPr>
                  </w:pPr>
                </w:p>
              </w:tc>
              <w:tc>
                <w:tcPr>
                  <w:tcW w:w="350" w:type="pct"/>
                  <w:vMerge w:val="continue"/>
                  <w:vAlign w:val="center"/>
                </w:tcPr>
                <w:p w14:paraId="45AB3BA3">
                  <w:pPr>
                    <w:pStyle w:val="103"/>
                    <w:rPr>
                      <w:rFonts w:eastAsia="宋体"/>
                      <w:color w:val="auto"/>
                      <w:sz w:val="21"/>
                      <w:highlight w:val="none"/>
                    </w:rPr>
                  </w:pPr>
                </w:p>
              </w:tc>
              <w:tc>
                <w:tcPr>
                  <w:tcW w:w="438" w:type="pct"/>
                  <w:vMerge w:val="continue"/>
                  <w:vAlign w:val="center"/>
                </w:tcPr>
                <w:p w14:paraId="0E02C626">
                  <w:pPr>
                    <w:pStyle w:val="103"/>
                    <w:rPr>
                      <w:rFonts w:eastAsia="宋体"/>
                      <w:color w:val="auto"/>
                      <w:sz w:val="21"/>
                      <w:highlight w:val="none"/>
                    </w:rPr>
                  </w:pPr>
                </w:p>
              </w:tc>
              <w:tc>
                <w:tcPr>
                  <w:tcW w:w="460" w:type="pct"/>
                  <w:vAlign w:val="center"/>
                </w:tcPr>
                <w:p w14:paraId="3ECB681D">
                  <w:pPr>
                    <w:pStyle w:val="103"/>
                    <w:rPr>
                      <w:rFonts w:eastAsia="宋体"/>
                      <w:color w:val="auto"/>
                      <w:sz w:val="21"/>
                      <w:highlight w:val="none"/>
                    </w:rPr>
                  </w:pPr>
                  <w:r>
                    <w:rPr>
                      <w:rFonts w:eastAsia="宋体"/>
                      <w:color w:val="auto"/>
                      <w:sz w:val="21"/>
                      <w:highlight w:val="none"/>
                    </w:rPr>
                    <w:t>TP</w:t>
                  </w:r>
                </w:p>
              </w:tc>
              <w:tc>
                <w:tcPr>
                  <w:tcW w:w="684" w:type="pct"/>
                  <w:vAlign w:val="center"/>
                </w:tcPr>
                <w:p w14:paraId="0DEEBAFC">
                  <w:pPr>
                    <w:pStyle w:val="103"/>
                    <w:rPr>
                      <w:rFonts w:eastAsia="宋体"/>
                      <w:color w:val="auto"/>
                      <w:sz w:val="21"/>
                      <w:highlight w:val="none"/>
                    </w:rPr>
                  </w:pPr>
                  <w:r>
                    <w:rPr>
                      <w:rFonts w:eastAsia="宋体"/>
                      <w:color w:val="auto"/>
                      <w:sz w:val="21"/>
                      <w:highlight w:val="none"/>
                    </w:rPr>
                    <w:t>0.5</w:t>
                  </w:r>
                </w:p>
              </w:tc>
            </w:tr>
          </w:tbl>
          <w:p w14:paraId="6B422A27">
            <w:pPr>
              <w:adjustRightInd w:val="0"/>
              <w:snapToGrid w:val="0"/>
              <w:rPr>
                <w:color w:val="auto"/>
                <w:kern w:val="0"/>
                <w:sz w:val="10"/>
                <w:szCs w:val="10"/>
                <w:highlight w:val="none"/>
              </w:rPr>
            </w:pPr>
          </w:p>
          <w:p w14:paraId="6C313AFB">
            <w:pPr>
              <w:adjustRightInd w:val="0"/>
              <w:snapToGrid w:val="0"/>
              <w:spacing w:line="360" w:lineRule="auto"/>
              <w:ind w:firstLine="482" w:firstLineChars="200"/>
              <w:rPr>
                <w:b/>
                <w:color w:val="auto"/>
                <w:kern w:val="0"/>
                <w:sz w:val="24"/>
                <w:highlight w:val="none"/>
              </w:rPr>
            </w:pPr>
            <w:r>
              <w:rPr>
                <w:rFonts w:hint="eastAsia" w:hAnsi="宋体"/>
                <w:b/>
                <w:color w:val="auto"/>
                <w:kern w:val="0"/>
                <w:sz w:val="24"/>
                <w:highlight w:val="none"/>
              </w:rPr>
              <w:t>2.4废</w:t>
            </w:r>
            <w:r>
              <w:rPr>
                <w:rFonts w:hAnsi="宋体"/>
                <w:b/>
                <w:color w:val="auto"/>
                <w:kern w:val="0"/>
                <w:sz w:val="24"/>
                <w:highlight w:val="none"/>
              </w:rPr>
              <w:t>水污染源监测计划</w:t>
            </w:r>
          </w:p>
          <w:p w14:paraId="224A93F9">
            <w:pPr>
              <w:adjustRightInd w:val="0"/>
              <w:snapToGrid w:val="0"/>
              <w:spacing w:line="360" w:lineRule="auto"/>
              <w:ind w:firstLine="480" w:firstLineChars="200"/>
              <w:rPr>
                <w:color w:val="auto"/>
                <w:kern w:val="0"/>
                <w:sz w:val="24"/>
                <w:highlight w:val="none"/>
              </w:rPr>
            </w:pPr>
            <w:r>
              <w:rPr>
                <w:rFonts w:hAnsi="宋体"/>
                <w:snapToGrid w:val="0"/>
                <w:color w:val="auto"/>
                <w:kern w:val="0"/>
                <w:sz w:val="24"/>
                <w:highlight w:val="none"/>
              </w:rPr>
              <w:t>企业应按照《排污单位自行监测技术指南总则》、《固定污染源排污许可分类管理目录》和</w:t>
            </w:r>
            <w:r>
              <w:rPr>
                <w:rFonts w:hint="eastAsia" w:hAnsi="宋体"/>
                <w:snapToGrid w:val="0"/>
                <w:color w:val="auto"/>
                <w:kern w:val="0"/>
                <w:sz w:val="24"/>
                <w:highlight w:val="none"/>
              </w:rPr>
              <w:t>排污许可证申请与核发技术规范 汽车制造业》（HJ971—2018）</w:t>
            </w:r>
            <w:r>
              <w:rPr>
                <w:rFonts w:hAnsi="宋体"/>
                <w:snapToGrid w:val="0"/>
                <w:color w:val="auto"/>
                <w:kern w:val="0"/>
                <w:sz w:val="24"/>
                <w:highlight w:val="none"/>
              </w:rPr>
              <w:t>相关要求，开展</w:t>
            </w:r>
            <w:r>
              <w:rPr>
                <w:rFonts w:hint="eastAsia" w:hAnsi="宋体"/>
                <w:snapToGrid w:val="0"/>
                <w:color w:val="auto"/>
                <w:kern w:val="0"/>
                <w:sz w:val="24"/>
                <w:highlight w:val="none"/>
              </w:rPr>
              <w:t>废</w:t>
            </w:r>
            <w:r>
              <w:rPr>
                <w:rFonts w:hAnsi="宋体"/>
                <w:snapToGrid w:val="0"/>
                <w:color w:val="auto"/>
                <w:sz w:val="24"/>
                <w:highlight w:val="none"/>
              </w:rPr>
              <w:t>水</w:t>
            </w:r>
            <w:r>
              <w:rPr>
                <w:rFonts w:hAnsi="宋体"/>
                <w:snapToGrid w:val="0"/>
                <w:color w:val="auto"/>
                <w:kern w:val="0"/>
                <w:sz w:val="24"/>
                <w:highlight w:val="none"/>
              </w:rPr>
              <w:t>污染源监测，</w:t>
            </w:r>
            <w:r>
              <w:rPr>
                <w:rFonts w:hint="eastAsia" w:hAnsi="宋体"/>
                <w:snapToGrid w:val="0"/>
                <w:color w:val="auto"/>
                <w:kern w:val="0"/>
                <w:sz w:val="24"/>
                <w:highlight w:val="none"/>
              </w:rPr>
              <w:t>废</w:t>
            </w:r>
            <w:r>
              <w:rPr>
                <w:rFonts w:hAnsi="宋体"/>
                <w:snapToGrid w:val="0"/>
                <w:color w:val="auto"/>
                <w:sz w:val="24"/>
                <w:highlight w:val="none"/>
              </w:rPr>
              <w:t>水</w:t>
            </w:r>
            <w:r>
              <w:rPr>
                <w:rFonts w:hAnsi="宋体"/>
                <w:snapToGrid w:val="0"/>
                <w:color w:val="auto"/>
                <w:kern w:val="0"/>
                <w:sz w:val="24"/>
                <w:highlight w:val="none"/>
              </w:rPr>
              <w:t>污染源监测计划见表</w:t>
            </w:r>
            <w:r>
              <w:rPr>
                <w:snapToGrid w:val="0"/>
                <w:color w:val="auto"/>
                <w:kern w:val="0"/>
                <w:sz w:val="24"/>
                <w:highlight w:val="none"/>
              </w:rPr>
              <w:t>4-</w:t>
            </w:r>
            <w:r>
              <w:rPr>
                <w:rFonts w:hint="eastAsia"/>
                <w:snapToGrid w:val="0"/>
                <w:color w:val="auto"/>
                <w:kern w:val="0"/>
                <w:sz w:val="24"/>
                <w:highlight w:val="none"/>
              </w:rPr>
              <w:t>1</w:t>
            </w:r>
            <w:r>
              <w:rPr>
                <w:rFonts w:hint="default"/>
                <w:snapToGrid w:val="0"/>
                <w:color w:val="auto"/>
                <w:kern w:val="0"/>
                <w:sz w:val="24"/>
                <w:highlight w:val="none"/>
              </w:rPr>
              <w:t>7</w:t>
            </w:r>
            <w:r>
              <w:rPr>
                <w:rFonts w:hint="eastAsia"/>
                <w:snapToGrid w:val="0"/>
                <w:color w:val="auto"/>
                <w:kern w:val="0"/>
                <w:sz w:val="24"/>
                <w:highlight w:val="none"/>
              </w:rPr>
              <w:t>。</w:t>
            </w:r>
          </w:p>
          <w:p w14:paraId="098C3A2E">
            <w:pPr>
              <w:pStyle w:val="72"/>
              <w:adjustRightInd w:val="0"/>
              <w:snapToGrid w:val="0"/>
              <w:ind w:firstLine="0" w:firstLineChars="0"/>
              <w:jc w:val="center"/>
              <w:rPr>
                <w:rFonts w:eastAsia="宋体" w:cs="Times New Roman"/>
                <w:snapToGrid w:val="0"/>
                <w:color w:val="auto"/>
                <w:kern w:val="0"/>
                <w:sz w:val="24"/>
                <w:szCs w:val="24"/>
                <w:highlight w:val="none"/>
              </w:rPr>
            </w:pPr>
            <w:r>
              <w:rPr>
                <w:rFonts w:hAnsi="宋体" w:eastAsia="宋体" w:cs="Times New Roman"/>
                <w:b/>
                <w:bCs/>
                <w:snapToGrid w:val="0"/>
                <w:color w:val="auto"/>
                <w:kern w:val="0"/>
                <w:sz w:val="24"/>
                <w:szCs w:val="24"/>
                <w:highlight w:val="none"/>
              </w:rPr>
              <w:t>表</w:t>
            </w:r>
            <w:r>
              <w:rPr>
                <w:rFonts w:eastAsia="宋体" w:cs="Times New Roman"/>
                <w:b/>
                <w:bCs/>
                <w:snapToGrid w:val="0"/>
                <w:color w:val="auto"/>
                <w:kern w:val="0"/>
                <w:sz w:val="24"/>
                <w:szCs w:val="24"/>
                <w:highlight w:val="none"/>
              </w:rPr>
              <w:t>4-</w:t>
            </w:r>
            <w:r>
              <w:rPr>
                <w:rFonts w:hint="eastAsia" w:eastAsia="宋体" w:cs="Times New Roman"/>
                <w:b/>
                <w:bCs/>
                <w:snapToGrid w:val="0"/>
                <w:color w:val="auto"/>
                <w:kern w:val="0"/>
                <w:sz w:val="24"/>
                <w:szCs w:val="24"/>
                <w:highlight w:val="none"/>
              </w:rPr>
              <w:t>1</w:t>
            </w:r>
            <w:r>
              <w:rPr>
                <w:rFonts w:hint="default" w:eastAsia="宋体" w:cs="Times New Roman"/>
                <w:b/>
                <w:bCs/>
                <w:snapToGrid w:val="0"/>
                <w:color w:val="auto"/>
                <w:kern w:val="0"/>
                <w:sz w:val="24"/>
                <w:szCs w:val="24"/>
                <w:highlight w:val="none"/>
              </w:rPr>
              <w:t>7</w:t>
            </w:r>
            <w:r>
              <w:rPr>
                <w:rFonts w:eastAsia="宋体" w:cs="Times New Roman"/>
                <w:b/>
                <w:bCs/>
                <w:snapToGrid w:val="0"/>
                <w:color w:val="auto"/>
                <w:kern w:val="0"/>
                <w:sz w:val="24"/>
                <w:szCs w:val="24"/>
                <w:highlight w:val="none"/>
              </w:rPr>
              <w:t xml:space="preserve"> </w:t>
            </w:r>
            <w:r>
              <w:rPr>
                <w:rFonts w:hAnsi="宋体" w:eastAsia="宋体" w:cs="Times New Roman"/>
                <w:b/>
                <w:bCs/>
                <w:snapToGrid w:val="0"/>
                <w:color w:val="auto"/>
                <w:kern w:val="0"/>
                <w:sz w:val="24"/>
                <w:szCs w:val="24"/>
                <w:highlight w:val="none"/>
              </w:rPr>
              <w:t>废水污染源环境监测计划</w:t>
            </w:r>
          </w:p>
          <w:tbl>
            <w:tblPr>
              <w:tblStyle w:val="2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2"/>
              <w:gridCol w:w="1627"/>
              <w:gridCol w:w="2275"/>
              <w:gridCol w:w="1301"/>
              <w:gridCol w:w="4242"/>
            </w:tblGrid>
            <w:tr w14:paraId="2C999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96" w:type="pct"/>
                  <w:vAlign w:val="center"/>
                </w:tcPr>
                <w:p w14:paraId="46AFD208">
                  <w:pPr>
                    <w:pStyle w:val="72"/>
                    <w:adjustRightInd w:val="0"/>
                    <w:snapToGrid w:val="0"/>
                    <w:ind w:firstLine="0" w:firstLineChars="0"/>
                    <w:jc w:val="center"/>
                    <w:rPr>
                      <w:rFonts w:eastAsia="宋体" w:cs="Times New Roman"/>
                      <w:b/>
                      <w:bCs/>
                      <w:snapToGrid w:val="0"/>
                      <w:color w:val="auto"/>
                      <w:kern w:val="0"/>
                      <w:szCs w:val="21"/>
                      <w:highlight w:val="none"/>
                    </w:rPr>
                  </w:pPr>
                  <w:r>
                    <w:rPr>
                      <w:rFonts w:hAnsi="宋体" w:eastAsia="宋体" w:cs="Times New Roman"/>
                      <w:b/>
                      <w:bCs/>
                      <w:snapToGrid w:val="0"/>
                      <w:color w:val="auto"/>
                      <w:kern w:val="0"/>
                      <w:szCs w:val="21"/>
                      <w:highlight w:val="none"/>
                    </w:rPr>
                    <w:t>类别</w:t>
                  </w:r>
                </w:p>
              </w:tc>
              <w:tc>
                <w:tcPr>
                  <w:tcW w:w="793" w:type="pct"/>
                  <w:vAlign w:val="center"/>
                </w:tcPr>
                <w:p w14:paraId="6489F78E">
                  <w:pPr>
                    <w:pStyle w:val="72"/>
                    <w:adjustRightInd w:val="0"/>
                    <w:snapToGrid w:val="0"/>
                    <w:ind w:firstLine="0" w:firstLineChars="0"/>
                    <w:jc w:val="center"/>
                    <w:rPr>
                      <w:rFonts w:eastAsia="宋体" w:cs="Times New Roman"/>
                      <w:b/>
                      <w:bCs/>
                      <w:snapToGrid w:val="0"/>
                      <w:color w:val="auto"/>
                      <w:kern w:val="0"/>
                      <w:szCs w:val="21"/>
                      <w:highlight w:val="none"/>
                    </w:rPr>
                  </w:pPr>
                  <w:r>
                    <w:rPr>
                      <w:rFonts w:hAnsi="宋体" w:eastAsia="宋体" w:cs="Times New Roman"/>
                      <w:b/>
                      <w:bCs/>
                      <w:snapToGrid w:val="0"/>
                      <w:color w:val="auto"/>
                      <w:kern w:val="0"/>
                      <w:szCs w:val="21"/>
                      <w:highlight w:val="none"/>
                    </w:rPr>
                    <w:t>监测位置</w:t>
                  </w:r>
                </w:p>
              </w:tc>
              <w:tc>
                <w:tcPr>
                  <w:tcW w:w="1109" w:type="pct"/>
                  <w:vAlign w:val="center"/>
                </w:tcPr>
                <w:p w14:paraId="59788F99">
                  <w:pPr>
                    <w:pStyle w:val="72"/>
                    <w:adjustRightInd w:val="0"/>
                    <w:snapToGrid w:val="0"/>
                    <w:ind w:firstLine="0" w:firstLineChars="0"/>
                    <w:jc w:val="center"/>
                    <w:rPr>
                      <w:rFonts w:eastAsia="宋体" w:cs="Times New Roman"/>
                      <w:b/>
                      <w:bCs/>
                      <w:snapToGrid w:val="0"/>
                      <w:color w:val="auto"/>
                      <w:kern w:val="0"/>
                      <w:szCs w:val="21"/>
                      <w:highlight w:val="none"/>
                    </w:rPr>
                  </w:pPr>
                  <w:r>
                    <w:rPr>
                      <w:rFonts w:hAnsi="宋体" w:eastAsia="宋体" w:cs="Times New Roman"/>
                      <w:b/>
                      <w:bCs/>
                      <w:snapToGrid w:val="0"/>
                      <w:color w:val="auto"/>
                      <w:kern w:val="0"/>
                      <w:szCs w:val="21"/>
                      <w:highlight w:val="none"/>
                    </w:rPr>
                    <w:t>监测项目</w:t>
                  </w:r>
                </w:p>
              </w:tc>
              <w:tc>
                <w:tcPr>
                  <w:tcW w:w="634" w:type="pct"/>
                  <w:vAlign w:val="center"/>
                </w:tcPr>
                <w:p w14:paraId="78D3596A">
                  <w:pPr>
                    <w:pStyle w:val="72"/>
                    <w:adjustRightInd w:val="0"/>
                    <w:snapToGrid w:val="0"/>
                    <w:ind w:firstLine="0" w:firstLineChars="0"/>
                    <w:jc w:val="center"/>
                    <w:rPr>
                      <w:rFonts w:eastAsia="宋体" w:cs="Times New Roman"/>
                      <w:b/>
                      <w:bCs/>
                      <w:snapToGrid w:val="0"/>
                      <w:color w:val="auto"/>
                      <w:kern w:val="0"/>
                      <w:szCs w:val="21"/>
                      <w:highlight w:val="none"/>
                    </w:rPr>
                  </w:pPr>
                  <w:r>
                    <w:rPr>
                      <w:rFonts w:hAnsi="宋体" w:eastAsia="宋体" w:cs="Times New Roman"/>
                      <w:b/>
                      <w:bCs/>
                      <w:snapToGrid w:val="0"/>
                      <w:color w:val="auto"/>
                      <w:kern w:val="0"/>
                      <w:szCs w:val="21"/>
                      <w:highlight w:val="none"/>
                    </w:rPr>
                    <w:t>监测频次</w:t>
                  </w:r>
                </w:p>
              </w:tc>
              <w:tc>
                <w:tcPr>
                  <w:tcW w:w="2068" w:type="pct"/>
                  <w:vAlign w:val="center"/>
                </w:tcPr>
                <w:p w14:paraId="55467D20">
                  <w:pPr>
                    <w:pStyle w:val="72"/>
                    <w:adjustRightInd w:val="0"/>
                    <w:snapToGrid w:val="0"/>
                    <w:ind w:firstLine="0" w:firstLineChars="0"/>
                    <w:jc w:val="center"/>
                    <w:rPr>
                      <w:rFonts w:eastAsia="宋体" w:cs="Times New Roman"/>
                      <w:b/>
                      <w:bCs/>
                      <w:snapToGrid w:val="0"/>
                      <w:color w:val="auto"/>
                      <w:kern w:val="0"/>
                      <w:szCs w:val="21"/>
                      <w:highlight w:val="none"/>
                    </w:rPr>
                  </w:pPr>
                  <w:r>
                    <w:rPr>
                      <w:rFonts w:hAnsi="宋体" w:eastAsia="宋体" w:cs="Times New Roman"/>
                      <w:b/>
                      <w:bCs/>
                      <w:snapToGrid w:val="0"/>
                      <w:color w:val="auto"/>
                      <w:kern w:val="0"/>
                      <w:szCs w:val="21"/>
                      <w:highlight w:val="none"/>
                    </w:rPr>
                    <w:t>执行排放标准</w:t>
                  </w:r>
                </w:p>
              </w:tc>
            </w:tr>
            <w:tr w14:paraId="23827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96" w:type="pct"/>
                  <w:vAlign w:val="center"/>
                </w:tcPr>
                <w:p w14:paraId="140BEDC0">
                  <w:pPr>
                    <w:pStyle w:val="72"/>
                    <w:adjustRightInd w:val="0"/>
                    <w:snapToGrid w:val="0"/>
                    <w:ind w:firstLine="0" w:firstLineChars="0"/>
                    <w:jc w:val="center"/>
                    <w:rPr>
                      <w:rFonts w:eastAsia="宋体" w:cs="Times New Roman"/>
                      <w:snapToGrid w:val="0"/>
                      <w:color w:val="auto"/>
                      <w:kern w:val="0"/>
                      <w:szCs w:val="21"/>
                      <w:highlight w:val="none"/>
                    </w:rPr>
                  </w:pPr>
                  <w:r>
                    <w:rPr>
                      <w:rFonts w:hint="eastAsia" w:hAnsi="宋体" w:eastAsia="宋体" w:cs="Times New Roman"/>
                      <w:color w:val="auto"/>
                      <w:szCs w:val="21"/>
                      <w:highlight w:val="none"/>
                    </w:rPr>
                    <w:t>污水</w:t>
                  </w:r>
                </w:p>
              </w:tc>
              <w:tc>
                <w:tcPr>
                  <w:tcW w:w="793" w:type="pct"/>
                  <w:vAlign w:val="center"/>
                </w:tcPr>
                <w:p w14:paraId="26905C65">
                  <w:pPr>
                    <w:pStyle w:val="72"/>
                    <w:adjustRightInd w:val="0"/>
                    <w:snapToGrid w:val="0"/>
                    <w:ind w:firstLine="0" w:firstLineChars="0"/>
                    <w:jc w:val="center"/>
                    <w:rPr>
                      <w:rFonts w:eastAsia="宋体" w:cs="Times New Roman"/>
                      <w:snapToGrid w:val="0"/>
                      <w:color w:val="auto"/>
                      <w:kern w:val="0"/>
                      <w:szCs w:val="21"/>
                      <w:highlight w:val="none"/>
                    </w:rPr>
                  </w:pPr>
                  <w:r>
                    <w:rPr>
                      <w:rFonts w:hint="eastAsia" w:hAnsi="宋体" w:eastAsia="宋体" w:cs="Times New Roman"/>
                      <w:color w:val="auto"/>
                      <w:szCs w:val="21"/>
                      <w:highlight w:val="none"/>
                    </w:rPr>
                    <w:t>污水排放口</w:t>
                  </w:r>
                </w:p>
              </w:tc>
              <w:tc>
                <w:tcPr>
                  <w:tcW w:w="1109" w:type="pct"/>
                  <w:vAlign w:val="center"/>
                </w:tcPr>
                <w:p w14:paraId="389B0FC2">
                  <w:pPr>
                    <w:pStyle w:val="4"/>
                    <w:adjustRightInd w:val="0"/>
                    <w:snapToGrid w:val="0"/>
                    <w:spacing w:after="0"/>
                    <w:ind w:firstLine="0" w:firstLineChars="0"/>
                    <w:jc w:val="center"/>
                    <w:rPr>
                      <w:snapToGrid w:val="0"/>
                      <w:color w:val="auto"/>
                      <w:kern w:val="0"/>
                      <w:szCs w:val="21"/>
                      <w:highlight w:val="none"/>
                      <w:lang w:val="en-US"/>
                    </w:rPr>
                  </w:pPr>
                  <w:r>
                    <w:rPr>
                      <w:color w:val="auto"/>
                      <w:szCs w:val="21"/>
                      <w:highlight w:val="none"/>
                      <w:lang w:val="en-US"/>
                    </w:rPr>
                    <w:t>pH、COD、SS、氨氮、总磷、总氮</w:t>
                  </w:r>
                </w:p>
              </w:tc>
              <w:tc>
                <w:tcPr>
                  <w:tcW w:w="634" w:type="pct"/>
                  <w:vAlign w:val="center"/>
                </w:tcPr>
                <w:p w14:paraId="655776C3">
                  <w:pPr>
                    <w:pStyle w:val="72"/>
                    <w:adjustRightInd w:val="0"/>
                    <w:snapToGrid w:val="0"/>
                    <w:ind w:firstLine="0" w:firstLineChars="0"/>
                    <w:jc w:val="center"/>
                    <w:rPr>
                      <w:rFonts w:eastAsia="宋体" w:cs="Times New Roman"/>
                      <w:snapToGrid w:val="0"/>
                      <w:color w:val="auto"/>
                      <w:kern w:val="0"/>
                      <w:szCs w:val="21"/>
                      <w:highlight w:val="none"/>
                    </w:rPr>
                  </w:pPr>
                  <w:r>
                    <w:rPr>
                      <w:rFonts w:hAnsi="宋体" w:eastAsia="宋体" w:cs="Times New Roman"/>
                      <w:color w:val="auto"/>
                      <w:kern w:val="0"/>
                      <w:szCs w:val="21"/>
                      <w:highlight w:val="none"/>
                    </w:rPr>
                    <w:t>一</w:t>
                  </w:r>
                  <w:r>
                    <w:rPr>
                      <w:rFonts w:hint="eastAsia" w:hAnsi="宋体" w:eastAsia="宋体" w:cs="Times New Roman"/>
                      <w:color w:val="auto"/>
                      <w:kern w:val="0"/>
                      <w:szCs w:val="21"/>
                      <w:highlight w:val="none"/>
                    </w:rPr>
                    <w:t>季度</w:t>
                  </w:r>
                  <w:r>
                    <w:rPr>
                      <w:rFonts w:hAnsi="宋体" w:eastAsia="宋体" w:cs="Times New Roman"/>
                      <w:color w:val="auto"/>
                      <w:kern w:val="0"/>
                      <w:szCs w:val="21"/>
                      <w:highlight w:val="none"/>
                    </w:rPr>
                    <w:t>一次</w:t>
                  </w:r>
                </w:p>
              </w:tc>
              <w:tc>
                <w:tcPr>
                  <w:tcW w:w="2068" w:type="pct"/>
                  <w:vAlign w:val="center"/>
                </w:tcPr>
                <w:p w14:paraId="416F2643">
                  <w:pPr>
                    <w:pStyle w:val="72"/>
                    <w:adjustRightInd w:val="0"/>
                    <w:snapToGrid w:val="0"/>
                    <w:ind w:firstLine="0" w:firstLineChars="0"/>
                    <w:jc w:val="center"/>
                    <w:rPr>
                      <w:rFonts w:eastAsia="宋体" w:cs="Times New Roman"/>
                      <w:snapToGrid w:val="0"/>
                      <w:color w:val="auto"/>
                      <w:kern w:val="0"/>
                      <w:szCs w:val="21"/>
                      <w:highlight w:val="none"/>
                    </w:rPr>
                  </w:pPr>
                  <w:r>
                    <w:rPr>
                      <w:rFonts w:hAnsi="宋体" w:eastAsia="宋体" w:cs="Times New Roman"/>
                      <w:color w:val="auto"/>
                      <w:kern w:val="0"/>
                      <w:szCs w:val="21"/>
                      <w:highlight w:val="none"/>
                    </w:rPr>
                    <w:t>《污水综合排放标准》（GB8978—1996）表4中三级标准</w:t>
                  </w:r>
                </w:p>
              </w:tc>
            </w:tr>
          </w:tbl>
          <w:p w14:paraId="3575102B">
            <w:pPr>
              <w:adjustRightInd w:val="0"/>
              <w:snapToGrid w:val="0"/>
              <w:rPr>
                <w:rFonts w:hAnsi="宋体"/>
                <w:snapToGrid w:val="0"/>
                <w:color w:val="auto"/>
                <w:kern w:val="0"/>
                <w:sz w:val="10"/>
                <w:szCs w:val="10"/>
                <w:highlight w:val="none"/>
              </w:rPr>
            </w:pPr>
          </w:p>
          <w:p w14:paraId="1CC9C45D">
            <w:pPr>
              <w:adjustRightInd w:val="0"/>
              <w:snapToGrid w:val="0"/>
              <w:spacing w:line="360" w:lineRule="auto"/>
              <w:ind w:firstLine="482" w:firstLineChars="200"/>
              <w:rPr>
                <w:b/>
                <w:color w:val="auto"/>
                <w:kern w:val="0"/>
                <w:sz w:val="24"/>
                <w:highlight w:val="none"/>
              </w:rPr>
            </w:pPr>
            <w:r>
              <w:rPr>
                <w:rFonts w:hint="eastAsia" w:hAnsi="宋体"/>
                <w:b/>
                <w:color w:val="auto"/>
                <w:kern w:val="0"/>
                <w:sz w:val="24"/>
                <w:highlight w:val="none"/>
              </w:rPr>
              <w:t>2.5</w:t>
            </w:r>
            <w:r>
              <w:rPr>
                <w:rFonts w:hAnsi="宋体"/>
                <w:b/>
                <w:color w:val="auto"/>
                <w:kern w:val="0"/>
                <w:sz w:val="24"/>
                <w:highlight w:val="none"/>
              </w:rPr>
              <w:t>废水污染治理设施可行性分析</w:t>
            </w:r>
          </w:p>
          <w:p w14:paraId="2084697C">
            <w:pPr>
              <w:adjustRightInd w:val="0"/>
              <w:snapToGrid w:val="0"/>
              <w:spacing w:line="360" w:lineRule="auto"/>
              <w:ind w:firstLine="480" w:firstLineChars="200"/>
              <w:rPr>
                <w:rFonts w:hAnsi="宋体"/>
                <w:color w:val="auto"/>
                <w:kern w:val="0"/>
                <w:sz w:val="24"/>
                <w:highlight w:val="none"/>
              </w:rPr>
            </w:pPr>
            <w:r>
              <w:rPr>
                <w:color w:val="auto"/>
                <w:sz w:val="24"/>
                <w:highlight w:val="none"/>
              </w:rPr>
              <w:t>本项目</w:t>
            </w:r>
            <w:r>
              <w:rPr>
                <w:color w:val="auto"/>
                <w:kern w:val="0"/>
                <w:sz w:val="24"/>
                <w:highlight w:val="none"/>
              </w:rPr>
              <w:t>生活污水经化粪池处理</w:t>
            </w:r>
            <w:r>
              <w:rPr>
                <w:color w:val="auto"/>
                <w:sz w:val="24"/>
                <w:highlight w:val="none"/>
              </w:rPr>
              <w:t>达接管标准后，与冷却塔强排水</w:t>
            </w:r>
            <w:r>
              <w:rPr>
                <w:rFonts w:hint="eastAsia"/>
                <w:color w:val="auto"/>
                <w:sz w:val="24"/>
                <w:highlight w:val="none"/>
              </w:rPr>
              <w:t>、纯水制备弃水、初期雨水收集池排水</w:t>
            </w:r>
            <w:r>
              <w:rPr>
                <w:color w:val="auto"/>
                <w:sz w:val="24"/>
                <w:highlight w:val="none"/>
              </w:rPr>
              <w:t>一同接管至海门市东洲水处理有限公司处理</w:t>
            </w:r>
            <w:r>
              <w:rPr>
                <w:rFonts w:hint="eastAsia"/>
                <w:color w:val="auto"/>
                <w:sz w:val="24"/>
                <w:highlight w:val="none"/>
              </w:rPr>
              <w:t>，</w:t>
            </w:r>
            <w:r>
              <w:rPr>
                <w:rFonts w:hint="eastAsia" w:hAnsi="宋体"/>
                <w:color w:val="auto"/>
                <w:kern w:val="0"/>
                <w:sz w:val="24"/>
                <w:highlight w:val="none"/>
              </w:rPr>
              <w:t>接管</w:t>
            </w:r>
            <w:r>
              <w:rPr>
                <w:rFonts w:hAnsi="宋体"/>
                <w:color w:val="auto"/>
                <w:kern w:val="0"/>
                <w:sz w:val="24"/>
                <w:highlight w:val="none"/>
              </w:rPr>
              <w:t>水质能够满足</w:t>
            </w:r>
            <w:r>
              <w:rPr>
                <w:color w:val="auto"/>
                <w:sz w:val="24"/>
                <w:highlight w:val="none"/>
              </w:rPr>
              <w:t>海门市东洲水处理有限公司</w:t>
            </w:r>
            <w:r>
              <w:rPr>
                <w:rFonts w:hAnsi="宋体"/>
                <w:color w:val="auto"/>
                <w:kern w:val="0"/>
                <w:sz w:val="24"/>
                <w:highlight w:val="none"/>
              </w:rPr>
              <w:t>接管要求。</w:t>
            </w:r>
          </w:p>
          <w:p w14:paraId="34B59CE2">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化粪池是处理粪便并加以过滤沉淀的设备，其原理是固化物在池底分解，上层的水化物进入管道流走，防止了管道堵塞，给固化物体（粪便等垃圾）有充足的时间水解。化粪池能够有效避免生活污水在环境中的扩散；厌氧腐化下，能够杀灭蚊虫卵；生活污水经沉淀杂质后，大分子有机物得到部分的水解，能够改善后续的污水处理。实践证明化粪池是有效的预处理设施。因此本项目采用化粪池处理生活污水合理有效。</w:t>
            </w:r>
          </w:p>
          <w:p w14:paraId="0543F537">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沉淀池是应用沉淀作用去除水中悬浮物的一种构筑物，净化水质的设备。利用水流中悬浮杂质颗粒向下沉淀速度大于水流向下流动速度、或向下沉淀时间小于水流流出沉淀池的时间时能与水流分离的原理实现水的净化。因此本项目初期雨水采用沉淀池可行。</w:t>
            </w:r>
          </w:p>
          <w:p w14:paraId="51631B10">
            <w:pPr>
              <w:adjustRightInd w:val="0"/>
              <w:snapToGrid w:val="0"/>
              <w:spacing w:line="360" w:lineRule="auto"/>
              <w:ind w:firstLine="482" w:firstLineChars="200"/>
              <w:rPr>
                <w:b/>
                <w:color w:val="auto"/>
                <w:kern w:val="0"/>
                <w:sz w:val="24"/>
                <w:highlight w:val="none"/>
              </w:rPr>
            </w:pPr>
            <w:r>
              <w:rPr>
                <w:rFonts w:hint="eastAsia" w:hAnsi="宋体"/>
                <w:b/>
                <w:color w:val="auto"/>
                <w:kern w:val="0"/>
                <w:sz w:val="24"/>
                <w:highlight w:val="none"/>
              </w:rPr>
              <w:t>2.6</w:t>
            </w:r>
            <w:r>
              <w:rPr>
                <w:rFonts w:hAnsi="宋体"/>
                <w:b/>
                <w:color w:val="auto"/>
                <w:kern w:val="0"/>
                <w:sz w:val="24"/>
                <w:highlight w:val="none"/>
              </w:rPr>
              <w:t>依托污水处理厂可行性分析</w:t>
            </w:r>
          </w:p>
          <w:p w14:paraId="15AEABF9">
            <w:pPr>
              <w:adjustRightInd w:val="0"/>
              <w:snapToGrid w:val="0"/>
              <w:spacing w:line="360" w:lineRule="auto"/>
              <w:ind w:firstLine="480" w:firstLineChars="200"/>
              <w:rPr>
                <w:snapToGrid w:val="0"/>
                <w:color w:val="auto"/>
                <w:kern w:val="0"/>
                <w:sz w:val="24"/>
                <w:highlight w:val="none"/>
              </w:rPr>
            </w:pPr>
            <w:r>
              <w:rPr>
                <w:rFonts w:ascii="宋体" w:hAnsi="宋体"/>
                <w:snapToGrid w:val="0"/>
                <w:color w:val="auto"/>
                <w:kern w:val="0"/>
                <w:sz w:val="24"/>
                <w:highlight w:val="none"/>
              </w:rPr>
              <w:t>①</w:t>
            </w:r>
            <w:r>
              <w:rPr>
                <w:rFonts w:hint="eastAsia" w:hAnsi="宋体"/>
                <w:snapToGrid w:val="0"/>
                <w:color w:val="auto"/>
                <w:kern w:val="0"/>
                <w:sz w:val="24"/>
                <w:highlight w:val="none"/>
              </w:rPr>
              <w:t>污水处理厂</w:t>
            </w:r>
            <w:r>
              <w:rPr>
                <w:rFonts w:hAnsi="宋体"/>
                <w:snapToGrid w:val="0"/>
                <w:color w:val="auto"/>
                <w:kern w:val="0"/>
                <w:sz w:val="24"/>
                <w:highlight w:val="none"/>
              </w:rPr>
              <w:t>概况</w:t>
            </w:r>
          </w:p>
          <w:p w14:paraId="7AFBCA00">
            <w:pPr>
              <w:widowControl/>
              <w:adjustRightInd w:val="0"/>
              <w:snapToGrid w:val="0"/>
              <w:spacing w:line="360" w:lineRule="auto"/>
              <w:ind w:firstLine="480" w:firstLineChars="200"/>
              <w:rPr>
                <w:color w:val="auto"/>
                <w:kern w:val="0"/>
                <w:sz w:val="24"/>
                <w:highlight w:val="none"/>
              </w:rPr>
            </w:pPr>
            <w:r>
              <w:rPr>
                <w:color w:val="auto"/>
                <w:kern w:val="0"/>
                <w:sz w:val="24"/>
                <w:highlight w:val="none"/>
              </w:rPr>
              <w:t>废水经污水处理厂处理达标后，尾水对水环境的影响在可控制范围内。海门市东洲水处理有限公司厂址位于青龙河与沿江一级公路的西南角，污水厂服务范围为海门区中心城区和重点镇及经济开发区。污水厂建设总规模为16万m</w:t>
            </w:r>
            <w:r>
              <w:rPr>
                <w:color w:val="auto"/>
                <w:kern w:val="0"/>
                <w:sz w:val="24"/>
                <w:highlight w:val="none"/>
                <w:vertAlign w:val="superscript"/>
              </w:rPr>
              <w:t>3</w:t>
            </w:r>
            <w:r>
              <w:rPr>
                <w:color w:val="auto"/>
                <w:kern w:val="0"/>
                <w:sz w:val="24"/>
                <w:highlight w:val="none"/>
              </w:rPr>
              <w:t>/d，本项目排水量为</w:t>
            </w:r>
            <w:r>
              <w:rPr>
                <w:rFonts w:hint="eastAsia"/>
                <w:color w:val="auto"/>
                <w:kern w:val="0"/>
                <w:sz w:val="24"/>
                <w:highlight w:val="none"/>
              </w:rPr>
              <w:t>9.14</w:t>
            </w:r>
            <w:r>
              <w:rPr>
                <w:color w:val="auto"/>
                <w:kern w:val="0"/>
                <w:sz w:val="24"/>
                <w:highlight w:val="none"/>
              </w:rPr>
              <w:t>t/d，占污水量的比重很小，废水水质水量均在该污水处理厂处理能力范围内，污水处理工艺为MSBR工艺，对生活污水处理效率良好，可实现稳定达标排放。本项目废水接入该污水处理厂集中处理的方案可行。</w:t>
            </w:r>
          </w:p>
          <w:p w14:paraId="3F3CAD15">
            <w:pPr>
              <w:widowControl/>
              <w:adjustRightInd w:val="0"/>
              <w:snapToGrid w:val="0"/>
              <w:spacing w:line="360" w:lineRule="auto"/>
              <w:ind w:firstLine="480" w:firstLineChars="200"/>
              <w:rPr>
                <w:color w:val="auto"/>
                <w:kern w:val="0"/>
                <w:sz w:val="24"/>
                <w:highlight w:val="none"/>
              </w:rPr>
            </w:pPr>
            <w:r>
              <w:rPr>
                <w:color w:val="auto"/>
                <w:kern w:val="0"/>
                <w:sz w:val="24"/>
                <w:highlight w:val="none"/>
              </w:rPr>
              <w:t>海门市东洲水处理有限公司处理工艺见图</w:t>
            </w:r>
            <w:r>
              <w:rPr>
                <w:rFonts w:hint="eastAsia"/>
                <w:color w:val="auto"/>
                <w:kern w:val="0"/>
                <w:sz w:val="24"/>
                <w:highlight w:val="none"/>
              </w:rPr>
              <w:t>4</w:t>
            </w:r>
            <w:r>
              <w:rPr>
                <w:color w:val="auto"/>
                <w:kern w:val="0"/>
                <w:sz w:val="24"/>
                <w:highlight w:val="none"/>
              </w:rPr>
              <w:t>-3</w:t>
            </w:r>
            <w:r>
              <w:rPr>
                <w:rFonts w:hint="eastAsia"/>
                <w:color w:val="auto"/>
                <w:kern w:val="0"/>
                <w:sz w:val="24"/>
                <w:highlight w:val="none"/>
              </w:rPr>
              <w:t>。</w:t>
            </w:r>
          </w:p>
          <w:p w14:paraId="0B500AE0">
            <w:pPr>
              <w:pStyle w:val="5"/>
              <w:jc w:val="center"/>
              <w:rPr>
                <w:b/>
                <w:bCs/>
                <w:color w:val="auto"/>
                <w:highlight w:val="none"/>
                <w:lang w:val="en-US"/>
              </w:rPr>
            </w:pPr>
            <w:r>
              <w:rPr>
                <w:color w:val="auto"/>
                <w:highlight w:val="none"/>
                <w:lang w:val="en-US"/>
              </w:rPr>
              <w:drawing>
                <wp:inline distT="0" distB="0" distL="114300" distR="114300">
                  <wp:extent cx="5289550" cy="2794000"/>
                  <wp:effectExtent l="0" t="0" r="13970" b="1016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3" cstate="print"/>
                          <a:stretch>
                            <a:fillRect/>
                          </a:stretch>
                        </pic:blipFill>
                        <pic:spPr>
                          <a:xfrm>
                            <a:off x="0" y="0"/>
                            <a:ext cx="5289550" cy="2794000"/>
                          </a:xfrm>
                          <a:prstGeom prst="rect">
                            <a:avLst/>
                          </a:prstGeom>
                          <a:noFill/>
                          <a:ln>
                            <a:noFill/>
                          </a:ln>
                        </pic:spPr>
                      </pic:pic>
                    </a:graphicData>
                  </a:graphic>
                </wp:inline>
              </w:drawing>
            </w:r>
          </w:p>
          <w:p w14:paraId="12CD9532">
            <w:pPr>
              <w:widowControl/>
              <w:spacing w:line="360" w:lineRule="auto"/>
              <w:jc w:val="center"/>
              <w:rPr>
                <w:color w:val="auto"/>
                <w:highlight w:val="none"/>
              </w:rPr>
            </w:pPr>
            <w:r>
              <w:rPr>
                <w:b/>
                <w:bCs/>
                <w:color w:val="auto"/>
                <w:kern w:val="0"/>
                <w:sz w:val="24"/>
                <w:highlight w:val="none"/>
              </w:rPr>
              <w:t>图</w:t>
            </w:r>
            <w:r>
              <w:rPr>
                <w:rFonts w:hint="eastAsia"/>
                <w:b/>
                <w:bCs/>
                <w:color w:val="auto"/>
                <w:kern w:val="0"/>
                <w:sz w:val="24"/>
                <w:highlight w:val="none"/>
              </w:rPr>
              <w:t>4</w:t>
            </w:r>
            <w:r>
              <w:rPr>
                <w:b/>
                <w:bCs/>
                <w:color w:val="auto"/>
                <w:kern w:val="0"/>
                <w:sz w:val="24"/>
                <w:highlight w:val="none"/>
              </w:rPr>
              <w:t>-3 东洲水处理有限公司</w:t>
            </w:r>
            <w:r>
              <w:rPr>
                <w:b/>
                <w:color w:val="auto"/>
                <w:kern w:val="0"/>
                <w:sz w:val="24"/>
                <w:highlight w:val="none"/>
              </w:rPr>
              <w:t>处理工艺图</w:t>
            </w:r>
          </w:p>
          <w:p w14:paraId="6AEAAF78">
            <w:pPr>
              <w:adjustRightInd w:val="0"/>
              <w:snapToGrid w:val="0"/>
              <w:spacing w:line="360" w:lineRule="auto"/>
              <w:ind w:firstLine="480" w:firstLineChars="200"/>
              <w:rPr>
                <w:snapToGrid w:val="0"/>
                <w:color w:val="auto"/>
                <w:kern w:val="0"/>
                <w:sz w:val="24"/>
                <w:highlight w:val="none"/>
              </w:rPr>
            </w:pPr>
            <w:r>
              <w:rPr>
                <w:rFonts w:ascii="宋体" w:hAnsi="宋体"/>
                <w:snapToGrid w:val="0"/>
                <w:color w:val="auto"/>
                <w:kern w:val="0"/>
                <w:sz w:val="24"/>
                <w:highlight w:val="none"/>
              </w:rPr>
              <w:t>②</w:t>
            </w:r>
            <w:r>
              <w:rPr>
                <w:rFonts w:hAnsi="宋体"/>
                <w:snapToGrid w:val="0"/>
                <w:color w:val="auto"/>
                <w:kern w:val="0"/>
                <w:sz w:val="24"/>
                <w:highlight w:val="none"/>
              </w:rPr>
              <w:t>本项目废水被接纳的可行性分析</w:t>
            </w:r>
          </w:p>
          <w:p w14:paraId="2683C41A">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水量：项目</w:t>
            </w:r>
            <w:r>
              <w:rPr>
                <w:rFonts w:hint="eastAsia" w:hAnsi="宋体"/>
                <w:snapToGrid w:val="0"/>
                <w:color w:val="auto"/>
                <w:kern w:val="0"/>
                <w:sz w:val="24"/>
                <w:highlight w:val="none"/>
              </w:rPr>
              <w:t>废水排放量为</w:t>
            </w:r>
            <w:r>
              <w:rPr>
                <w:rFonts w:hAnsi="宋体"/>
                <w:snapToGrid w:val="0"/>
                <w:color w:val="auto"/>
                <w:kern w:val="0"/>
                <w:sz w:val="24"/>
                <w:highlight w:val="none"/>
              </w:rPr>
              <w:t>3586</w:t>
            </w:r>
            <w:r>
              <w:rPr>
                <w:rFonts w:hint="eastAsia" w:hAnsi="宋体"/>
                <w:snapToGrid w:val="0"/>
                <w:color w:val="auto"/>
                <w:kern w:val="0"/>
                <w:sz w:val="24"/>
                <w:highlight w:val="none"/>
              </w:rPr>
              <w:t>t/a(</w:t>
            </w:r>
            <w:r>
              <w:rPr>
                <w:rFonts w:hAnsi="宋体"/>
                <w:snapToGrid w:val="0"/>
                <w:color w:val="auto"/>
                <w:kern w:val="0"/>
                <w:sz w:val="24"/>
                <w:highlight w:val="none"/>
              </w:rPr>
              <w:t>12.0</w:t>
            </w:r>
            <w:r>
              <w:rPr>
                <w:rFonts w:hint="eastAsia" w:hAnsi="宋体"/>
                <w:snapToGrid w:val="0"/>
                <w:color w:val="auto"/>
                <w:kern w:val="0"/>
                <w:sz w:val="24"/>
                <w:highlight w:val="none"/>
              </w:rPr>
              <w:t>t/d)，</w:t>
            </w:r>
            <w:r>
              <w:rPr>
                <w:rFonts w:hAnsi="宋体"/>
                <w:snapToGrid w:val="0"/>
                <w:color w:val="auto"/>
                <w:kern w:val="0"/>
                <w:sz w:val="24"/>
                <w:highlight w:val="none"/>
              </w:rPr>
              <w:t>海门市东洲水处理有限公司实际处理能力为12万t/d，</w:t>
            </w:r>
            <w:r>
              <w:rPr>
                <w:rFonts w:hint="eastAsia" w:hAnsi="宋体"/>
                <w:snapToGrid w:val="0"/>
                <w:color w:val="auto"/>
                <w:kern w:val="0"/>
                <w:sz w:val="24"/>
                <w:highlight w:val="none"/>
              </w:rPr>
              <w:t>尚有余量处理本项目废水</w:t>
            </w:r>
            <w:r>
              <w:rPr>
                <w:rFonts w:hAnsi="宋体"/>
                <w:snapToGrid w:val="0"/>
                <w:color w:val="auto"/>
                <w:kern w:val="0"/>
                <w:sz w:val="24"/>
                <w:highlight w:val="none"/>
              </w:rPr>
              <w:t>。</w:t>
            </w:r>
          </w:p>
          <w:p w14:paraId="325D958C">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水质：</w:t>
            </w:r>
            <w:r>
              <w:rPr>
                <w:rFonts w:hint="eastAsia" w:hAnsi="宋体"/>
                <w:snapToGrid w:val="0"/>
                <w:color w:val="auto"/>
                <w:kern w:val="0"/>
                <w:sz w:val="24"/>
                <w:highlight w:val="none"/>
              </w:rPr>
              <w:t>废水接管浓度为</w:t>
            </w:r>
            <w:r>
              <w:rPr>
                <w:rFonts w:hAnsi="宋体"/>
                <w:snapToGrid w:val="0"/>
                <w:color w:val="auto"/>
                <w:kern w:val="0"/>
                <w:sz w:val="24"/>
                <w:highlight w:val="none"/>
              </w:rPr>
              <w:t>，COD177.2002mg/L、SS147.0831mg/L、氨氮11.7122mg/L、总氮15.0586mg/L、总磷1.6732mg/L，</w:t>
            </w:r>
            <w:r>
              <w:rPr>
                <w:rFonts w:hint="eastAsia" w:hAnsi="宋体"/>
                <w:snapToGrid w:val="0"/>
                <w:color w:val="auto"/>
                <w:kern w:val="0"/>
                <w:sz w:val="24"/>
                <w:highlight w:val="none"/>
              </w:rPr>
              <w:t>接管废水中COD、SS达到</w:t>
            </w:r>
            <w:r>
              <w:rPr>
                <w:rFonts w:hAnsi="宋体"/>
                <w:snapToGrid w:val="0"/>
                <w:color w:val="auto"/>
                <w:kern w:val="0"/>
                <w:sz w:val="24"/>
                <w:highlight w:val="none"/>
              </w:rPr>
              <w:t>《污水综合排放标准》（GB8978-1996）表4中的三级标准、</w:t>
            </w:r>
            <w:r>
              <w:rPr>
                <w:rFonts w:hint="eastAsia" w:hAnsi="宋体"/>
                <w:snapToGrid w:val="0"/>
                <w:color w:val="auto"/>
                <w:kern w:val="0"/>
                <w:sz w:val="24"/>
                <w:highlight w:val="none"/>
              </w:rPr>
              <w:t>氨氮、总氮、总磷达到</w:t>
            </w:r>
            <w:r>
              <w:rPr>
                <w:rFonts w:hAnsi="宋体"/>
                <w:snapToGrid w:val="0"/>
                <w:color w:val="auto"/>
                <w:kern w:val="0"/>
                <w:sz w:val="24"/>
                <w:highlight w:val="none"/>
              </w:rPr>
              <w:t>《污水排入城镇下水道水质标准》（GB/T31962-2015）表1中B等级标准</w:t>
            </w:r>
            <w:r>
              <w:rPr>
                <w:rFonts w:hint="eastAsia" w:hAnsi="宋体"/>
                <w:snapToGrid w:val="0"/>
                <w:color w:val="auto"/>
                <w:kern w:val="0"/>
                <w:sz w:val="24"/>
                <w:highlight w:val="none"/>
              </w:rPr>
              <w:t>，</w:t>
            </w:r>
            <w:r>
              <w:rPr>
                <w:rFonts w:hAnsi="宋体"/>
                <w:snapToGrid w:val="0"/>
                <w:color w:val="auto"/>
                <w:kern w:val="0"/>
                <w:sz w:val="24"/>
                <w:highlight w:val="none"/>
              </w:rPr>
              <w:t>水质达海门市东洲水处理有限公司接管要求。</w:t>
            </w:r>
          </w:p>
          <w:p w14:paraId="659C95D2">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管网和污水处理厂建设进度：目前，海门市东洲水处理有限公司已正式投入运营，项目地污水管网已经铺设完成。</w:t>
            </w:r>
          </w:p>
          <w:p w14:paraId="72F44046">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综上所述，从接管达标、处理余量、管网衔接、污水处理厂现状及运行、处理工艺适用性等方面分析，本项目废水排入海门市东洲水处理有限公司是可行的。</w:t>
            </w:r>
          </w:p>
          <w:p w14:paraId="3D61A500">
            <w:pPr>
              <w:adjustRightInd w:val="0"/>
              <w:snapToGrid w:val="0"/>
              <w:spacing w:line="360" w:lineRule="auto"/>
              <w:ind w:firstLine="482" w:firstLineChars="200"/>
              <w:rPr>
                <w:b/>
                <w:color w:val="auto"/>
                <w:kern w:val="0"/>
                <w:sz w:val="24"/>
                <w:highlight w:val="none"/>
              </w:rPr>
            </w:pPr>
            <w:r>
              <w:rPr>
                <w:rFonts w:hint="eastAsia"/>
                <w:b/>
                <w:color w:val="auto"/>
                <w:kern w:val="0"/>
                <w:sz w:val="24"/>
                <w:highlight w:val="none"/>
              </w:rPr>
              <w:t>2.7</w:t>
            </w:r>
            <w:r>
              <w:rPr>
                <w:rFonts w:hAnsi="宋体"/>
                <w:b/>
                <w:color w:val="auto"/>
                <w:kern w:val="0"/>
                <w:sz w:val="24"/>
                <w:highlight w:val="none"/>
              </w:rPr>
              <w:t>地表水环境影响评价结论</w:t>
            </w:r>
          </w:p>
          <w:p w14:paraId="352E71A0">
            <w:pPr>
              <w:adjustRightInd w:val="0"/>
              <w:snapToGrid w:val="0"/>
              <w:spacing w:line="360" w:lineRule="auto"/>
              <w:ind w:firstLine="480" w:firstLineChars="200"/>
              <w:rPr>
                <w:rFonts w:hAnsi="宋体"/>
                <w:bCs/>
                <w:snapToGrid w:val="0"/>
                <w:color w:val="auto"/>
                <w:kern w:val="0"/>
                <w:sz w:val="24"/>
                <w:highlight w:val="none"/>
              </w:rPr>
            </w:pPr>
            <w:r>
              <w:rPr>
                <w:rFonts w:hAnsi="宋体"/>
                <w:snapToGrid w:val="0"/>
                <w:color w:val="auto"/>
                <w:kern w:val="0"/>
                <w:sz w:val="24"/>
                <w:highlight w:val="none"/>
              </w:rPr>
              <w:t>本项目位于受纳水体</w:t>
            </w:r>
            <w:r>
              <w:rPr>
                <w:rFonts w:hint="eastAsia" w:hAnsi="宋体"/>
                <w:snapToGrid w:val="0"/>
                <w:color w:val="auto"/>
                <w:kern w:val="0"/>
                <w:sz w:val="24"/>
                <w:highlight w:val="none"/>
              </w:rPr>
              <w:t>为</w:t>
            </w:r>
            <w:r>
              <w:rPr>
                <w:rFonts w:hAnsi="宋体"/>
                <w:snapToGrid w:val="0"/>
                <w:color w:val="auto"/>
                <w:kern w:val="0"/>
                <w:sz w:val="24"/>
                <w:highlight w:val="none"/>
              </w:rPr>
              <w:t>环境质量达标区域，项目营运期生活污水（</w:t>
            </w:r>
            <w:r>
              <w:rPr>
                <w:rFonts w:hint="eastAsia" w:hAnsi="宋体"/>
                <w:snapToGrid w:val="0"/>
                <w:color w:val="auto"/>
                <w:kern w:val="0"/>
                <w:sz w:val="24"/>
                <w:highlight w:val="none"/>
              </w:rPr>
              <w:t>1200</w:t>
            </w:r>
            <w:r>
              <w:rPr>
                <w:rFonts w:hAnsi="宋体"/>
                <w:snapToGrid w:val="0"/>
                <w:color w:val="auto"/>
                <w:kern w:val="0"/>
                <w:sz w:val="24"/>
                <w:highlight w:val="none"/>
              </w:rPr>
              <w:t>t/a）进入化粪池处理后，与冷却塔强排水（</w:t>
            </w:r>
            <w:r>
              <w:rPr>
                <w:rFonts w:hint="eastAsia" w:hAnsi="宋体"/>
                <w:snapToGrid w:val="0"/>
                <w:color w:val="auto"/>
                <w:kern w:val="0"/>
                <w:sz w:val="24"/>
                <w:highlight w:val="none"/>
              </w:rPr>
              <w:t>600</w:t>
            </w:r>
            <w:r>
              <w:rPr>
                <w:rFonts w:hAnsi="宋体"/>
                <w:snapToGrid w:val="0"/>
                <w:color w:val="auto"/>
                <w:kern w:val="0"/>
                <w:sz w:val="24"/>
                <w:highlight w:val="none"/>
              </w:rPr>
              <w:t>t/a）</w:t>
            </w:r>
            <w:r>
              <w:rPr>
                <w:rFonts w:hint="eastAsia" w:hAnsi="宋体"/>
                <w:snapToGrid w:val="0"/>
                <w:color w:val="auto"/>
                <w:kern w:val="0"/>
                <w:sz w:val="24"/>
                <w:highlight w:val="none"/>
              </w:rPr>
              <w:t>、纯水制备弃水（240t/a）、初期雨水收集池排水（154</w:t>
            </w:r>
            <w:r>
              <w:rPr>
                <w:rFonts w:hint="eastAsia" w:hAnsi="宋体"/>
                <w:snapToGrid w:val="0"/>
                <w:color w:val="auto"/>
                <w:kern w:val="0"/>
                <w:sz w:val="24"/>
                <w:highlight w:val="none"/>
                <w:lang w:val="en-US" w:eastAsia="zh-CN"/>
              </w:rPr>
              <w:t>6</w:t>
            </w:r>
            <w:r>
              <w:rPr>
                <w:rFonts w:hint="eastAsia" w:hAnsi="宋体"/>
                <w:snapToGrid w:val="0"/>
                <w:color w:val="auto"/>
                <w:kern w:val="0"/>
                <w:sz w:val="24"/>
                <w:highlight w:val="none"/>
              </w:rPr>
              <w:t>t/a）</w:t>
            </w:r>
            <w:r>
              <w:rPr>
                <w:rFonts w:hAnsi="宋体"/>
                <w:snapToGrid w:val="0"/>
                <w:color w:val="auto"/>
                <w:kern w:val="0"/>
                <w:sz w:val="24"/>
                <w:highlight w:val="none"/>
              </w:rPr>
              <w:t>进入化粪池处理后达《污水综合排放标准》（</w:t>
            </w:r>
            <w:r>
              <w:rPr>
                <w:snapToGrid w:val="0"/>
                <w:color w:val="auto"/>
                <w:kern w:val="0"/>
                <w:sz w:val="24"/>
                <w:highlight w:val="none"/>
              </w:rPr>
              <w:t>GB8978-1996</w:t>
            </w:r>
            <w:r>
              <w:rPr>
                <w:rFonts w:hAnsi="宋体"/>
                <w:snapToGrid w:val="0"/>
                <w:color w:val="auto"/>
                <w:kern w:val="0"/>
                <w:sz w:val="24"/>
                <w:highlight w:val="none"/>
              </w:rPr>
              <w:t>）表</w:t>
            </w:r>
            <w:r>
              <w:rPr>
                <w:snapToGrid w:val="0"/>
                <w:color w:val="auto"/>
                <w:kern w:val="0"/>
                <w:sz w:val="24"/>
                <w:highlight w:val="none"/>
              </w:rPr>
              <w:t>4</w:t>
            </w:r>
            <w:r>
              <w:rPr>
                <w:rFonts w:hAnsi="宋体"/>
                <w:snapToGrid w:val="0"/>
                <w:color w:val="auto"/>
                <w:kern w:val="0"/>
                <w:sz w:val="24"/>
                <w:highlight w:val="none"/>
              </w:rPr>
              <w:t>三级标准、《污水排入城镇下水道水质标准》（</w:t>
            </w:r>
            <w:r>
              <w:rPr>
                <w:snapToGrid w:val="0"/>
                <w:color w:val="auto"/>
                <w:kern w:val="0"/>
                <w:sz w:val="24"/>
                <w:highlight w:val="none"/>
              </w:rPr>
              <w:t>GB/T31962-2015</w:t>
            </w:r>
            <w:r>
              <w:rPr>
                <w:rFonts w:hAnsi="宋体"/>
                <w:snapToGrid w:val="0"/>
                <w:color w:val="auto"/>
                <w:kern w:val="0"/>
                <w:sz w:val="24"/>
                <w:highlight w:val="none"/>
              </w:rPr>
              <w:t>）表</w:t>
            </w:r>
            <w:r>
              <w:rPr>
                <w:snapToGrid w:val="0"/>
                <w:color w:val="auto"/>
                <w:kern w:val="0"/>
                <w:sz w:val="24"/>
                <w:highlight w:val="none"/>
              </w:rPr>
              <w:t>1</w:t>
            </w:r>
            <w:r>
              <w:rPr>
                <w:rFonts w:hAnsi="宋体"/>
                <w:snapToGrid w:val="0"/>
                <w:color w:val="auto"/>
                <w:kern w:val="0"/>
                <w:sz w:val="24"/>
                <w:highlight w:val="none"/>
              </w:rPr>
              <w:t>中</w:t>
            </w:r>
            <w:r>
              <w:rPr>
                <w:snapToGrid w:val="0"/>
                <w:color w:val="auto"/>
                <w:kern w:val="0"/>
                <w:sz w:val="24"/>
                <w:highlight w:val="none"/>
              </w:rPr>
              <w:t>B</w:t>
            </w:r>
            <w:r>
              <w:rPr>
                <w:rFonts w:hAnsi="宋体"/>
                <w:snapToGrid w:val="0"/>
                <w:color w:val="auto"/>
                <w:kern w:val="0"/>
                <w:sz w:val="24"/>
                <w:highlight w:val="none"/>
              </w:rPr>
              <w:t>等级标准后，通过市政污水管网一同接管海门市东洲水处理有限公司进行处理，最终达标尾水排入长江</w:t>
            </w:r>
            <w:r>
              <w:rPr>
                <w:rFonts w:hint="eastAsia" w:hAnsi="宋体"/>
                <w:snapToGrid w:val="0"/>
                <w:color w:val="auto"/>
                <w:kern w:val="0"/>
                <w:sz w:val="24"/>
                <w:highlight w:val="none"/>
              </w:rPr>
              <w:t>，</w:t>
            </w:r>
            <w:r>
              <w:rPr>
                <w:rFonts w:hAnsi="宋体"/>
                <w:snapToGrid w:val="0"/>
                <w:color w:val="auto"/>
                <w:kern w:val="0"/>
                <w:sz w:val="24"/>
                <w:highlight w:val="none"/>
              </w:rPr>
              <w:t>项目废水经预处理后满足海门市东洲水处理有限公司接管标准的要求，从水质水量、接管标准及建设进度等方面综合考虑，项目废水接管至海门市东洲水处理有限公司处理是可行的。因此，项目对地表水环境的影响可以接受。</w:t>
            </w:r>
          </w:p>
          <w:p w14:paraId="178CA1A5">
            <w:pPr>
              <w:adjustRightInd w:val="0"/>
              <w:snapToGrid w:val="0"/>
              <w:spacing w:line="360" w:lineRule="auto"/>
              <w:rPr>
                <w:b/>
                <w:bCs/>
                <w:color w:val="auto"/>
                <w:kern w:val="0"/>
                <w:sz w:val="24"/>
                <w:highlight w:val="none"/>
              </w:rPr>
            </w:pPr>
            <w:r>
              <w:rPr>
                <w:b/>
                <w:bCs/>
                <w:color w:val="auto"/>
                <w:kern w:val="0"/>
                <w:sz w:val="24"/>
                <w:highlight w:val="none"/>
              </w:rPr>
              <w:t>3.</w:t>
            </w:r>
            <w:r>
              <w:rPr>
                <w:rFonts w:hAnsi="宋体"/>
                <w:b/>
                <w:bCs/>
                <w:color w:val="auto"/>
                <w:kern w:val="0"/>
                <w:sz w:val="24"/>
                <w:highlight w:val="none"/>
              </w:rPr>
              <w:t>噪声</w:t>
            </w:r>
          </w:p>
          <w:p w14:paraId="6002944A">
            <w:pPr>
              <w:adjustRightInd w:val="0"/>
              <w:snapToGrid w:val="0"/>
              <w:spacing w:line="360" w:lineRule="auto"/>
              <w:ind w:firstLine="482"/>
              <w:rPr>
                <w:rFonts w:hAnsi="宋体"/>
                <w:b/>
                <w:snapToGrid w:val="0"/>
                <w:color w:val="auto"/>
                <w:kern w:val="0"/>
                <w:sz w:val="24"/>
                <w:highlight w:val="none"/>
              </w:rPr>
            </w:pPr>
            <w:r>
              <w:rPr>
                <w:rFonts w:hint="eastAsia" w:hAnsi="宋体"/>
                <w:b/>
                <w:snapToGrid w:val="0"/>
                <w:color w:val="auto"/>
                <w:kern w:val="0"/>
                <w:sz w:val="24"/>
                <w:highlight w:val="none"/>
              </w:rPr>
              <w:t>（1）噪声源强</w:t>
            </w:r>
          </w:p>
          <w:p w14:paraId="09BD8FC5">
            <w:pPr>
              <w:adjustRightInd w:val="0"/>
              <w:snapToGrid w:val="0"/>
              <w:spacing w:line="360" w:lineRule="auto"/>
              <w:ind w:firstLine="482"/>
              <w:rPr>
                <w:snapToGrid w:val="0"/>
                <w:color w:val="auto"/>
                <w:kern w:val="0"/>
                <w:sz w:val="24"/>
                <w:highlight w:val="none"/>
              </w:rPr>
            </w:pPr>
            <w:r>
              <w:rPr>
                <w:rFonts w:hint="eastAsia"/>
                <w:color w:val="auto"/>
                <w:sz w:val="24"/>
                <w:highlight w:val="none"/>
              </w:rPr>
              <w:t>改建</w:t>
            </w:r>
            <w:r>
              <w:rPr>
                <w:color w:val="auto"/>
                <w:sz w:val="24"/>
                <w:highlight w:val="none"/>
              </w:rPr>
              <w:t>项目主要高噪声设备主要为</w:t>
            </w:r>
            <w:r>
              <w:rPr>
                <w:rFonts w:hint="eastAsia"/>
                <w:color w:val="auto"/>
                <w:sz w:val="24"/>
                <w:highlight w:val="none"/>
              </w:rPr>
              <w:t>空压机、风机、干燥机等</w:t>
            </w:r>
            <w:r>
              <w:rPr>
                <w:color w:val="auto"/>
                <w:sz w:val="24"/>
                <w:highlight w:val="none"/>
              </w:rPr>
              <w:t>。具体见表</w:t>
            </w:r>
            <w:r>
              <w:rPr>
                <w:snapToGrid w:val="0"/>
                <w:color w:val="auto"/>
                <w:kern w:val="0"/>
                <w:sz w:val="24"/>
                <w:highlight w:val="none"/>
              </w:rPr>
              <w:t>4-</w:t>
            </w:r>
            <w:r>
              <w:rPr>
                <w:rFonts w:hint="eastAsia"/>
                <w:snapToGrid w:val="0"/>
                <w:color w:val="auto"/>
                <w:kern w:val="0"/>
                <w:sz w:val="24"/>
                <w:highlight w:val="none"/>
              </w:rPr>
              <w:t>1</w:t>
            </w:r>
            <w:r>
              <w:rPr>
                <w:rFonts w:hint="default"/>
                <w:snapToGrid w:val="0"/>
                <w:color w:val="auto"/>
                <w:kern w:val="0"/>
                <w:sz w:val="24"/>
                <w:highlight w:val="none"/>
              </w:rPr>
              <w:t>8</w:t>
            </w:r>
            <w:r>
              <w:rPr>
                <w:rFonts w:hAnsi="宋体"/>
                <w:snapToGrid w:val="0"/>
                <w:color w:val="auto"/>
                <w:kern w:val="0"/>
                <w:sz w:val="24"/>
                <w:highlight w:val="none"/>
              </w:rPr>
              <w:t>。</w:t>
            </w:r>
          </w:p>
          <w:p w14:paraId="17CA2DBC">
            <w:pPr>
              <w:widowControl/>
              <w:adjustRightInd w:val="0"/>
              <w:snapToGrid w:val="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4-</w:t>
            </w:r>
            <w:r>
              <w:rPr>
                <w:rFonts w:hint="eastAsia"/>
                <w:b/>
                <w:snapToGrid w:val="0"/>
                <w:color w:val="auto"/>
                <w:kern w:val="0"/>
                <w:sz w:val="24"/>
                <w:highlight w:val="none"/>
              </w:rPr>
              <w:t>1</w:t>
            </w:r>
            <w:r>
              <w:rPr>
                <w:rFonts w:hint="default"/>
                <w:b/>
                <w:snapToGrid w:val="0"/>
                <w:color w:val="auto"/>
                <w:kern w:val="0"/>
                <w:sz w:val="24"/>
                <w:highlight w:val="none"/>
              </w:rPr>
              <w:t>8</w:t>
            </w:r>
            <w:r>
              <w:rPr>
                <w:b/>
                <w:snapToGrid w:val="0"/>
                <w:color w:val="auto"/>
                <w:kern w:val="0"/>
                <w:sz w:val="24"/>
                <w:highlight w:val="none"/>
              </w:rPr>
              <w:t xml:space="preserve">  </w:t>
            </w:r>
            <w:r>
              <w:rPr>
                <w:rFonts w:hAnsi="宋体"/>
                <w:b/>
                <w:snapToGrid w:val="0"/>
                <w:color w:val="auto"/>
                <w:kern w:val="0"/>
                <w:sz w:val="24"/>
                <w:highlight w:val="none"/>
              </w:rPr>
              <w:t>建设项目噪声源强及噪声防治情况表</w:t>
            </w:r>
          </w:p>
          <w:tbl>
            <w:tblPr>
              <w:tblStyle w:val="24"/>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1"/>
              <w:gridCol w:w="505"/>
              <w:gridCol w:w="841"/>
              <w:gridCol w:w="1120"/>
              <w:gridCol w:w="1313"/>
              <w:gridCol w:w="735"/>
              <w:gridCol w:w="515"/>
              <w:gridCol w:w="595"/>
              <w:gridCol w:w="538"/>
              <w:gridCol w:w="585"/>
              <w:gridCol w:w="2152"/>
              <w:gridCol w:w="851"/>
            </w:tblGrid>
            <w:tr w14:paraId="5FDE1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Merge w:val="restart"/>
                  <w:vAlign w:val="center"/>
                </w:tcPr>
                <w:p w14:paraId="424B5BF2">
                  <w:pPr>
                    <w:adjustRightInd w:val="0"/>
                    <w:snapToGrid w:val="0"/>
                    <w:jc w:val="center"/>
                    <w:rPr>
                      <w:b/>
                      <w:bCs/>
                      <w:snapToGrid w:val="0"/>
                      <w:color w:val="auto"/>
                      <w:kern w:val="0"/>
                      <w:szCs w:val="21"/>
                      <w:highlight w:val="none"/>
                    </w:rPr>
                  </w:pPr>
                  <w:r>
                    <w:rPr>
                      <w:b/>
                      <w:bCs/>
                      <w:snapToGrid w:val="0"/>
                      <w:color w:val="auto"/>
                      <w:kern w:val="0"/>
                      <w:szCs w:val="21"/>
                      <w:highlight w:val="none"/>
                    </w:rPr>
                    <w:t>序号</w:t>
                  </w:r>
                </w:p>
              </w:tc>
              <w:tc>
                <w:tcPr>
                  <w:tcW w:w="246" w:type="pct"/>
                  <w:vMerge w:val="restart"/>
                  <w:vAlign w:val="center"/>
                </w:tcPr>
                <w:p w14:paraId="71B68875">
                  <w:pPr>
                    <w:adjustRightInd w:val="0"/>
                    <w:snapToGrid w:val="0"/>
                    <w:jc w:val="center"/>
                    <w:rPr>
                      <w:b/>
                      <w:bCs/>
                      <w:snapToGrid w:val="0"/>
                      <w:color w:val="auto"/>
                      <w:kern w:val="0"/>
                      <w:szCs w:val="21"/>
                      <w:highlight w:val="none"/>
                    </w:rPr>
                  </w:pPr>
                  <w:r>
                    <w:rPr>
                      <w:b/>
                      <w:bCs/>
                      <w:snapToGrid w:val="0"/>
                      <w:color w:val="auto"/>
                      <w:kern w:val="0"/>
                      <w:szCs w:val="21"/>
                      <w:highlight w:val="none"/>
                    </w:rPr>
                    <w:t>位置</w:t>
                  </w:r>
                </w:p>
              </w:tc>
              <w:tc>
                <w:tcPr>
                  <w:tcW w:w="410" w:type="pct"/>
                  <w:vMerge w:val="restart"/>
                  <w:vAlign w:val="center"/>
                </w:tcPr>
                <w:p w14:paraId="4A5C2903">
                  <w:pPr>
                    <w:adjustRightInd w:val="0"/>
                    <w:snapToGrid w:val="0"/>
                    <w:jc w:val="center"/>
                    <w:rPr>
                      <w:b/>
                      <w:bCs/>
                      <w:snapToGrid w:val="0"/>
                      <w:color w:val="auto"/>
                      <w:kern w:val="0"/>
                      <w:szCs w:val="21"/>
                      <w:highlight w:val="none"/>
                    </w:rPr>
                  </w:pPr>
                  <w:r>
                    <w:rPr>
                      <w:b/>
                      <w:bCs/>
                      <w:snapToGrid w:val="0"/>
                      <w:color w:val="auto"/>
                      <w:kern w:val="0"/>
                      <w:szCs w:val="21"/>
                      <w:highlight w:val="none"/>
                    </w:rPr>
                    <w:t>噪声源</w:t>
                  </w:r>
                </w:p>
              </w:tc>
              <w:tc>
                <w:tcPr>
                  <w:tcW w:w="546" w:type="pct"/>
                  <w:vMerge w:val="restart"/>
                  <w:vAlign w:val="center"/>
                </w:tcPr>
                <w:p w14:paraId="60C8B401">
                  <w:pPr>
                    <w:adjustRightInd w:val="0"/>
                    <w:snapToGrid w:val="0"/>
                    <w:jc w:val="center"/>
                    <w:rPr>
                      <w:b/>
                      <w:bCs/>
                      <w:snapToGrid w:val="0"/>
                      <w:color w:val="auto"/>
                      <w:kern w:val="0"/>
                      <w:szCs w:val="21"/>
                      <w:highlight w:val="none"/>
                    </w:rPr>
                  </w:pPr>
                  <w:r>
                    <w:rPr>
                      <w:b/>
                      <w:bCs/>
                      <w:snapToGrid w:val="0"/>
                      <w:color w:val="auto"/>
                      <w:kern w:val="0"/>
                      <w:szCs w:val="21"/>
                      <w:highlight w:val="none"/>
                    </w:rPr>
                    <w:t>噪声源强</w:t>
                  </w:r>
                </w:p>
                <w:p w14:paraId="7D5C9E8C">
                  <w:pPr>
                    <w:adjustRightInd w:val="0"/>
                    <w:snapToGrid w:val="0"/>
                    <w:jc w:val="center"/>
                    <w:rPr>
                      <w:b/>
                      <w:bCs/>
                      <w:snapToGrid w:val="0"/>
                      <w:color w:val="auto"/>
                      <w:kern w:val="0"/>
                      <w:szCs w:val="21"/>
                      <w:highlight w:val="none"/>
                    </w:rPr>
                  </w:pPr>
                  <w:r>
                    <w:rPr>
                      <w:b/>
                      <w:bCs/>
                      <w:snapToGrid w:val="0"/>
                      <w:color w:val="auto"/>
                      <w:kern w:val="0"/>
                      <w:szCs w:val="21"/>
                      <w:highlight w:val="none"/>
                    </w:rPr>
                    <w:t>（dB(A)）</w:t>
                  </w:r>
                </w:p>
              </w:tc>
              <w:tc>
                <w:tcPr>
                  <w:tcW w:w="640" w:type="pct"/>
                  <w:vMerge w:val="restart"/>
                  <w:vAlign w:val="center"/>
                </w:tcPr>
                <w:p w14:paraId="0B26B722">
                  <w:pPr>
                    <w:widowControl/>
                    <w:adjustRightInd w:val="0"/>
                    <w:snapToGrid w:val="0"/>
                    <w:jc w:val="center"/>
                    <w:textAlignment w:val="baseline"/>
                    <w:rPr>
                      <w:b/>
                      <w:color w:val="auto"/>
                      <w:spacing w:val="4"/>
                      <w:kern w:val="0"/>
                      <w:szCs w:val="21"/>
                      <w:highlight w:val="none"/>
                    </w:rPr>
                  </w:pPr>
                  <w:r>
                    <w:rPr>
                      <w:b/>
                      <w:color w:val="auto"/>
                      <w:spacing w:val="4"/>
                      <w:kern w:val="0"/>
                      <w:szCs w:val="21"/>
                      <w:highlight w:val="none"/>
                    </w:rPr>
                    <w:t>声源类型</w:t>
                  </w:r>
                </w:p>
                <w:p w14:paraId="5A9F6D26">
                  <w:pPr>
                    <w:adjustRightInd w:val="0"/>
                    <w:snapToGrid w:val="0"/>
                    <w:jc w:val="center"/>
                    <w:rPr>
                      <w:b/>
                      <w:bCs/>
                      <w:snapToGrid w:val="0"/>
                      <w:color w:val="auto"/>
                      <w:kern w:val="0"/>
                      <w:szCs w:val="21"/>
                      <w:highlight w:val="none"/>
                    </w:rPr>
                  </w:pPr>
                  <w:r>
                    <w:rPr>
                      <w:b/>
                      <w:color w:val="auto"/>
                      <w:spacing w:val="4"/>
                      <w:kern w:val="0"/>
                      <w:szCs w:val="21"/>
                      <w:highlight w:val="none"/>
                    </w:rPr>
                    <w:t>(频发、偶发)</w:t>
                  </w:r>
                </w:p>
              </w:tc>
              <w:tc>
                <w:tcPr>
                  <w:tcW w:w="358" w:type="pct"/>
                  <w:vMerge w:val="restart"/>
                  <w:vAlign w:val="center"/>
                </w:tcPr>
                <w:p w14:paraId="409598A9">
                  <w:pPr>
                    <w:adjustRightInd w:val="0"/>
                    <w:snapToGrid w:val="0"/>
                    <w:jc w:val="center"/>
                    <w:rPr>
                      <w:b/>
                      <w:bCs/>
                      <w:snapToGrid w:val="0"/>
                      <w:color w:val="auto"/>
                      <w:kern w:val="0"/>
                      <w:szCs w:val="21"/>
                      <w:highlight w:val="none"/>
                    </w:rPr>
                  </w:pPr>
                  <w:r>
                    <w:rPr>
                      <w:b/>
                      <w:bCs/>
                      <w:snapToGrid w:val="0"/>
                      <w:color w:val="auto"/>
                      <w:kern w:val="0"/>
                      <w:szCs w:val="21"/>
                      <w:highlight w:val="none"/>
                    </w:rPr>
                    <w:t>数量</w:t>
                  </w:r>
                </w:p>
                <w:p w14:paraId="0B86A897">
                  <w:pPr>
                    <w:adjustRightInd w:val="0"/>
                    <w:snapToGrid w:val="0"/>
                    <w:jc w:val="center"/>
                    <w:rPr>
                      <w:b/>
                      <w:bCs/>
                      <w:snapToGrid w:val="0"/>
                      <w:color w:val="auto"/>
                      <w:kern w:val="0"/>
                      <w:szCs w:val="21"/>
                      <w:highlight w:val="none"/>
                    </w:rPr>
                  </w:pPr>
                  <w:r>
                    <w:rPr>
                      <w:b/>
                      <w:bCs/>
                      <w:snapToGrid w:val="0"/>
                      <w:color w:val="auto"/>
                      <w:kern w:val="0"/>
                      <w:szCs w:val="21"/>
                      <w:highlight w:val="none"/>
                    </w:rPr>
                    <w:t>（台）</w:t>
                  </w:r>
                </w:p>
              </w:tc>
              <w:tc>
                <w:tcPr>
                  <w:tcW w:w="1088" w:type="pct"/>
                  <w:gridSpan w:val="4"/>
                  <w:vAlign w:val="center"/>
                </w:tcPr>
                <w:p w14:paraId="44939958">
                  <w:pPr>
                    <w:adjustRightInd w:val="0"/>
                    <w:snapToGrid w:val="0"/>
                    <w:jc w:val="center"/>
                    <w:rPr>
                      <w:b/>
                      <w:bCs/>
                      <w:snapToGrid w:val="0"/>
                      <w:color w:val="auto"/>
                      <w:kern w:val="0"/>
                      <w:szCs w:val="21"/>
                      <w:highlight w:val="none"/>
                    </w:rPr>
                  </w:pPr>
                  <w:r>
                    <w:rPr>
                      <w:b/>
                      <w:bCs/>
                      <w:snapToGrid w:val="0"/>
                      <w:color w:val="auto"/>
                      <w:kern w:val="0"/>
                      <w:szCs w:val="21"/>
                      <w:highlight w:val="none"/>
                    </w:rPr>
                    <w:t>距厂界距离（m）</w:t>
                  </w:r>
                </w:p>
              </w:tc>
              <w:tc>
                <w:tcPr>
                  <w:tcW w:w="1049" w:type="pct"/>
                  <w:vMerge w:val="restart"/>
                  <w:vAlign w:val="center"/>
                </w:tcPr>
                <w:p w14:paraId="18E2AC0B">
                  <w:pPr>
                    <w:adjustRightInd w:val="0"/>
                    <w:snapToGrid w:val="0"/>
                    <w:jc w:val="center"/>
                    <w:rPr>
                      <w:b/>
                      <w:bCs/>
                      <w:snapToGrid w:val="0"/>
                      <w:color w:val="auto"/>
                      <w:kern w:val="0"/>
                      <w:szCs w:val="21"/>
                      <w:highlight w:val="none"/>
                    </w:rPr>
                  </w:pPr>
                  <w:r>
                    <w:rPr>
                      <w:b/>
                      <w:bCs/>
                      <w:snapToGrid w:val="0"/>
                      <w:color w:val="auto"/>
                      <w:kern w:val="0"/>
                      <w:szCs w:val="21"/>
                      <w:highlight w:val="none"/>
                    </w:rPr>
                    <w:t>防治措施</w:t>
                  </w:r>
                </w:p>
              </w:tc>
              <w:tc>
                <w:tcPr>
                  <w:tcW w:w="415" w:type="pct"/>
                  <w:vMerge w:val="restart"/>
                  <w:vAlign w:val="center"/>
                </w:tcPr>
                <w:p w14:paraId="115DE620">
                  <w:pPr>
                    <w:adjustRightInd w:val="0"/>
                    <w:snapToGrid w:val="0"/>
                    <w:jc w:val="center"/>
                    <w:rPr>
                      <w:b/>
                      <w:bCs/>
                      <w:snapToGrid w:val="0"/>
                      <w:color w:val="auto"/>
                      <w:kern w:val="0"/>
                      <w:szCs w:val="21"/>
                      <w:highlight w:val="none"/>
                    </w:rPr>
                  </w:pPr>
                  <w:r>
                    <w:rPr>
                      <w:b/>
                      <w:bCs/>
                      <w:snapToGrid w:val="0"/>
                      <w:color w:val="auto"/>
                      <w:kern w:val="0"/>
                      <w:szCs w:val="21"/>
                      <w:highlight w:val="none"/>
                    </w:rPr>
                    <w:t>降噪效果dB(A)</w:t>
                  </w:r>
                </w:p>
              </w:tc>
            </w:tr>
            <w:tr w14:paraId="565EB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Merge w:val="continue"/>
                  <w:vAlign w:val="center"/>
                </w:tcPr>
                <w:p w14:paraId="30D4BC4F">
                  <w:pPr>
                    <w:adjustRightInd w:val="0"/>
                    <w:snapToGrid w:val="0"/>
                    <w:jc w:val="center"/>
                    <w:rPr>
                      <w:b/>
                      <w:bCs/>
                      <w:snapToGrid w:val="0"/>
                      <w:color w:val="auto"/>
                      <w:kern w:val="0"/>
                      <w:szCs w:val="21"/>
                      <w:highlight w:val="none"/>
                    </w:rPr>
                  </w:pPr>
                </w:p>
              </w:tc>
              <w:tc>
                <w:tcPr>
                  <w:tcW w:w="246" w:type="pct"/>
                  <w:vMerge w:val="continue"/>
                  <w:vAlign w:val="center"/>
                </w:tcPr>
                <w:p w14:paraId="18BE6C12">
                  <w:pPr>
                    <w:adjustRightInd w:val="0"/>
                    <w:snapToGrid w:val="0"/>
                    <w:jc w:val="center"/>
                    <w:rPr>
                      <w:b/>
                      <w:bCs/>
                      <w:snapToGrid w:val="0"/>
                      <w:color w:val="auto"/>
                      <w:kern w:val="0"/>
                      <w:szCs w:val="21"/>
                      <w:highlight w:val="none"/>
                    </w:rPr>
                  </w:pPr>
                </w:p>
              </w:tc>
              <w:tc>
                <w:tcPr>
                  <w:tcW w:w="410" w:type="pct"/>
                  <w:vMerge w:val="continue"/>
                  <w:vAlign w:val="center"/>
                </w:tcPr>
                <w:p w14:paraId="721CA4A6">
                  <w:pPr>
                    <w:adjustRightInd w:val="0"/>
                    <w:snapToGrid w:val="0"/>
                    <w:jc w:val="center"/>
                    <w:rPr>
                      <w:b/>
                      <w:bCs/>
                      <w:snapToGrid w:val="0"/>
                      <w:color w:val="auto"/>
                      <w:kern w:val="0"/>
                      <w:szCs w:val="21"/>
                      <w:highlight w:val="none"/>
                    </w:rPr>
                  </w:pPr>
                </w:p>
              </w:tc>
              <w:tc>
                <w:tcPr>
                  <w:tcW w:w="546" w:type="pct"/>
                  <w:vMerge w:val="continue"/>
                  <w:vAlign w:val="center"/>
                </w:tcPr>
                <w:p w14:paraId="67775F32">
                  <w:pPr>
                    <w:adjustRightInd w:val="0"/>
                    <w:snapToGrid w:val="0"/>
                    <w:jc w:val="center"/>
                    <w:rPr>
                      <w:b/>
                      <w:bCs/>
                      <w:snapToGrid w:val="0"/>
                      <w:color w:val="auto"/>
                      <w:kern w:val="0"/>
                      <w:szCs w:val="21"/>
                      <w:highlight w:val="none"/>
                    </w:rPr>
                  </w:pPr>
                </w:p>
              </w:tc>
              <w:tc>
                <w:tcPr>
                  <w:tcW w:w="640" w:type="pct"/>
                  <w:vMerge w:val="continue"/>
                  <w:vAlign w:val="center"/>
                </w:tcPr>
                <w:p w14:paraId="01F670D7">
                  <w:pPr>
                    <w:adjustRightInd w:val="0"/>
                    <w:snapToGrid w:val="0"/>
                    <w:jc w:val="center"/>
                    <w:rPr>
                      <w:b/>
                      <w:bCs/>
                      <w:snapToGrid w:val="0"/>
                      <w:color w:val="auto"/>
                      <w:kern w:val="0"/>
                      <w:szCs w:val="21"/>
                      <w:highlight w:val="none"/>
                    </w:rPr>
                  </w:pPr>
                </w:p>
              </w:tc>
              <w:tc>
                <w:tcPr>
                  <w:tcW w:w="358" w:type="pct"/>
                  <w:vMerge w:val="continue"/>
                  <w:vAlign w:val="center"/>
                </w:tcPr>
                <w:p w14:paraId="7EB3D42A">
                  <w:pPr>
                    <w:adjustRightInd w:val="0"/>
                    <w:snapToGrid w:val="0"/>
                    <w:jc w:val="center"/>
                    <w:rPr>
                      <w:b/>
                      <w:bCs/>
                      <w:snapToGrid w:val="0"/>
                      <w:color w:val="auto"/>
                      <w:kern w:val="0"/>
                      <w:szCs w:val="21"/>
                      <w:highlight w:val="none"/>
                    </w:rPr>
                  </w:pPr>
                </w:p>
              </w:tc>
              <w:tc>
                <w:tcPr>
                  <w:tcW w:w="251" w:type="pct"/>
                  <w:vAlign w:val="center"/>
                </w:tcPr>
                <w:p w14:paraId="78F8F573">
                  <w:pPr>
                    <w:adjustRightInd w:val="0"/>
                    <w:snapToGrid w:val="0"/>
                    <w:jc w:val="center"/>
                    <w:rPr>
                      <w:b/>
                      <w:bCs/>
                      <w:snapToGrid w:val="0"/>
                      <w:color w:val="auto"/>
                      <w:kern w:val="0"/>
                      <w:szCs w:val="21"/>
                      <w:highlight w:val="none"/>
                    </w:rPr>
                  </w:pPr>
                  <w:r>
                    <w:rPr>
                      <w:b/>
                      <w:bCs/>
                      <w:snapToGrid w:val="0"/>
                      <w:color w:val="auto"/>
                      <w:kern w:val="0"/>
                      <w:szCs w:val="21"/>
                      <w:highlight w:val="none"/>
                    </w:rPr>
                    <w:t>东</w:t>
                  </w:r>
                </w:p>
              </w:tc>
              <w:tc>
                <w:tcPr>
                  <w:tcW w:w="290" w:type="pct"/>
                  <w:vAlign w:val="center"/>
                </w:tcPr>
                <w:p w14:paraId="2E655945">
                  <w:pPr>
                    <w:adjustRightInd w:val="0"/>
                    <w:snapToGrid w:val="0"/>
                    <w:jc w:val="center"/>
                    <w:rPr>
                      <w:b/>
                      <w:bCs/>
                      <w:snapToGrid w:val="0"/>
                      <w:color w:val="auto"/>
                      <w:kern w:val="0"/>
                      <w:szCs w:val="21"/>
                      <w:highlight w:val="none"/>
                    </w:rPr>
                  </w:pPr>
                  <w:r>
                    <w:rPr>
                      <w:b/>
                      <w:bCs/>
                      <w:snapToGrid w:val="0"/>
                      <w:color w:val="auto"/>
                      <w:kern w:val="0"/>
                      <w:szCs w:val="21"/>
                      <w:highlight w:val="none"/>
                    </w:rPr>
                    <w:t>南</w:t>
                  </w:r>
                </w:p>
              </w:tc>
              <w:tc>
                <w:tcPr>
                  <w:tcW w:w="262" w:type="pct"/>
                  <w:vAlign w:val="center"/>
                </w:tcPr>
                <w:p w14:paraId="22B6D2D0">
                  <w:pPr>
                    <w:adjustRightInd w:val="0"/>
                    <w:snapToGrid w:val="0"/>
                    <w:jc w:val="center"/>
                    <w:rPr>
                      <w:b/>
                      <w:bCs/>
                      <w:snapToGrid w:val="0"/>
                      <w:color w:val="auto"/>
                      <w:kern w:val="0"/>
                      <w:szCs w:val="21"/>
                      <w:highlight w:val="none"/>
                    </w:rPr>
                  </w:pPr>
                  <w:r>
                    <w:rPr>
                      <w:b/>
                      <w:bCs/>
                      <w:snapToGrid w:val="0"/>
                      <w:color w:val="auto"/>
                      <w:kern w:val="0"/>
                      <w:szCs w:val="21"/>
                      <w:highlight w:val="none"/>
                    </w:rPr>
                    <w:t>西</w:t>
                  </w:r>
                </w:p>
              </w:tc>
              <w:tc>
                <w:tcPr>
                  <w:tcW w:w="283" w:type="pct"/>
                  <w:vAlign w:val="center"/>
                </w:tcPr>
                <w:p w14:paraId="0AA89240">
                  <w:pPr>
                    <w:adjustRightInd w:val="0"/>
                    <w:snapToGrid w:val="0"/>
                    <w:jc w:val="center"/>
                    <w:rPr>
                      <w:b/>
                      <w:bCs/>
                      <w:snapToGrid w:val="0"/>
                      <w:color w:val="auto"/>
                      <w:kern w:val="0"/>
                      <w:szCs w:val="21"/>
                      <w:highlight w:val="none"/>
                    </w:rPr>
                  </w:pPr>
                  <w:r>
                    <w:rPr>
                      <w:b/>
                      <w:bCs/>
                      <w:snapToGrid w:val="0"/>
                      <w:color w:val="auto"/>
                      <w:kern w:val="0"/>
                      <w:szCs w:val="21"/>
                      <w:highlight w:val="none"/>
                    </w:rPr>
                    <w:t>北</w:t>
                  </w:r>
                </w:p>
              </w:tc>
              <w:tc>
                <w:tcPr>
                  <w:tcW w:w="1049" w:type="pct"/>
                  <w:vMerge w:val="continue"/>
                  <w:vAlign w:val="center"/>
                </w:tcPr>
                <w:p w14:paraId="522D6B34">
                  <w:pPr>
                    <w:adjustRightInd w:val="0"/>
                    <w:snapToGrid w:val="0"/>
                    <w:jc w:val="center"/>
                    <w:rPr>
                      <w:b/>
                      <w:bCs/>
                      <w:snapToGrid w:val="0"/>
                      <w:color w:val="auto"/>
                      <w:kern w:val="0"/>
                      <w:szCs w:val="21"/>
                      <w:highlight w:val="none"/>
                    </w:rPr>
                  </w:pPr>
                </w:p>
              </w:tc>
              <w:tc>
                <w:tcPr>
                  <w:tcW w:w="415" w:type="pct"/>
                  <w:vMerge w:val="continue"/>
                  <w:vAlign w:val="center"/>
                </w:tcPr>
                <w:p w14:paraId="4FB89994">
                  <w:pPr>
                    <w:adjustRightInd w:val="0"/>
                    <w:snapToGrid w:val="0"/>
                    <w:jc w:val="center"/>
                    <w:rPr>
                      <w:b/>
                      <w:bCs/>
                      <w:snapToGrid w:val="0"/>
                      <w:color w:val="auto"/>
                      <w:kern w:val="0"/>
                      <w:szCs w:val="21"/>
                      <w:highlight w:val="none"/>
                    </w:rPr>
                  </w:pPr>
                </w:p>
              </w:tc>
            </w:tr>
            <w:tr w14:paraId="039FF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Align w:val="center"/>
                </w:tcPr>
                <w:p w14:paraId="60C67A7E">
                  <w:pPr>
                    <w:adjustRightInd w:val="0"/>
                    <w:snapToGrid w:val="0"/>
                    <w:jc w:val="center"/>
                    <w:rPr>
                      <w:snapToGrid w:val="0"/>
                      <w:color w:val="auto"/>
                      <w:kern w:val="0"/>
                      <w:szCs w:val="21"/>
                      <w:highlight w:val="none"/>
                    </w:rPr>
                  </w:pPr>
                  <w:r>
                    <w:rPr>
                      <w:snapToGrid w:val="0"/>
                      <w:color w:val="auto"/>
                      <w:kern w:val="0"/>
                      <w:szCs w:val="21"/>
                      <w:highlight w:val="none"/>
                    </w:rPr>
                    <w:t>1</w:t>
                  </w:r>
                </w:p>
              </w:tc>
              <w:tc>
                <w:tcPr>
                  <w:tcW w:w="246" w:type="pct"/>
                  <w:vMerge w:val="restart"/>
                  <w:vAlign w:val="center"/>
                </w:tcPr>
                <w:p w14:paraId="3D07FBBF">
                  <w:pPr>
                    <w:adjustRightInd w:val="0"/>
                    <w:snapToGrid w:val="0"/>
                    <w:jc w:val="center"/>
                    <w:rPr>
                      <w:snapToGrid w:val="0"/>
                      <w:color w:val="auto"/>
                      <w:kern w:val="0"/>
                      <w:szCs w:val="21"/>
                      <w:highlight w:val="none"/>
                    </w:rPr>
                  </w:pPr>
                  <w:r>
                    <w:rPr>
                      <w:snapToGrid w:val="0"/>
                      <w:color w:val="auto"/>
                      <w:kern w:val="0"/>
                      <w:szCs w:val="21"/>
                      <w:highlight w:val="none"/>
                    </w:rPr>
                    <w:t>生产车间</w:t>
                  </w:r>
                </w:p>
              </w:tc>
              <w:tc>
                <w:tcPr>
                  <w:tcW w:w="410" w:type="pct"/>
                  <w:vAlign w:val="center"/>
                </w:tcPr>
                <w:p w14:paraId="5588AC63">
                  <w:pPr>
                    <w:widowControl/>
                    <w:adjustRightInd w:val="0"/>
                    <w:snapToGrid w:val="0"/>
                    <w:jc w:val="center"/>
                    <w:textAlignment w:val="center"/>
                    <w:rPr>
                      <w:color w:val="auto"/>
                      <w:szCs w:val="21"/>
                      <w:highlight w:val="none"/>
                    </w:rPr>
                  </w:pPr>
                  <w:r>
                    <w:rPr>
                      <w:color w:val="auto"/>
                      <w:szCs w:val="21"/>
                      <w:highlight w:val="none"/>
                    </w:rPr>
                    <w:t>空压机</w:t>
                  </w:r>
                </w:p>
              </w:tc>
              <w:tc>
                <w:tcPr>
                  <w:tcW w:w="546" w:type="pct"/>
                  <w:vAlign w:val="center"/>
                </w:tcPr>
                <w:p w14:paraId="5730E72A">
                  <w:pPr>
                    <w:adjustRightInd w:val="0"/>
                    <w:snapToGrid w:val="0"/>
                    <w:jc w:val="center"/>
                    <w:rPr>
                      <w:color w:val="auto"/>
                      <w:szCs w:val="21"/>
                      <w:highlight w:val="none"/>
                    </w:rPr>
                  </w:pPr>
                  <w:r>
                    <w:rPr>
                      <w:color w:val="auto"/>
                      <w:szCs w:val="21"/>
                      <w:highlight w:val="none"/>
                    </w:rPr>
                    <w:t>85</w:t>
                  </w:r>
                </w:p>
              </w:tc>
              <w:tc>
                <w:tcPr>
                  <w:tcW w:w="640" w:type="pct"/>
                  <w:vAlign w:val="center"/>
                </w:tcPr>
                <w:p w14:paraId="518ABD2D">
                  <w:pPr>
                    <w:adjustRightInd w:val="0"/>
                    <w:snapToGrid w:val="0"/>
                    <w:jc w:val="center"/>
                    <w:rPr>
                      <w:bCs/>
                      <w:snapToGrid w:val="0"/>
                      <w:color w:val="auto"/>
                      <w:kern w:val="0"/>
                      <w:szCs w:val="21"/>
                      <w:highlight w:val="none"/>
                    </w:rPr>
                  </w:pPr>
                  <w:r>
                    <w:rPr>
                      <w:bCs/>
                      <w:color w:val="auto"/>
                      <w:spacing w:val="4"/>
                      <w:kern w:val="0"/>
                      <w:szCs w:val="21"/>
                      <w:highlight w:val="none"/>
                    </w:rPr>
                    <w:t>频发</w:t>
                  </w:r>
                </w:p>
              </w:tc>
              <w:tc>
                <w:tcPr>
                  <w:tcW w:w="358" w:type="pct"/>
                  <w:vAlign w:val="center"/>
                </w:tcPr>
                <w:p w14:paraId="38B83BBE">
                  <w:pPr>
                    <w:adjustRightInd w:val="0"/>
                    <w:snapToGrid w:val="0"/>
                    <w:jc w:val="center"/>
                    <w:rPr>
                      <w:color w:val="auto"/>
                      <w:szCs w:val="21"/>
                      <w:highlight w:val="none"/>
                    </w:rPr>
                  </w:pPr>
                  <w:r>
                    <w:rPr>
                      <w:color w:val="auto"/>
                      <w:szCs w:val="21"/>
                      <w:highlight w:val="none"/>
                    </w:rPr>
                    <w:t>1</w:t>
                  </w:r>
                </w:p>
              </w:tc>
              <w:tc>
                <w:tcPr>
                  <w:tcW w:w="251" w:type="pct"/>
                  <w:vAlign w:val="center"/>
                </w:tcPr>
                <w:p w14:paraId="0A32C0F3">
                  <w:pPr>
                    <w:adjustRightInd w:val="0"/>
                    <w:snapToGrid w:val="0"/>
                    <w:jc w:val="center"/>
                    <w:rPr>
                      <w:color w:val="auto"/>
                      <w:szCs w:val="21"/>
                      <w:highlight w:val="none"/>
                    </w:rPr>
                  </w:pPr>
                  <w:r>
                    <w:rPr>
                      <w:color w:val="auto"/>
                      <w:szCs w:val="21"/>
                      <w:highlight w:val="none"/>
                    </w:rPr>
                    <w:t>50</w:t>
                  </w:r>
                </w:p>
              </w:tc>
              <w:tc>
                <w:tcPr>
                  <w:tcW w:w="290" w:type="pct"/>
                  <w:vAlign w:val="center"/>
                </w:tcPr>
                <w:p w14:paraId="3F5AFE90">
                  <w:pPr>
                    <w:adjustRightInd w:val="0"/>
                    <w:snapToGrid w:val="0"/>
                    <w:jc w:val="center"/>
                    <w:rPr>
                      <w:color w:val="auto"/>
                      <w:szCs w:val="21"/>
                      <w:highlight w:val="none"/>
                    </w:rPr>
                  </w:pPr>
                  <w:r>
                    <w:rPr>
                      <w:color w:val="auto"/>
                      <w:szCs w:val="21"/>
                      <w:highlight w:val="none"/>
                    </w:rPr>
                    <w:t>60</w:t>
                  </w:r>
                </w:p>
              </w:tc>
              <w:tc>
                <w:tcPr>
                  <w:tcW w:w="262" w:type="pct"/>
                  <w:vAlign w:val="center"/>
                </w:tcPr>
                <w:p w14:paraId="011EDB71">
                  <w:pPr>
                    <w:adjustRightInd w:val="0"/>
                    <w:snapToGrid w:val="0"/>
                    <w:jc w:val="center"/>
                    <w:rPr>
                      <w:color w:val="auto"/>
                      <w:szCs w:val="21"/>
                      <w:highlight w:val="none"/>
                    </w:rPr>
                  </w:pPr>
                  <w:r>
                    <w:rPr>
                      <w:color w:val="auto"/>
                      <w:szCs w:val="21"/>
                      <w:highlight w:val="none"/>
                    </w:rPr>
                    <w:t>40</w:t>
                  </w:r>
                </w:p>
              </w:tc>
              <w:tc>
                <w:tcPr>
                  <w:tcW w:w="283" w:type="pct"/>
                  <w:vAlign w:val="center"/>
                </w:tcPr>
                <w:p w14:paraId="0ACCB7A3">
                  <w:pPr>
                    <w:adjustRightInd w:val="0"/>
                    <w:snapToGrid w:val="0"/>
                    <w:jc w:val="center"/>
                    <w:rPr>
                      <w:color w:val="auto"/>
                      <w:szCs w:val="21"/>
                      <w:highlight w:val="none"/>
                    </w:rPr>
                  </w:pPr>
                  <w:r>
                    <w:rPr>
                      <w:color w:val="auto"/>
                      <w:szCs w:val="21"/>
                      <w:highlight w:val="none"/>
                    </w:rPr>
                    <w:t>20</w:t>
                  </w:r>
                </w:p>
              </w:tc>
              <w:tc>
                <w:tcPr>
                  <w:tcW w:w="1049" w:type="pct"/>
                  <w:vMerge w:val="restart"/>
                  <w:vAlign w:val="center"/>
                </w:tcPr>
                <w:p w14:paraId="29D5917A">
                  <w:pPr>
                    <w:adjustRightInd w:val="0"/>
                    <w:snapToGrid w:val="0"/>
                    <w:jc w:val="center"/>
                    <w:rPr>
                      <w:snapToGrid w:val="0"/>
                      <w:color w:val="auto"/>
                      <w:kern w:val="0"/>
                      <w:szCs w:val="21"/>
                      <w:highlight w:val="none"/>
                    </w:rPr>
                  </w:pPr>
                  <w:r>
                    <w:rPr>
                      <w:snapToGrid w:val="0"/>
                      <w:color w:val="auto"/>
                      <w:kern w:val="0"/>
                      <w:szCs w:val="21"/>
                      <w:highlight w:val="none"/>
                    </w:rPr>
                    <w:t>厂房隔声、合理布局</w:t>
                  </w:r>
                </w:p>
              </w:tc>
              <w:tc>
                <w:tcPr>
                  <w:tcW w:w="415" w:type="pct"/>
                  <w:vAlign w:val="center"/>
                </w:tcPr>
                <w:p w14:paraId="68DC6829">
                  <w:pPr>
                    <w:adjustRightInd w:val="0"/>
                    <w:snapToGrid w:val="0"/>
                    <w:jc w:val="center"/>
                    <w:rPr>
                      <w:snapToGrid w:val="0"/>
                      <w:color w:val="auto"/>
                      <w:kern w:val="0"/>
                      <w:szCs w:val="21"/>
                      <w:highlight w:val="none"/>
                    </w:rPr>
                  </w:pPr>
                  <w:r>
                    <w:rPr>
                      <w:snapToGrid w:val="0"/>
                      <w:color w:val="auto"/>
                      <w:kern w:val="0"/>
                      <w:szCs w:val="21"/>
                      <w:highlight w:val="none"/>
                    </w:rPr>
                    <w:t>20</w:t>
                  </w:r>
                </w:p>
              </w:tc>
            </w:tr>
            <w:tr w14:paraId="2CD06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Align w:val="center"/>
                </w:tcPr>
                <w:p w14:paraId="5B44272B">
                  <w:pPr>
                    <w:adjustRightInd w:val="0"/>
                    <w:snapToGrid w:val="0"/>
                    <w:jc w:val="center"/>
                    <w:rPr>
                      <w:snapToGrid w:val="0"/>
                      <w:color w:val="auto"/>
                      <w:kern w:val="0"/>
                      <w:szCs w:val="21"/>
                      <w:highlight w:val="none"/>
                    </w:rPr>
                  </w:pPr>
                  <w:r>
                    <w:rPr>
                      <w:rFonts w:hint="eastAsia"/>
                      <w:snapToGrid w:val="0"/>
                      <w:color w:val="auto"/>
                      <w:kern w:val="0"/>
                      <w:szCs w:val="21"/>
                      <w:highlight w:val="none"/>
                    </w:rPr>
                    <w:t>2</w:t>
                  </w:r>
                </w:p>
              </w:tc>
              <w:tc>
                <w:tcPr>
                  <w:tcW w:w="246" w:type="pct"/>
                  <w:vMerge w:val="continue"/>
                  <w:vAlign w:val="center"/>
                </w:tcPr>
                <w:p w14:paraId="2FBF16C5">
                  <w:pPr>
                    <w:adjustRightInd w:val="0"/>
                    <w:snapToGrid w:val="0"/>
                    <w:jc w:val="center"/>
                    <w:rPr>
                      <w:snapToGrid w:val="0"/>
                      <w:color w:val="auto"/>
                      <w:kern w:val="0"/>
                      <w:szCs w:val="21"/>
                      <w:highlight w:val="none"/>
                    </w:rPr>
                  </w:pPr>
                </w:p>
              </w:tc>
              <w:tc>
                <w:tcPr>
                  <w:tcW w:w="410" w:type="pct"/>
                  <w:vAlign w:val="center"/>
                </w:tcPr>
                <w:p w14:paraId="5DBF3469">
                  <w:pPr>
                    <w:widowControl/>
                    <w:adjustRightInd w:val="0"/>
                    <w:snapToGrid w:val="0"/>
                    <w:jc w:val="center"/>
                    <w:textAlignment w:val="center"/>
                    <w:rPr>
                      <w:color w:val="auto"/>
                      <w:szCs w:val="21"/>
                      <w:highlight w:val="none"/>
                    </w:rPr>
                  </w:pPr>
                  <w:r>
                    <w:rPr>
                      <w:rFonts w:hint="eastAsia"/>
                      <w:color w:val="auto"/>
                      <w:szCs w:val="21"/>
                      <w:highlight w:val="none"/>
                    </w:rPr>
                    <w:t>干燥机</w:t>
                  </w:r>
                </w:p>
              </w:tc>
              <w:tc>
                <w:tcPr>
                  <w:tcW w:w="546" w:type="pct"/>
                  <w:vAlign w:val="center"/>
                </w:tcPr>
                <w:p w14:paraId="2D7E3D24">
                  <w:pPr>
                    <w:adjustRightInd w:val="0"/>
                    <w:snapToGrid w:val="0"/>
                    <w:jc w:val="center"/>
                    <w:rPr>
                      <w:color w:val="auto"/>
                      <w:szCs w:val="21"/>
                      <w:highlight w:val="none"/>
                    </w:rPr>
                  </w:pPr>
                  <w:r>
                    <w:rPr>
                      <w:rFonts w:hint="eastAsia"/>
                      <w:color w:val="auto"/>
                      <w:szCs w:val="21"/>
                      <w:highlight w:val="none"/>
                    </w:rPr>
                    <w:t>85</w:t>
                  </w:r>
                </w:p>
              </w:tc>
              <w:tc>
                <w:tcPr>
                  <w:tcW w:w="640" w:type="pct"/>
                  <w:vAlign w:val="center"/>
                </w:tcPr>
                <w:p w14:paraId="39B0BDF5">
                  <w:pPr>
                    <w:adjustRightInd w:val="0"/>
                    <w:snapToGrid w:val="0"/>
                    <w:jc w:val="center"/>
                    <w:rPr>
                      <w:bCs/>
                      <w:color w:val="auto"/>
                      <w:spacing w:val="4"/>
                      <w:kern w:val="0"/>
                      <w:szCs w:val="21"/>
                      <w:highlight w:val="none"/>
                    </w:rPr>
                  </w:pPr>
                  <w:r>
                    <w:rPr>
                      <w:rFonts w:hint="eastAsia"/>
                      <w:bCs/>
                      <w:color w:val="auto"/>
                      <w:spacing w:val="4"/>
                      <w:kern w:val="0"/>
                      <w:szCs w:val="21"/>
                      <w:highlight w:val="none"/>
                    </w:rPr>
                    <w:t>频发</w:t>
                  </w:r>
                </w:p>
              </w:tc>
              <w:tc>
                <w:tcPr>
                  <w:tcW w:w="358" w:type="pct"/>
                  <w:vAlign w:val="center"/>
                </w:tcPr>
                <w:p w14:paraId="3156EE3C">
                  <w:pPr>
                    <w:adjustRightInd w:val="0"/>
                    <w:snapToGrid w:val="0"/>
                    <w:jc w:val="center"/>
                    <w:rPr>
                      <w:color w:val="auto"/>
                      <w:szCs w:val="21"/>
                      <w:highlight w:val="none"/>
                    </w:rPr>
                  </w:pPr>
                  <w:r>
                    <w:rPr>
                      <w:rFonts w:hint="eastAsia"/>
                      <w:color w:val="auto"/>
                      <w:szCs w:val="21"/>
                      <w:highlight w:val="none"/>
                    </w:rPr>
                    <w:t>1</w:t>
                  </w:r>
                </w:p>
              </w:tc>
              <w:tc>
                <w:tcPr>
                  <w:tcW w:w="251" w:type="pct"/>
                  <w:vAlign w:val="center"/>
                </w:tcPr>
                <w:p w14:paraId="465CDE57">
                  <w:pPr>
                    <w:adjustRightInd w:val="0"/>
                    <w:snapToGrid w:val="0"/>
                    <w:jc w:val="center"/>
                    <w:rPr>
                      <w:color w:val="auto"/>
                      <w:szCs w:val="21"/>
                      <w:highlight w:val="none"/>
                    </w:rPr>
                  </w:pPr>
                  <w:r>
                    <w:rPr>
                      <w:rFonts w:hint="eastAsia"/>
                      <w:color w:val="auto"/>
                      <w:szCs w:val="21"/>
                      <w:highlight w:val="none"/>
                    </w:rPr>
                    <w:t>60</w:t>
                  </w:r>
                </w:p>
              </w:tc>
              <w:tc>
                <w:tcPr>
                  <w:tcW w:w="290" w:type="pct"/>
                  <w:vAlign w:val="center"/>
                </w:tcPr>
                <w:p w14:paraId="10CFA928">
                  <w:pPr>
                    <w:adjustRightInd w:val="0"/>
                    <w:snapToGrid w:val="0"/>
                    <w:jc w:val="center"/>
                    <w:rPr>
                      <w:color w:val="auto"/>
                      <w:szCs w:val="21"/>
                      <w:highlight w:val="none"/>
                    </w:rPr>
                  </w:pPr>
                  <w:r>
                    <w:rPr>
                      <w:rFonts w:hint="eastAsia"/>
                      <w:color w:val="auto"/>
                      <w:szCs w:val="21"/>
                      <w:highlight w:val="none"/>
                    </w:rPr>
                    <w:t>65</w:t>
                  </w:r>
                </w:p>
              </w:tc>
              <w:tc>
                <w:tcPr>
                  <w:tcW w:w="262" w:type="pct"/>
                  <w:vAlign w:val="center"/>
                </w:tcPr>
                <w:p w14:paraId="70806F50">
                  <w:pPr>
                    <w:adjustRightInd w:val="0"/>
                    <w:snapToGrid w:val="0"/>
                    <w:jc w:val="center"/>
                    <w:rPr>
                      <w:color w:val="auto"/>
                      <w:szCs w:val="21"/>
                      <w:highlight w:val="none"/>
                    </w:rPr>
                  </w:pPr>
                  <w:r>
                    <w:rPr>
                      <w:rFonts w:hint="eastAsia"/>
                      <w:color w:val="auto"/>
                      <w:szCs w:val="21"/>
                      <w:highlight w:val="none"/>
                    </w:rPr>
                    <w:t>30</w:t>
                  </w:r>
                </w:p>
              </w:tc>
              <w:tc>
                <w:tcPr>
                  <w:tcW w:w="283" w:type="pct"/>
                  <w:vAlign w:val="center"/>
                </w:tcPr>
                <w:p w14:paraId="5D8F9200">
                  <w:pPr>
                    <w:adjustRightInd w:val="0"/>
                    <w:snapToGrid w:val="0"/>
                    <w:jc w:val="center"/>
                    <w:rPr>
                      <w:color w:val="auto"/>
                      <w:szCs w:val="21"/>
                      <w:highlight w:val="none"/>
                    </w:rPr>
                  </w:pPr>
                  <w:r>
                    <w:rPr>
                      <w:rFonts w:hint="eastAsia"/>
                      <w:color w:val="auto"/>
                      <w:szCs w:val="21"/>
                      <w:highlight w:val="none"/>
                    </w:rPr>
                    <w:t>15</w:t>
                  </w:r>
                </w:p>
              </w:tc>
              <w:tc>
                <w:tcPr>
                  <w:tcW w:w="1049" w:type="pct"/>
                  <w:vMerge w:val="continue"/>
                  <w:vAlign w:val="center"/>
                </w:tcPr>
                <w:p w14:paraId="2DBA4FA2">
                  <w:pPr>
                    <w:adjustRightInd w:val="0"/>
                    <w:snapToGrid w:val="0"/>
                    <w:jc w:val="center"/>
                    <w:rPr>
                      <w:snapToGrid w:val="0"/>
                      <w:color w:val="auto"/>
                      <w:kern w:val="0"/>
                      <w:szCs w:val="21"/>
                      <w:highlight w:val="none"/>
                    </w:rPr>
                  </w:pPr>
                </w:p>
              </w:tc>
              <w:tc>
                <w:tcPr>
                  <w:tcW w:w="415" w:type="pct"/>
                  <w:vAlign w:val="center"/>
                </w:tcPr>
                <w:p w14:paraId="7E22C515">
                  <w:pPr>
                    <w:adjustRightInd w:val="0"/>
                    <w:snapToGrid w:val="0"/>
                    <w:jc w:val="center"/>
                    <w:rPr>
                      <w:snapToGrid w:val="0"/>
                      <w:color w:val="auto"/>
                      <w:kern w:val="0"/>
                      <w:szCs w:val="21"/>
                      <w:highlight w:val="none"/>
                    </w:rPr>
                  </w:pPr>
                  <w:r>
                    <w:rPr>
                      <w:rFonts w:hint="eastAsia"/>
                      <w:snapToGrid w:val="0"/>
                      <w:color w:val="auto"/>
                      <w:kern w:val="0"/>
                      <w:szCs w:val="21"/>
                      <w:highlight w:val="none"/>
                    </w:rPr>
                    <w:t>20</w:t>
                  </w:r>
                </w:p>
              </w:tc>
            </w:tr>
            <w:tr w14:paraId="6692A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Align w:val="center"/>
                </w:tcPr>
                <w:p w14:paraId="56E807F9">
                  <w:pPr>
                    <w:adjustRightInd w:val="0"/>
                    <w:snapToGrid w:val="0"/>
                    <w:jc w:val="center"/>
                    <w:rPr>
                      <w:snapToGrid w:val="0"/>
                      <w:color w:val="auto"/>
                      <w:kern w:val="0"/>
                      <w:szCs w:val="21"/>
                      <w:highlight w:val="none"/>
                    </w:rPr>
                  </w:pPr>
                  <w:r>
                    <w:rPr>
                      <w:snapToGrid w:val="0"/>
                      <w:color w:val="auto"/>
                      <w:kern w:val="0"/>
                      <w:szCs w:val="21"/>
                      <w:highlight w:val="none"/>
                    </w:rPr>
                    <w:t>3</w:t>
                  </w:r>
                </w:p>
              </w:tc>
              <w:tc>
                <w:tcPr>
                  <w:tcW w:w="246" w:type="pct"/>
                  <w:vMerge w:val="continue"/>
                  <w:vAlign w:val="center"/>
                </w:tcPr>
                <w:p w14:paraId="09DB67AC">
                  <w:pPr>
                    <w:adjustRightInd w:val="0"/>
                    <w:snapToGrid w:val="0"/>
                    <w:jc w:val="center"/>
                    <w:rPr>
                      <w:snapToGrid w:val="0"/>
                      <w:color w:val="auto"/>
                      <w:kern w:val="0"/>
                      <w:szCs w:val="21"/>
                      <w:highlight w:val="none"/>
                    </w:rPr>
                  </w:pPr>
                </w:p>
              </w:tc>
              <w:tc>
                <w:tcPr>
                  <w:tcW w:w="410" w:type="pct"/>
                  <w:vAlign w:val="center"/>
                </w:tcPr>
                <w:p w14:paraId="605EB08D">
                  <w:pPr>
                    <w:widowControl/>
                    <w:adjustRightInd w:val="0"/>
                    <w:snapToGrid w:val="0"/>
                    <w:jc w:val="center"/>
                    <w:textAlignment w:val="center"/>
                    <w:rPr>
                      <w:color w:val="auto"/>
                      <w:szCs w:val="21"/>
                      <w:highlight w:val="none"/>
                      <w:lang w:eastAsia="zh-Hans"/>
                    </w:rPr>
                  </w:pPr>
                  <w:r>
                    <w:rPr>
                      <w:rFonts w:hint="eastAsia"/>
                      <w:color w:val="auto"/>
                      <w:szCs w:val="21"/>
                      <w:highlight w:val="none"/>
                      <w:lang w:eastAsia="zh-Hans"/>
                    </w:rPr>
                    <w:t>打标机</w:t>
                  </w:r>
                </w:p>
              </w:tc>
              <w:tc>
                <w:tcPr>
                  <w:tcW w:w="546" w:type="pct"/>
                  <w:vAlign w:val="center"/>
                </w:tcPr>
                <w:p w14:paraId="40A2F2C1">
                  <w:pPr>
                    <w:adjustRightInd w:val="0"/>
                    <w:snapToGrid w:val="0"/>
                    <w:jc w:val="center"/>
                    <w:rPr>
                      <w:color w:val="auto"/>
                      <w:szCs w:val="21"/>
                      <w:highlight w:val="none"/>
                    </w:rPr>
                  </w:pPr>
                  <w:r>
                    <w:rPr>
                      <w:color w:val="auto"/>
                      <w:szCs w:val="21"/>
                      <w:highlight w:val="none"/>
                    </w:rPr>
                    <w:t>83</w:t>
                  </w:r>
                </w:p>
              </w:tc>
              <w:tc>
                <w:tcPr>
                  <w:tcW w:w="640" w:type="pct"/>
                  <w:vAlign w:val="center"/>
                </w:tcPr>
                <w:p w14:paraId="2F3E7F30">
                  <w:pPr>
                    <w:adjustRightInd w:val="0"/>
                    <w:snapToGrid w:val="0"/>
                    <w:jc w:val="center"/>
                    <w:rPr>
                      <w:bCs/>
                      <w:color w:val="auto"/>
                      <w:spacing w:val="4"/>
                      <w:kern w:val="0"/>
                      <w:szCs w:val="21"/>
                      <w:highlight w:val="none"/>
                      <w:lang w:eastAsia="zh-Hans"/>
                    </w:rPr>
                  </w:pPr>
                  <w:r>
                    <w:rPr>
                      <w:rFonts w:hint="eastAsia"/>
                      <w:bCs/>
                      <w:color w:val="auto"/>
                      <w:spacing w:val="4"/>
                      <w:kern w:val="0"/>
                      <w:szCs w:val="21"/>
                      <w:highlight w:val="none"/>
                      <w:lang w:eastAsia="zh-Hans"/>
                    </w:rPr>
                    <w:t>频发</w:t>
                  </w:r>
                </w:p>
              </w:tc>
              <w:tc>
                <w:tcPr>
                  <w:tcW w:w="358" w:type="pct"/>
                  <w:vAlign w:val="center"/>
                </w:tcPr>
                <w:p w14:paraId="4002FD67">
                  <w:pPr>
                    <w:adjustRightInd w:val="0"/>
                    <w:snapToGrid w:val="0"/>
                    <w:jc w:val="center"/>
                    <w:rPr>
                      <w:color w:val="auto"/>
                      <w:szCs w:val="21"/>
                      <w:highlight w:val="none"/>
                    </w:rPr>
                  </w:pPr>
                  <w:r>
                    <w:rPr>
                      <w:color w:val="auto"/>
                      <w:szCs w:val="21"/>
                      <w:highlight w:val="none"/>
                    </w:rPr>
                    <w:t>2</w:t>
                  </w:r>
                </w:p>
              </w:tc>
              <w:tc>
                <w:tcPr>
                  <w:tcW w:w="251" w:type="pct"/>
                  <w:vAlign w:val="center"/>
                </w:tcPr>
                <w:p w14:paraId="07B7952F">
                  <w:pPr>
                    <w:adjustRightInd w:val="0"/>
                    <w:snapToGrid w:val="0"/>
                    <w:jc w:val="center"/>
                    <w:rPr>
                      <w:color w:val="auto"/>
                      <w:szCs w:val="21"/>
                      <w:highlight w:val="none"/>
                    </w:rPr>
                  </w:pPr>
                  <w:r>
                    <w:rPr>
                      <w:color w:val="auto"/>
                      <w:szCs w:val="21"/>
                      <w:highlight w:val="none"/>
                    </w:rPr>
                    <w:t>52</w:t>
                  </w:r>
                </w:p>
              </w:tc>
              <w:tc>
                <w:tcPr>
                  <w:tcW w:w="290" w:type="pct"/>
                  <w:vAlign w:val="center"/>
                </w:tcPr>
                <w:p w14:paraId="3F1193DF">
                  <w:pPr>
                    <w:adjustRightInd w:val="0"/>
                    <w:snapToGrid w:val="0"/>
                    <w:jc w:val="center"/>
                    <w:rPr>
                      <w:color w:val="auto"/>
                      <w:szCs w:val="21"/>
                      <w:highlight w:val="none"/>
                    </w:rPr>
                  </w:pPr>
                  <w:r>
                    <w:rPr>
                      <w:color w:val="auto"/>
                      <w:szCs w:val="21"/>
                      <w:highlight w:val="none"/>
                    </w:rPr>
                    <w:t>65</w:t>
                  </w:r>
                </w:p>
              </w:tc>
              <w:tc>
                <w:tcPr>
                  <w:tcW w:w="262" w:type="pct"/>
                  <w:vAlign w:val="center"/>
                </w:tcPr>
                <w:p w14:paraId="23506497">
                  <w:pPr>
                    <w:adjustRightInd w:val="0"/>
                    <w:snapToGrid w:val="0"/>
                    <w:jc w:val="center"/>
                    <w:rPr>
                      <w:color w:val="auto"/>
                      <w:szCs w:val="21"/>
                      <w:highlight w:val="none"/>
                    </w:rPr>
                  </w:pPr>
                  <w:r>
                    <w:rPr>
                      <w:color w:val="auto"/>
                      <w:szCs w:val="21"/>
                      <w:highlight w:val="none"/>
                    </w:rPr>
                    <w:t>38</w:t>
                  </w:r>
                </w:p>
              </w:tc>
              <w:tc>
                <w:tcPr>
                  <w:tcW w:w="283" w:type="pct"/>
                  <w:vAlign w:val="center"/>
                </w:tcPr>
                <w:p w14:paraId="3083BF1D">
                  <w:pPr>
                    <w:adjustRightInd w:val="0"/>
                    <w:snapToGrid w:val="0"/>
                    <w:jc w:val="center"/>
                    <w:rPr>
                      <w:color w:val="auto"/>
                      <w:szCs w:val="21"/>
                      <w:highlight w:val="none"/>
                    </w:rPr>
                  </w:pPr>
                  <w:r>
                    <w:rPr>
                      <w:color w:val="auto"/>
                      <w:szCs w:val="21"/>
                      <w:highlight w:val="none"/>
                    </w:rPr>
                    <w:t>15</w:t>
                  </w:r>
                </w:p>
              </w:tc>
              <w:tc>
                <w:tcPr>
                  <w:tcW w:w="1049" w:type="pct"/>
                  <w:vMerge w:val="continue"/>
                  <w:vAlign w:val="center"/>
                </w:tcPr>
                <w:p w14:paraId="101C1572">
                  <w:pPr>
                    <w:adjustRightInd w:val="0"/>
                    <w:snapToGrid w:val="0"/>
                    <w:jc w:val="center"/>
                    <w:rPr>
                      <w:snapToGrid w:val="0"/>
                      <w:color w:val="auto"/>
                      <w:kern w:val="0"/>
                      <w:szCs w:val="21"/>
                      <w:highlight w:val="none"/>
                    </w:rPr>
                  </w:pPr>
                </w:p>
              </w:tc>
              <w:tc>
                <w:tcPr>
                  <w:tcW w:w="415" w:type="pct"/>
                  <w:vAlign w:val="center"/>
                </w:tcPr>
                <w:p w14:paraId="75A7CFC9">
                  <w:pPr>
                    <w:adjustRightInd w:val="0"/>
                    <w:snapToGrid w:val="0"/>
                    <w:jc w:val="center"/>
                    <w:rPr>
                      <w:snapToGrid w:val="0"/>
                      <w:color w:val="auto"/>
                      <w:kern w:val="0"/>
                      <w:szCs w:val="21"/>
                      <w:highlight w:val="none"/>
                    </w:rPr>
                  </w:pPr>
                  <w:r>
                    <w:rPr>
                      <w:snapToGrid w:val="0"/>
                      <w:color w:val="auto"/>
                      <w:kern w:val="0"/>
                      <w:szCs w:val="21"/>
                      <w:highlight w:val="none"/>
                    </w:rPr>
                    <w:t>20</w:t>
                  </w:r>
                </w:p>
              </w:tc>
            </w:tr>
            <w:tr w14:paraId="456DD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Align w:val="center"/>
                </w:tcPr>
                <w:p w14:paraId="7B6FB100">
                  <w:pPr>
                    <w:adjustRightInd w:val="0"/>
                    <w:snapToGrid w:val="0"/>
                    <w:jc w:val="center"/>
                    <w:rPr>
                      <w:snapToGrid w:val="0"/>
                      <w:color w:val="auto"/>
                      <w:kern w:val="0"/>
                      <w:szCs w:val="21"/>
                      <w:highlight w:val="none"/>
                    </w:rPr>
                  </w:pPr>
                  <w:r>
                    <w:rPr>
                      <w:snapToGrid w:val="0"/>
                      <w:color w:val="auto"/>
                      <w:kern w:val="0"/>
                      <w:szCs w:val="21"/>
                      <w:highlight w:val="none"/>
                    </w:rPr>
                    <w:t>4</w:t>
                  </w:r>
                </w:p>
              </w:tc>
              <w:tc>
                <w:tcPr>
                  <w:tcW w:w="246" w:type="pct"/>
                  <w:vMerge w:val="continue"/>
                  <w:vAlign w:val="center"/>
                </w:tcPr>
                <w:p w14:paraId="7188E868">
                  <w:pPr>
                    <w:adjustRightInd w:val="0"/>
                    <w:snapToGrid w:val="0"/>
                    <w:jc w:val="center"/>
                    <w:rPr>
                      <w:snapToGrid w:val="0"/>
                      <w:color w:val="auto"/>
                      <w:kern w:val="0"/>
                      <w:szCs w:val="21"/>
                      <w:highlight w:val="none"/>
                    </w:rPr>
                  </w:pPr>
                </w:p>
              </w:tc>
              <w:tc>
                <w:tcPr>
                  <w:tcW w:w="410" w:type="pct"/>
                  <w:vAlign w:val="center"/>
                </w:tcPr>
                <w:p w14:paraId="0D277761">
                  <w:pPr>
                    <w:widowControl/>
                    <w:adjustRightInd w:val="0"/>
                    <w:snapToGrid w:val="0"/>
                    <w:jc w:val="center"/>
                    <w:textAlignment w:val="center"/>
                    <w:rPr>
                      <w:color w:val="auto"/>
                      <w:szCs w:val="21"/>
                      <w:highlight w:val="none"/>
                      <w:lang w:eastAsia="zh-Hans"/>
                    </w:rPr>
                  </w:pPr>
                  <w:r>
                    <w:rPr>
                      <w:rFonts w:hint="eastAsia"/>
                      <w:color w:val="auto"/>
                      <w:szCs w:val="21"/>
                      <w:highlight w:val="none"/>
                      <w:lang w:eastAsia="zh-Hans"/>
                    </w:rPr>
                    <w:t>压机</w:t>
                  </w:r>
                </w:p>
              </w:tc>
              <w:tc>
                <w:tcPr>
                  <w:tcW w:w="546" w:type="pct"/>
                  <w:vAlign w:val="center"/>
                </w:tcPr>
                <w:p w14:paraId="1367F048">
                  <w:pPr>
                    <w:adjustRightInd w:val="0"/>
                    <w:snapToGrid w:val="0"/>
                    <w:jc w:val="center"/>
                    <w:rPr>
                      <w:color w:val="auto"/>
                      <w:szCs w:val="21"/>
                      <w:highlight w:val="none"/>
                    </w:rPr>
                  </w:pPr>
                  <w:r>
                    <w:rPr>
                      <w:color w:val="auto"/>
                      <w:szCs w:val="21"/>
                      <w:highlight w:val="none"/>
                    </w:rPr>
                    <w:t>80</w:t>
                  </w:r>
                </w:p>
              </w:tc>
              <w:tc>
                <w:tcPr>
                  <w:tcW w:w="640" w:type="pct"/>
                  <w:vAlign w:val="center"/>
                </w:tcPr>
                <w:p w14:paraId="14E9B96D">
                  <w:pPr>
                    <w:adjustRightInd w:val="0"/>
                    <w:snapToGrid w:val="0"/>
                    <w:jc w:val="center"/>
                    <w:rPr>
                      <w:bCs/>
                      <w:color w:val="auto"/>
                      <w:spacing w:val="4"/>
                      <w:kern w:val="0"/>
                      <w:szCs w:val="21"/>
                      <w:highlight w:val="none"/>
                      <w:lang w:eastAsia="zh-Hans"/>
                    </w:rPr>
                  </w:pPr>
                  <w:r>
                    <w:rPr>
                      <w:rFonts w:hint="eastAsia"/>
                      <w:bCs/>
                      <w:color w:val="auto"/>
                      <w:spacing w:val="4"/>
                      <w:kern w:val="0"/>
                      <w:szCs w:val="21"/>
                      <w:highlight w:val="none"/>
                      <w:lang w:eastAsia="zh-Hans"/>
                    </w:rPr>
                    <w:t>频发</w:t>
                  </w:r>
                </w:p>
              </w:tc>
              <w:tc>
                <w:tcPr>
                  <w:tcW w:w="358" w:type="pct"/>
                  <w:vAlign w:val="center"/>
                </w:tcPr>
                <w:p w14:paraId="02E1D199">
                  <w:pPr>
                    <w:adjustRightInd w:val="0"/>
                    <w:snapToGrid w:val="0"/>
                    <w:jc w:val="center"/>
                    <w:rPr>
                      <w:color w:val="auto"/>
                      <w:szCs w:val="21"/>
                      <w:highlight w:val="none"/>
                    </w:rPr>
                  </w:pPr>
                  <w:r>
                    <w:rPr>
                      <w:color w:val="auto"/>
                      <w:szCs w:val="21"/>
                      <w:highlight w:val="none"/>
                    </w:rPr>
                    <w:t>1</w:t>
                  </w:r>
                </w:p>
              </w:tc>
              <w:tc>
                <w:tcPr>
                  <w:tcW w:w="251" w:type="pct"/>
                  <w:vAlign w:val="center"/>
                </w:tcPr>
                <w:p w14:paraId="67FF3BB0">
                  <w:pPr>
                    <w:adjustRightInd w:val="0"/>
                    <w:snapToGrid w:val="0"/>
                    <w:jc w:val="center"/>
                    <w:rPr>
                      <w:color w:val="auto"/>
                      <w:szCs w:val="21"/>
                      <w:highlight w:val="none"/>
                    </w:rPr>
                  </w:pPr>
                  <w:r>
                    <w:rPr>
                      <w:color w:val="auto"/>
                      <w:szCs w:val="21"/>
                      <w:highlight w:val="none"/>
                    </w:rPr>
                    <w:t>55</w:t>
                  </w:r>
                </w:p>
              </w:tc>
              <w:tc>
                <w:tcPr>
                  <w:tcW w:w="290" w:type="pct"/>
                  <w:vAlign w:val="center"/>
                </w:tcPr>
                <w:p w14:paraId="1D5A1CD1">
                  <w:pPr>
                    <w:adjustRightInd w:val="0"/>
                    <w:snapToGrid w:val="0"/>
                    <w:jc w:val="center"/>
                    <w:rPr>
                      <w:color w:val="auto"/>
                      <w:szCs w:val="21"/>
                      <w:highlight w:val="none"/>
                    </w:rPr>
                  </w:pPr>
                  <w:r>
                    <w:rPr>
                      <w:color w:val="auto"/>
                      <w:szCs w:val="21"/>
                      <w:highlight w:val="none"/>
                    </w:rPr>
                    <w:t>68</w:t>
                  </w:r>
                </w:p>
              </w:tc>
              <w:tc>
                <w:tcPr>
                  <w:tcW w:w="262" w:type="pct"/>
                  <w:vAlign w:val="center"/>
                </w:tcPr>
                <w:p w14:paraId="4C57F41C">
                  <w:pPr>
                    <w:adjustRightInd w:val="0"/>
                    <w:snapToGrid w:val="0"/>
                    <w:jc w:val="center"/>
                    <w:rPr>
                      <w:color w:val="auto"/>
                      <w:szCs w:val="21"/>
                      <w:highlight w:val="none"/>
                    </w:rPr>
                  </w:pPr>
                  <w:r>
                    <w:rPr>
                      <w:color w:val="auto"/>
                      <w:szCs w:val="21"/>
                      <w:highlight w:val="none"/>
                    </w:rPr>
                    <w:t>35</w:t>
                  </w:r>
                </w:p>
              </w:tc>
              <w:tc>
                <w:tcPr>
                  <w:tcW w:w="283" w:type="pct"/>
                  <w:vAlign w:val="center"/>
                </w:tcPr>
                <w:p w14:paraId="196BBE63">
                  <w:pPr>
                    <w:adjustRightInd w:val="0"/>
                    <w:snapToGrid w:val="0"/>
                    <w:jc w:val="center"/>
                    <w:rPr>
                      <w:color w:val="auto"/>
                      <w:szCs w:val="21"/>
                      <w:highlight w:val="none"/>
                    </w:rPr>
                  </w:pPr>
                  <w:r>
                    <w:rPr>
                      <w:color w:val="auto"/>
                      <w:szCs w:val="21"/>
                      <w:highlight w:val="none"/>
                    </w:rPr>
                    <w:t>12</w:t>
                  </w:r>
                </w:p>
              </w:tc>
              <w:tc>
                <w:tcPr>
                  <w:tcW w:w="1049" w:type="pct"/>
                  <w:vMerge w:val="continue"/>
                  <w:vAlign w:val="center"/>
                </w:tcPr>
                <w:p w14:paraId="64A49D44">
                  <w:pPr>
                    <w:adjustRightInd w:val="0"/>
                    <w:snapToGrid w:val="0"/>
                    <w:jc w:val="center"/>
                    <w:rPr>
                      <w:snapToGrid w:val="0"/>
                      <w:color w:val="auto"/>
                      <w:kern w:val="0"/>
                      <w:szCs w:val="21"/>
                      <w:highlight w:val="none"/>
                    </w:rPr>
                  </w:pPr>
                </w:p>
              </w:tc>
              <w:tc>
                <w:tcPr>
                  <w:tcW w:w="415" w:type="pct"/>
                  <w:vAlign w:val="center"/>
                </w:tcPr>
                <w:p w14:paraId="3DFCBAB2">
                  <w:pPr>
                    <w:adjustRightInd w:val="0"/>
                    <w:snapToGrid w:val="0"/>
                    <w:jc w:val="center"/>
                    <w:rPr>
                      <w:snapToGrid w:val="0"/>
                      <w:color w:val="auto"/>
                      <w:kern w:val="0"/>
                      <w:szCs w:val="21"/>
                      <w:highlight w:val="none"/>
                    </w:rPr>
                  </w:pPr>
                  <w:r>
                    <w:rPr>
                      <w:snapToGrid w:val="0"/>
                      <w:color w:val="auto"/>
                      <w:kern w:val="0"/>
                      <w:szCs w:val="21"/>
                      <w:highlight w:val="none"/>
                    </w:rPr>
                    <w:t>20</w:t>
                  </w:r>
                </w:p>
              </w:tc>
            </w:tr>
            <w:tr w14:paraId="0770E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44" w:type="pct"/>
                  <w:vAlign w:val="center"/>
                </w:tcPr>
                <w:p w14:paraId="7A5BE641">
                  <w:pPr>
                    <w:adjustRightInd w:val="0"/>
                    <w:snapToGrid w:val="0"/>
                    <w:jc w:val="center"/>
                    <w:rPr>
                      <w:snapToGrid w:val="0"/>
                      <w:color w:val="auto"/>
                      <w:kern w:val="0"/>
                      <w:szCs w:val="21"/>
                      <w:highlight w:val="none"/>
                    </w:rPr>
                  </w:pPr>
                  <w:r>
                    <w:rPr>
                      <w:snapToGrid w:val="0"/>
                      <w:color w:val="auto"/>
                      <w:kern w:val="0"/>
                      <w:szCs w:val="21"/>
                      <w:highlight w:val="none"/>
                    </w:rPr>
                    <w:t>5</w:t>
                  </w:r>
                </w:p>
              </w:tc>
              <w:tc>
                <w:tcPr>
                  <w:tcW w:w="246" w:type="pct"/>
                  <w:vAlign w:val="center"/>
                </w:tcPr>
                <w:p w14:paraId="4EC24272">
                  <w:pPr>
                    <w:adjustRightInd w:val="0"/>
                    <w:snapToGrid w:val="0"/>
                    <w:jc w:val="center"/>
                    <w:rPr>
                      <w:snapToGrid w:val="0"/>
                      <w:color w:val="auto"/>
                      <w:kern w:val="0"/>
                      <w:szCs w:val="21"/>
                      <w:highlight w:val="none"/>
                    </w:rPr>
                  </w:pPr>
                  <w:r>
                    <w:rPr>
                      <w:snapToGrid w:val="0"/>
                      <w:color w:val="auto"/>
                      <w:kern w:val="0"/>
                      <w:szCs w:val="21"/>
                      <w:highlight w:val="none"/>
                    </w:rPr>
                    <w:t>厂区</w:t>
                  </w:r>
                </w:p>
              </w:tc>
              <w:tc>
                <w:tcPr>
                  <w:tcW w:w="410" w:type="pct"/>
                  <w:vAlign w:val="center"/>
                </w:tcPr>
                <w:p w14:paraId="058B906D">
                  <w:pPr>
                    <w:adjustRightInd w:val="0"/>
                    <w:snapToGrid w:val="0"/>
                    <w:jc w:val="center"/>
                    <w:rPr>
                      <w:snapToGrid w:val="0"/>
                      <w:color w:val="auto"/>
                      <w:kern w:val="0"/>
                      <w:szCs w:val="21"/>
                      <w:highlight w:val="none"/>
                    </w:rPr>
                  </w:pPr>
                  <w:r>
                    <w:rPr>
                      <w:snapToGrid w:val="0"/>
                      <w:color w:val="auto"/>
                      <w:kern w:val="0"/>
                      <w:szCs w:val="21"/>
                      <w:highlight w:val="none"/>
                    </w:rPr>
                    <w:t>风机</w:t>
                  </w:r>
                </w:p>
              </w:tc>
              <w:tc>
                <w:tcPr>
                  <w:tcW w:w="546" w:type="pct"/>
                  <w:vAlign w:val="center"/>
                </w:tcPr>
                <w:p w14:paraId="07BD6580">
                  <w:pPr>
                    <w:adjustRightInd w:val="0"/>
                    <w:snapToGrid w:val="0"/>
                    <w:jc w:val="center"/>
                    <w:rPr>
                      <w:snapToGrid w:val="0"/>
                      <w:color w:val="auto"/>
                      <w:kern w:val="0"/>
                      <w:szCs w:val="21"/>
                      <w:highlight w:val="none"/>
                    </w:rPr>
                  </w:pPr>
                  <w:r>
                    <w:rPr>
                      <w:snapToGrid w:val="0"/>
                      <w:color w:val="auto"/>
                      <w:kern w:val="0"/>
                      <w:szCs w:val="21"/>
                      <w:highlight w:val="none"/>
                    </w:rPr>
                    <w:t>85</w:t>
                  </w:r>
                </w:p>
              </w:tc>
              <w:tc>
                <w:tcPr>
                  <w:tcW w:w="640" w:type="pct"/>
                  <w:vAlign w:val="center"/>
                </w:tcPr>
                <w:p w14:paraId="7AA2539A">
                  <w:pPr>
                    <w:adjustRightInd w:val="0"/>
                    <w:snapToGrid w:val="0"/>
                    <w:jc w:val="center"/>
                    <w:rPr>
                      <w:bCs/>
                      <w:snapToGrid w:val="0"/>
                      <w:color w:val="auto"/>
                      <w:kern w:val="0"/>
                      <w:szCs w:val="21"/>
                      <w:highlight w:val="none"/>
                    </w:rPr>
                  </w:pPr>
                  <w:r>
                    <w:rPr>
                      <w:bCs/>
                      <w:color w:val="auto"/>
                      <w:spacing w:val="4"/>
                      <w:kern w:val="0"/>
                      <w:szCs w:val="21"/>
                      <w:highlight w:val="none"/>
                    </w:rPr>
                    <w:t>频发</w:t>
                  </w:r>
                </w:p>
              </w:tc>
              <w:tc>
                <w:tcPr>
                  <w:tcW w:w="358" w:type="pct"/>
                  <w:vAlign w:val="center"/>
                </w:tcPr>
                <w:p w14:paraId="699B9AC4">
                  <w:pPr>
                    <w:adjustRightInd w:val="0"/>
                    <w:snapToGrid w:val="0"/>
                    <w:jc w:val="center"/>
                    <w:rPr>
                      <w:snapToGrid w:val="0"/>
                      <w:color w:val="auto"/>
                      <w:kern w:val="0"/>
                      <w:szCs w:val="21"/>
                      <w:highlight w:val="none"/>
                    </w:rPr>
                  </w:pPr>
                  <w:r>
                    <w:rPr>
                      <w:snapToGrid w:val="0"/>
                      <w:color w:val="auto"/>
                      <w:kern w:val="0"/>
                      <w:szCs w:val="21"/>
                      <w:highlight w:val="none"/>
                    </w:rPr>
                    <w:t>1</w:t>
                  </w:r>
                </w:p>
              </w:tc>
              <w:tc>
                <w:tcPr>
                  <w:tcW w:w="251" w:type="pct"/>
                  <w:vAlign w:val="center"/>
                </w:tcPr>
                <w:p w14:paraId="3BECABC5">
                  <w:pPr>
                    <w:adjustRightInd w:val="0"/>
                    <w:snapToGrid w:val="0"/>
                    <w:jc w:val="center"/>
                    <w:rPr>
                      <w:color w:val="auto"/>
                      <w:szCs w:val="21"/>
                      <w:highlight w:val="none"/>
                    </w:rPr>
                  </w:pPr>
                  <w:r>
                    <w:rPr>
                      <w:color w:val="auto"/>
                      <w:szCs w:val="21"/>
                      <w:highlight w:val="none"/>
                    </w:rPr>
                    <w:t>60</w:t>
                  </w:r>
                </w:p>
              </w:tc>
              <w:tc>
                <w:tcPr>
                  <w:tcW w:w="290" w:type="pct"/>
                  <w:vAlign w:val="center"/>
                </w:tcPr>
                <w:p w14:paraId="786EA37B">
                  <w:pPr>
                    <w:adjustRightInd w:val="0"/>
                    <w:snapToGrid w:val="0"/>
                    <w:jc w:val="center"/>
                    <w:rPr>
                      <w:color w:val="auto"/>
                      <w:szCs w:val="21"/>
                      <w:highlight w:val="none"/>
                    </w:rPr>
                  </w:pPr>
                  <w:r>
                    <w:rPr>
                      <w:color w:val="auto"/>
                      <w:szCs w:val="21"/>
                      <w:highlight w:val="none"/>
                    </w:rPr>
                    <w:t>75</w:t>
                  </w:r>
                </w:p>
              </w:tc>
              <w:tc>
                <w:tcPr>
                  <w:tcW w:w="262" w:type="pct"/>
                  <w:vAlign w:val="center"/>
                </w:tcPr>
                <w:p w14:paraId="2C061AF2">
                  <w:pPr>
                    <w:adjustRightInd w:val="0"/>
                    <w:snapToGrid w:val="0"/>
                    <w:jc w:val="center"/>
                    <w:rPr>
                      <w:color w:val="auto"/>
                      <w:szCs w:val="21"/>
                      <w:highlight w:val="none"/>
                    </w:rPr>
                  </w:pPr>
                  <w:r>
                    <w:rPr>
                      <w:color w:val="auto"/>
                      <w:szCs w:val="21"/>
                      <w:highlight w:val="none"/>
                    </w:rPr>
                    <w:t>30</w:t>
                  </w:r>
                </w:p>
              </w:tc>
              <w:tc>
                <w:tcPr>
                  <w:tcW w:w="283" w:type="pct"/>
                  <w:vAlign w:val="center"/>
                </w:tcPr>
                <w:p w14:paraId="385632D1">
                  <w:pPr>
                    <w:adjustRightInd w:val="0"/>
                    <w:snapToGrid w:val="0"/>
                    <w:jc w:val="center"/>
                    <w:rPr>
                      <w:color w:val="auto"/>
                      <w:szCs w:val="21"/>
                      <w:highlight w:val="none"/>
                    </w:rPr>
                  </w:pPr>
                  <w:r>
                    <w:rPr>
                      <w:color w:val="auto"/>
                      <w:szCs w:val="21"/>
                      <w:highlight w:val="none"/>
                    </w:rPr>
                    <w:t>5</w:t>
                  </w:r>
                </w:p>
              </w:tc>
              <w:tc>
                <w:tcPr>
                  <w:tcW w:w="1049" w:type="pct"/>
                  <w:vAlign w:val="center"/>
                </w:tcPr>
                <w:p w14:paraId="46A06ABC">
                  <w:pPr>
                    <w:adjustRightInd w:val="0"/>
                    <w:snapToGrid w:val="0"/>
                    <w:jc w:val="center"/>
                    <w:rPr>
                      <w:snapToGrid w:val="0"/>
                      <w:color w:val="auto"/>
                      <w:kern w:val="0"/>
                      <w:szCs w:val="21"/>
                      <w:highlight w:val="none"/>
                    </w:rPr>
                  </w:pPr>
                  <w:r>
                    <w:rPr>
                      <w:snapToGrid w:val="0"/>
                      <w:color w:val="auto"/>
                      <w:kern w:val="0"/>
                      <w:szCs w:val="21"/>
                      <w:highlight w:val="none"/>
                    </w:rPr>
                    <w:t>选用低噪声风机；进、排气口加消声器；风机加隔声罩；风机做减振基座</w:t>
                  </w:r>
                </w:p>
              </w:tc>
              <w:tc>
                <w:tcPr>
                  <w:tcW w:w="415" w:type="pct"/>
                  <w:vAlign w:val="center"/>
                </w:tcPr>
                <w:p w14:paraId="73A54047">
                  <w:pPr>
                    <w:adjustRightInd w:val="0"/>
                    <w:snapToGrid w:val="0"/>
                    <w:jc w:val="center"/>
                    <w:rPr>
                      <w:snapToGrid w:val="0"/>
                      <w:color w:val="auto"/>
                      <w:kern w:val="0"/>
                      <w:szCs w:val="21"/>
                      <w:highlight w:val="none"/>
                    </w:rPr>
                  </w:pPr>
                  <w:r>
                    <w:rPr>
                      <w:snapToGrid w:val="0"/>
                      <w:color w:val="auto"/>
                      <w:kern w:val="0"/>
                      <w:szCs w:val="21"/>
                      <w:highlight w:val="none"/>
                    </w:rPr>
                    <w:t>20</w:t>
                  </w:r>
                </w:p>
              </w:tc>
            </w:tr>
          </w:tbl>
          <w:p w14:paraId="5E3ABCD4">
            <w:pPr>
              <w:adjustRightInd w:val="0"/>
              <w:snapToGrid w:val="0"/>
              <w:spacing w:line="360" w:lineRule="auto"/>
              <w:rPr>
                <w:b/>
                <w:bCs/>
                <w:color w:val="auto"/>
                <w:kern w:val="0"/>
                <w:sz w:val="10"/>
                <w:szCs w:val="10"/>
                <w:highlight w:val="none"/>
              </w:rPr>
            </w:pPr>
          </w:p>
          <w:p w14:paraId="7F1FE4E9">
            <w:pPr>
              <w:adjustRightInd w:val="0"/>
              <w:snapToGrid w:val="0"/>
              <w:spacing w:line="360" w:lineRule="auto"/>
              <w:ind w:firstLine="482" w:firstLineChars="200"/>
              <w:rPr>
                <w:b/>
                <w:bCs/>
                <w:color w:val="auto"/>
                <w:kern w:val="0"/>
                <w:sz w:val="24"/>
                <w:highlight w:val="none"/>
              </w:rPr>
            </w:pPr>
            <w:r>
              <w:rPr>
                <w:rFonts w:hAnsi="宋体"/>
                <w:b/>
                <w:bCs/>
                <w:color w:val="auto"/>
                <w:kern w:val="0"/>
                <w:sz w:val="24"/>
                <w:highlight w:val="none"/>
              </w:rPr>
              <w:t>（</w:t>
            </w:r>
            <w:r>
              <w:rPr>
                <w:b/>
                <w:bCs/>
                <w:color w:val="auto"/>
                <w:kern w:val="0"/>
                <w:sz w:val="24"/>
                <w:highlight w:val="none"/>
              </w:rPr>
              <w:t>2</w:t>
            </w:r>
            <w:r>
              <w:rPr>
                <w:rFonts w:hAnsi="宋体"/>
                <w:b/>
                <w:bCs/>
                <w:color w:val="auto"/>
                <w:kern w:val="0"/>
                <w:sz w:val="24"/>
                <w:highlight w:val="none"/>
              </w:rPr>
              <w:t>）厂界和环境保护目标达标情况分析</w:t>
            </w:r>
          </w:p>
          <w:p w14:paraId="7F81B439">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建设项目建成后，选择东、南、西、北厂界作为关心点，进行噪声影响预测，计算模式如下：</w:t>
            </w:r>
          </w:p>
          <w:p w14:paraId="3F2DC737">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1）声环境影响预测模式：</w:t>
            </w:r>
          </w:p>
          <w:p w14:paraId="5E301AEB">
            <w:pPr>
              <w:adjustRightInd w:val="0"/>
              <w:snapToGrid w:val="0"/>
              <w:spacing w:line="360" w:lineRule="auto"/>
              <w:jc w:val="center"/>
              <w:rPr>
                <w:iCs/>
                <w:snapToGrid w:val="0"/>
                <w:color w:val="auto"/>
                <w:kern w:val="0"/>
                <w:sz w:val="24"/>
                <w:highlight w:val="none"/>
              </w:rPr>
            </w:pPr>
            <w:r>
              <w:rPr>
                <w:snapToGrid w:val="0"/>
                <w:color w:val="auto"/>
                <w:kern w:val="0"/>
                <w:sz w:val="24"/>
                <w:highlight w:val="none"/>
              </w:rPr>
              <w:drawing>
                <wp:inline distT="0" distB="0" distL="0" distR="0">
                  <wp:extent cx="1402080" cy="312420"/>
                  <wp:effectExtent l="0" t="0" r="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02080" cy="312420"/>
                          </a:xfrm>
                          <a:prstGeom prst="rect">
                            <a:avLst/>
                          </a:prstGeom>
                          <a:noFill/>
                          <a:ln>
                            <a:noFill/>
                          </a:ln>
                        </pic:spPr>
                      </pic:pic>
                    </a:graphicData>
                  </a:graphic>
                </wp:inline>
              </w:drawing>
            </w:r>
          </w:p>
          <w:p w14:paraId="14365197">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式中：</w:t>
            </w:r>
            <w:r>
              <w:rPr>
                <w:iCs/>
                <w:snapToGrid w:val="0"/>
                <w:color w:val="auto"/>
                <w:kern w:val="0"/>
                <w:sz w:val="24"/>
                <w:highlight w:val="none"/>
              </w:rPr>
              <w:t>L</w:t>
            </w:r>
            <w:r>
              <w:rPr>
                <w:iCs/>
                <w:snapToGrid w:val="0"/>
                <w:color w:val="auto"/>
                <w:kern w:val="0"/>
                <w:sz w:val="24"/>
                <w:highlight w:val="none"/>
                <w:vertAlign w:val="subscript"/>
              </w:rPr>
              <w:t>A</w:t>
            </w:r>
            <w:r>
              <w:rPr>
                <w:iCs/>
                <w:snapToGrid w:val="0"/>
                <w:color w:val="auto"/>
                <w:kern w:val="0"/>
                <w:sz w:val="24"/>
                <w:highlight w:val="none"/>
              </w:rPr>
              <w:t>（r）</w:t>
            </w:r>
            <w:r>
              <w:rPr>
                <w:snapToGrid w:val="0"/>
                <w:color w:val="auto"/>
                <w:kern w:val="0"/>
                <w:sz w:val="24"/>
                <w:highlight w:val="none"/>
              </w:rPr>
              <w:t>—预测点r处A声级dB(A)；</w:t>
            </w:r>
          </w:p>
          <w:p w14:paraId="43A68293">
            <w:pPr>
              <w:adjustRightInd w:val="0"/>
              <w:snapToGrid w:val="0"/>
              <w:spacing w:line="360" w:lineRule="auto"/>
              <w:ind w:firstLine="480" w:firstLineChars="200"/>
              <w:rPr>
                <w:snapToGrid w:val="0"/>
                <w:color w:val="auto"/>
                <w:kern w:val="0"/>
                <w:sz w:val="24"/>
                <w:highlight w:val="none"/>
              </w:rPr>
            </w:pPr>
            <w:r>
              <w:rPr>
                <w:iCs/>
                <w:snapToGrid w:val="0"/>
                <w:color w:val="auto"/>
                <w:kern w:val="0"/>
                <w:sz w:val="24"/>
                <w:highlight w:val="none"/>
              </w:rPr>
              <w:t xml:space="preserve">      L</w:t>
            </w:r>
            <w:r>
              <w:rPr>
                <w:iCs/>
                <w:snapToGrid w:val="0"/>
                <w:color w:val="auto"/>
                <w:kern w:val="0"/>
                <w:sz w:val="24"/>
                <w:highlight w:val="none"/>
                <w:vertAlign w:val="subscript"/>
              </w:rPr>
              <w:t>A</w:t>
            </w:r>
            <w:r>
              <w:rPr>
                <w:iCs/>
                <w:snapToGrid w:val="0"/>
                <w:color w:val="auto"/>
                <w:kern w:val="0"/>
                <w:sz w:val="24"/>
                <w:highlight w:val="none"/>
              </w:rPr>
              <w:t>（r</w:t>
            </w:r>
            <w:r>
              <w:rPr>
                <w:iCs/>
                <w:snapToGrid w:val="0"/>
                <w:color w:val="auto"/>
                <w:kern w:val="0"/>
                <w:sz w:val="24"/>
                <w:highlight w:val="none"/>
                <w:vertAlign w:val="subscript"/>
              </w:rPr>
              <w:t>0</w:t>
            </w:r>
            <w:r>
              <w:rPr>
                <w:iCs/>
                <w:snapToGrid w:val="0"/>
                <w:color w:val="auto"/>
                <w:kern w:val="0"/>
                <w:sz w:val="24"/>
                <w:highlight w:val="none"/>
              </w:rPr>
              <w:t>）</w:t>
            </w:r>
            <w:r>
              <w:rPr>
                <w:snapToGrid w:val="0"/>
                <w:color w:val="auto"/>
                <w:kern w:val="0"/>
                <w:sz w:val="24"/>
                <w:highlight w:val="none"/>
              </w:rPr>
              <w:t>—r</w:t>
            </w:r>
            <w:r>
              <w:rPr>
                <w:snapToGrid w:val="0"/>
                <w:color w:val="auto"/>
                <w:kern w:val="0"/>
                <w:sz w:val="24"/>
                <w:highlight w:val="none"/>
                <w:vertAlign w:val="subscript"/>
              </w:rPr>
              <w:t>0</w:t>
            </w:r>
            <w:r>
              <w:rPr>
                <w:snapToGrid w:val="0"/>
                <w:color w:val="auto"/>
                <w:kern w:val="0"/>
                <w:sz w:val="24"/>
                <w:highlight w:val="none"/>
              </w:rPr>
              <w:t>处A声级dB(A)；</w:t>
            </w:r>
          </w:p>
          <w:p w14:paraId="2BCB7575">
            <w:pPr>
              <w:adjustRightInd w:val="0"/>
              <w:snapToGrid w:val="0"/>
              <w:spacing w:line="360" w:lineRule="auto"/>
              <w:ind w:firstLine="480" w:firstLineChars="200"/>
              <w:rPr>
                <w:snapToGrid w:val="0"/>
                <w:color w:val="auto"/>
                <w:kern w:val="0"/>
                <w:sz w:val="24"/>
                <w:highlight w:val="none"/>
              </w:rPr>
            </w:pPr>
            <w:r>
              <w:rPr>
                <w:iCs/>
                <w:snapToGrid w:val="0"/>
                <w:color w:val="auto"/>
                <w:kern w:val="0"/>
                <w:sz w:val="24"/>
                <w:highlight w:val="none"/>
              </w:rPr>
              <w:t xml:space="preserve">      A</w:t>
            </w:r>
            <w:r>
              <w:rPr>
                <w:snapToGrid w:val="0"/>
                <w:color w:val="auto"/>
                <w:kern w:val="0"/>
                <w:sz w:val="24"/>
                <w:highlight w:val="none"/>
              </w:rPr>
              <w:t>—倍频带衰减dB(A)。</w:t>
            </w:r>
          </w:p>
          <w:p w14:paraId="17D91968">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2）声源在预测点产生的等效声级贡献值(</w:t>
            </w:r>
            <w:r>
              <w:rPr>
                <w:iCs/>
                <w:snapToGrid w:val="0"/>
                <w:color w:val="auto"/>
                <w:kern w:val="0"/>
                <w:sz w:val="24"/>
                <w:highlight w:val="none"/>
              </w:rPr>
              <w:t>L</w:t>
            </w:r>
            <w:r>
              <w:rPr>
                <w:iCs/>
                <w:snapToGrid w:val="0"/>
                <w:color w:val="auto"/>
                <w:kern w:val="0"/>
                <w:sz w:val="24"/>
                <w:highlight w:val="none"/>
                <w:vertAlign w:val="subscript"/>
              </w:rPr>
              <w:t>eqg</w:t>
            </w:r>
            <w:r>
              <w:rPr>
                <w:snapToGrid w:val="0"/>
                <w:color w:val="auto"/>
                <w:kern w:val="0"/>
                <w:sz w:val="24"/>
                <w:highlight w:val="none"/>
              </w:rPr>
              <w:t>)计算公式：</w:t>
            </w:r>
          </w:p>
          <w:p w14:paraId="676BE239">
            <w:pPr>
              <w:adjustRightInd w:val="0"/>
              <w:snapToGrid w:val="0"/>
              <w:spacing w:line="360" w:lineRule="auto"/>
              <w:jc w:val="center"/>
              <w:rPr>
                <w:snapToGrid w:val="0"/>
                <w:color w:val="auto"/>
                <w:kern w:val="0"/>
                <w:sz w:val="24"/>
                <w:highlight w:val="none"/>
              </w:rPr>
            </w:pPr>
            <w:r>
              <w:rPr>
                <w:snapToGrid w:val="0"/>
                <w:color w:val="auto"/>
                <w:kern w:val="0"/>
                <w:sz w:val="24"/>
                <w:highlight w:val="none"/>
              </w:rPr>
              <w:drawing>
                <wp:inline distT="0" distB="0" distL="0" distR="0">
                  <wp:extent cx="1691640" cy="44196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91640" cy="441960"/>
                          </a:xfrm>
                          <a:prstGeom prst="rect">
                            <a:avLst/>
                          </a:prstGeom>
                          <a:noFill/>
                          <a:ln>
                            <a:noFill/>
                          </a:ln>
                        </pic:spPr>
                      </pic:pic>
                    </a:graphicData>
                  </a:graphic>
                </wp:inline>
              </w:drawing>
            </w:r>
          </w:p>
          <w:p w14:paraId="70E71185">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式中：</w:t>
            </w:r>
            <w:r>
              <w:rPr>
                <w:iCs/>
                <w:snapToGrid w:val="0"/>
                <w:color w:val="auto"/>
                <w:kern w:val="0"/>
                <w:sz w:val="24"/>
                <w:highlight w:val="none"/>
              </w:rPr>
              <w:t>L</w:t>
            </w:r>
            <w:r>
              <w:rPr>
                <w:iCs/>
                <w:snapToGrid w:val="0"/>
                <w:color w:val="auto"/>
                <w:kern w:val="0"/>
                <w:sz w:val="24"/>
                <w:highlight w:val="none"/>
                <w:vertAlign w:val="subscript"/>
              </w:rPr>
              <w:t>eqg</w:t>
            </w:r>
            <w:r>
              <w:rPr>
                <w:snapToGrid w:val="0"/>
                <w:color w:val="auto"/>
                <w:kern w:val="0"/>
                <w:sz w:val="24"/>
                <w:highlight w:val="none"/>
              </w:rPr>
              <w:t>—声源在预测点的等效声级贡献值dB(A)；</w:t>
            </w:r>
          </w:p>
          <w:p w14:paraId="7D983196">
            <w:pPr>
              <w:adjustRightInd w:val="0"/>
              <w:snapToGrid w:val="0"/>
              <w:spacing w:line="360" w:lineRule="auto"/>
              <w:ind w:firstLine="480" w:firstLineChars="200"/>
              <w:rPr>
                <w:snapToGrid w:val="0"/>
                <w:color w:val="auto"/>
                <w:kern w:val="0"/>
                <w:sz w:val="24"/>
                <w:highlight w:val="none"/>
              </w:rPr>
            </w:pPr>
            <w:r>
              <w:rPr>
                <w:iCs/>
                <w:snapToGrid w:val="0"/>
                <w:color w:val="auto"/>
                <w:kern w:val="0"/>
                <w:sz w:val="24"/>
                <w:highlight w:val="none"/>
              </w:rPr>
              <w:t xml:space="preserve">  L</w:t>
            </w:r>
            <w:r>
              <w:rPr>
                <w:iCs/>
                <w:snapToGrid w:val="0"/>
                <w:color w:val="auto"/>
                <w:kern w:val="0"/>
                <w:sz w:val="24"/>
                <w:highlight w:val="none"/>
                <w:vertAlign w:val="subscript"/>
              </w:rPr>
              <w:t>Ai</w:t>
            </w:r>
            <w:r>
              <w:rPr>
                <w:snapToGrid w:val="0"/>
                <w:color w:val="auto"/>
                <w:kern w:val="0"/>
                <w:sz w:val="24"/>
                <w:highlight w:val="none"/>
              </w:rPr>
              <w:t>—</w:t>
            </w:r>
            <w:r>
              <w:rPr>
                <w:iCs/>
                <w:snapToGrid w:val="0"/>
                <w:color w:val="auto"/>
                <w:kern w:val="0"/>
                <w:sz w:val="24"/>
                <w:highlight w:val="none"/>
              </w:rPr>
              <w:t>i</w:t>
            </w:r>
            <w:r>
              <w:rPr>
                <w:snapToGrid w:val="0"/>
                <w:color w:val="auto"/>
                <w:kern w:val="0"/>
                <w:sz w:val="24"/>
                <w:highlight w:val="none"/>
              </w:rPr>
              <w:t>声源在预测点产生的A声级dB(A)；</w:t>
            </w:r>
          </w:p>
          <w:p w14:paraId="7AC3462F">
            <w:pPr>
              <w:adjustRightInd w:val="0"/>
              <w:snapToGrid w:val="0"/>
              <w:spacing w:line="360" w:lineRule="auto"/>
              <w:ind w:firstLine="480" w:firstLineChars="200"/>
              <w:rPr>
                <w:snapToGrid w:val="0"/>
                <w:color w:val="auto"/>
                <w:kern w:val="0"/>
                <w:sz w:val="24"/>
                <w:highlight w:val="none"/>
              </w:rPr>
            </w:pPr>
            <w:r>
              <w:rPr>
                <w:iCs/>
                <w:snapToGrid w:val="0"/>
                <w:color w:val="auto"/>
                <w:kern w:val="0"/>
                <w:sz w:val="24"/>
                <w:highlight w:val="none"/>
              </w:rPr>
              <w:t xml:space="preserve">      T</w:t>
            </w:r>
            <w:r>
              <w:rPr>
                <w:snapToGrid w:val="0"/>
                <w:color w:val="auto"/>
                <w:kern w:val="0"/>
                <w:sz w:val="24"/>
                <w:highlight w:val="none"/>
              </w:rPr>
              <w:t>—预测计算的时间段s；</w:t>
            </w:r>
          </w:p>
          <w:p w14:paraId="53BED356">
            <w:pPr>
              <w:adjustRightInd w:val="0"/>
              <w:snapToGrid w:val="0"/>
              <w:spacing w:line="360" w:lineRule="auto"/>
              <w:ind w:firstLine="480" w:firstLineChars="200"/>
              <w:rPr>
                <w:snapToGrid w:val="0"/>
                <w:color w:val="auto"/>
                <w:kern w:val="0"/>
                <w:sz w:val="24"/>
                <w:highlight w:val="none"/>
              </w:rPr>
            </w:pPr>
            <w:r>
              <w:rPr>
                <w:iCs/>
                <w:snapToGrid w:val="0"/>
                <w:color w:val="auto"/>
                <w:kern w:val="0"/>
                <w:sz w:val="24"/>
                <w:highlight w:val="none"/>
              </w:rPr>
              <w:t xml:space="preserve">      t</w:t>
            </w:r>
            <w:r>
              <w:rPr>
                <w:iCs/>
                <w:snapToGrid w:val="0"/>
                <w:color w:val="auto"/>
                <w:kern w:val="0"/>
                <w:sz w:val="24"/>
                <w:highlight w:val="none"/>
                <w:vertAlign w:val="subscript"/>
              </w:rPr>
              <w:t>i</w:t>
            </w:r>
            <w:r>
              <w:rPr>
                <w:snapToGrid w:val="0"/>
                <w:color w:val="auto"/>
                <w:kern w:val="0"/>
                <w:sz w:val="24"/>
                <w:highlight w:val="none"/>
              </w:rPr>
              <w:t>—</w:t>
            </w:r>
            <w:r>
              <w:rPr>
                <w:iCs/>
                <w:snapToGrid w:val="0"/>
                <w:color w:val="auto"/>
                <w:kern w:val="0"/>
                <w:sz w:val="24"/>
                <w:highlight w:val="none"/>
              </w:rPr>
              <w:t>i</w:t>
            </w:r>
            <w:r>
              <w:rPr>
                <w:snapToGrid w:val="0"/>
                <w:color w:val="auto"/>
                <w:kern w:val="0"/>
                <w:sz w:val="24"/>
                <w:highlight w:val="none"/>
              </w:rPr>
              <w:t>声源在</w:t>
            </w:r>
            <w:r>
              <w:rPr>
                <w:iCs/>
                <w:snapToGrid w:val="0"/>
                <w:color w:val="auto"/>
                <w:kern w:val="0"/>
                <w:sz w:val="24"/>
                <w:highlight w:val="none"/>
              </w:rPr>
              <w:t xml:space="preserve">T </w:t>
            </w:r>
            <w:r>
              <w:rPr>
                <w:snapToGrid w:val="0"/>
                <w:color w:val="auto"/>
                <w:kern w:val="0"/>
                <w:sz w:val="24"/>
                <w:highlight w:val="none"/>
              </w:rPr>
              <w:t>时段内的运行时间s。</w:t>
            </w:r>
          </w:p>
          <w:p w14:paraId="2FC9BCCF">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3）预测点的预测等效声级(</w:t>
            </w:r>
            <w:r>
              <w:rPr>
                <w:iCs/>
                <w:snapToGrid w:val="0"/>
                <w:color w:val="auto"/>
                <w:kern w:val="0"/>
                <w:sz w:val="24"/>
                <w:highlight w:val="none"/>
              </w:rPr>
              <w:t>L</w:t>
            </w:r>
            <w:r>
              <w:rPr>
                <w:iCs/>
                <w:snapToGrid w:val="0"/>
                <w:color w:val="auto"/>
                <w:kern w:val="0"/>
                <w:sz w:val="24"/>
                <w:highlight w:val="none"/>
                <w:vertAlign w:val="subscript"/>
              </w:rPr>
              <w:t>eq</w:t>
            </w:r>
            <w:r>
              <w:rPr>
                <w:snapToGrid w:val="0"/>
                <w:color w:val="auto"/>
                <w:kern w:val="0"/>
                <w:sz w:val="24"/>
                <w:highlight w:val="none"/>
              </w:rPr>
              <w:t xml:space="preserve">)计算公式：                                </w:t>
            </w:r>
          </w:p>
          <w:p w14:paraId="1B9A472B">
            <w:pPr>
              <w:adjustRightInd w:val="0"/>
              <w:snapToGrid w:val="0"/>
              <w:spacing w:line="360" w:lineRule="auto"/>
              <w:jc w:val="center"/>
              <w:rPr>
                <w:snapToGrid w:val="0"/>
                <w:color w:val="auto"/>
                <w:kern w:val="0"/>
                <w:sz w:val="24"/>
                <w:highlight w:val="none"/>
              </w:rPr>
            </w:pPr>
            <w:r>
              <w:rPr>
                <w:snapToGrid w:val="0"/>
                <w:color w:val="auto"/>
                <w:kern w:val="0"/>
                <w:sz w:val="24"/>
                <w:highlight w:val="none"/>
              </w:rPr>
              <w:drawing>
                <wp:inline distT="0" distB="0" distL="0" distR="0">
                  <wp:extent cx="1836420" cy="373380"/>
                  <wp:effectExtent l="0" t="0" r="762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36420" cy="373380"/>
                          </a:xfrm>
                          <a:prstGeom prst="rect">
                            <a:avLst/>
                          </a:prstGeom>
                          <a:noFill/>
                          <a:ln>
                            <a:noFill/>
                          </a:ln>
                        </pic:spPr>
                      </pic:pic>
                    </a:graphicData>
                  </a:graphic>
                </wp:inline>
              </w:drawing>
            </w:r>
          </w:p>
          <w:p w14:paraId="47B0BB74">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式中：</w:t>
            </w:r>
            <w:r>
              <w:rPr>
                <w:iCs/>
                <w:snapToGrid w:val="0"/>
                <w:color w:val="auto"/>
                <w:kern w:val="0"/>
                <w:sz w:val="24"/>
                <w:highlight w:val="none"/>
              </w:rPr>
              <w:t>L</w:t>
            </w:r>
            <w:r>
              <w:rPr>
                <w:iCs/>
                <w:snapToGrid w:val="0"/>
                <w:color w:val="auto"/>
                <w:kern w:val="0"/>
                <w:sz w:val="24"/>
                <w:highlight w:val="none"/>
                <w:vertAlign w:val="subscript"/>
              </w:rPr>
              <w:t>eqg</w:t>
            </w:r>
            <w:r>
              <w:rPr>
                <w:snapToGrid w:val="0"/>
                <w:color w:val="auto"/>
                <w:kern w:val="0"/>
                <w:sz w:val="24"/>
                <w:highlight w:val="none"/>
              </w:rPr>
              <w:t>—声源在预测点的等效声级贡献值dB(A)；</w:t>
            </w:r>
          </w:p>
          <w:p w14:paraId="08BD80DF">
            <w:pPr>
              <w:adjustRightInd w:val="0"/>
              <w:snapToGrid w:val="0"/>
              <w:spacing w:line="360" w:lineRule="auto"/>
              <w:ind w:firstLine="480" w:firstLineChars="200"/>
              <w:rPr>
                <w:snapToGrid w:val="0"/>
                <w:color w:val="auto"/>
                <w:kern w:val="0"/>
                <w:sz w:val="24"/>
                <w:highlight w:val="none"/>
              </w:rPr>
            </w:pPr>
            <w:r>
              <w:rPr>
                <w:iCs/>
                <w:snapToGrid w:val="0"/>
                <w:color w:val="auto"/>
                <w:kern w:val="0"/>
                <w:sz w:val="24"/>
                <w:highlight w:val="none"/>
              </w:rPr>
              <w:t xml:space="preserve">      L</w:t>
            </w:r>
            <w:r>
              <w:rPr>
                <w:iCs/>
                <w:snapToGrid w:val="0"/>
                <w:color w:val="auto"/>
                <w:kern w:val="0"/>
                <w:sz w:val="24"/>
                <w:highlight w:val="none"/>
                <w:vertAlign w:val="subscript"/>
              </w:rPr>
              <w:t>eqb</w:t>
            </w:r>
            <w:r>
              <w:rPr>
                <w:snapToGrid w:val="0"/>
                <w:color w:val="auto"/>
                <w:kern w:val="0"/>
                <w:sz w:val="24"/>
                <w:highlight w:val="none"/>
              </w:rPr>
              <w:t>— 预测点的背景值dB(A)。</w:t>
            </w:r>
          </w:p>
          <w:p w14:paraId="77922BF4">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4）在环境噪声预测中各噪声源作为点声源处理，故几何发散衰减：</w:t>
            </w:r>
          </w:p>
          <w:p w14:paraId="2E3E0E87">
            <w:pPr>
              <w:adjustRightInd w:val="0"/>
              <w:snapToGrid w:val="0"/>
              <w:spacing w:line="360" w:lineRule="auto"/>
              <w:jc w:val="center"/>
              <w:rPr>
                <w:snapToGrid w:val="0"/>
                <w:color w:val="auto"/>
                <w:kern w:val="0"/>
                <w:sz w:val="24"/>
                <w:highlight w:val="none"/>
              </w:rPr>
            </w:pPr>
            <w:r>
              <w:rPr>
                <w:snapToGrid w:val="0"/>
                <w:color w:val="auto"/>
                <w:kern w:val="0"/>
                <w:sz w:val="24"/>
                <w:highlight w:val="none"/>
              </w:rPr>
              <w:drawing>
                <wp:inline distT="0" distB="0" distL="0" distR="0">
                  <wp:extent cx="1234440" cy="297180"/>
                  <wp:effectExtent l="0" t="0" r="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4440" cy="297180"/>
                          </a:xfrm>
                          <a:prstGeom prst="rect">
                            <a:avLst/>
                          </a:prstGeom>
                          <a:noFill/>
                          <a:ln>
                            <a:noFill/>
                          </a:ln>
                        </pic:spPr>
                      </pic:pic>
                    </a:graphicData>
                  </a:graphic>
                </wp:inline>
              </w:drawing>
            </w:r>
          </w:p>
          <w:p w14:paraId="7C55B70C">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式中：A</w:t>
            </w:r>
            <w:r>
              <w:rPr>
                <w:snapToGrid w:val="0"/>
                <w:color w:val="auto"/>
                <w:kern w:val="0"/>
                <w:sz w:val="24"/>
                <w:highlight w:val="none"/>
                <w:vertAlign w:val="subscript"/>
              </w:rPr>
              <w:t>div</w:t>
            </w:r>
            <w:r>
              <w:rPr>
                <w:snapToGrid w:val="0"/>
                <w:color w:val="auto"/>
                <w:kern w:val="0"/>
                <w:sz w:val="24"/>
                <w:highlight w:val="none"/>
              </w:rPr>
              <w:t>—几何发散衰减；</w:t>
            </w:r>
          </w:p>
          <w:p w14:paraId="36363668">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 xml:space="preserve">      r</w:t>
            </w:r>
            <w:r>
              <w:rPr>
                <w:snapToGrid w:val="0"/>
                <w:color w:val="auto"/>
                <w:kern w:val="0"/>
                <w:sz w:val="24"/>
                <w:highlight w:val="none"/>
                <w:vertAlign w:val="subscript"/>
              </w:rPr>
              <w:t>0</w:t>
            </w:r>
            <w:r>
              <w:rPr>
                <w:snapToGrid w:val="0"/>
                <w:color w:val="auto"/>
                <w:kern w:val="0"/>
                <w:sz w:val="24"/>
                <w:highlight w:val="none"/>
              </w:rPr>
              <w:t>—噪声合成点与噪声源的距离m；</w:t>
            </w:r>
          </w:p>
          <w:p w14:paraId="7B32AD4A">
            <w:pPr>
              <w:adjustRightInd w:val="0"/>
              <w:snapToGrid w:val="0"/>
              <w:spacing w:line="360" w:lineRule="auto"/>
              <w:ind w:firstLine="1200" w:firstLineChars="500"/>
              <w:rPr>
                <w:snapToGrid w:val="0"/>
                <w:color w:val="auto"/>
                <w:kern w:val="0"/>
                <w:sz w:val="24"/>
                <w:highlight w:val="none"/>
              </w:rPr>
            </w:pPr>
            <w:r>
              <w:rPr>
                <w:snapToGrid w:val="0"/>
                <w:color w:val="auto"/>
                <w:kern w:val="0"/>
                <w:sz w:val="24"/>
                <w:highlight w:val="none"/>
              </w:rPr>
              <w:t>r—预测点与噪声源的距离m。</w:t>
            </w:r>
          </w:p>
          <w:p w14:paraId="1CB2412C">
            <w:pPr>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考虑噪声距离衰减和隔声措施，建设项目噪声源对东、南、西、北厂界及</w:t>
            </w:r>
            <w:r>
              <w:rPr>
                <w:rFonts w:hint="eastAsia" w:hAnsi="宋体"/>
                <w:snapToGrid w:val="0"/>
                <w:color w:val="auto"/>
                <w:kern w:val="0"/>
                <w:sz w:val="24"/>
                <w:highlight w:val="none"/>
              </w:rPr>
              <w:t>周边</w:t>
            </w:r>
            <w:r>
              <w:rPr>
                <w:rFonts w:hAnsi="宋体"/>
                <w:snapToGrid w:val="0"/>
                <w:color w:val="auto"/>
                <w:kern w:val="0"/>
                <w:sz w:val="24"/>
                <w:highlight w:val="none"/>
              </w:rPr>
              <w:t>敏感点贡献值预测见表</w:t>
            </w:r>
            <w:r>
              <w:rPr>
                <w:snapToGrid w:val="0"/>
                <w:color w:val="auto"/>
                <w:kern w:val="0"/>
                <w:sz w:val="24"/>
                <w:highlight w:val="none"/>
              </w:rPr>
              <w:t>4-</w:t>
            </w:r>
            <w:r>
              <w:rPr>
                <w:rFonts w:hint="eastAsia"/>
                <w:snapToGrid w:val="0"/>
                <w:color w:val="auto"/>
                <w:kern w:val="0"/>
                <w:sz w:val="24"/>
                <w:highlight w:val="none"/>
              </w:rPr>
              <w:t>1</w:t>
            </w:r>
            <w:r>
              <w:rPr>
                <w:rFonts w:hint="default"/>
                <w:snapToGrid w:val="0"/>
                <w:color w:val="auto"/>
                <w:kern w:val="0"/>
                <w:sz w:val="24"/>
                <w:highlight w:val="none"/>
              </w:rPr>
              <w:t>9</w:t>
            </w:r>
            <w:r>
              <w:rPr>
                <w:rFonts w:hAnsi="宋体"/>
                <w:snapToGrid w:val="0"/>
                <w:color w:val="auto"/>
                <w:kern w:val="0"/>
                <w:sz w:val="24"/>
                <w:highlight w:val="none"/>
              </w:rPr>
              <w:t>。</w:t>
            </w:r>
          </w:p>
          <w:p w14:paraId="14E9C742">
            <w:pPr>
              <w:adjustRightInd w:val="0"/>
              <w:snapToGrid w:val="0"/>
              <w:jc w:val="center"/>
              <w:rPr>
                <w:color w:val="auto"/>
                <w:highlight w:val="none"/>
              </w:rPr>
            </w:pPr>
            <w:r>
              <w:rPr>
                <w:rFonts w:hAnsi="宋体"/>
                <w:b/>
                <w:bCs/>
                <w:color w:val="auto"/>
                <w:kern w:val="0"/>
                <w:sz w:val="24"/>
                <w:highlight w:val="none"/>
              </w:rPr>
              <w:t>表</w:t>
            </w:r>
            <w:r>
              <w:rPr>
                <w:b/>
                <w:bCs/>
                <w:color w:val="auto"/>
                <w:kern w:val="0"/>
                <w:sz w:val="24"/>
                <w:highlight w:val="none"/>
              </w:rPr>
              <w:t>4-</w:t>
            </w:r>
            <w:r>
              <w:rPr>
                <w:rFonts w:hint="eastAsia"/>
                <w:b/>
                <w:bCs/>
                <w:color w:val="auto"/>
                <w:kern w:val="0"/>
                <w:sz w:val="24"/>
                <w:highlight w:val="none"/>
              </w:rPr>
              <w:t>1</w:t>
            </w:r>
            <w:r>
              <w:rPr>
                <w:rFonts w:hint="default"/>
                <w:b/>
                <w:bCs/>
                <w:color w:val="auto"/>
                <w:kern w:val="0"/>
                <w:sz w:val="24"/>
                <w:highlight w:val="none"/>
              </w:rPr>
              <w:t>9</w:t>
            </w:r>
            <w:r>
              <w:rPr>
                <w:b/>
                <w:bCs/>
                <w:color w:val="auto"/>
                <w:kern w:val="0"/>
                <w:sz w:val="24"/>
                <w:highlight w:val="none"/>
              </w:rPr>
              <w:t xml:space="preserve"> </w:t>
            </w:r>
            <w:r>
              <w:rPr>
                <w:rFonts w:hAnsi="宋体"/>
                <w:b/>
                <w:bCs/>
                <w:snapToGrid w:val="0"/>
                <w:color w:val="auto"/>
                <w:kern w:val="0"/>
                <w:sz w:val="24"/>
                <w:highlight w:val="none"/>
              </w:rPr>
              <w:t>建设项目噪声源对</w:t>
            </w:r>
            <w:r>
              <w:rPr>
                <w:rFonts w:hint="eastAsia" w:hAnsi="宋体"/>
                <w:b/>
                <w:bCs/>
                <w:snapToGrid w:val="0"/>
                <w:color w:val="auto"/>
                <w:kern w:val="0"/>
                <w:sz w:val="24"/>
                <w:highlight w:val="none"/>
              </w:rPr>
              <w:t>各预测点</w:t>
            </w:r>
            <w:r>
              <w:rPr>
                <w:rFonts w:hAnsi="宋体"/>
                <w:b/>
                <w:bCs/>
                <w:snapToGrid w:val="0"/>
                <w:color w:val="auto"/>
                <w:kern w:val="0"/>
                <w:sz w:val="24"/>
                <w:highlight w:val="none"/>
              </w:rPr>
              <w:t>预测</w:t>
            </w:r>
            <w:r>
              <w:rPr>
                <w:rFonts w:hint="eastAsia" w:hAnsi="宋体"/>
                <w:b/>
                <w:bCs/>
                <w:snapToGrid w:val="0"/>
                <w:color w:val="auto"/>
                <w:kern w:val="0"/>
                <w:sz w:val="24"/>
                <w:highlight w:val="none"/>
              </w:rPr>
              <w:t>结果</w:t>
            </w:r>
          </w:p>
          <w:tbl>
            <w:tblPr>
              <w:tblStyle w:val="24"/>
              <w:tblpPr w:leftFromText="180" w:rightFromText="180" w:vertAnchor="text" w:tblpXSpec="center" w:tblpY="1"/>
              <w:tblOverlap w:val="never"/>
              <w:tblW w:w="491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3"/>
              <w:gridCol w:w="1473"/>
              <w:gridCol w:w="852"/>
              <w:gridCol w:w="1759"/>
              <w:gridCol w:w="1449"/>
              <w:gridCol w:w="1447"/>
              <w:gridCol w:w="1449"/>
              <w:gridCol w:w="1310"/>
            </w:tblGrid>
            <w:tr w14:paraId="7D9F7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Merge w:val="restart"/>
                  <w:vAlign w:val="center"/>
                </w:tcPr>
                <w:p w14:paraId="06F221DB">
                  <w:pPr>
                    <w:pStyle w:val="5"/>
                    <w:adjustRightInd w:val="0"/>
                    <w:spacing w:before="0" w:after="0" w:line="240" w:lineRule="auto"/>
                    <w:ind w:right="0"/>
                    <w:jc w:val="center"/>
                    <w:rPr>
                      <w:rStyle w:val="81"/>
                      <w:b/>
                      <w:bCs/>
                      <w:color w:val="auto"/>
                      <w:highlight w:val="none"/>
                    </w:rPr>
                  </w:pPr>
                  <w:r>
                    <w:rPr>
                      <w:rStyle w:val="81"/>
                      <w:b/>
                      <w:bCs/>
                      <w:color w:val="auto"/>
                      <w:highlight w:val="none"/>
                    </w:rPr>
                    <w:t>序号</w:t>
                  </w:r>
                </w:p>
              </w:tc>
              <w:tc>
                <w:tcPr>
                  <w:tcW w:w="731" w:type="pct"/>
                  <w:vMerge w:val="restart"/>
                  <w:vAlign w:val="center"/>
                </w:tcPr>
                <w:p w14:paraId="6FF7863E">
                  <w:pPr>
                    <w:pStyle w:val="5"/>
                    <w:adjustRightInd w:val="0"/>
                    <w:spacing w:before="0" w:after="0" w:line="240" w:lineRule="auto"/>
                    <w:ind w:right="0"/>
                    <w:jc w:val="center"/>
                    <w:rPr>
                      <w:rStyle w:val="81"/>
                      <w:b/>
                      <w:bCs/>
                      <w:color w:val="auto"/>
                      <w:highlight w:val="none"/>
                    </w:rPr>
                  </w:pPr>
                  <w:r>
                    <w:rPr>
                      <w:rStyle w:val="81"/>
                      <w:b/>
                      <w:bCs/>
                      <w:color w:val="auto"/>
                      <w:highlight w:val="none"/>
                    </w:rPr>
                    <w:t>产噪设备</w:t>
                  </w:r>
                </w:p>
              </w:tc>
              <w:tc>
                <w:tcPr>
                  <w:tcW w:w="423" w:type="pct"/>
                  <w:vMerge w:val="restart"/>
                  <w:vAlign w:val="center"/>
                </w:tcPr>
                <w:p w14:paraId="503A2E1D">
                  <w:pPr>
                    <w:pStyle w:val="5"/>
                    <w:adjustRightInd w:val="0"/>
                    <w:spacing w:before="0" w:after="0" w:line="240" w:lineRule="auto"/>
                    <w:ind w:right="0"/>
                    <w:jc w:val="center"/>
                    <w:rPr>
                      <w:rStyle w:val="81"/>
                      <w:b/>
                      <w:bCs/>
                      <w:color w:val="auto"/>
                      <w:highlight w:val="none"/>
                    </w:rPr>
                  </w:pPr>
                  <w:r>
                    <w:rPr>
                      <w:rStyle w:val="81"/>
                      <w:b/>
                      <w:bCs/>
                      <w:color w:val="auto"/>
                      <w:highlight w:val="none"/>
                    </w:rPr>
                    <w:t>数量</w:t>
                  </w:r>
                </w:p>
              </w:tc>
              <w:tc>
                <w:tcPr>
                  <w:tcW w:w="872" w:type="pct"/>
                  <w:vMerge w:val="restart"/>
                  <w:vAlign w:val="center"/>
                </w:tcPr>
                <w:p w14:paraId="71E491A9">
                  <w:pPr>
                    <w:pStyle w:val="5"/>
                    <w:adjustRightInd w:val="0"/>
                    <w:spacing w:before="0" w:after="0" w:line="240" w:lineRule="auto"/>
                    <w:ind w:right="0"/>
                    <w:jc w:val="center"/>
                    <w:rPr>
                      <w:rStyle w:val="81"/>
                      <w:b/>
                      <w:bCs/>
                      <w:color w:val="auto"/>
                      <w:highlight w:val="none"/>
                    </w:rPr>
                  </w:pPr>
                  <w:r>
                    <w:rPr>
                      <w:rStyle w:val="81"/>
                      <w:b/>
                      <w:bCs/>
                      <w:color w:val="auto"/>
                      <w:highlight w:val="none"/>
                    </w:rPr>
                    <w:t>单台噪声级</w:t>
                  </w:r>
                  <w:r>
                    <w:rPr>
                      <w:b/>
                      <w:color w:val="auto"/>
                      <w:sz w:val="21"/>
                      <w:szCs w:val="21"/>
                      <w:highlight w:val="none"/>
                    </w:rPr>
                    <w:t>dB(A)</w:t>
                  </w:r>
                </w:p>
              </w:tc>
              <w:tc>
                <w:tcPr>
                  <w:tcW w:w="2806" w:type="pct"/>
                  <w:gridSpan w:val="4"/>
                  <w:vAlign w:val="center"/>
                </w:tcPr>
                <w:p w14:paraId="32BB7E50">
                  <w:pPr>
                    <w:pStyle w:val="5"/>
                    <w:adjustRightInd w:val="0"/>
                    <w:spacing w:before="0" w:after="0" w:line="240" w:lineRule="auto"/>
                    <w:ind w:right="0"/>
                    <w:jc w:val="center"/>
                    <w:rPr>
                      <w:rStyle w:val="81"/>
                      <w:b/>
                      <w:bCs/>
                      <w:color w:val="auto"/>
                      <w:highlight w:val="none"/>
                    </w:rPr>
                  </w:pPr>
                  <w:r>
                    <w:rPr>
                      <w:rStyle w:val="81"/>
                      <w:b/>
                      <w:bCs/>
                      <w:color w:val="auto"/>
                      <w:highlight w:val="none"/>
                    </w:rPr>
                    <w:t>厂界预测结果dB（A）</w:t>
                  </w:r>
                </w:p>
              </w:tc>
            </w:tr>
            <w:tr w14:paraId="3AF44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Merge w:val="continue"/>
                  <w:vAlign w:val="center"/>
                </w:tcPr>
                <w:p w14:paraId="33489312">
                  <w:pPr>
                    <w:pStyle w:val="5"/>
                    <w:adjustRightInd w:val="0"/>
                    <w:spacing w:before="0" w:after="0" w:line="240" w:lineRule="auto"/>
                    <w:ind w:right="0"/>
                    <w:jc w:val="center"/>
                    <w:rPr>
                      <w:rStyle w:val="81"/>
                      <w:b/>
                      <w:bCs/>
                      <w:color w:val="auto"/>
                      <w:highlight w:val="none"/>
                    </w:rPr>
                  </w:pPr>
                </w:p>
              </w:tc>
              <w:tc>
                <w:tcPr>
                  <w:tcW w:w="731" w:type="pct"/>
                  <w:vMerge w:val="continue"/>
                  <w:vAlign w:val="center"/>
                </w:tcPr>
                <w:p w14:paraId="52B7EC02">
                  <w:pPr>
                    <w:pStyle w:val="5"/>
                    <w:adjustRightInd w:val="0"/>
                    <w:spacing w:before="0" w:after="0" w:line="240" w:lineRule="auto"/>
                    <w:ind w:right="0"/>
                    <w:jc w:val="center"/>
                    <w:rPr>
                      <w:rStyle w:val="81"/>
                      <w:b/>
                      <w:bCs/>
                      <w:color w:val="auto"/>
                      <w:highlight w:val="none"/>
                    </w:rPr>
                  </w:pPr>
                </w:p>
              </w:tc>
              <w:tc>
                <w:tcPr>
                  <w:tcW w:w="423" w:type="pct"/>
                  <w:vMerge w:val="continue"/>
                  <w:vAlign w:val="center"/>
                </w:tcPr>
                <w:p w14:paraId="020C5905">
                  <w:pPr>
                    <w:pStyle w:val="5"/>
                    <w:adjustRightInd w:val="0"/>
                    <w:spacing w:before="0" w:after="0" w:line="240" w:lineRule="auto"/>
                    <w:ind w:right="0"/>
                    <w:jc w:val="center"/>
                    <w:rPr>
                      <w:rStyle w:val="81"/>
                      <w:b/>
                      <w:bCs/>
                      <w:color w:val="auto"/>
                      <w:highlight w:val="none"/>
                    </w:rPr>
                  </w:pPr>
                </w:p>
              </w:tc>
              <w:tc>
                <w:tcPr>
                  <w:tcW w:w="872" w:type="pct"/>
                  <w:vMerge w:val="continue"/>
                  <w:vAlign w:val="center"/>
                </w:tcPr>
                <w:p w14:paraId="014B1906">
                  <w:pPr>
                    <w:pStyle w:val="5"/>
                    <w:adjustRightInd w:val="0"/>
                    <w:spacing w:before="0" w:after="0" w:line="240" w:lineRule="auto"/>
                    <w:ind w:right="0"/>
                    <w:jc w:val="center"/>
                    <w:rPr>
                      <w:rStyle w:val="81"/>
                      <w:b/>
                      <w:bCs/>
                      <w:color w:val="auto"/>
                      <w:highlight w:val="none"/>
                    </w:rPr>
                  </w:pPr>
                </w:p>
              </w:tc>
              <w:tc>
                <w:tcPr>
                  <w:tcW w:w="719" w:type="pct"/>
                  <w:vAlign w:val="center"/>
                </w:tcPr>
                <w:p w14:paraId="55BB1AB0">
                  <w:pPr>
                    <w:pStyle w:val="5"/>
                    <w:adjustRightInd w:val="0"/>
                    <w:spacing w:before="0" w:after="0" w:line="240" w:lineRule="auto"/>
                    <w:ind w:right="0"/>
                    <w:jc w:val="center"/>
                    <w:rPr>
                      <w:rStyle w:val="81"/>
                      <w:b/>
                      <w:bCs/>
                      <w:color w:val="auto"/>
                      <w:highlight w:val="none"/>
                    </w:rPr>
                  </w:pPr>
                  <w:r>
                    <w:rPr>
                      <w:rStyle w:val="81"/>
                      <w:b/>
                      <w:bCs/>
                      <w:color w:val="auto"/>
                      <w:highlight w:val="none"/>
                    </w:rPr>
                    <w:t>E</w:t>
                  </w:r>
                </w:p>
              </w:tc>
              <w:tc>
                <w:tcPr>
                  <w:tcW w:w="718" w:type="pct"/>
                  <w:vAlign w:val="center"/>
                </w:tcPr>
                <w:p w14:paraId="270D86D4">
                  <w:pPr>
                    <w:pStyle w:val="5"/>
                    <w:adjustRightInd w:val="0"/>
                    <w:spacing w:before="0" w:after="0" w:line="240" w:lineRule="auto"/>
                    <w:ind w:right="0"/>
                    <w:jc w:val="center"/>
                    <w:rPr>
                      <w:rStyle w:val="81"/>
                      <w:b/>
                      <w:bCs/>
                      <w:color w:val="auto"/>
                      <w:highlight w:val="none"/>
                    </w:rPr>
                  </w:pPr>
                  <w:r>
                    <w:rPr>
                      <w:rStyle w:val="81"/>
                      <w:b/>
                      <w:bCs/>
                      <w:color w:val="auto"/>
                      <w:highlight w:val="none"/>
                    </w:rPr>
                    <w:t>S</w:t>
                  </w:r>
                </w:p>
              </w:tc>
              <w:tc>
                <w:tcPr>
                  <w:tcW w:w="719" w:type="pct"/>
                  <w:vAlign w:val="center"/>
                </w:tcPr>
                <w:p w14:paraId="533772CD">
                  <w:pPr>
                    <w:pStyle w:val="5"/>
                    <w:adjustRightInd w:val="0"/>
                    <w:spacing w:before="0" w:after="0" w:line="240" w:lineRule="auto"/>
                    <w:ind w:right="0"/>
                    <w:jc w:val="center"/>
                    <w:rPr>
                      <w:rStyle w:val="81"/>
                      <w:b/>
                      <w:bCs/>
                      <w:color w:val="auto"/>
                      <w:highlight w:val="none"/>
                    </w:rPr>
                  </w:pPr>
                  <w:r>
                    <w:rPr>
                      <w:rStyle w:val="81"/>
                      <w:b/>
                      <w:bCs/>
                      <w:color w:val="auto"/>
                      <w:highlight w:val="none"/>
                    </w:rPr>
                    <w:t>W</w:t>
                  </w:r>
                </w:p>
              </w:tc>
              <w:tc>
                <w:tcPr>
                  <w:tcW w:w="650" w:type="pct"/>
                  <w:vAlign w:val="center"/>
                </w:tcPr>
                <w:p w14:paraId="516479E2">
                  <w:pPr>
                    <w:pStyle w:val="5"/>
                    <w:adjustRightInd w:val="0"/>
                    <w:spacing w:before="0" w:after="0" w:line="240" w:lineRule="auto"/>
                    <w:ind w:right="0"/>
                    <w:jc w:val="center"/>
                    <w:rPr>
                      <w:rStyle w:val="81"/>
                      <w:b/>
                      <w:bCs/>
                      <w:color w:val="auto"/>
                      <w:highlight w:val="none"/>
                    </w:rPr>
                  </w:pPr>
                  <w:r>
                    <w:rPr>
                      <w:rStyle w:val="81"/>
                      <w:b/>
                      <w:bCs/>
                      <w:color w:val="auto"/>
                      <w:highlight w:val="none"/>
                    </w:rPr>
                    <w:t>N</w:t>
                  </w:r>
                </w:p>
              </w:tc>
            </w:tr>
            <w:tr w14:paraId="4A4AA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Align w:val="center"/>
                </w:tcPr>
                <w:p w14:paraId="67A3978A">
                  <w:pPr>
                    <w:widowControl/>
                    <w:adjustRightInd w:val="0"/>
                    <w:snapToGrid w:val="0"/>
                    <w:jc w:val="center"/>
                    <w:textAlignment w:val="center"/>
                    <w:rPr>
                      <w:rStyle w:val="81"/>
                      <w:color w:val="auto"/>
                      <w:highlight w:val="none"/>
                    </w:rPr>
                  </w:pPr>
                  <w:r>
                    <w:rPr>
                      <w:rStyle w:val="81"/>
                      <w:color w:val="auto"/>
                      <w:highlight w:val="none"/>
                    </w:rPr>
                    <w:t>1</w:t>
                  </w:r>
                </w:p>
              </w:tc>
              <w:tc>
                <w:tcPr>
                  <w:tcW w:w="731" w:type="pct"/>
                  <w:vAlign w:val="center"/>
                </w:tcPr>
                <w:p w14:paraId="5FAFF244">
                  <w:pPr>
                    <w:widowControl/>
                    <w:adjustRightInd w:val="0"/>
                    <w:snapToGrid w:val="0"/>
                    <w:jc w:val="center"/>
                    <w:textAlignment w:val="center"/>
                    <w:rPr>
                      <w:rStyle w:val="81"/>
                      <w:color w:val="auto"/>
                      <w:highlight w:val="none"/>
                    </w:rPr>
                  </w:pPr>
                  <w:r>
                    <w:rPr>
                      <w:rStyle w:val="81"/>
                      <w:rFonts w:hint="eastAsia"/>
                      <w:color w:val="auto"/>
                      <w:highlight w:val="none"/>
                    </w:rPr>
                    <w:t>空压机</w:t>
                  </w:r>
                </w:p>
              </w:tc>
              <w:tc>
                <w:tcPr>
                  <w:tcW w:w="423" w:type="pct"/>
                  <w:vAlign w:val="center"/>
                </w:tcPr>
                <w:p w14:paraId="34B411DD">
                  <w:pPr>
                    <w:widowControl/>
                    <w:adjustRightInd w:val="0"/>
                    <w:snapToGrid w:val="0"/>
                    <w:jc w:val="center"/>
                    <w:textAlignment w:val="center"/>
                    <w:rPr>
                      <w:rStyle w:val="81"/>
                      <w:color w:val="auto"/>
                      <w:highlight w:val="none"/>
                    </w:rPr>
                  </w:pPr>
                  <w:r>
                    <w:rPr>
                      <w:rStyle w:val="81"/>
                      <w:rFonts w:hint="eastAsia"/>
                      <w:color w:val="auto"/>
                      <w:highlight w:val="none"/>
                    </w:rPr>
                    <w:t>1</w:t>
                  </w:r>
                </w:p>
              </w:tc>
              <w:tc>
                <w:tcPr>
                  <w:tcW w:w="872" w:type="pct"/>
                  <w:vAlign w:val="center"/>
                </w:tcPr>
                <w:p w14:paraId="581102E6">
                  <w:pPr>
                    <w:widowControl/>
                    <w:adjustRightInd w:val="0"/>
                    <w:snapToGrid w:val="0"/>
                    <w:jc w:val="center"/>
                    <w:textAlignment w:val="center"/>
                    <w:rPr>
                      <w:rStyle w:val="81"/>
                      <w:color w:val="auto"/>
                      <w:highlight w:val="none"/>
                    </w:rPr>
                  </w:pPr>
                  <w:r>
                    <w:rPr>
                      <w:rStyle w:val="81"/>
                      <w:rFonts w:hint="eastAsia"/>
                      <w:color w:val="auto"/>
                      <w:highlight w:val="none"/>
                    </w:rPr>
                    <w:t>85</w:t>
                  </w:r>
                </w:p>
              </w:tc>
              <w:tc>
                <w:tcPr>
                  <w:tcW w:w="719" w:type="pct"/>
                  <w:vAlign w:val="center"/>
                </w:tcPr>
                <w:p w14:paraId="40BBC451">
                  <w:pPr>
                    <w:widowControl/>
                    <w:jc w:val="center"/>
                    <w:textAlignment w:val="center"/>
                    <w:rPr>
                      <w:color w:val="auto"/>
                      <w:szCs w:val="21"/>
                      <w:highlight w:val="none"/>
                    </w:rPr>
                  </w:pPr>
                  <w:r>
                    <w:rPr>
                      <w:color w:val="auto"/>
                      <w:kern w:val="0"/>
                      <w:sz w:val="22"/>
                      <w:szCs w:val="22"/>
                      <w:highlight w:val="none"/>
                      <w:lang w:bidi="ar"/>
                    </w:rPr>
                    <w:t xml:space="preserve">31.0 </w:t>
                  </w:r>
                </w:p>
              </w:tc>
              <w:tc>
                <w:tcPr>
                  <w:tcW w:w="718" w:type="pct"/>
                  <w:vAlign w:val="center"/>
                </w:tcPr>
                <w:p w14:paraId="38ECFB67">
                  <w:pPr>
                    <w:widowControl/>
                    <w:jc w:val="center"/>
                    <w:textAlignment w:val="center"/>
                    <w:rPr>
                      <w:color w:val="auto"/>
                      <w:szCs w:val="21"/>
                      <w:highlight w:val="none"/>
                    </w:rPr>
                  </w:pPr>
                  <w:r>
                    <w:rPr>
                      <w:color w:val="auto"/>
                      <w:kern w:val="0"/>
                      <w:szCs w:val="21"/>
                      <w:highlight w:val="none"/>
                      <w:lang w:bidi="ar"/>
                    </w:rPr>
                    <w:t xml:space="preserve">29.4 </w:t>
                  </w:r>
                </w:p>
              </w:tc>
              <w:tc>
                <w:tcPr>
                  <w:tcW w:w="719" w:type="pct"/>
                  <w:vAlign w:val="center"/>
                </w:tcPr>
                <w:p w14:paraId="04092E97">
                  <w:pPr>
                    <w:widowControl/>
                    <w:jc w:val="center"/>
                    <w:textAlignment w:val="center"/>
                    <w:rPr>
                      <w:color w:val="auto"/>
                      <w:szCs w:val="21"/>
                      <w:highlight w:val="none"/>
                    </w:rPr>
                  </w:pPr>
                  <w:r>
                    <w:rPr>
                      <w:color w:val="auto"/>
                      <w:kern w:val="0"/>
                      <w:szCs w:val="21"/>
                      <w:highlight w:val="none"/>
                      <w:lang w:bidi="ar"/>
                    </w:rPr>
                    <w:t xml:space="preserve">33.0 </w:t>
                  </w:r>
                </w:p>
              </w:tc>
              <w:tc>
                <w:tcPr>
                  <w:tcW w:w="650" w:type="pct"/>
                  <w:vAlign w:val="center"/>
                </w:tcPr>
                <w:p w14:paraId="1FF0C9C7">
                  <w:pPr>
                    <w:widowControl/>
                    <w:jc w:val="center"/>
                    <w:textAlignment w:val="center"/>
                    <w:rPr>
                      <w:color w:val="auto"/>
                      <w:szCs w:val="21"/>
                      <w:highlight w:val="none"/>
                    </w:rPr>
                  </w:pPr>
                  <w:r>
                    <w:rPr>
                      <w:color w:val="auto"/>
                      <w:kern w:val="0"/>
                      <w:szCs w:val="21"/>
                      <w:highlight w:val="none"/>
                      <w:lang w:bidi="ar"/>
                    </w:rPr>
                    <w:t xml:space="preserve">39.0 </w:t>
                  </w:r>
                </w:p>
              </w:tc>
            </w:tr>
            <w:tr w14:paraId="30454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Align w:val="center"/>
                </w:tcPr>
                <w:p w14:paraId="3380EADC">
                  <w:pPr>
                    <w:widowControl/>
                    <w:adjustRightInd w:val="0"/>
                    <w:snapToGrid w:val="0"/>
                    <w:jc w:val="center"/>
                    <w:textAlignment w:val="center"/>
                    <w:rPr>
                      <w:rStyle w:val="81"/>
                      <w:color w:val="auto"/>
                      <w:highlight w:val="none"/>
                    </w:rPr>
                  </w:pPr>
                  <w:r>
                    <w:rPr>
                      <w:rStyle w:val="81"/>
                      <w:rFonts w:hint="eastAsia"/>
                      <w:color w:val="auto"/>
                      <w:highlight w:val="none"/>
                    </w:rPr>
                    <w:t>2</w:t>
                  </w:r>
                </w:p>
              </w:tc>
              <w:tc>
                <w:tcPr>
                  <w:tcW w:w="731" w:type="pct"/>
                  <w:vAlign w:val="center"/>
                </w:tcPr>
                <w:p w14:paraId="5A0C1185">
                  <w:pPr>
                    <w:widowControl/>
                    <w:adjustRightInd w:val="0"/>
                    <w:snapToGrid w:val="0"/>
                    <w:jc w:val="center"/>
                    <w:textAlignment w:val="center"/>
                    <w:rPr>
                      <w:rStyle w:val="81"/>
                      <w:color w:val="auto"/>
                      <w:highlight w:val="none"/>
                    </w:rPr>
                  </w:pPr>
                  <w:r>
                    <w:rPr>
                      <w:rStyle w:val="81"/>
                      <w:rFonts w:hint="eastAsia"/>
                      <w:color w:val="auto"/>
                      <w:highlight w:val="none"/>
                    </w:rPr>
                    <w:t>干燥机</w:t>
                  </w:r>
                </w:p>
              </w:tc>
              <w:tc>
                <w:tcPr>
                  <w:tcW w:w="423" w:type="pct"/>
                  <w:vAlign w:val="center"/>
                </w:tcPr>
                <w:p w14:paraId="1B9A8CCA">
                  <w:pPr>
                    <w:widowControl/>
                    <w:adjustRightInd w:val="0"/>
                    <w:snapToGrid w:val="0"/>
                    <w:jc w:val="center"/>
                    <w:textAlignment w:val="center"/>
                    <w:rPr>
                      <w:rStyle w:val="81"/>
                      <w:color w:val="auto"/>
                      <w:highlight w:val="none"/>
                    </w:rPr>
                  </w:pPr>
                  <w:r>
                    <w:rPr>
                      <w:rStyle w:val="81"/>
                      <w:rFonts w:hint="eastAsia"/>
                      <w:color w:val="auto"/>
                      <w:highlight w:val="none"/>
                    </w:rPr>
                    <w:t>1</w:t>
                  </w:r>
                </w:p>
              </w:tc>
              <w:tc>
                <w:tcPr>
                  <w:tcW w:w="872" w:type="pct"/>
                  <w:vAlign w:val="center"/>
                </w:tcPr>
                <w:p w14:paraId="01402317">
                  <w:pPr>
                    <w:adjustRightInd w:val="0"/>
                    <w:snapToGrid w:val="0"/>
                    <w:jc w:val="center"/>
                    <w:rPr>
                      <w:color w:val="auto"/>
                      <w:szCs w:val="21"/>
                      <w:highlight w:val="none"/>
                    </w:rPr>
                  </w:pPr>
                  <w:r>
                    <w:rPr>
                      <w:rFonts w:hint="eastAsia"/>
                      <w:color w:val="auto"/>
                      <w:szCs w:val="21"/>
                      <w:highlight w:val="none"/>
                    </w:rPr>
                    <w:t>85</w:t>
                  </w:r>
                </w:p>
              </w:tc>
              <w:tc>
                <w:tcPr>
                  <w:tcW w:w="719" w:type="pct"/>
                  <w:vAlign w:val="center"/>
                </w:tcPr>
                <w:p w14:paraId="1C23F50B">
                  <w:pPr>
                    <w:widowControl/>
                    <w:jc w:val="center"/>
                    <w:textAlignment w:val="center"/>
                    <w:rPr>
                      <w:color w:val="auto"/>
                      <w:szCs w:val="21"/>
                      <w:highlight w:val="none"/>
                    </w:rPr>
                  </w:pPr>
                  <w:r>
                    <w:rPr>
                      <w:color w:val="auto"/>
                      <w:kern w:val="0"/>
                      <w:szCs w:val="21"/>
                      <w:highlight w:val="none"/>
                      <w:lang w:bidi="ar"/>
                    </w:rPr>
                    <w:t xml:space="preserve">29.4 </w:t>
                  </w:r>
                </w:p>
              </w:tc>
              <w:tc>
                <w:tcPr>
                  <w:tcW w:w="718" w:type="pct"/>
                  <w:vAlign w:val="center"/>
                </w:tcPr>
                <w:p w14:paraId="7B56AD99">
                  <w:pPr>
                    <w:widowControl/>
                    <w:jc w:val="center"/>
                    <w:textAlignment w:val="center"/>
                    <w:rPr>
                      <w:color w:val="auto"/>
                      <w:szCs w:val="21"/>
                      <w:highlight w:val="none"/>
                    </w:rPr>
                  </w:pPr>
                  <w:r>
                    <w:rPr>
                      <w:color w:val="auto"/>
                      <w:kern w:val="0"/>
                      <w:szCs w:val="21"/>
                      <w:highlight w:val="none"/>
                      <w:lang w:bidi="ar"/>
                    </w:rPr>
                    <w:t xml:space="preserve">28.7 </w:t>
                  </w:r>
                </w:p>
              </w:tc>
              <w:tc>
                <w:tcPr>
                  <w:tcW w:w="719" w:type="pct"/>
                  <w:vAlign w:val="center"/>
                </w:tcPr>
                <w:p w14:paraId="508783BC">
                  <w:pPr>
                    <w:widowControl/>
                    <w:jc w:val="center"/>
                    <w:textAlignment w:val="center"/>
                    <w:rPr>
                      <w:color w:val="auto"/>
                      <w:szCs w:val="21"/>
                      <w:highlight w:val="none"/>
                    </w:rPr>
                  </w:pPr>
                  <w:r>
                    <w:rPr>
                      <w:color w:val="auto"/>
                      <w:kern w:val="0"/>
                      <w:szCs w:val="21"/>
                      <w:highlight w:val="none"/>
                      <w:lang w:bidi="ar"/>
                    </w:rPr>
                    <w:t xml:space="preserve">35.5 </w:t>
                  </w:r>
                </w:p>
              </w:tc>
              <w:tc>
                <w:tcPr>
                  <w:tcW w:w="650" w:type="pct"/>
                  <w:vAlign w:val="center"/>
                </w:tcPr>
                <w:p w14:paraId="0D2D3A02">
                  <w:pPr>
                    <w:widowControl/>
                    <w:jc w:val="center"/>
                    <w:textAlignment w:val="center"/>
                    <w:rPr>
                      <w:color w:val="auto"/>
                      <w:szCs w:val="21"/>
                      <w:highlight w:val="none"/>
                    </w:rPr>
                  </w:pPr>
                  <w:r>
                    <w:rPr>
                      <w:color w:val="auto"/>
                      <w:kern w:val="0"/>
                      <w:szCs w:val="21"/>
                      <w:highlight w:val="none"/>
                      <w:lang w:bidi="ar"/>
                    </w:rPr>
                    <w:t xml:space="preserve">41.5 </w:t>
                  </w:r>
                </w:p>
              </w:tc>
            </w:tr>
            <w:tr w14:paraId="3E52E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Align w:val="center"/>
                </w:tcPr>
                <w:p w14:paraId="3FFD9958">
                  <w:pPr>
                    <w:widowControl/>
                    <w:adjustRightInd w:val="0"/>
                    <w:snapToGrid w:val="0"/>
                    <w:jc w:val="center"/>
                    <w:textAlignment w:val="center"/>
                    <w:rPr>
                      <w:rStyle w:val="81"/>
                      <w:color w:val="auto"/>
                      <w:highlight w:val="none"/>
                    </w:rPr>
                  </w:pPr>
                  <w:r>
                    <w:rPr>
                      <w:rStyle w:val="81"/>
                      <w:color w:val="auto"/>
                      <w:highlight w:val="none"/>
                    </w:rPr>
                    <w:t>3</w:t>
                  </w:r>
                </w:p>
              </w:tc>
              <w:tc>
                <w:tcPr>
                  <w:tcW w:w="731" w:type="pct"/>
                  <w:vAlign w:val="center"/>
                </w:tcPr>
                <w:p w14:paraId="59DCC793">
                  <w:pPr>
                    <w:widowControl/>
                    <w:adjustRightInd w:val="0"/>
                    <w:snapToGrid w:val="0"/>
                    <w:jc w:val="center"/>
                    <w:textAlignment w:val="center"/>
                    <w:rPr>
                      <w:rStyle w:val="81"/>
                      <w:color w:val="auto"/>
                      <w:highlight w:val="none"/>
                      <w:lang w:eastAsia="zh-Hans"/>
                    </w:rPr>
                  </w:pPr>
                  <w:r>
                    <w:rPr>
                      <w:rStyle w:val="81"/>
                      <w:rFonts w:hint="eastAsia"/>
                      <w:color w:val="auto"/>
                      <w:highlight w:val="none"/>
                      <w:lang w:eastAsia="zh-Hans"/>
                    </w:rPr>
                    <w:t>打标机</w:t>
                  </w:r>
                </w:p>
              </w:tc>
              <w:tc>
                <w:tcPr>
                  <w:tcW w:w="423" w:type="pct"/>
                  <w:vAlign w:val="center"/>
                </w:tcPr>
                <w:p w14:paraId="1A895250">
                  <w:pPr>
                    <w:widowControl/>
                    <w:adjustRightInd w:val="0"/>
                    <w:snapToGrid w:val="0"/>
                    <w:jc w:val="center"/>
                    <w:textAlignment w:val="center"/>
                    <w:rPr>
                      <w:rStyle w:val="81"/>
                      <w:color w:val="auto"/>
                      <w:highlight w:val="none"/>
                    </w:rPr>
                  </w:pPr>
                  <w:r>
                    <w:rPr>
                      <w:rStyle w:val="81"/>
                      <w:color w:val="auto"/>
                      <w:highlight w:val="none"/>
                    </w:rPr>
                    <w:t>2</w:t>
                  </w:r>
                </w:p>
              </w:tc>
              <w:tc>
                <w:tcPr>
                  <w:tcW w:w="872" w:type="pct"/>
                  <w:vAlign w:val="center"/>
                </w:tcPr>
                <w:p w14:paraId="1EC86A58">
                  <w:pPr>
                    <w:adjustRightInd w:val="0"/>
                    <w:snapToGrid w:val="0"/>
                    <w:jc w:val="center"/>
                    <w:rPr>
                      <w:color w:val="auto"/>
                      <w:szCs w:val="21"/>
                      <w:highlight w:val="none"/>
                    </w:rPr>
                  </w:pPr>
                  <w:r>
                    <w:rPr>
                      <w:color w:val="auto"/>
                      <w:szCs w:val="21"/>
                      <w:highlight w:val="none"/>
                    </w:rPr>
                    <w:t>80</w:t>
                  </w:r>
                </w:p>
              </w:tc>
              <w:tc>
                <w:tcPr>
                  <w:tcW w:w="719" w:type="pct"/>
                  <w:vAlign w:val="center"/>
                </w:tcPr>
                <w:p w14:paraId="11D1B796">
                  <w:pPr>
                    <w:widowControl/>
                    <w:jc w:val="center"/>
                    <w:textAlignment w:val="center"/>
                    <w:rPr>
                      <w:color w:val="auto"/>
                      <w:kern w:val="0"/>
                      <w:szCs w:val="21"/>
                      <w:highlight w:val="none"/>
                    </w:rPr>
                  </w:pPr>
                  <w:r>
                    <w:rPr>
                      <w:color w:val="auto"/>
                      <w:kern w:val="0"/>
                      <w:szCs w:val="21"/>
                      <w:highlight w:val="none"/>
                      <w:lang w:bidi="ar"/>
                    </w:rPr>
                    <w:t xml:space="preserve">28.7 </w:t>
                  </w:r>
                </w:p>
              </w:tc>
              <w:tc>
                <w:tcPr>
                  <w:tcW w:w="718" w:type="pct"/>
                  <w:vAlign w:val="center"/>
                </w:tcPr>
                <w:p w14:paraId="56A0B55B">
                  <w:pPr>
                    <w:widowControl/>
                    <w:jc w:val="center"/>
                    <w:textAlignment w:val="center"/>
                    <w:rPr>
                      <w:color w:val="auto"/>
                      <w:kern w:val="0"/>
                      <w:szCs w:val="21"/>
                      <w:highlight w:val="none"/>
                    </w:rPr>
                  </w:pPr>
                  <w:r>
                    <w:rPr>
                      <w:color w:val="auto"/>
                      <w:kern w:val="0"/>
                      <w:szCs w:val="21"/>
                      <w:highlight w:val="none"/>
                      <w:lang w:bidi="ar"/>
                    </w:rPr>
                    <w:t xml:space="preserve">26.7 </w:t>
                  </w:r>
                </w:p>
              </w:tc>
              <w:tc>
                <w:tcPr>
                  <w:tcW w:w="719" w:type="pct"/>
                  <w:vAlign w:val="center"/>
                </w:tcPr>
                <w:p w14:paraId="0648F877">
                  <w:pPr>
                    <w:widowControl/>
                    <w:jc w:val="center"/>
                    <w:textAlignment w:val="center"/>
                    <w:rPr>
                      <w:color w:val="auto"/>
                      <w:kern w:val="0"/>
                      <w:szCs w:val="21"/>
                      <w:highlight w:val="none"/>
                    </w:rPr>
                  </w:pPr>
                  <w:r>
                    <w:rPr>
                      <w:color w:val="auto"/>
                      <w:kern w:val="0"/>
                      <w:szCs w:val="21"/>
                      <w:highlight w:val="none"/>
                      <w:lang w:bidi="ar"/>
                    </w:rPr>
                    <w:t xml:space="preserve">31.4 </w:t>
                  </w:r>
                </w:p>
              </w:tc>
              <w:tc>
                <w:tcPr>
                  <w:tcW w:w="650" w:type="pct"/>
                  <w:vAlign w:val="center"/>
                </w:tcPr>
                <w:p w14:paraId="10ED9990">
                  <w:pPr>
                    <w:widowControl/>
                    <w:jc w:val="center"/>
                    <w:textAlignment w:val="center"/>
                    <w:rPr>
                      <w:color w:val="auto"/>
                      <w:kern w:val="0"/>
                      <w:szCs w:val="21"/>
                      <w:highlight w:val="none"/>
                    </w:rPr>
                  </w:pPr>
                  <w:r>
                    <w:rPr>
                      <w:color w:val="auto"/>
                      <w:kern w:val="0"/>
                      <w:szCs w:val="21"/>
                      <w:highlight w:val="none"/>
                      <w:lang w:bidi="ar"/>
                    </w:rPr>
                    <w:t xml:space="preserve">39.5 </w:t>
                  </w:r>
                </w:p>
              </w:tc>
            </w:tr>
            <w:tr w14:paraId="0E5E9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Align w:val="center"/>
                </w:tcPr>
                <w:p w14:paraId="3446A8EB">
                  <w:pPr>
                    <w:widowControl/>
                    <w:adjustRightInd w:val="0"/>
                    <w:snapToGrid w:val="0"/>
                    <w:jc w:val="center"/>
                    <w:textAlignment w:val="center"/>
                    <w:rPr>
                      <w:rStyle w:val="81"/>
                      <w:color w:val="auto"/>
                      <w:highlight w:val="none"/>
                    </w:rPr>
                  </w:pPr>
                  <w:r>
                    <w:rPr>
                      <w:rStyle w:val="81"/>
                      <w:color w:val="auto"/>
                      <w:highlight w:val="none"/>
                    </w:rPr>
                    <w:t>4</w:t>
                  </w:r>
                </w:p>
              </w:tc>
              <w:tc>
                <w:tcPr>
                  <w:tcW w:w="731" w:type="pct"/>
                  <w:vAlign w:val="center"/>
                </w:tcPr>
                <w:p w14:paraId="3C080541">
                  <w:pPr>
                    <w:widowControl/>
                    <w:adjustRightInd w:val="0"/>
                    <w:snapToGrid w:val="0"/>
                    <w:jc w:val="center"/>
                    <w:textAlignment w:val="center"/>
                    <w:rPr>
                      <w:rStyle w:val="81"/>
                      <w:color w:val="auto"/>
                      <w:highlight w:val="none"/>
                      <w:lang w:eastAsia="zh-Hans"/>
                    </w:rPr>
                  </w:pPr>
                  <w:r>
                    <w:rPr>
                      <w:rStyle w:val="81"/>
                      <w:rFonts w:hint="eastAsia"/>
                      <w:color w:val="auto"/>
                      <w:highlight w:val="none"/>
                      <w:lang w:eastAsia="zh-Hans"/>
                    </w:rPr>
                    <w:t>压机</w:t>
                  </w:r>
                </w:p>
              </w:tc>
              <w:tc>
                <w:tcPr>
                  <w:tcW w:w="423" w:type="pct"/>
                  <w:vAlign w:val="center"/>
                </w:tcPr>
                <w:p w14:paraId="161C1C3C">
                  <w:pPr>
                    <w:widowControl/>
                    <w:adjustRightInd w:val="0"/>
                    <w:snapToGrid w:val="0"/>
                    <w:jc w:val="center"/>
                    <w:textAlignment w:val="center"/>
                    <w:rPr>
                      <w:rStyle w:val="81"/>
                      <w:color w:val="auto"/>
                      <w:highlight w:val="none"/>
                    </w:rPr>
                  </w:pPr>
                  <w:r>
                    <w:rPr>
                      <w:rStyle w:val="81"/>
                      <w:color w:val="auto"/>
                      <w:highlight w:val="none"/>
                    </w:rPr>
                    <w:t>1</w:t>
                  </w:r>
                </w:p>
              </w:tc>
              <w:tc>
                <w:tcPr>
                  <w:tcW w:w="872" w:type="pct"/>
                  <w:vAlign w:val="center"/>
                </w:tcPr>
                <w:p w14:paraId="7FB89E94">
                  <w:pPr>
                    <w:adjustRightInd w:val="0"/>
                    <w:snapToGrid w:val="0"/>
                    <w:jc w:val="center"/>
                    <w:rPr>
                      <w:color w:val="auto"/>
                      <w:szCs w:val="21"/>
                      <w:highlight w:val="none"/>
                    </w:rPr>
                  </w:pPr>
                  <w:r>
                    <w:rPr>
                      <w:color w:val="auto"/>
                      <w:szCs w:val="21"/>
                      <w:highlight w:val="none"/>
                    </w:rPr>
                    <w:t>80</w:t>
                  </w:r>
                </w:p>
              </w:tc>
              <w:tc>
                <w:tcPr>
                  <w:tcW w:w="719" w:type="pct"/>
                  <w:vAlign w:val="center"/>
                </w:tcPr>
                <w:p w14:paraId="74A5D762">
                  <w:pPr>
                    <w:widowControl/>
                    <w:jc w:val="center"/>
                    <w:textAlignment w:val="center"/>
                    <w:rPr>
                      <w:color w:val="auto"/>
                      <w:kern w:val="0"/>
                      <w:szCs w:val="21"/>
                      <w:highlight w:val="none"/>
                    </w:rPr>
                  </w:pPr>
                  <w:r>
                    <w:rPr>
                      <w:color w:val="auto"/>
                      <w:kern w:val="0"/>
                      <w:szCs w:val="21"/>
                      <w:highlight w:val="none"/>
                      <w:lang w:bidi="ar"/>
                    </w:rPr>
                    <w:t xml:space="preserve">25.2 </w:t>
                  </w:r>
                </w:p>
              </w:tc>
              <w:tc>
                <w:tcPr>
                  <w:tcW w:w="718" w:type="pct"/>
                  <w:vAlign w:val="center"/>
                </w:tcPr>
                <w:p w14:paraId="7037F036">
                  <w:pPr>
                    <w:widowControl/>
                    <w:jc w:val="center"/>
                    <w:textAlignment w:val="center"/>
                    <w:rPr>
                      <w:color w:val="auto"/>
                      <w:kern w:val="0"/>
                      <w:szCs w:val="21"/>
                      <w:highlight w:val="none"/>
                    </w:rPr>
                  </w:pPr>
                  <w:r>
                    <w:rPr>
                      <w:color w:val="auto"/>
                      <w:kern w:val="0"/>
                      <w:szCs w:val="21"/>
                      <w:highlight w:val="none"/>
                      <w:lang w:bidi="ar"/>
                    </w:rPr>
                    <w:t xml:space="preserve">23.3 </w:t>
                  </w:r>
                </w:p>
              </w:tc>
              <w:tc>
                <w:tcPr>
                  <w:tcW w:w="719" w:type="pct"/>
                  <w:vAlign w:val="center"/>
                </w:tcPr>
                <w:p w14:paraId="31FE354A">
                  <w:pPr>
                    <w:widowControl/>
                    <w:jc w:val="center"/>
                    <w:textAlignment w:val="center"/>
                    <w:rPr>
                      <w:color w:val="auto"/>
                      <w:kern w:val="0"/>
                      <w:szCs w:val="21"/>
                      <w:highlight w:val="none"/>
                    </w:rPr>
                  </w:pPr>
                  <w:r>
                    <w:rPr>
                      <w:color w:val="auto"/>
                      <w:kern w:val="0"/>
                      <w:szCs w:val="21"/>
                      <w:highlight w:val="none"/>
                      <w:lang w:bidi="ar"/>
                    </w:rPr>
                    <w:t xml:space="preserve">29.1 </w:t>
                  </w:r>
                </w:p>
              </w:tc>
              <w:tc>
                <w:tcPr>
                  <w:tcW w:w="650" w:type="pct"/>
                  <w:vAlign w:val="center"/>
                </w:tcPr>
                <w:p w14:paraId="3CEFC38C">
                  <w:pPr>
                    <w:widowControl/>
                    <w:jc w:val="center"/>
                    <w:textAlignment w:val="center"/>
                    <w:rPr>
                      <w:color w:val="auto"/>
                      <w:kern w:val="0"/>
                      <w:szCs w:val="21"/>
                      <w:highlight w:val="none"/>
                    </w:rPr>
                  </w:pPr>
                  <w:r>
                    <w:rPr>
                      <w:color w:val="auto"/>
                      <w:kern w:val="0"/>
                      <w:szCs w:val="21"/>
                      <w:highlight w:val="none"/>
                      <w:lang w:bidi="ar"/>
                    </w:rPr>
                    <w:t xml:space="preserve">38.4 </w:t>
                  </w:r>
                </w:p>
              </w:tc>
            </w:tr>
            <w:tr w14:paraId="1F336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6" w:type="pct"/>
                  <w:vAlign w:val="center"/>
                </w:tcPr>
                <w:p w14:paraId="0CB043D4">
                  <w:pPr>
                    <w:widowControl/>
                    <w:adjustRightInd w:val="0"/>
                    <w:snapToGrid w:val="0"/>
                    <w:jc w:val="center"/>
                    <w:textAlignment w:val="bottom"/>
                    <w:rPr>
                      <w:rStyle w:val="81"/>
                      <w:color w:val="auto"/>
                      <w:highlight w:val="none"/>
                    </w:rPr>
                  </w:pPr>
                  <w:r>
                    <w:rPr>
                      <w:rStyle w:val="81"/>
                      <w:color w:val="auto"/>
                      <w:highlight w:val="none"/>
                    </w:rPr>
                    <w:t>5</w:t>
                  </w:r>
                </w:p>
              </w:tc>
              <w:tc>
                <w:tcPr>
                  <w:tcW w:w="731" w:type="pct"/>
                  <w:vAlign w:val="center"/>
                </w:tcPr>
                <w:p w14:paraId="2D738AE9">
                  <w:pPr>
                    <w:widowControl/>
                    <w:adjustRightInd w:val="0"/>
                    <w:snapToGrid w:val="0"/>
                    <w:jc w:val="center"/>
                    <w:textAlignment w:val="bottom"/>
                    <w:rPr>
                      <w:rStyle w:val="81"/>
                      <w:color w:val="auto"/>
                      <w:highlight w:val="none"/>
                    </w:rPr>
                  </w:pPr>
                  <w:r>
                    <w:rPr>
                      <w:rStyle w:val="81"/>
                      <w:color w:val="auto"/>
                      <w:highlight w:val="none"/>
                    </w:rPr>
                    <w:t>风机</w:t>
                  </w:r>
                </w:p>
              </w:tc>
              <w:tc>
                <w:tcPr>
                  <w:tcW w:w="423" w:type="pct"/>
                  <w:vAlign w:val="center"/>
                </w:tcPr>
                <w:p w14:paraId="15E49CD1">
                  <w:pPr>
                    <w:widowControl/>
                    <w:adjustRightInd w:val="0"/>
                    <w:snapToGrid w:val="0"/>
                    <w:jc w:val="center"/>
                    <w:textAlignment w:val="bottom"/>
                    <w:rPr>
                      <w:rStyle w:val="81"/>
                      <w:color w:val="auto"/>
                      <w:highlight w:val="none"/>
                    </w:rPr>
                  </w:pPr>
                  <w:r>
                    <w:rPr>
                      <w:rStyle w:val="81"/>
                      <w:color w:val="auto"/>
                      <w:highlight w:val="none"/>
                    </w:rPr>
                    <w:t>1</w:t>
                  </w:r>
                </w:p>
              </w:tc>
              <w:tc>
                <w:tcPr>
                  <w:tcW w:w="872" w:type="pct"/>
                  <w:vAlign w:val="center"/>
                </w:tcPr>
                <w:p w14:paraId="46B82F00">
                  <w:pPr>
                    <w:widowControl/>
                    <w:adjustRightInd w:val="0"/>
                    <w:snapToGrid w:val="0"/>
                    <w:jc w:val="center"/>
                    <w:textAlignment w:val="bottom"/>
                    <w:rPr>
                      <w:rStyle w:val="81"/>
                      <w:color w:val="auto"/>
                      <w:highlight w:val="none"/>
                    </w:rPr>
                  </w:pPr>
                  <w:r>
                    <w:rPr>
                      <w:rStyle w:val="81"/>
                      <w:rFonts w:hint="eastAsia"/>
                      <w:color w:val="auto"/>
                      <w:highlight w:val="none"/>
                    </w:rPr>
                    <w:t>85</w:t>
                  </w:r>
                </w:p>
              </w:tc>
              <w:tc>
                <w:tcPr>
                  <w:tcW w:w="719" w:type="pct"/>
                  <w:vAlign w:val="center"/>
                </w:tcPr>
                <w:p w14:paraId="389BF8FA">
                  <w:pPr>
                    <w:widowControl/>
                    <w:jc w:val="center"/>
                    <w:textAlignment w:val="center"/>
                    <w:rPr>
                      <w:color w:val="auto"/>
                      <w:szCs w:val="21"/>
                      <w:highlight w:val="none"/>
                    </w:rPr>
                  </w:pPr>
                  <w:r>
                    <w:rPr>
                      <w:color w:val="auto"/>
                      <w:kern w:val="0"/>
                      <w:szCs w:val="21"/>
                      <w:highlight w:val="none"/>
                      <w:lang w:bidi="ar"/>
                    </w:rPr>
                    <w:t xml:space="preserve">29.4 </w:t>
                  </w:r>
                </w:p>
              </w:tc>
              <w:tc>
                <w:tcPr>
                  <w:tcW w:w="718" w:type="pct"/>
                  <w:vAlign w:val="center"/>
                </w:tcPr>
                <w:p w14:paraId="3585DC22">
                  <w:pPr>
                    <w:widowControl/>
                    <w:jc w:val="center"/>
                    <w:textAlignment w:val="center"/>
                    <w:rPr>
                      <w:color w:val="auto"/>
                      <w:szCs w:val="21"/>
                      <w:highlight w:val="none"/>
                    </w:rPr>
                  </w:pPr>
                  <w:r>
                    <w:rPr>
                      <w:color w:val="auto"/>
                      <w:kern w:val="0"/>
                      <w:szCs w:val="21"/>
                      <w:highlight w:val="none"/>
                      <w:lang w:bidi="ar"/>
                    </w:rPr>
                    <w:t xml:space="preserve">27.5 </w:t>
                  </w:r>
                </w:p>
              </w:tc>
              <w:tc>
                <w:tcPr>
                  <w:tcW w:w="719" w:type="pct"/>
                  <w:vAlign w:val="center"/>
                </w:tcPr>
                <w:p w14:paraId="03D7D4F0">
                  <w:pPr>
                    <w:widowControl/>
                    <w:jc w:val="center"/>
                    <w:textAlignment w:val="center"/>
                    <w:rPr>
                      <w:color w:val="auto"/>
                      <w:szCs w:val="21"/>
                      <w:highlight w:val="none"/>
                    </w:rPr>
                  </w:pPr>
                  <w:r>
                    <w:rPr>
                      <w:color w:val="auto"/>
                      <w:kern w:val="0"/>
                      <w:szCs w:val="21"/>
                      <w:highlight w:val="none"/>
                      <w:lang w:bidi="ar"/>
                    </w:rPr>
                    <w:t xml:space="preserve">35.5 </w:t>
                  </w:r>
                </w:p>
              </w:tc>
              <w:tc>
                <w:tcPr>
                  <w:tcW w:w="650" w:type="pct"/>
                  <w:vAlign w:val="center"/>
                </w:tcPr>
                <w:p w14:paraId="06FA4B3A">
                  <w:pPr>
                    <w:widowControl/>
                    <w:jc w:val="center"/>
                    <w:textAlignment w:val="center"/>
                    <w:rPr>
                      <w:color w:val="auto"/>
                      <w:szCs w:val="21"/>
                      <w:highlight w:val="none"/>
                    </w:rPr>
                  </w:pPr>
                  <w:r>
                    <w:rPr>
                      <w:color w:val="auto"/>
                      <w:kern w:val="0"/>
                      <w:szCs w:val="21"/>
                      <w:highlight w:val="none"/>
                      <w:lang w:bidi="ar"/>
                    </w:rPr>
                    <w:t xml:space="preserve">51.0 </w:t>
                  </w:r>
                </w:p>
              </w:tc>
            </w:tr>
            <w:tr w14:paraId="7D433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2193" w:type="pct"/>
                  <w:gridSpan w:val="4"/>
                  <w:vAlign w:val="center"/>
                </w:tcPr>
                <w:p w14:paraId="2D5FCCFC">
                  <w:pPr>
                    <w:widowControl/>
                    <w:adjustRightInd w:val="0"/>
                    <w:snapToGrid w:val="0"/>
                    <w:jc w:val="center"/>
                    <w:textAlignment w:val="bottom"/>
                    <w:rPr>
                      <w:rStyle w:val="81"/>
                      <w:rFonts w:hint="eastAsia" w:eastAsia="宋体"/>
                      <w:color w:val="auto"/>
                      <w:highlight w:val="none"/>
                      <w:lang w:val="en-US" w:eastAsia="zh-Hans"/>
                    </w:rPr>
                  </w:pPr>
                  <w:r>
                    <w:rPr>
                      <w:rStyle w:val="81"/>
                      <w:rFonts w:hint="eastAsia"/>
                      <w:color w:val="auto"/>
                      <w:highlight w:val="none"/>
                      <w:lang w:val="en-US" w:eastAsia="zh-Hans"/>
                    </w:rPr>
                    <w:t>昼间背景值</w:t>
                  </w:r>
                  <w:r>
                    <w:rPr>
                      <w:rStyle w:val="81"/>
                      <w:rFonts w:hint="default"/>
                      <w:color w:val="auto"/>
                      <w:highlight w:val="none"/>
                      <w:lang w:eastAsia="zh-Hans"/>
                    </w:rPr>
                    <w:t>*</w:t>
                  </w:r>
                </w:p>
              </w:tc>
              <w:tc>
                <w:tcPr>
                  <w:tcW w:w="719" w:type="pct"/>
                  <w:vAlign w:val="center"/>
                </w:tcPr>
                <w:p w14:paraId="2735B4E8">
                  <w:pPr>
                    <w:widowControl/>
                    <w:jc w:val="center"/>
                    <w:textAlignment w:val="center"/>
                    <w:rPr>
                      <w:color w:val="auto"/>
                      <w:kern w:val="0"/>
                      <w:szCs w:val="21"/>
                      <w:highlight w:val="none"/>
                      <w:lang w:bidi="ar"/>
                    </w:rPr>
                  </w:pPr>
                  <w:r>
                    <w:rPr>
                      <w:color w:val="auto"/>
                      <w:kern w:val="0"/>
                      <w:szCs w:val="21"/>
                      <w:highlight w:val="none"/>
                      <w:lang w:bidi="ar"/>
                    </w:rPr>
                    <w:t>58.8</w:t>
                  </w:r>
                </w:p>
              </w:tc>
              <w:tc>
                <w:tcPr>
                  <w:tcW w:w="718" w:type="pct"/>
                  <w:vAlign w:val="center"/>
                </w:tcPr>
                <w:p w14:paraId="69487C11">
                  <w:pPr>
                    <w:widowControl/>
                    <w:jc w:val="center"/>
                    <w:textAlignment w:val="center"/>
                    <w:rPr>
                      <w:color w:val="auto"/>
                      <w:kern w:val="0"/>
                      <w:szCs w:val="21"/>
                      <w:highlight w:val="none"/>
                      <w:lang w:bidi="ar"/>
                    </w:rPr>
                  </w:pPr>
                  <w:r>
                    <w:rPr>
                      <w:color w:val="auto"/>
                      <w:kern w:val="0"/>
                      <w:szCs w:val="21"/>
                      <w:highlight w:val="none"/>
                      <w:lang w:bidi="ar"/>
                    </w:rPr>
                    <w:t>58.8</w:t>
                  </w:r>
                </w:p>
              </w:tc>
              <w:tc>
                <w:tcPr>
                  <w:tcW w:w="719" w:type="pct"/>
                  <w:vAlign w:val="center"/>
                </w:tcPr>
                <w:p w14:paraId="19D2927A">
                  <w:pPr>
                    <w:widowControl/>
                    <w:jc w:val="center"/>
                    <w:textAlignment w:val="center"/>
                    <w:rPr>
                      <w:color w:val="auto"/>
                      <w:kern w:val="0"/>
                      <w:szCs w:val="21"/>
                      <w:highlight w:val="none"/>
                      <w:lang w:bidi="ar"/>
                    </w:rPr>
                  </w:pPr>
                  <w:r>
                    <w:rPr>
                      <w:color w:val="auto"/>
                      <w:kern w:val="0"/>
                      <w:szCs w:val="21"/>
                      <w:highlight w:val="none"/>
                      <w:lang w:bidi="ar"/>
                    </w:rPr>
                    <w:t>58.8</w:t>
                  </w:r>
                </w:p>
              </w:tc>
              <w:tc>
                <w:tcPr>
                  <w:tcW w:w="650" w:type="pct"/>
                  <w:vAlign w:val="center"/>
                </w:tcPr>
                <w:p w14:paraId="4F5CD99C">
                  <w:pPr>
                    <w:widowControl/>
                    <w:jc w:val="center"/>
                    <w:textAlignment w:val="center"/>
                    <w:rPr>
                      <w:color w:val="auto"/>
                      <w:kern w:val="0"/>
                      <w:szCs w:val="21"/>
                      <w:highlight w:val="none"/>
                      <w:lang w:bidi="ar"/>
                    </w:rPr>
                  </w:pPr>
                  <w:r>
                    <w:rPr>
                      <w:color w:val="auto"/>
                      <w:kern w:val="0"/>
                      <w:szCs w:val="21"/>
                      <w:highlight w:val="none"/>
                      <w:lang w:bidi="ar"/>
                    </w:rPr>
                    <w:t>58.8</w:t>
                  </w:r>
                </w:p>
              </w:tc>
            </w:tr>
            <w:tr w14:paraId="033F5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2193" w:type="pct"/>
                  <w:gridSpan w:val="4"/>
                  <w:vAlign w:val="center"/>
                </w:tcPr>
                <w:p w14:paraId="786D2DA7">
                  <w:pPr>
                    <w:widowControl/>
                    <w:adjustRightInd w:val="0"/>
                    <w:snapToGrid w:val="0"/>
                    <w:jc w:val="center"/>
                    <w:textAlignment w:val="bottom"/>
                    <w:rPr>
                      <w:rStyle w:val="81"/>
                      <w:rFonts w:hint="eastAsia"/>
                      <w:color w:val="auto"/>
                      <w:highlight w:val="none"/>
                      <w:lang w:val="en-US" w:eastAsia="zh-Hans"/>
                    </w:rPr>
                  </w:pPr>
                  <w:r>
                    <w:rPr>
                      <w:rStyle w:val="81"/>
                      <w:rFonts w:hint="eastAsia"/>
                      <w:color w:val="auto"/>
                      <w:highlight w:val="none"/>
                      <w:lang w:val="en-US" w:eastAsia="zh-Hans"/>
                    </w:rPr>
                    <w:t>夜间背景值</w:t>
                  </w:r>
                  <w:r>
                    <w:rPr>
                      <w:rStyle w:val="81"/>
                      <w:rFonts w:hint="default"/>
                      <w:color w:val="auto"/>
                      <w:highlight w:val="none"/>
                      <w:lang w:eastAsia="zh-Hans"/>
                    </w:rPr>
                    <w:t>*</w:t>
                  </w:r>
                </w:p>
              </w:tc>
              <w:tc>
                <w:tcPr>
                  <w:tcW w:w="719" w:type="pct"/>
                  <w:vAlign w:val="center"/>
                </w:tcPr>
                <w:p w14:paraId="5CA8D82E">
                  <w:pPr>
                    <w:widowControl/>
                    <w:jc w:val="center"/>
                    <w:textAlignment w:val="center"/>
                    <w:rPr>
                      <w:color w:val="auto"/>
                      <w:kern w:val="0"/>
                      <w:szCs w:val="21"/>
                      <w:highlight w:val="none"/>
                      <w:lang w:bidi="ar"/>
                    </w:rPr>
                  </w:pPr>
                  <w:r>
                    <w:rPr>
                      <w:color w:val="auto"/>
                      <w:kern w:val="0"/>
                      <w:szCs w:val="21"/>
                      <w:highlight w:val="none"/>
                      <w:lang w:bidi="ar"/>
                    </w:rPr>
                    <w:t>51.3</w:t>
                  </w:r>
                </w:p>
              </w:tc>
              <w:tc>
                <w:tcPr>
                  <w:tcW w:w="718" w:type="pct"/>
                  <w:vAlign w:val="center"/>
                </w:tcPr>
                <w:p w14:paraId="592277CF">
                  <w:pPr>
                    <w:widowControl/>
                    <w:jc w:val="center"/>
                    <w:textAlignment w:val="center"/>
                    <w:rPr>
                      <w:color w:val="auto"/>
                      <w:kern w:val="0"/>
                      <w:szCs w:val="21"/>
                      <w:highlight w:val="none"/>
                      <w:lang w:bidi="ar"/>
                    </w:rPr>
                  </w:pPr>
                  <w:r>
                    <w:rPr>
                      <w:color w:val="auto"/>
                      <w:kern w:val="0"/>
                      <w:szCs w:val="21"/>
                      <w:highlight w:val="none"/>
                      <w:lang w:bidi="ar"/>
                    </w:rPr>
                    <w:t>51.3</w:t>
                  </w:r>
                </w:p>
              </w:tc>
              <w:tc>
                <w:tcPr>
                  <w:tcW w:w="719" w:type="pct"/>
                  <w:vAlign w:val="center"/>
                </w:tcPr>
                <w:p w14:paraId="1E30FBF3">
                  <w:pPr>
                    <w:widowControl/>
                    <w:jc w:val="center"/>
                    <w:textAlignment w:val="center"/>
                    <w:rPr>
                      <w:color w:val="auto"/>
                      <w:kern w:val="0"/>
                      <w:szCs w:val="21"/>
                      <w:highlight w:val="none"/>
                      <w:lang w:bidi="ar"/>
                    </w:rPr>
                  </w:pPr>
                  <w:r>
                    <w:rPr>
                      <w:color w:val="auto"/>
                      <w:kern w:val="0"/>
                      <w:szCs w:val="21"/>
                      <w:highlight w:val="none"/>
                      <w:lang w:bidi="ar"/>
                    </w:rPr>
                    <w:t>51.3</w:t>
                  </w:r>
                </w:p>
              </w:tc>
              <w:tc>
                <w:tcPr>
                  <w:tcW w:w="650" w:type="pct"/>
                  <w:vAlign w:val="center"/>
                </w:tcPr>
                <w:p w14:paraId="3CC3C130">
                  <w:pPr>
                    <w:widowControl/>
                    <w:jc w:val="center"/>
                    <w:textAlignment w:val="center"/>
                    <w:rPr>
                      <w:color w:val="auto"/>
                      <w:kern w:val="0"/>
                      <w:szCs w:val="21"/>
                      <w:highlight w:val="none"/>
                      <w:lang w:bidi="ar"/>
                    </w:rPr>
                  </w:pPr>
                  <w:r>
                    <w:rPr>
                      <w:color w:val="auto"/>
                      <w:kern w:val="0"/>
                      <w:szCs w:val="21"/>
                      <w:highlight w:val="none"/>
                      <w:lang w:bidi="ar"/>
                    </w:rPr>
                    <w:t>51.3</w:t>
                  </w:r>
                </w:p>
              </w:tc>
            </w:tr>
            <w:tr w14:paraId="148C5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93" w:type="pct"/>
                  <w:gridSpan w:val="4"/>
                  <w:vAlign w:val="center"/>
                </w:tcPr>
                <w:p w14:paraId="19DB10C3">
                  <w:pPr>
                    <w:widowControl/>
                    <w:adjustRightInd w:val="0"/>
                    <w:snapToGrid w:val="0"/>
                    <w:jc w:val="center"/>
                    <w:textAlignment w:val="bottom"/>
                    <w:rPr>
                      <w:rStyle w:val="81"/>
                      <w:color w:val="auto"/>
                      <w:highlight w:val="none"/>
                    </w:rPr>
                  </w:pPr>
                  <w:r>
                    <w:rPr>
                      <w:rStyle w:val="81"/>
                      <w:rFonts w:hint="eastAsia"/>
                      <w:color w:val="auto"/>
                      <w:highlight w:val="none"/>
                      <w:lang w:val="en-US" w:eastAsia="zh-Hans"/>
                    </w:rPr>
                    <w:t>昼间</w:t>
                  </w:r>
                  <w:r>
                    <w:rPr>
                      <w:rStyle w:val="81"/>
                      <w:color w:val="auto"/>
                      <w:highlight w:val="none"/>
                    </w:rPr>
                    <w:t>贡献值</w:t>
                  </w:r>
                </w:p>
              </w:tc>
              <w:tc>
                <w:tcPr>
                  <w:tcW w:w="1449" w:type="dxa"/>
                  <w:vAlign w:val="center"/>
                </w:tcPr>
                <w:p w14:paraId="0A30AAA3">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58.8 </w:t>
                  </w:r>
                </w:p>
              </w:tc>
              <w:tc>
                <w:tcPr>
                  <w:tcW w:w="1447" w:type="dxa"/>
                  <w:vAlign w:val="center"/>
                </w:tcPr>
                <w:p w14:paraId="34B317B6">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58.8 </w:t>
                  </w:r>
                </w:p>
              </w:tc>
              <w:tc>
                <w:tcPr>
                  <w:tcW w:w="1449" w:type="dxa"/>
                  <w:vAlign w:val="center"/>
                </w:tcPr>
                <w:p w14:paraId="741FFB14">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58.9 </w:t>
                  </w:r>
                </w:p>
              </w:tc>
              <w:tc>
                <w:tcPr>
                  <w:tcW w:w="1310" w:type="dxa"/>
                  <w:vAlign w:val="center"/>
                </w:tcPr>
                <w:p w14:paraId="70D0DE10">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 xml:space="preserve">59.7 </w:t>
                  </w:r>
                </w:p>
              </w:tc>
            </w:tr>
            <w:tr w14:paraId="09D53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93" w:type="pct"/>
                  <w:gridSpan w:val="4"/>
                  <w:vAlign w:val="center"/>
                </w:tcPr>
                <w:p w14:paraId="4D435E0C">
                  <w:pPr>
                    <w:widowControl/>
                    <w:adjustRightInd w:val="0"/>
                    <w:snapToGrid w:val="0"/>
                    <w:jc w:val="center"/>
                    <w:textAlignment w:val="bottom"/>
                    <w:rPr>
                      <w:rStyle w:val="81"/>
                      <w:rFonts w:hint="eastAsia" w:eastAsia="宋体"/>
                      <w:color w:val="auto"/>
                      <w:highlight w:val="none"/>
                      <w:lang w:val="en-US" w:eastAsia="zh-Hans"/>
                    </w:rPr>
                  </w:pPr>
                  <w:r>
                    <w:rPr>
                      <w:rStyle w:val="81"/>
                      <w:rFonts w:hint="eastAsia"/>
                      <w:color w:val="auto"/>
                      <w:highlight w:val="none"/>
                      <w:lang w:val="en-US" w:eastAsia="zh-Hans"/>
                    </w:rPr>
                    <w:t>夜间贡献值</w:t>
                  </w:r>
                </w:p>
              </w:tc>
              <w:tc>
                <w:tcPr>
                  <w:tcW w:w="1449" w:type="dxa"/>
                  <w:vAlign w:val="center"/>
                </w:tcPr>
                <w:p w14:paraId="39AD378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51.4 </w:t>
                  </w:r>
                </w:p>
              </w:tc>
              <w:tc>
                <w:tcPr>
                  <w:tcW w:w="1447" w:type="dxa"/>
                  <w:vAlign w:val="center"/>
                </w:tcPr>
                <w:p w14:paraId="4D8EBCB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51.4 </w:t>
                  </w:r>
                </w:p>
              </w:tc>
              <w:tc>
                <w:tcPr>
                  <w:tcW w:w="1449" w:type="dxa"/>
                  <w:vAlign w:val="center"/>
                </w:tcPr>
                <w:p w14:paraId="1DEBD99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51.6 </w:t>
                  </w:r>
                </w:p>
              </w:tc>
              <w:tc>
                <w:tcPr>
                  <w:tcW w:w="1310" w:type="dxa"/>
                  <w:vAlign w:val="center"/>
                </w:tcPr>
                <w:p w14:paraId="7C0C7C8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54.8 </w:t>
                  </w:r>
                </w:p>
              </w:tc>
            </w:tr>
          </w:tbl>
          <w:p w14:paraId="529488E8">
            <w:pPr>
              <w:adjustRightInd w:val="0"/>
              <w:snapToGrid w:val="0"/>
              <w:spacing w:line="360" w:lineRule="auto"/>
              <w:ind w:firstLine="420" w:firstLineChars="200"/>
              <w:rPr>
                <w:rStyle w:val="29"/>
                <w:color w:val="auto"/>
                <w:kern w:val="0"/>
                <w:szCs w:val="20"/>
                <w:highlight w:val="none"/>
                <w:lang w:val="zh-CN"/>
              </w:rPr>
            </w:pPr>
            <w:r>
              <w:rPr>
                <w:rStyle w:val="29"/>
                <w:color w:val="auto"/>
                <w:kern w:val="0"/>
                <w:szCs w:val="20"/>
                <w:highlight w:val="none"/>
              </w:rPr>
              <w:t>*</w:t>
            </w:r>
            <w:r>
              <w:rPr>
                <w:rStyle w:val="29"/>
                <w:rFonts w:hint="eastAsia"/>
                <w:color w:val="auto"/>
                <w:kern w:val="0"/>
                <w:szCs w:val="20"/>
                <w:highlight w:val="none"/>
                <w:lang w:val="en-US" w:eastAsia="zh-Hans"/>
              </w:rPr>
              <w:t>注背景值数据来源《南通市生态环境状况公报》（2020年）</w:t>
            </w:r>
          </w:p>
          <w:p w14:paraId="7CD84C56">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根据预测结果，建设项目厂界噪声可满足《工业企业厂界环境噪声排放标准》（GB12348-2008）</w:t>
            </w:r>
            <w:r>
              <w:rPr>
                <w:rFonts w:hint="eastAsia" w:hAnsi="宋体"/>
                <w:snapToGrid w:val="0"/>
                <w:color w:val="auto"/>
                <w:kern w:val="0"/>
                <w:sz w:val="24"/>
                <w:highlight w:val="none"/>
              </w:rPr>
              <w:t>3</w:t>
            </w:r>
            <w:r>
              <w:rPr>
                <w:rFonts w:hAnsi="宋体"/>
                <w:snapToGrid w:val="0"/>
                <w:color w:val="auto"/>
                <w:kern w:val="0"/>
                <w:sz w:val="24"/>
                <w:highlight w:val="none"/>
              </w:rPr>
              <w:t>类标准要求，即昼间</w:t>
            </w:r>
            <w:r>
              <w:rPr>
                <w:snapToGrid w:val="0"/>
                <w:color w:val="auto"/>
                <w:kern w:val="0"/>
                <w:sz w:val="24"/>
                <w:highlight w:val="none"/>
              </w:rPr>
              <w:t>≤6</w:t>
            </w:r>
            <w:r>
              <w:rPr>
                <w:rFonts w:hint="eastAsia"/>
                <w:snapToGrid w:val="0"/>
                <w:color w:val="auto"/>
                <w:kern w:val="0"/>
                <w:sz w:val="24"/>
                <w:highlight w:val="none"/>
              </w:rPr>
              <w:t>5</w:t>
            </w:r>
            <w:r>
              <w:rPr>
                <w:snapToGrid w:val="0"/>
                <w:color w:val="auto"/>
                <w:kern w:val="0"/>
                <w:sz w:val="24"/>
                <w:highlight w:val="none"/>
              </w:rPr>
              <w:t>dB</w:t>
            </w:r>
            <w:r>
              <w:rPr>
                <w:rFonts w:hAnsi="宋体"/>
                <w:snapToGrid w:val="0"/>
                <w:color w:val="auto"/>
                <w:kern w:val="0"/>
                <w:sz w:val="24"/>
                <w:highlight w:val="none"/>
              </w:rPr>
              <w:t>（</w:t>
            </w:r>
            <w:r>
              <w:rPr>
                <w:snapToGrid w:val="0"/>
                <w:color w:val="auto"/>
                <w:kern w:val="0"/>
                <w:sz w:val="24"/>
                <w:highlight w:val="none"/>
              </w:rPr>
              <w:t>A</w:t>
            </w:r>
            <w:r>
              <w:rPr>
                <w:rFonts w:hAnsi="宋体"/>
                <w:snapToGrid w:val="0"/>
                <w:color w:val="auto"/>
                <w:kern w:val="0"/>
                <w:sz w:val="24"/>
                <w:highlight w:val="none"/>
              </w:rPr>
              <w:t>）</w:t>
            </w:r>
            <w:r>
              <w:rPr>
                <w:rFonts w:hint="eastAsia" w:hAnsi="宋体"/>
                <w:snapToGrid w:val="0"/>
                <w:color w:val="auto"/>
                <w:kern w:val="0"/>
                <w:sz w:val="24"/>
                <w:highlight w:val="none"/>
              </w:rPr>
              <w:t>、夜间</w:t>
            </w:r>
            <w:r>
              <w:rPr>
                <w:snapToGrid w:val="0"/>
                <w:color w:val="auto"/>
                <w:kern w:val="0"/>
                <w:sz w:val="24"/>
                <w:highlight w:val="none"/>
              </w:rPr>
              <w:t>≤</w:t>
            </w:r>
            <w:r>
              <w:rPr>
                <w:rFonts w:hint="eastAsia"/>
                <w:snapToGrid w:val="0"/>
                <w:color w:val="auto"/>
                <w:kern w:val="0"/>
                <w:sz w:val="24"/>
                <w:highlight w:val="none"/>
              </w:rPr>
              <w:t>55</w:t>
            </w:r>
            <w:r>
              <w:rPr>
                <w:snapToGrid w:val="0"/>
                <w:color w:val="auto"/>
                <w:kern w:val="0"/>
                <w:sz w:val="24"/>
                <w:highlight w:val="none"/>
              </w:rPr>
              <w:t>dB</w:t>
            </w:r>
            <w:r>
              <w:rPr>
                <w:rFonts w:hAnsi="宋体"/>
                <w:snapToGrid w:val="0"/>
                <w:color w:val="auto"/>
                <w:kern w:val="0"/>
                <w:sz w:val="24"/>
                <w:highlight w:val="none"/>
              </w:rPr>
              <w:t>（</w:t>
            </w:r>
            <w:r>
              <w:rPr>
                <w:snapToGrid w:val="0"/>
                <w:color w:val="auto"/>
                <w:kern w:val="0"/>
                <w:sz w:val="24"/>
                <w:highlight w:val="none"/>
              </w:rPr>
              <w:t>A</w:t>
            </w:r>
            <w:r>
              <w:rPr>
                <w:rFonts w:hAnsi="宋体"/>
                <w:snapToGrid w:val="0"/>
                <w:color w:val="auto"/>
                <w:kern w:val="0"/>
                <w:sz w:val="24"/>
                <w:highlight w:val="none"/>
              </w:rPr>
              <w:t>）。</w:t>
            </w:r>
          </w:p>
          <w:p w14:paraId="23D80DF7">
            <w:pPr>
              <w:adjustRightInd w:val="0"/>
              <w:snapToGrid w:val="0"/>
              <w:spacing w:line="360" w:lineRule="auto"/>
              <w:ind w:firstLine="480" w:firstLineChars="200"/>
              <w:rPr>
                <w:color w:val="auto"/>
                <w:kern w:val="0"/>
                <w:sz w:val="24"/>
                <w:highlight w:val="none"/>
              </w:rPr>
            </w:pPr>
            <w:r>
              <w:rPr>
                <w:rFonts w:hAnsi="宋体"/>
                <w:snapToGrid w:val="0"/>
                <w:color w:val="auto"/>
                <w:kern w:val="0"/>
                <w:sz w:val="24"/>
                <w:highlight w:val="none"/>
              </w:rPr>
              <w:t>综上所述，建设单位在采取上述噪声控制措施后，噪声排放对周围环境影响较小，噪声防治措施可行。</w:t>
            </w:r>
          </w:p>
          <w:p w14:paraId="3F16F92E">
            <w:pPr>
              <w:adjustRightInd w:val="0"/>
              <w:snapToGrid w:val="0"/>
              <w:spacing w:line="360" w:lineRule="auto"/>
              <w:ind w:firstLine="482" w:firstLineChars="200"/>
              <w:rPr>
                <w:b/>
                <w:bCs/>
                <w:color w:val="auto"/>
                <w:kern w:val="0"/>
                <w:sz w:val="24"/>
                <w:highlight w:val="none"/>
              </w:rPr>
            </w:pPr>
            <w:r>
              <w:rPr>
                <w:rFonts w:hAnsi="宋体"/>
                <w:b/>
                <w:bCs/>
                <w:color w:val="auto"/>
                <w:kern w:val="0"/>
                <w:sz w:val="24"/>
                <w:highlight w:val="none"/>
              </w:rPr>
              <w:t>（</w:t>
            </w:r>
            <w:r>
              <w:rPr>
                <w:b/>
                <w:bCs/>
                <w:color w:val="auto"/>
                <w:kern w:val="0"/>
                <w:sz w:val="24"/>
                <w:highlight w:val="none"/>
              </w:rPr>
              <w:t>3</w:t>
            </w:r>
            <w:r>
              <w:rPr>
                <w:rFonts w:hAnsi="宋体"/>
                <w:b/>
                <w:bCs/>
                <w:color w:val="auto"/>
                <w:kern w:val="0"/>
                <w:sz w:val="24"/>
                <w:highlight w:val="none"/>
              </w:rPr>
              <w:t>）噪声监测计划</w:t>
            </w:r>
          </w:p>
          <w:p w14:paraId="75388496">
            <w:pPr>
              <w:pStyle w:val="70"/>
              <w:ind w:firstLine="480"/>
              <w:rPr>
                <w:snapToGrid w:val="0"/>
                <w:color w:val="auto"/>
                <w:szCs w:val="24"/>
                <w:highlight w:val="none"/>
              </w:rPr>
            </w:pPr>
            <w:r>
              <w:rPr>
                <w:snapToGrid w:val="0"/>
                <w:color w:val="auto"/>
                <w:szCs w:val="24"/>
                <w:highlight w:val="none"/>
              </w:rPr>
              <w:t>根据《</w:t>
            </w:r>
            <w:r>
              <w:rPr>
                <w:rFonts w:hint="eastAsia"/>
                <w:snapToGrid w:val="0"/>
                <w:color w:val="auto"/>
                <w:szCs w:val="24"/>
                <w:highlight w:val="none"/>
              </w:rPr>
              <w:t>排污单位自行监测技术指南  总则</w:t>
            </w:r>
            <w:r>
              <w:rPr>
                <w:snapToGrid w:val="0"/>
                <w:color w:val="auto"/>
                <w:szCs w:val="24"/>
                <w:highlight w:val="none"/>
              </w:rPr>
              <w:t>》（HJ</w:t>
            </w:r>
            <w:r>
              <w:rPr>
                <w:rFonts w:hint="eastAsia"/>
                <w:snapToGrid w:val="0"/>
                <w:color w:val="auto"/>
                <w:szCs w:val="24"/>
                <w:highlight w:val="none"/>
              </w:rPr>
              <w:t>819-2017</w:t>
            </w:r>
            <w:r>
              <w:rPr>
                <w:snapToGrid w:val="0"/>
                <w:color w:val="auto"/>
                <w:szCs w:val="24"/>
                <w:highlight w:val="none"/>
              </w:rPr>
              <w:t>）</w:t>
            </w:r>
            <w:r>
              <w:rPr>
                <w:rFonts w:hint="eastAsia"/>
                <w:snapToGrid w:val="0"/>
                <w:color w:val="auto"/>
                <w:szCs w:val="24"/>
                <w:highlight w:val="none"/>
              </w:rPr>
              <w:t>5.4厂界环境噪声监测</w:t>
            </w:r>
            <w:r>
              <w:rPr>
                <w:snapToGrid w:val="0"/>
                <w:color w:val="auto"/>
                <w:szCs w:val="24"/>
                <w:highlight w:val="none"/>
              </w:rPr>
              <w:t>，厂界噪声最低监测频次为季度，</w:t>
            </w:r>
            <w:r>
              <w:rPr>
                <w:rFonts w:hint="eastAsia"/>
                <w:snapToGrid w:val="0"/>
                <w:color w:val="auto"/>
                <w:szCs w:val="24"/>
                <w:highlight w:val="none"/>
              </w:rPr>
              <w:t>本项目建成后有夜间生产</w:t>
            </w:r>
            <w:r>
              <w:rPr>
                <w:snapToGrid w:val="0"/>
                <w:color w:val="auto"/>
                <w:szCs w:val="24"/>
                <w:highlight w:val="none"/>
              </w:rPr>
              <w:t>，厂界噪声监测频次为一季度开展</w:t>
            </w:r>
            <w:r>
              <w:rPr>
                <w:rFonts w:hint="eastAsia"/>
                <w:snapToGrid w:val="0"/>
                <w:color w:val="auto"/>
                <w:szCs w:val="24"/>
                <w:highlight w:val="none"/>
              </w:rPr>
              <w:t>一次，昼夜间均需监测</w:t>
            </w:r>
            <w:r>
              <w:rPr>
                <w:snapToGrid w:val="0"/>
                <w:color w:val="auto"/>
                <w:szCs w:val="24"/>
                <w:highlight w:val="none"/>
              </w:rPr>
              <w:t>。</w:t>
            </w:r>
          </w:p>
          <w:p w14:paraId="3E72164B">
            <w:pPr>
              <w:pStyle w:val="72"/>
              <w:adjustRightInd w:val="0"/>
              <w:snapToGrid w:val="0"/>
              <w:ind w:firstLine="0" w:firstLineChars="0"/>
              <w:jc w:val="center"/>
              <w:rPr>
                <w:rFonts w:eastAsia="宋体" w:cs="Times New Roman"/>
                <w:b/>
                <w:bCs/>
                <w:snapToGrid w:val="0"/>
                <w:color w:val="auto"/>
                <w:kern w:val="0"/>
                <w:sz w:val="24"/>
                <w:szCs w:val="24"/>
                <w:highlight w:val="none"/>
              </w:rPr>
            </w:pPr>
          </w:p>
          <w:p w14:paraId="7201FE83">
            <w:pPr>
              <w:pStyle w:val="72"/>
              <w:adjustRightInd w:val="0"/>
              <w:snapToGrid w:val="0"/>
              <w:ind w:firstLine="0" w:firstLineChars="0"/>
              <w:jc w:val="center"/>
              <w:rPr>
                <w:rFonts w:eastAsia="宋体" w:cs="Times New Roman"/>
                <w:b/>
                <w:bCs/>
                <w:snapToGrid w:val="0"/>
                <w:color w:val="auto"/>
                <w:kern w:val="0"/>
                <w:sz w:val="24"/>
                <w:szCs w:val="24"/>
                <w:highlight w:val="none"/>
              </w:rPr>
            </w:pPr>
          </w:p>
          <w:p w14:paraId="648EF229">
            <w:pPr>
              <w:pStyle w:val="72"/>
              <w:adjustRightInd w:val="0"/>
              <w:snapToGrid w:val="0"/>
              <w:ind w:firstLine="0" w:firstLineChars="0"/>
              <w:jc w:val="center"/>
              <w:rPr>
                <w:rFonts w:eastAsia="宋体" w:cs="Times New Roman"/>
                <w:b/>
                <w:bCs/>
                <w:snapToGrid w:val="0"/>
                <w:color w:val="auto"/>
                <w:kern w:val="0"/>
                <w:sz w:val="24"/>
                <w:szCs w:val="24"/>
                <w:highlight w:val="none"/>
              </w:rPr>
            </w:pPr>
            <w:r>
              <w:rPr>
                <w:rFonts w:eastAsia="宋体" w:cs="Times New Roman"/>
                <w:b/>
                <w:bCs/>
                <w:snapToGrid w:val="0"/>
                <w:color w:val="auto"/>
                <w:kern w:val="0"/>
                <w:sz w:val="24"/>
                <w:szCs w:val="24"/>
                <w:highlight w:val="none"/>
              </w:rPr>
              <w:t>表4-</w:t>
            </w:r>
            <w:r>
              <w:rPr>
                <w:rFonts w:hint="default" w:eastAsia="宋体" w:cs="Times New Roman"/>
                <w:b/>
                <w:bCs/>
                <w:snapToGrid w:val="0"/>
                <w:color w:val="auto"/>
                <w:kern w:val="0"/>
                <w:sz w:val="24"/>
                <w:szCs w:val="24"/>
                <w:highlight w:val="none"/>
              </w:rPr>
              <w:t>20</w:t>
            </w:r>
            <w:r>
              <w:rPr>
                <w:rFonts w:hint="eastAsia" w:eastAsia="宋体" w:cs="Times New Roman"/>
                <w:b/>
                <w:bCs/>
                <w:snapToGrid w:val="0"/>
                <w:color w:val="auto"/>
                <w:kern w:val="0"/>
                <w:sz w:val="24"/>
                <w:szCs w:val="24"/>
                <w:highlight w:val="none"/>
              </w:rPr>
              <w:t xml:space="preserve"> </w:t>
            </w:r>
            <w:r>
              <w:rPr>
                <w:rFonts w:eastAsia="宋体" w:cs="Times New Roman"/>
                <w:b/>
                <w:bCs/>
                <w:snapToGrid w:val="0"/>
                <w:color w:val="auto"/>
                <w:kern w:val="0"/>
                <w:sz w:val="24"/>
                <w:szCs w:val="24"/>
                <w:highlight w:val="none"/>
              </w:rPr>
              <w:t xml:space="preserve"> 噪声监测计划</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262"/>
              <w:gridCol w:w="2171"/>
              <w:gridCol w:w="1761"/>
              <w:gridCol w:w="1203"/>
              <w:gridCol w:w="3858"/>
            </w:tblGrid>
            <w:tr w14:paraId="275B353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12" w:hRule="atLeast"/>
                <w:jc w:val="center"/>
              </w:trPr>
              <w:tc>
                <w:tcPr>
                  <w:tcW w:w="615" w:type="pct"/>
                  <w:vAlign w:val="center"/>
                </w:tcPr>
                <w:p w14:paraId="7D8A2387">
                  <w:pPr>
                    <w:adjustRightInd w:val="0"/>
                    <w:snapToGrid w:val="0"/>
                    <w:jc w:val="center"/>
                    <w:rPr>
                      <w:b/>
                      <w:color w:val="auto"/>
                      <w:szCs w:val="21"/>
                      <w:highlight w:val="none"/>
                    </w:rPr>
                  </w:pPr>
                  <w:r>
                    <w:rPr>
                      <w:b/>
                      <w:color w:val="auto"/>
                      <w:szCs w:val="21"/>
                      <w:highlight w:val="none"/>
                    </w:rPr>
                    <w:t>监测项目</w:t>
                  </w:r>
                </w:p>
              </w:tc>
              <w:tc>
                <w:tcPr>
                  <w:tcW w:w="1058" w:type="pct"/>
                  <w:vAlign w:val="center"/>
                </w:tcPr>
                <w:p w14:paraId="44814777">
                  <w:pPr>
                    <w:adjustRightInd w:val="0"/>
                    <w:snapToGrid w:val="0"/>
                    <w:jc w:val="center"/>
                    <w:rPr>
                      <w:b/>
                      <w:color w:val="auto"/>
                      <w:szCs w:val="21"/>
                      <w:highlight w:val="none"/>
                    </w:rPr>
                  </w:pPr>
                  <w:r>
                    <w:rPr>
                      <w:rFonts w:hint="eastAsia"/>
                      <w:b/>
                      <w:color w:val="auto"/>
                      <w:szCs w:val="21"/>
                      <w:highlight w:val="none"/>
                    </w:rPr>
                    <w:t>监测</w:t>
                  </w:r>
                  <w:r>
                    <w:rPr>
                      <w:b/>
                      <w:color w:val="auto"/>
                      <w:szCs w:val="21"/>
                      <w:highlight w:val="none"/>
                    </w:rPr>
                    <w:t>点位</w:t>
                  </w:r>
                </w:p>
              </w:tc>
              <w:tc>
                <w:tcPr>
                  <w:tcW w:w="858" w:type="pct"/>
                  <w:vAlign w:val="center"/>
                </w:tcPr>
                <w:p w14:paraId="65014185">
                  <w:pPr>
                    <w:adjustRightInd w:val="0"/>
                    <w:snapToGrid w:val="0"/>
                    <w:jc w:val="center"/>
                    <w:rPr>
                      <w:b/>
                      <w:color w:val="auto"/>
                      <w:szCs w:val="21"/>
                      <w:highlight w:val="none"/>
                    </w:rPr>
                  </w:pPr>
                  <w:r>
                    <w:rPr>
                      <w:b/>
                      <w:color w:val="auto"/>
                      <w:szCs w:val="21"/>
                      <w:highlight w:val="none"/>
                    </w:rPr>
                    <w:t>监测指标</w:t>
                  </w:r>
                </w:p>
              </w:tc>
              <w:tc>
                <w:tcPr>
                  <w:tcW w:w="586" w:type="pct"/>
                  <w:vAlign w:val="center"/>
                </w:tcPr>
                <w:p w14:paraId="02F6892B">
                  <w:pPr>
                    <w:adjustRightInd w:val="0"/>
                    <w:snapToGrid w:val="0"/>
                    <w:jc w:val="center"/>
                    <w:rPr>
                      <w:b/>
                      <w:color w:val="auto"/>
                      <w:szCs w:val="21"/>
                      <w:highlight w:val="none"/>
                    </w:rPr>
                  </w:pPr>
                  <w:r>
                    <w:rPr>
                      <w:b/>
                      <w:color w:val="auto"/>
                      <w:szCs w:val="21"/>
                      <w:highlight w:val="none"/>
                    </w:rPr>
                    <w:t>监测频次</w:t>
                  </w:r>
                </w:p>
              </w:tc>
              <w:tc>
                <w:tcPr>
                  <w:tcW w:w="1880" w:type="pct"/>
                  <w:vAlign w:val="center"/>
                </w:tcPr>
                <w:p w14:paraId="6BC2E03B">
                  <w:pPr>
                    <w:adjustRightInd w:val="0"/>
                    <w:snapToGrid w:val="0"/>
                    <w:jc w:val="center"/>
                    <w:rPr>
                      <w:b/>
                      <w:color w:val="auto"/>
                      <w:szCs w:val="21"/>
                      <w:highlight w:val="none"/>
                    </w:rPr>
                  </w:pPr>
                  <w:r>
                    <w:rPr>
                      <w:b/>
                      <w:color w:val="auto"/>
                      <w:szCs w:val="21"/>
                      <w:highlight w:val="none"/>
                    </w:rPr>
                    <w:t>执行排放标准</w:t>
                  </w:r>
                </w:p>
              </w:tc>
            </w:tr>
            <w:tr w14:paraId="623791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12" w:hRule="atLeast"/>
                <w:jc w:val="center"/>
              </w:trPr>
              <w:tc>
                <w:tcPr>
                  <w:tcW w:w="615" w:type="pct"/>
                  <w:vAlign w:val="center"/>
                </w:tcPr>
                <w:p w14:paraId="4FB5AD2A">
                  <w:pPr>
                    <w:adjustRightInd w:val="0"/>
                    <w:snapToGrid w:val="0"/>
                    <w:jc w:val="center"/>
                    <w:rPr>
                      <w:color w:val="auto"/>
                      <w:szCs w:val="21"/>
                      <w:highlight w:val="none"/>
                    </w:rPr>
                  </w:pPr>
                  <w:r>
                    <w:rPr>
                      <w:color w:val="auto"/>
                      <w:szCs w:val="21"/>
                      <w:highlight w:val="none"/>
                    </w:rPr>
                    <w:t>噪声</w:t>
                  </w:r>
                </w:p>
              </w:tc>
              <w:tc>
                <w:tcPr>
                  <w:tcW w:w="1058" w:type="pct"/>
                  <w:vAlign w:val="center"/>
                </w:tcPr>
                <w:p w14:paraId="30DCA4E6">
                  <w:pPr>
                    <w:adjustRightInd w:val="0"/>
                    <w:snapToGrid w:val="0"/>
                    <w:jc w:val="center"/>
                    <w:rPr>
                      <w:color w:val="auto"/>
                      <w:szCs w:val="21"/>
                      <w:highlight w:val="none"/>
                    </w:rPr>
                  </w:pPr>
                  <w:r>
                    <w:rPr>
                      <w:color w:val="auto"/>
                      <w:szCs w:val="21"/>
                      <w:highlight w:val="none"/>
                    </w:rPr>
                    <w:t>东、南、西、北各厂界</w:t>
                  </w:r>
                </w:p>
              </w:tc>
              <w:tc>
                <w:tcPr>
                  <w:tcW w:w="858" w:type="pct"/>
                  <w:vAlign w:val="center"/>
                </w:tcPr>
                <w:p w14:paraId="3BB453F5">
                  <w:pPr>
                    <w:adjustRightInd w:val="0"/>
                    <w:snapToGrid w:val="0"/>
                    <w:jc w:val="center"/>
                    <w:rPr>
                      <w:color w:val="auto"/>
                      <w:szCs w:val="21"/>
                      <w:highlight w:val="none"/>
                    </w:rPr>
                  </w:pPr>
                  <w:r>
                    <w:rPr>
                      <w:color w:val="auto"/>
                      <w:szCs w:val="21"/>
                      <w:highlight w:val="none"/>
                    </w:rPr>
                    <w:t>连续等效A声级</w:t>
                  </w:r>
                </w:p>
              </w:tc>
              <w:tc>
                <w:tcPr>
                  <w:tcW w:w="586" w:type="pct"/>
                  <w:vAlign w:val="center"/>
                </w:tcPr>
                <w:p w14:paraId="262ED8EF">
                  <w:pPr>
                    <w:adjustRightInd w:val="0"/>
                    <w:snapToGrid w:val="0"/>
                    <w:jc w:val="center"/>
                    <w:rPr>
                      <w:color w:val="auto"/>
                      <w:szCs w:val="21"/>
                      <w:highlight w:val="none"/>
                    </w:rPr>
                  </w:pPr>
                  <w:r>
                    <w:rPr>
                      <w:rFonts w:hint="eastAsia"/>
                      <w:color w:val="auto"/>
                      <w:szCs w:val="21"/>
                      <w:highlight w:val="none"/>
                    </w:rPr>
                    <w:t>1次/季度</w:t>
                  </w:r>
                </w:p>
                <w:p w14:paraId="756DE295">
                  <w:pPr>
                    <w:adjustRightInd w:val="0"/>
                    <w:snapToGrid w:val="0"/>
                    <w:jc w:val="center"/>
                    <w:rPr>
                      <w:color w:val="auto"/>
                      <w:szCs w:val="21"/>
                      <w:highlight w:val="none"/>
                    </w:rPr>
                  </w:pPr>
                  <w:r>
                    <w:rPr>
                      <w:rFonts w:hint="eastAsia"/>
                      <w:color w:val="auto"/>
                      <w:szCs w:val="21"/>
                      <w:highlight w:val="none"/>
                    </w:rPr>
                    <w:t>昼夜间</w:t>
                  </w:r>
                </w:p>
              </w:tc>
              <w:tc>
                <w:tcPr>
                  <w:tcW w:w="1880" w:type="pct"/>
                  <w:vAlign w:val="center"/>
                </w:tcPr>
                <w:p w14:paraId="23EA5CF5">
                  <w:pPr>
                    <w:adjustRightInd w:val="0"/>
                    <w:snapToGrid w:val="0"/>
                    <w:jc w:val="center"/>
                    <w:rPr>
                      <w:color w:val="auto"/>
                      <w:szCs w:val="21"/>
                      <w:highlight w:val="none"/>
                    </w:rPr>
                  </w:pPr>
                  <w:r>
                    <w:rPr>
                      <w:color w:val="auto"/>
                      <w:szCs w:val="21"/>
                      <w:highlight w:val="none"/>
                    </w:rPr>
                    <w:t>《工业企业厂界环境噪声排放标准》（GB12348-2008）3类标准</w:t>
                  </w:r>
                </w:p>
              </w:tc>
            </w:tr>
          </w:tbl>
          <w:p w14:paraId="1D0FC60A">
            <w:pPr>
              <w:adjustRightInd w:val="0"/>
              <w:snapToGrid w:val="0"/>
              <w:ind w:firstLine="201" w:firstLineChars="200"/>
              <w:rPr>
                <w:b/>
                <w:bCs/>
                <w:color w:val="auto"/>
                <w:kern w:val="0"/>
                <w:sz w:val="10"/>
                <w:szCs w:val="10"/>
                <w:highlight w:val="none"/>
              </w:rPr>
            </w:pPr>
          </w:p>
          <w:p w14:paraId="38E08584">
            <w:pPr>
              <w:adjustRightInd w:val="0"/>
              <w:snapToGrid w:val="0"/>
              <w:spacing w:line="360" w:lineRule="auto"/>
              <w:ind w:firstLine="482" w:firstLineChars="200"/>
              <w:rPr>
                <w:b/>
                <w:bCs/>
                <w:color w:val="auto"/>
                <w:kern w:val="0"/>
                <w:sz w:val="24"/>
                <w:highlight w:val="none"/>
              </w:rPr>
            </w:pPr>
            <w:r>
              <w:rPr>
                <w:b/>
                <w:bCs/>
                <w:color w:val="auto"/>
                <w:kern w:val="0"/>
                <w:sz w:val="24"/>
                <w:highlight w:val="none"/>
              </w:rPr>
              <w:t>4.</w:t>
            </w:r>
            <w:r>
              <w:rPr>
                <w:rFonts w:hAnsi="宋体"/>
                <w:b/>
                <w:bCs/>
                <w:color w:val="auto"/>
                <w:kern w:val="0"/>
                <w:sz w:val="24"/>
                <w:highlight w:val="none"/>
              </w:rPr>
              <w:t>固体废物</w:t>
            </w:r>
          </w:p>
          <w:p w14:paraId="08F5F737">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w:t>
            </w:r>
            <w:r>
              <w:rPr>
                <w:snapToGrid w:val="0"/>
                <w:color w:val="auto"/>
                <w:kern w:val="0"/>
                <w:sz w:val="24"/>
                <w:highlight w:val="none"/>
              </w:rPr>
              <w:t>1</w:t>
            </w:r>
            <w:r>
              <w:rPr>
                <w:rFonts w:hAnsi="宋体"/>
                <w:snapToGrid w:val="0"/>
                <w:color w:val="auto"/>
                <w:kern w:val="0"/>
                <w:sz w:val="24"/>
                <w:highlight w:val="none"/>
              </w:rPr>
              <w:t>）固体废物产生情况</w:t>
            </w:r>
          </w:p>
          <w:p w14:paraId="719E869F">
            <w:pPr>
              <w:adjustRightInd w:val="0"/>
              <w:snapToGrid w:val="0"/>
              <w:spacing w:line="360" w:lineRule="auto"/>
              <w:ind w:firstLine="480" w:firstLineChars="200"/>
              <w:rPr>
                <w:rFonts w:hAnsi="宋体"/>
                <w:bCs/>
                <w:snapToGrid w:val="0"/>
                <w:color w:val="auto"/>
                <w:kern w:val="0"/>
                <w:sz w:val="24"/>
                <w:highlight w:val="none"/>
              </w:rPr>
            </w:pPr>
            <w:r>
              <w:rPr>
                <w:rFonts w:hAnsi="宋体"/>
                <w:bCs/>
                <w:snapToGrid w:val="0"/>
                <w:color w:val="auto"/>
                <w:kern w:val="0"/>
                <w:sz w:val="24"/>
                <w:highlight w:val="none"/>
              </w:rPr>
              <w:t>本项目主要固体废物为</w:t>
            </w:r>
            <w:r>
              <w:rPr>
                <w:rFonts w:hint="eastAsia" w:hAnsi="宋体"/>
                <w:bCs/>
                <w:snapToGrid w:val="0"/>
                <w:color w:val="auto"/>
                <w:kern w:val="0"/>
                <w:sz w:val="24"/>
                <w:highlight w:val="none"/>
              </w:rPr>
              <w:t>废胶、废铜线、废粉、废包装桶、废包装袋、废活性炭、焊接烟尘净化器粉尘、废边角料、废手套以及生活垃圾等</w:t>
            </w:r>
            <w:r>
              <w:rPr>
                <w:rFonts w:hAnsi="宋体"/>
                <w:bCs/>
                <w:snapToGrid w:val="0"/>
                <w:color w:val="auto"/>
                <w:kern w:val="0"/>
                <w:sz w:val="24"/>
                <w:highlight w:val="none"/>
              </w:rPr>
              <w:t>。</w:t>
            </w:r>
          </w:p>
          <w:p w14:paraId="13ACD0C8">
            <w:pPr>
              <w:adjustRightInd w:val="0"/>
              <w:snapToGrid w:val="0"/>
              <w:spacing w:line="360" w:lineRule="auto"/>
              <w:ind w:firstLine="480" w:firstLineChars="200"/>
              <w:rPr>
                <w:rFonts w:hAnsi="宋体"/>
                <w:bCs/>
                <w:snapToGrid w:val="0"/>
                <w:color w:val="auto"/>
                <w:kern w:val="0"/>
                <w:sz w:val="24"/>
                <w:highlight w:val="none"/>
              </w:rPr>
            </w:pPr>
            <w:r>
              <w:rPr>
                <w:rFonts w:hint="eastAsia" w:hAnsi="宋体"/>
                <w:bCs/>
                <w:snapToGrid w:val="0"/>
                <w:color w:val="auto"/>
                <w:kern w:val="0"/>
                <w:sz w:val="24"/>
                <w:highlight w:val="none"/>
              </w:rPr>
              <w:t>a.废胶</w:t>
            </w:r>
            <w:r>
              <w:rPr>
                <w:rFonts w:hAnsi="宋体"/>
                <w:bCs/>
                <w:snapToGrid w:val="0"/>
                <w:color w:val="auto"/>
                <w:kern w:val="0"/>
                <w:sz w:val="24"/>
                <w:highlight w:val="none"/>
              </w:rPr>
              <w:t>：本项目</w:t>
            </w:r>
            <w:r>
              <w:rPr>
                <w:rFonts w:hint="eastAsia" w:hAnsi="宋体"/>
                <w:bCs/>
                <w:snapToGrid w:val="0"/>
                <w:color w:val="auto"/>
                <w:kern w:val="0"/>
                <w:sz w:val="24"/>
                <w:highlight w:val="none"/>
              </w:rPr>
              <w:t>涂聚酯树脂胶过程使用聚酯树脂胶1.3t/a，约有30%聚酯树脂胶进入固废；滴浸渍树脂胶过程使用浸渍树脂3.6t/a，约有20%浸渍树脂胶进入固废，则共计产生废胶约1.11t/a，委托有资质单位处置</w:t>
            </w:r>
            <w:r>
              <w:rPr>
                <w:rFonts w:hAnsi="宋体"/>
                <w:bCs/>
                <w:snapToGrid w:val="0"/>
                <w:color w:val="auto"/>
                <w:kern w:val="0"/>
                <w:sz w:val="24"/>
                <w:highlight w:val="none"/>
              </w:rPr>
              <w:t>。</w:t>
            </w:r>
          </w:p>
          <w:p w14:paraId="29675299">
            <w:pPr>
              <w:adjustRightInd w:val="0"/>
              <w:snapToGrid w:val="0"/>
              <w:spacing w:line="360" w:lineRule="auto"/>
              <w:ind w:firstLine="480" w:firstLineChars="200"/>
              <w:rPr>
                <w:rFonts w:hAnsi="宋体"/>
                <w:bCs/>
                <w:snapToGrid w:val="0"/>
                <w:color w:val="auto"/>
                <w:kern w:val="0"/>
                <w:sz w:val="24"/>
                <w:highlight w:val="none"/>
              </w:rPr>
            </w:pPr>
            <w:r>
              <w:rPr>
                <w:rFonts w:hint="eastAsia" w:hAnsi="宋体"/>
                <w:bCs/>
                <w:snapToGrid w:val="0"/>
                <w:color w:val="auto"/>
                <w:kern w:val="0"/>
                <w:sz w:val="24"/>
                <w:highlight w:val="none"/>
              </w:rPr>
              <w:t>b.废铜线：</w:t>
            </w:r>
            <w:r>
              <w:rPr>
                <w:rFonts w:hAnsi="宋体"/>
                <w:bCs/>
                <w:snapToGrid w:val="0"/>
                <w:color w:val="auto"/>
                <w:kern w:val="0"/>
                <w:sz w:val="24"/>
                <w:highlight w:val="none"/>
              </w:rPr>
              <w:t>绕线工序产生废铜线，类比同类项目，本项目废铜线产生量约0.2 t/a，外售综合利用。</w:t>
            </w:r>
          </w:p>
          <w:p w14:paraId="02A03776">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c.废粉</w:t>
            </w:r>
            <w:r>
              <w:rPr>
                <w:rFonts w:hAnsi="宋体"/>
                <w:snapToGrid w:val="0"/>
                <w:color w:val="auto"/>
                <w:kern w:val="0"/>
                <w:sz w:val="24"/>
                <w:highlight w:val="none"/>
              </w:rPr>
              <w:t>：</w:t>
            </w:r>
            <w:r>
              <w:rPr>
                <w:rFonts w:hint="eastAsia" w:hAnsi="宋体"/>
                <w:snapToGrid w:val="0"/>
                <w:color w:val="auto"/>
                <w:kern w:val="0"/>
                <w:sz w:val="24"/>
                <w:highlight w:val="none"/>
              </w:rPr>
              <w:t>本项目浸涂树脂粉工段</w:t>
            </w:r>
            <w:r>
              <w:rPr>
                <w:rFonts w:hint="eastAsia" w:hAnsi="宋体"/>
                <w:snapToGrid w:val="0"/>
                <w:color w:val="auto"/>
                <w:kern w:val="0"/>
                <w:sz w:val="24"/>
                <w:highlight w:val="none"/>
                <w:lang w:val="en-US" w:eastAsia="zh-Hans"/>
              </w:rPr>
              <w:t>使用树脂粉</w:t>
            </w:r>
            <w:r>
              <w:rPr>
                <w:rFonts w:hint="default" w:hAnsi="宋体"/>
                <w:snapToGrid w:val="0"/>
                <w:color w:val="auto"/>
                <w:kern w:val="0"/>
                <w:sz w:val="24"/>
                <w:highlight w:val="none"/>
                <w:lang w:eastAsia="zh-Hans"/>
              </w:rPr>
              <w:t>6</w:t>
            </w:r>
            <w:r>
              <w:rPr>
                <w:rFonts w:hint="eastAsia" w:hAnsi="宋体"/>
                <w:snapToGrid w:val="0"/>
                <w:color w:val="auto"/>
                <w:kern w:val="0"/>
                <w:sz w:val="24"/>
                <w:highlight w:val="none"/>
                <w:lang w:val="en-US" w:eastAsia="zh-Hans"/>
              </w:rPr>
              <w:t>t/a，产品上粉率约为</w:t>
            </w:r>
            <w:r>
              <w:rPr>
                <w:rFonts w:hint="default" w:hAnsi="宋体"/>
                <w:snapToGrid w:val="0"/>
                <w:color w:val="auto"/>
                <w:kern w:val="0"/>
                <w:sz w:val="24"/>
                <w:highlight w:val="none"/>
                <w:lang w:eastAsia="zh-Hans"/>
              </w:rPr>
              <w:t>90%</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则有</w:t>
            </w:r>
            <w:r>
              <w:rPr>
                <w:rFonts w:hint="default" w:hAnsi="宋体"/>
                <w:snapToGrid w:val="0"/>
                <w:color w:val="auto"/>
                <w:kern w:val="0"/>
                <w:sz w:val="24"/>
                <w:highlight w:val="none"/>
                <w:lang w:eastAsia="zh-Hans"/>
              </w:rPr>
              <w:t>10%</w:t>
            </w:r>
            <w:r>
              <w:rPr>
                <w:rFonts w:hint="eastAsia" w:hAnsi="宋体"/>
                <w:snapToGrid w:val="0"/>
                <w:color w:val="auto"/>
                <w:kern w:val="0"/>
                <w:sz w:val="24"/>
                <w:highlight w:val="none"/>
                <w:lang w:val="en-US" w:eastAsia="zh-Hans"/>
              </w:rPr>
              <w:t>树脂粉即</w:t>
            </w:r>
            <w:r>
              <w:rPr>
                <w:rFonts w:hint="default" w:hAnsi="宋体"/>
                <w:snapToGrid w:val="0"/>
                <w:color w:val="auto"/>
                <w:kern w:val="0"/>
                <w:sz w:val="24"/>
                <w:highlight w:val="none"/>
                <w:lang w:eastAsia="zh-Hans"/>
              </w:rPr>
              <w:t>0.6</w:t>
            </w:r>
            <w:r>
              <w:rPr>
                <w:rFonts w:hint="eastAsia" w:hAnsi="宋体"/>
                <w:snapToGrid w:val="0"/>
                <w:color w:val="auto"/>
                <w:kern w:val="0"/>
                <w:sz w:val="24"/>
                <w:highlight w:val="none"/>
                <w:lang w:val="en-US" w:eastAsia="zh-Hans"/>
              </w:rPr>
              <w:t>t/a进入固废；另涂粉工段</w:t>
            </w:r>
            <w:r>
              <w:rPr>
                <w:rFonts w:hint="eastAsia" w:hAnsi="宋体"/>
                <w:snapToGrid w:val="0"/>
                <w:color w:val="auto"/>
                <w:kern w:val="0"/>
                <w:sz w:val="24"/>
                <w:highlight w:val="none"/>
              </w:rPr>
              <w:t>产生废粉经设备自带过滤装置收集，产生废粉约1.539t/a</w:t>
            </w:r>
            <w:r>
              <w:rPr>
                <w:rFonts w:hAnsi="宋体"/>
                <w:bCs/>
                <w:snapToGrid w:val="0"/>
                <w:color w:val="auto"/>
                <w:kern w:val="0"/>
                <w:sz w:val="24"/>
                <w:highlight w:val="none"/>
              </w:rPr>
              <w:t>，</w:t>
            </w:r>
            <w:r>
              <w:rPr>
                <w:rFonts w:hint="eastAsia" w:hAnsi="宋体"/>
                <w:bCs/>
                <w:snapToGrid w:val="0"/>
                <w:color w:val="auto"/>
                <w:kern w:val="0"/>
                <w:sz w:val="24"/>
                <w:highlight w:val="none"/>
                <w:lang w:val="en-US" w:eastAsia="zh-Hans"/>
              </w:rPr>
              <w:t>则共计产生废粉约</w:t>
            </w:r>
            <w:r>
              <w:rPr>
                <w:rFonts w:hint="default" w:hAnsi="宋体"/>
                <w:bCs/>
                <w:snapToGrid w:val="0"/>
                <w:color w:val="auto"/>
                <w:kern w:val="0"/>
                <w:sz w:val="24"/>
                <w:highlight w:val="none"/>
                <w:lang w:eastAsia="zh-Hans"/>
              </w:rPr>
              <w:t>2.139</w:t>
            </w:r>
            <w:r>
              <w:rPr>
                <w:rFonts w:hint="eastAsia" w:hAnsi="宋体"/>
                <w:bCs/>
                <w:snapToGrid w:val="0"/>
                <w:color w:val="auto"/>
                <w:kern w:val="0"/>
                <w:sz w:val="24"/>
                <w:highlight w:val="none"/>
                <w:lang w:val="en-US" w:eastAsia="zh-Hans"/>
              </w:rPr>
              <w:t>t/a，委托资质单位</w:t>
            </w:r>
            <w:r>
              <w:rPr>
                <w:rFonts w:hAnsi="宋体"/>
                <w:bCs/>
                <w:snapToGrid w:val="0"/>
                <w:color w:val="auto"/>
                <w:kern w:val="0"/>
                <w:sz w:val="24"/>
                <w:highlight w:val="none"/>
              </w:rPr>
              <w:t>。</w:t>
            </w:r>
          </w:p>
          <w:p w14:paraId="2F36452E">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d.废包装桶：本项目使用浸渍树脂3.6t/a，规格为20kg/桶；使用聚酯树脂胶1.3t/a，规格为20kg/桶，则共产生包装桶245个，每个桶约中重1kg</w:t>
            </w:r>
            <w:r>
              <w:rPr>
                <w:rFonts w:hint="eastAsia" w:hAnsi="宋体"/>
                <w:snapToGrid w:val="0"/>
                <w:color w:val="auto"/>
                <w:kern w:val="0"/>
                <w:sz w:val="24"/>
                <w:highlight w:val="none"/>
                <w:lang w:eastAsia="zh-Hans"/>
              </w:rPr>
              <w:t>，</w:t>
            </w:r>
            <w:r>
              <w:rPr>
                <w:rFonts w:hint="eastAsia" w:hAnsi="宋体"/>
                <w:snapToGrid w:val="0"/>
                <w:color w:val="auto"/>
                <w:kern w:val="0"/>
                <w:sz w:val="24"/>
                <w:highlight w:val="none"/>
                <w:lang w:val="en-US" w:eastAsia="zh-Hans"/>
              </w:rPr>
              <w:t>使用润滑油</w:t>
            </w:r>
            <w:r>
              <w:rPr>
                <w:rFonts w:hint="default" w:hAnsi="宋体"/>
                <w:snapToGrid w:val="0"/>
                <w:color w:val="auto"/>
                <w:kern w:val="0"/>
                <w:sz w:val="24"/>
                <w:highlight w:val="none"/>
                <w:lang w:eastAsia="zh-Hans"/>
              </w:rPr>
              <w:t>0.0868</w:t>
            </w:r>
            <w:r>
              <w:rPr>
                <w:rFonts w:hint="eastAsia" w:hAnsi="宋体"/>
                <w:snapToGrid w:val="0"/>
                <w:color w:val="auto"/>
                <w:kern w:val="0"/>
                <w:sz w:val="24"/>
                <w:highlight w:val="none"/>
                <w:lang w:val="en-US" w:eastAsia="zh-Hans"/>
              </w:rPr>
              <w:t>t/a，规格为</w:t>
            </w:r>
            <w:r>
              <w:rPr>
                <w:rFonts w:hint="default" w:hAnsi="宋体"/>
                <w:snapToGrid w:val="0"/>
                <w:color w:val="auto"/>
                <w:kern w:val="0"/>
                <w:sz w:val="24"/>
                <w:highlight w:val="none"/>
                <w:lang w:eastAsia="zh-Hans"/>
              </w:rPr>
              <w:t>20</w:t>
            </w:r>
            <w:r>
              <w:rPr>
                <w:rFonts w:hint="eastAsia" w:hAnsi="宋体"/>
                <w:snapToGrid w:val="0"/>
                <w:color w:val="auto"/>
                <w:kern w:val="0"/>
                <w:sz w:val="24"/>
                <w:highlight w:val="none"/>
                <w:lang w:val="en-US" w:eastAsia="zh-Hans"/>
              </w:rPr>
              <w:t>L/桶，产生废桶约</w:t>
            </w:r>
            <w:r>
              <w:rPr>
                <w:rFonts w:hint="default" w:hAnsi="宋体"/>
                <w:snapToGrid w:val="0"/>
                <w:color w:val="auto"/>
                <w:kern w:val="0"/>
                <w:sz w:val="24"/>
                <w:highlight w:val="none"/>
                <w:lang w:eastAsia="zh-Hans"/>
              </w:rPr>
              <w:t>5</w:t>
            </w:r>
            <w:r>
              <w:rPr>
                <w:rFonts w:hint="eastAsia" w:hAnsi="宋体"/>
                <w:snapToGrid w:val="0"/>
                <w:color w:val="auto"/>
                <w:kern w:val="0"/>
                <w:sz w:val="24"/>
                <w:highlight w:val="none"/>
                <w:lang w:val="en-US" w:eastAsia="zh-Hans"/>
              </w:rPr>
              <w:t>个，每个桶重约</w:t>
            </w:r>
            <w:r>
              <w:rPr>
                <w:rFonts w:hint="default" w:hAnsi="宋体"/>
                <w:snapToGrid w:val="0"/>
                <w:color w:val="auto"/>
                <w:kern w:val="0"/>
                <w:sz w:val="24"/>
                <w:highlight w:val="none"/>
                <w:lang w:eastAsia="zh-Hans"/>
              </w:rPr>
              <w:t>1</w:t>
            </w:r>
            <w:r>
              <w:rPr>
                <w:rFonts w:hint="eastAsia" w:hAnsi="宋体"/>
                <w:snapToGrid w:val="0"/>
                <w:color w:val="auto"/>
                <w:kern w:val="0"/>
                <w:sz w:val="24"/>
                <w:highlight w:val="none"/>
                <w:lang w:val="en-US" w:eastAsia="zh-Hans"/>
              </w:rPr>
              <w:t>kg，</w:t>
            </w:r>
            <w:r>
              <w:rPr>
                <w:rFonts w:hint="eastAsia" w:hAnsi="宋体"/>
                <w:snapToGrid w:val="0"/>
                <w:color w:val="auto"/>
                <w:kern w:val="0"/>
                <w:sz w:val="24"/>
                <w:highlight w:val="none"/>
              </w:rPr>
              <w:t>则废包装桶产生量约0.2</w:t>
            </w:r>
            <w:r>
              <w:rPr>
                <w:rFonts w:hint="default" w:hAnsi="宋体"/>
                <w:snapToGrid w:val="0"/>
                <w:color w:val="auto"/>
                <w:kern w:val="0"/>
                <w:sz w:val="24"/>
                <w:highlight w:val="none"/>
              </w:rPr>
              <w:t>5</w:t>
            </w:r>
            <w:r>
              <w:rPr>
                <w:rFonts w:hint="eastAsia" w:hAnsi="宋体"/>
                <w:snapToGrid w:val="0"/>
                <w:color w:val="auto"/>
                <w:kern w:val="0"/>
                <w:sz w:val="24"/>
                <w:highlight w:val="none"/>
              </w:rPr>
              <w:t>t/a，委托有资质单位处置</w:t>
            </w:r>
          </w:p>
          <w:p w14:paraId="053B96B4">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e.废包装袋：本项目使用树脂粉6t/a，规格为20kg/a，每个包装袋100g，则废包装袋产生量约0.03t/a，外售综合利用。</w:t>
            </w:r>
          </w:p>
          <w:p w14:paraId="05975F1F">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f.</w:t>
            </w:r>
            <w:r>
              <w:rPr>
                <w:rFonts w:hAnsi="宋体"/>
                <w:snapToGrid w:val="0"/>
                <w:color w:val="auto"/>
                <w:kern w:val="0"/>
                <w:sz w:val="24"/>
                <w:highlight w:val="none"/>
              </w:rPr>
              <w:t>废活性炭：</w:t>
            </w:r>
            <w:r>
              <w:rPr>
                <w:color w:val="auto"/>
                <w:sz w:val="24"/>
                <w:szCs w:val="22"/>
                <w:highlight w:val="none"/>
                <w:lang w:val="en-US" w:eastAsia="zh-CN"/>
              </w:rPr>
              <w:t>本项目</w:t>
            </w:r>
            <w:r>
              <w:rPr>
                <w:rFonts w:hint="eastAsia"/>
                <w:color w:val="auto"/>
                <w:sz w:val="24"/>
                <w:szCs w:val="22"/>
                <w:highlight w:val="none"/>
                <w:lang w:val="en-US" w:eastAsia="zh-Hans"/>
              </w:rPr>
              <w:t>FQ</w:t>
            </w:r>
            <w:r>
              <w:rPr>
                <w:rFonts w:hint="default"/>
                <w:color w:val="auto"/>
                <w:sz w:val="24"/>
                <w:szCs w:val="22"/>
                <w:highlight w:val="none"/>
                <w:lang w:eastAsia="zh-Hans"/>
              </w:rPr>
              <w:t>-1</w:t>
            </w:r>
            <w:r>
              <w:rPr>
                <w:color w:val="auto"/>
                <w:sz w:val="24"/>
                <w:szCs w:val="22"/>
                <w:highlight w:val="none"/>
                <w:lang w:val="en-US" w:eastAsia="zh-CN"/>
              </w:rPr>
              <w:t>废气处理设施为</w:t>
            </w:r>
            <w:r>
              <w:rPr>
                <w:rFonts w:hint="eastAsia"/>
                <w:color w:val="auto"/>
                <w:sz w:val="24"/>
                <w:szCs w:val="22"/>
                <w:highlight w:val="none"/>
                <w:lang w:val="en-US" w:eastAsia="zh-Hans"/>
              </w:rPr>
              <w:t>三</w:t>
            </w:r>
            <w:r>
              <w:rPr>
                <w:color w:val="auto"/>
                <w:sz w:val="24"/>
                <w:szCs w:val="22"/>
                <w:highlight w:val="none"/>
                <w:lang w:val="en-US" w:eastAsia="zh-CN"/>
              </w:rPr>
              <w:t>级活性炭吸附装置</w:t>
            </w:r>
            <w:r>
              <w:rPr>
                <w:rFonts w:hint="eastAsia"/>
                <w:color w:val="auto"/>
                <w:sz w:val="24"/>
                <w:szCs w:val="22"/>
                <w:highlight w:val="none"/>
                <w:lang w:val="en-US" w:eastAsia="zh-Hans"/>
              </w:rPr>
              <w:t>，风机风量</w:t>
            </w:r>
            <w:r>
              <w:rPr>
                <w:rFonts w:hint="default"/>
                <w:color w:val="auto"/>
                <w:sz w:val="24"/>
                <w:szCs w:val="22"/>
                <w:highlight w:val="none"/>
                <w:lang w:eastAsia="zh-Hans"/>
              </w:rPr>
              <w:t>10000</w:t>
            </w:r>
            <w:r>
              <w:rPr>
                <w:rFonts w:hint="eastAsia"/>
                <w:color w:val="auto"/>
                <w:sz w:val="24"/>
                <w:szCs w:val="22"/>
                <w:highlight w:val="none"/>
                <w:lang w:val="en-US" w:eastAsia="zh-Hans"/>
              </w:rPr>
              <w:t>m</w:t>
            </w:r>
            <w:r>
              <w:rPr>
                <w:rFonts w:hint="default"/>
                <w:color w:val="auto"/>
                <w:sz w:val="24"/>
                <w:szCs w:val="22"/>
                <w:highlight w:val="none"/>
                <w:vertAlign w:val="superscript"/>
                <w:lang w:eastAsia="zh-Hans"/>
              </w:rPr>
              <w:t>3</w:t>
            </w:r>
            <w:r>
              <w:rPr>
                <w:rFonts w:hint="default"/>
                <w:color w:val="auto"/>
                <w:sz w:val="24"/>
                <w:szCs w:val="22"/>
                <w:highlight w:val="none"/>
                <w:lang w:eastAsia="zh-Hans"/>
              </w:rPr>
              <w:t>/</w:t>
            </w:r>
            <w:r>
              <w:rPr>
                <w:rFonts w:hint="eastAsia"/>
                <w:color w:val="auto"/>
                <w:sz w:val="24"/>
                <w:szCs w:val="22"/>
                <w:highlight w:val="none"/>
                <w:lang w:val="en-US" w:eastAsia="zh-Hans"/>
              </w:rPr>
              <w:t>h</w:t>
            </w:r>
            <w:r>
              <w:rPr>
                <w:color w:val="auto"/>
                <w:sz w:val="24"/>
                <w:szCs w:val="22"/>
                <w:highlight w:val="none"/>
                <w:lang w:val="en-US" w:eastAsia="zh-CN"/>
              </w:rPr>
              <w:t>，</w:t>
            </w:r>
            <w:r>
              <w:rPr>
                <w:rFonts w:hint="eastAsia"/>
                <w:color w:val="auto"/>
                <w:sz w:val="24"/>
                <w:szCs w:val="22"/>
                <w:highlight w:val="none"/>
                <w:lang w:val="en-US" w:eastAsia="zh-Hans"/>
              </w:rPr>
              <w:t>运行时间</w:t>
            </w:r>
            <w:r>
              <w:rPr>
                <w:rFonts w:hint="default"/>
                <w:color w:val="auto"/>
                <w:sz w:val="24"/>
                <w:szCs w:val="22"/>
                <w:highlight w:val="none"/>
                <w:lang w:eastAsia="zh-Hans"/>
              </w:rPr>
              <w:t>24</w:t>
            </w:r>
            <w:r>
              <w:rPr>
                <w:rFonts w:hint="eastAsia"/>
                <w:color w:val="auto"/>
                <w:sz w:val="24"/>
                <w:szCs w:val="22"/>
                <w:highlight w:val="none"/>
                <w:lang w:val="en-US" w:eastAsia="zh-Hans"/>
              </w:rPr>
              <w:t>h</w:t>
            </w:r>
            <w:r>
              <w:rPr>
                <w:rFonts w:hint="default"/>
                <w:color w:val="auto"/>
                <w:sz w:val="24"/>
                <w:szCs w:val="22"/>
                <w:highlight w:val="none"/>
                <w:lang w:eastAsia="zh-Hans"/>
              </w:rPr>
              <w:t>/</w:t>
            </w:r>
            <w:r>
              <w:rPr>
                <w:rFonts w:hint="eastAsia"/>
                <w:color w:val="auto"/>
                <w:sz w:val="24"/>
                <w:szCs w:val="22"/>
                <w:highlight w:val="none"/>
                <w:lang w:val="en-US" w:eastAsia="zh-Hans"/>
              </w:rPr>
              <w:t>d，</w:t>
            </w:r>
            <w:r>
              <w:rPr>
                <w:rFonts w:hint="eastAsia"/>
                <w:color w:val="auto"/>
                <w:sz w:val="24"/>
                <w:szCs w:val="22"/>
                <w:highlight w:val="none"/>
                <w:lang w:val="en-US" w:eastAsia="zh-CN"/>
              </w:rPr>
              <w:t>本项目产生有组织有机废气</w:t>
            </w:r>
            <w:r>
              <w:rPr>
                <w:rFonts w:hint="eastAsia"/>
                <w:color w:val="auto"/>
                <w:sz w:val="24"/>
                <w:szCs w:val="22"/>
                <w:highlight w:val="none"/>
                <w:lang w:val="en-US" w:eastAsia="zh-Hans"/>
              </w:rPr>
              <w:t>浓度</w:t>
            </w:r>
            <w:r>
              <w:rPr>
                <w:rFonts w:hint="default"/>
                <w:color w:val="auto"/>
                <w:sz w:val="24"/>
                <w:szCs w:val="22"/>
                <w:highlight w:val="none"/>
                <w:lang w:eastAsia="zh-Hans"/>
              </w:rPr>
              <w:t>52.2806</w:t>
            </w:r>
            <w:r>
              <w:rPr>
                <w:rFonts w:hint="eastAsia"/>
                <w:color w:val="auto"/>
                <w:sz w:val="24"/>
                <w:szCs w:val="22"/>
                <w:highlight w:val="none"/>
                <w:lang w:val="en-US" w:eastAsia="zh-Hans"/>
              </w:rPr>
              <w:t>mg</w:t>
            </w:r>
            <w:r>
              <w:rPr>
                <w:rFonts w:hint="default"/>
                <w:color w:val="auto"/>
                <w:sz w:val="24"/>
                <w:szCs w:val="22"/>
                <w:highlight w:val="none"/>
                <w:lang w:eastAsia="zh-Hans"/>
              </w:rPr>
              <w:t>/m</w:t>
            </w:r>
            <w:r>
              <w:rPr>
                <w:rFonts w:hint="default"/>
                <w:color w:val="auto"/>
                <w:sz w:val="24"/>
                <w:szCs w:val="22"/>
                <w:highlight w:val="none"/>
                <w:vertAlign w:val="superscript"/>
                <w:lang w:eastAsia="zh-Hans"/>
              </w:rPr>
              <w:t>3</w:t>
            </w:r>
            <w:r>
              <w:rPr>
                <w:rFonts w:hint="eastAsia"/>
                <w:color w:val="auto"/>
                <w:sz w:val="24"/>
                <w:szCs w:val="22"/>
                <w:highlight w:val="none"/>
                <w:lang w:eastAsia="zh-Hans"/>
              </w:rPr>
              <w:t>，</w:t>
            </w:r>
            <w:r>
              <w:rPr>
                <w:rFonts w:hint="eastAsia"/>
                <w:color w:val="auto"/>
                <w:sz w:val="24"/>
                <w:szCs w:val="22"/>
                <w:highlight w:val="none"/>
                <w:lang w:val="en-US" w:eastAsia="zh-Hans"/>
              </w:rPr>
              <w:t>排放浓度</w:t>
            </w:r>
            <w:r>
              <w:rPr>
                <w:rFonts w:hint="default"/>
                <w:color w:val="auto"/>
                <w:sz w:val="24"/>
                <w:szCs w:val="22"/>
                <w:highlight w:val="none"/>
                <w:lang w:eastAsia="zh-Hans"/>
              </w:rPr>
              <w:t>3.6596</w:t>
            </w:r>
            <w:r>
              <w:rPr>
                <w:rFonts w:hint="eastAsia"/>
                <w:color w:val="auto"/>
                <w:sz w:val="24"/>
                <w:szCs w:val="22"/>
                <w:highlight w:val="none"/>
                <w:lang w:val="en-US" w:eastAsia="zh-Hans"/>
              </w:rPr>
              <w:t>mg</w:t>
            </w:r>
            <w:r>
              <w:rPr>
                <w:rFonts w:hint="default"/>
                <w:color w:val="auto"/>
                <w:sz w:val="24"/>
                <w:szCs w:val="22"/>
                <w:highlight w:val="none"/>
                <w:lang w:eastAsia="zh-Hans"/>
              </w:rPr>
              <w:t>/m</w:t>
            </w:r>
            <w:r>
              <w:rPr>
                <w:rFonts w:hint="default"/>
                <w:color w:val="auto"/>
                <w:sz w:val="24"/>
                <w:szCs w:val="22"/>
                <w:highlight w:val="none"/>
                <w:vertAlign w:val="superscript"/>
                <w:lang w:eastAsia="zh-Hans"/>
              </w:rPr>
              <w:t>3</w:t>
            </w:r>
            <w:r>
              <w:rPr>
                <w:rFonts w:hint="eastAsia"/>
                <w:color w:val="auto"/>
                <w:sz w:val="24"/>
                <w:szCs w:val="22"/>
                <w:highlight w:val="none"/>
                <w:lang w:eastAsia="zh-Hans"/>
              </w:rPr>
              <w:t>，</w:t>
            </w:r>
            <w:r>
              <w:rPr>
                <w:rFonts w:hint="eastAsia"/>
                <w:color w:val="auto"/>
                <w:sz w:val="24"/>
                <w:szCs w:val="22"/>
                <w:highlight w:val="none"/>
                <w:lang w:val="en-US" w:eastAsia="zh-Hans"/>
              </w:rPr>
              <w:t>削减浓度</w:t>
            </w:r>
            <w:r>
              <w:rPr>
                <w:rFonts w:hint="default"/>
                <w:color w:val="auto"/>
                <w:sz w:val="24"/>
                <w:szCs w:val="22"/>
                <w:highlight w:val="none"/>
                <w:lang w:eastAsia="zh-Hans"/>
              </w:rPr>
              <w:t>48.621</w:t>
            </w:r>
            <w:r>
              <w:rPr>
                <w:rFonts w:hint="eastAsia"/>
                <w:color w:val="auto"/>
                <w:sz w:val="24"/>
                <w:szCs w:val="22"/>
                <w:highlight w:val="none"/>
                <w:lang w:val="en-US" w:eastAsia="zh-CN"/>
              </w:rPr>
              <w:t>废</w:t>
            </w:r>
            <w:r>
              <w:rPr>
                <w:rFonts w:hint="eastAsia"/>
                <w:color w:val="auto"/>
                <w:sz w:val="24"/>
                <w:szCs w:val="22"/>
                <w:highlight w:val="none"/>
                <w:lang w:val="en-US" w:eastAsia="zh-Hans"/>
              </w:rPr>
              <w:t>mg</w:t>
            </w:r>
            <w:r>
              <w:rPr>
                <w:rFonts w:hint="default"/>
                <w:color w:val="auto"/>
                <w:sz w:val="24"/>
                <w:szCs w:val="22"/>
                <w:highlight w:val="none"/>
                <w:lang w:eastAsia="zh-Hans"/>
              </w:rPr>
              <w:t>/m</w:t>
            </w:r>
            <w:r>
              <w:rPr>
                <w:rFonts w:hint="default"/>
                <w:color w:val="auto"/>
                <w:sz w:val="24"/>
                <w:szCs w:val="22"/>
                <w:highlight w:val="none"/>
                <w:vertAlign w:val="superscript"/>
                <w:lang w:eastAsia="zh-Hans"/>
              </w:rPr>
              <w:t>3</w:t>
            </w:r>
            <w:r>
              <w:rPr>
                <w:rFonts w:hint="eastAsia"/>
                <w:color w:val="auto"/>
                <w:sz w:val="24"/>
                <w:szCs w:val="22"/>
                <w:highlight w:val="none"/>
                <w:lang w:eastAsia="zh-Hans"/>
              </w:rPr>
              <w:t>，</w:t>
            </w:r>
            <w:r>
              <w:rPr>
                <w:rFonts w:hint="eastAsia"/>
                <w:color w:val="auto"/>
                <w:sz w:val="24"/>
                <w:szCs w:val="22"/>
                <w:highlight w:val="none"/>
                <w:lang w:val="en-US" w:eastAsia="zh-Hans"/>
              </w:rPr>
              <w:t>三</w:t>
            </w:r>
            <w:r>
              <w:rPr>
                <w:rFonts w:hint="eastAsia"/>
                <w:color w:val="auto"/>
                <w:sz w:val="24"/>
                <w:szCs w:val="22"/>
                <w:highlight w:val="none"/>
                <w:lang w:val="en-US" w:eastAsia="zh-CN"/>
              </w:rPr>
              <w:t>级活性炭吸附有机废气约</w:t>
            </w:r>
            <w:r>
              <w:rPr>
                <w:color w:val="auto"/>
                <w:sz w:val="24"/>
                <w:szCs w:val="22"/>
                <w:highlight w:val="none"/>
                <w:lang w:eastAsia="zh-CN"/>
              </w:rPr>
              <w:t>0.3501</w:t>
            </w:r>
            <w:r>
              <w:rPr>
                <w:rFonts w:hint="eastAsia"/>
                <w:color w:val="auto"/>
                <w:sz w:val="24"/>
                <w:szCs w:val="22"/>
                <w:highlight w:val="none"/>
                <w:lang w:val="en-US" w:eastAsia="zh-CN"/>
              </w:rPr>
              <w:t>t/a</w:t>
            </w:r>
            <w:r>
              <w:rPr>
                <w:color w:val="auto"/>
                <w:sz w:val="24"/>
                <w:szCs w:val="22"/>
                <w:highlight w:val="none"/>
                <w:lang w:val="en-US" w:eastAsia="zh-CN"/>
              </w:rPr>
              <w:t>，</w:t>
            </w:r>
            <w:r>
              <w:rPr>
                <w:rFonts w:hint="eastAsia"/>
                <w:color w:val="auto"/>
                <w:sz w:val="24"/>
                <w:szCs w:val="22"/>
                <w:highlight w:val="none"/>
                <w:lang w:val="en-US" w:eastAsia="zh-Hans"/>
              </w:rPr>
              <w:t>活性炭装置填充量</w:t>
            </w:r>
            <w:r>
              <w:rPr>
                <w:rFonts w:hint="default"/>
                <w:color w:val="auto"/>
                <w:sz w:val="24"/>
                <w:szCs w:val="22"/>
                <w:highlight w:val="none"/>
                <w:lang w:eastAsia="zh-Hans"/>
              </w:rPr>
              <w:t>4.86</w:t>
            </w:r>
            <w:r>
              <w:rPr>
                <w:rFonts w:hint="eastAsia"/>
                <w:color w:val="auto"/>
                <w:sz w:val="24"/>
                <w:szCs w:val="22"/>
                <w:highlight w:val="none"/>
                <w:lang w:val="en-US" w:eastAsia="zh-Hans"/>
              </w:rPr>
              <w:t>t，</w:t>
            </w:r>
            <w:r>
              <w:rPr>
                <w:color w:val="auto"/>
                <w:sz w:val="24"/>
                <w:highlight w:val="none"/>
                <w:lang w:val="en-US" w:eastAsia="zh-CN"/>
              </w:rPr>
              <w:t>活性炭吸附率按10%计，</w:t>
            </w:r>
            <w:r>
              <w:rPr>
                <w:rFonts w:hint="eastAsia"/>
                <w:color w:val="auto"/>
                <w:sz w:val="24"/>
                <w:highlight w:val="none"/>
                <w:lang w:val="en-US" w:eastAsia="zh-Hans"/>
              </w:rPr>
              <w:t>活性炭更换周期T</w:t>
            </w:r>
            <w:r>
              <w:rPr>
                <w:rFonts w:hint="default"/>
                <w:color w:val="auto"/>
                <w:sz w:val="24"/>
                <w:highlight w:val="none"/>
                <w:lang w:eastAsia="zh-Hans"/>
              </w:rPr>
              <w:t>=4860</w:t>
            </w:r>
            <w:r>
              <w:rPr>
                <w:rFonts w:hint="eastAsia"/>
                <w:color w:val="auto"/>
                <w:sz w:val="24"/>
                <w:highlight w:val="none"/>
                <w:lang w:val="en-US" w:eastAsia="zh-Hans"/>
              </w:rPr>
              <w:t>×</w:t>
            </w:r>
            <w:r>
              <w:rPr>
                <w:rFonts w:hint="default"/>
                <w:color w:val="auto"/>
                <w:sz w:val="24"/>
                <w:highlight w:val="none"/>
                <w:lang w:eastAsia="zh-Hans"/>
              </w:rPr>
              <w:t>10%</w:t>
            </w:r>
            <w:r>
              <w:rPr>
                <w:rFonts w:hint="eastAsia"/>
                <w:color w:val="auto"/>
                <w:sz w:val="24"/>
                <w:highlight w:val="none"/>
                <w:lang w:val="en-US" w:eastAsia="zh-Hans"/>
              </w:rPr>
              <w:t>÷（</w:t>
            </w:r>
            <w:r>
              <w:rPr>
                <w:rFonts w:hint="default"/>
                <w:color w:val="auto"/>
                <w:sz w:val="24"/>
                <w:highlight w:val="none"/>
                <w:lang w:eastAsia="zh-Hans"/>
              </w:rPr>
              <w:t>48.621</w:t>
            </w:r>
            <w:r>
              <w:rPr>
                <w:rFonts w:hint="eastAsia"/>
                <w:color w:val="auto"/>
                <w:sz w:val="24"/>
                <w:highlight w:val="none"/>
                <w:lang w:val="en-US" w:eastAsia="zh-Hans"/>
              </w:rPr>
              <w:t>×</w:t>
            </w:r>
            <w:r>
              <w:rPr>
                <w:rFonts w:hint="default"/>
                <w:color w:val="auto"/>
                <w:sz w:val="24"/>
                <w:highlight w:val="none"/>
                <w:lang w:eastAsia="zh-Hans"/>
              </w:rPr>
              <w:t>10</w:t>
            </w:r>
            <w:r>
              <w:rPr>
                <w:rFonts w:hint="default"/>
                <w:color w:val="auto"/>
                <w:sz w:val="24"/>
                <w:highlight w:val="none"/>
                <w:vertAlign w:val="superscript"/>
                <w:lang w:eastAsia="zh-Hans"/>
              </w:rPr>
              <w:t>-6</w:t>
            </w:r>
            <w:r>
              <w:rPr>
                <w:rFonts w:hint="eastAsia"/>
                <w:color w:val="auto"/>
                <w:sz w:val="24"/>
                <w:highlight w:val="none"/>
                <w:lang w:val="en-US" w:eastAsia="zh-Hans"/>
              </w:rPr>
              <w:t>×</w:t>
            </w:r>
            <w:r>
              <w:rPr>
                <w:rFonts w:hint="default"/>
                <w:color w:val="auto"/>
                <w:sz w:val="24"/>
                <w:highlight w:val="none"/>
                <w:lang w:eastAsia="zh-Hans"/>
              </w:rPr>
              <w:t>10000</w:t>
            </w:r>
            <w:r>
              <w:rPr>
                <w:rFonts w:hint="eastAsia"/>
                <w:color w:val="auto"/>
                <w:sz w:val="24"/>
                <w:highlight w:val="none"/>
                <w:lang w:val="en-US" w:eastAsia="zh-Hans"/>
              </w:rPr>
              <w:t>×</w:t>
            </w:r>
            <w:r>
              <w:rPr>
                <w:rFonts w:hint="default"/>
                <w:color w:val="auto"/>
                <w:sz w:val="24"/>
                <w:highlight w:val="none"/>
                <w:lang w:eastAsia="zh-Hans"/>
              </w:rPr>
              <w:t>24</w:t>
            </w:r>
            <w:r>
              <w:rPr>
                <w:rFonts w:hint="eastAsia"/>
                <w:color w:val="auto"/>
                <w:sz w:val="24"/>
                <w:highlight w:val="none"/>
                <w:lang w:eastAsia="zh-Hans"/>
              </w:rPr>
              <w:t>）</w:t>
            </w:r>
            <w:r>
              <w:rPr>
                <w:rFonts w:hint="default"/>
                <w:color w:val="auto"/>
                <w:sz w:val="24"/>
                <w:highlight w:val="none"/>
                <w:lang w:eastAsia="zh-Hans"/>
              </w:rPr>
              <w:t>=41</w:t>
            </w:r>
            <w:r>
              <w:rPr>
                <w:rFonts w:hint="eastAsia"/>
                <w:color w:val="auto"/>
                <w:sz w:val="24"/>
                <w:highlight w:val="none"/>
                <w:lang w:val="en-US" w:eastAsia="zh-Hans"/>
              </w:rPr>
              <w:t>d，则三</w:t>
            </w:r>
            <w:r>
              <w:rPr>
                <w:color w:val="auto"/>
                <w:sz w:val="24"/>
                <w:highlight w:val="none"/>
                <w:lang w:val="en-US" w:eastAsia="zh-CN"/>
              </w:rPr>
              <w:t>级活性炭装置</w:t>
            </w:r>
            <w:r>
              <w:rPr>
                <w:rFonts w:hint="eastAsia"/>
                <w:color w:val="auto"/>
                <w:sz w:val="24"/>
                <w:highlight w:val="none"/>
                <w:lang w:val="en-US" w:eastAsia="zh-Hans"/>
              </w:rPr>
              <w:t>更换周期为</w:t>
            </w:r>
            <w:r>
              <w:rPr>
                <w:rFonts w:hint="default"/>
                <w:color w:val="auto"/>
                <w:sz w:val="24"/>
                <w:highlight w:val="none"/>
                <w:lang w:eastAsia="zh-Hans"/>
              </w:rPr>
              <w:t>41</w:t>
            </w:r>
            <w:r>
              <w:rPr>
                <w:rFonts w:hint="eastAsia"/>
                <w:color w:val="auto"/>
                <w:sz w:val="24"/>
                <w:highlight w:val="none"/>
                <w:lang w:val="en-US" w:eastAsia="zh-Hans"/>
              </w:rPr>
              <w:t>天，即一年更换</w:t>
            </w:r>
            <w:r>
              <w:rPr>
                <w:rFonts w:hint="default"/>
                <w:color w:val="auto"/>
                <w:sz w:val="24"/>
                <w:highlight w:val="none"/>
                <w:lang w:eastAsia="zh-Hans"/>
              </w:rPr>
              <w:t>9</w:t>
            </w:r>
            <w:r>
              <w:rPr>
                <w:rFonts w:hint="eastAsia"/>
                <w:color w:val="auto"/>
                <w:sz w:val="24"/>
                <w:highlight w:val="none"/>
                <w:lang w:val="en-US" w:eastAsia="zh-Hans"/>
              </w:rPr>
              <w:t>次</w:t>
            </w:r>
            <w:r>
              <w:rPr>
                <w:color w:val="auto"/>
                <w:sz w:val="24"/>
                <w:highlight w:val="none"/>
                <w:lang w:val="en-US" w:eastAsia="zh-CN"/>
              </w:rPr>
              <w:t>，共计产生废活性炭</w:t>
            </w:r>
            <w:r>
              <w:rPr>
                <w:color w:val="auto"/>
                <w:sz w:val="24"/>
                <w:highlight w:val="none"/>
                <w:lang w:eastAsia="zh-CN"/>
              </w:rPr>
              <w:t>4.86</w:t>
            </w:r>
            <w:r>
              <w:rPr>
                <w:color w:val="auto"/>
                <w:sz w:val="24"/>
                <w:highlight w:val="none"/>
                <w:lang w:val="en-US" w:eastAsia="zh-CN"/>
              </w:rPr>
              <w:t>×</w:t>
            </w:r>
            <w:r>
              <w:rPr>
                <w:color w:val="auto"/>
                <w:sz w:val="24"/>
                <w:highlight w:val="none"/>
                <w:lang w:eastAsia="zh-CN"/>
              </w:rPr>
              <w:t>9</w:t>
            </w:r>
            <w:r>
              <w:rPr>
                <w:color w:val="auto"/>
                <w:sz w:val="24"/>
                <w:highlight w:val="none"/>
                <w:lang w:val="en-US" w:eastAsia="zh-CN"/>
              </w:rPr>
              <w:t>+</w:t>
            </w:r>
            <w:r>
              <w:rPr>
                <w:rFonts w:hint="default"/>
                <w:color w:val="auto"/>
                <w:sz w:val="24"/>
                <w:szCs w:val="22"/>
                <w:highlight w:val="none"/>
                <w:lang w:eastAsia="zh-CN"/>
              </w:rPr>
              <w:t>0.3501</w:t>
            </w:r>
            <w:r>
              <w:rPr>
                <w:color w:val="auto"/>
                <w:sz w:val="24"/>
                <w:highlight w:val="none"/>
                <w:lang w:val="en-US" w:eastAsia="zh-CN"/>
              </w:rPr>
              <w:t>=</w:t>
            </w:r>
            <w:r>
              <w:rPr>
                <w:color w:val="auto"/>
                <w:sz w:val="24"/>
                <w:highlight w:val="none"/>
                <w:lang w:eastAsia="zh-CN"/>
              </w:rPr>
              <w:t>44.0901</w:t>
            </w:r>
            <w:r>
              <w:rPr>
                <w:color w:val="auto"/>
                <w:sz w:val="24"/>
                <w:highlight w:val="none"/>
                <w:lang w:val="en-US" w:eastAsia="zh-CN"/>
              </w:rPr>
              <w:t>t/a</w:t>
            </w:r>
            <w:r>
              <w:rPr>
                <w:rFonts w:hAnsi="宋体"/>
                <w:snapToGrid w:val="0"/>
                <w:color w:val="auto"/>
                <w:kern w:val="0"/>
                <w:sz w:val="24"/>
                <w:highlight w:val="none"/>
              </w:rPr>
              <w:t>，</w:t>
            </w:r>
            <w:r>
              <w:rPr>
                <w:color w:val="auto"/>
                <w:sz w:val="24"/>
                <w:szCs w:val="22"/>
                <w:highlight w:val="none"/>
                <w:lang w:val="en-US" w:eastAsia="zh-CN"/>
              </w:rPr>
              <w:t>活性炭实际更换频次根据压差计确定</w:t>
            </w:r>
            <w:r>
              <w:rPr>
                <w:rFonts w:hAnsi="宋体"/>
                <w:snapToGrid w:val="0"/>
                <w:color w:val="auto"/>
                <w:kern w:val="0"/>
                <w:sz w:val="24"/>
                <w:highlight w:val="none"/>
              </w:rPr>
              <w:t>。</w:t>
            </w:r>
          </w:p>
          <w:p w14:paraId="2276D045">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g.焊接烟尘净化器收集粉尘：本项目进入移动式焊接烟尘净化器的粉尘量约0.288 t/a。</w:t>
            </w:r>
          </w:p>
          <w:p w14:paraId="1C3958E5">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h.</w:t>
            </w:r>
            <w:r>
              <w:rPr>
                <w:rFonts w:hAnsi="宋体"/>
                <w:snapToGrid w:val="0"/>
                <w:color w:val="auto"/>
                <w:kern w:val="0"/>
                <w:sz w:val="24"/>
                <w:highlight w:val="none"/>
              </w:rPr>
              <w:t>废边角料：根据企业提供数据，本项目生产过程中产生少量的废边角料约0.1t/a，收集后外售综合利用。</w:t>
            </w:r>
          </w:p>
          <w:p w14:paraId="0D966386">
            <w:pPr>
              <w:adjustRightInd w:val="0"/>
              <w:snapToGrid w:val="0"/>
              <w:spacing w:line="36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i.废手套：根据企业提供数据，本项目生产过程员工使用手套，产生废手套约0.02t/a，委托资质单位处置。</w:t>
            </w:r>
          </w:p>
          <w:p w14:paraId="5F41AAAC">
            <w:pPr>
              <w:adjustRightInd w:val="0"/>
              <w:snapToGrid w:val="0"/>
              <w:spacing w:line="36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j.</w:t>
            </w:r>
            <w:r>
              <w:rPr>
                <w:rFonts w:hint="eastAsia" w:hAnsi="宋体"/>
                <w:snapToGrid w:val="0"/>
                <w:color w:val="auto"/>
                <w:kern w:val="0"/>
                <w:sz w:val="24"/>
                <w:highlight w:val="none"/>
                <w:lang w:val="en-US" w:eastAsia="zh-Hans"/>
              </w:rPr>
              <w:t>废润滑油：本项目设备维护过程中产生废润滑油约</w:t>
            </w:r>
            <w:r>
              <w:rPr>
                <w:rFonts w:hint="default" w:hAnsi="宋体"/>
                <w:snapToGrid w:val="0"/>
                <w:color w:val="auto"/>
                <w:kern w:val="0"/>
                <w:sz w:val="24"/>
                <w:highlight w:val="none"/>
                <w:lang w:eastAsia="zh-Hans"/>
              </w:rPr>
              <w:t>0.0868</w:t>
            </w:r>
            <w:r>
              <w:rPr>
                <w:rFonts w:hint="eastAsia" w:hAnsi="宋体"/>
                <w:snapToGrid w:val="0"/>
                <w:color w:val="auto"/>
                <w:kern w:val="0"/>
                <w:sz w:val="24"/>
                <w:highlight w:val="none"/>
                <w:lang w:val="en-US" w:eastAsia="zh-Hans"/>
              </w:rPr>
              <w:t>t/a。</w:t>
            </w:r>
          </w:p>
          <w:p w14:paraId="152DE852">
            <w:pPr>
              <w:adjustRightInd w:val="0"/>
              <w:snapToGrid w:val="0"/>
              <w:spacing w:line="360" w:lineRule="auto"/>
              <w:ind w:firstLine="480" w:firstLineChars="200"/>
              <w:rPr>
                <w:rFonts w:hAnsi="宋体"/>
                <w:snapToGrid w:val="0"/>
                <w:color w:val="auto"/>
                <w:kern w:val="0"/>
                <w:sz w:val="24"/>
                <w:highlight w:val="none"/>
              </w:rPr>
            </w:pPr>
            <w:r>
              <w:rPr>
                <w:rFonts w:hint="default" w:hAnsi="宋体"/>
                <w:snapToGrid w:val="0"/>
                <w:color w:val="auto"/>
                <w:kern w:val="0"/>
                <w:sz w:val="24"/>
                <w:highlight w:val="none"/>
              </w:rPr>
              <w:t>k.</w:t>
            </w:r>
            <w:r>
              <w:rPr>
                <w:rFonts w:hint="eastAsia" w:hAnsi="宋体"/>
                <w:snapToGrid w:val="0"/>
                <w:color w:val="auto"/>
                <w:kern w:val="0"/>
                <w:sz w:val="24"/>
                <w:highlight w:val="none"/>
              </w:rPr>
              <w:t>生活垃圾：</w:t>
            </w:r>
            <w:r>
              <w:rPr>
                <w:color w:val="auto"/>
                <w:sz w:val="24"/>
                <w:highlight w:val="none"/>
              </w:rPr>
              <w:t>本项目</w:t>
            </w:r>
            <w:r>
              <w:rPr>
                <w:rFonts w:hint="eastAsia"/>
                <w:color w:val="auto"/>
                <w:sz w:val="24"/>
                <w:highlight w:val="none"/>
              </w:rPr>
              <w:t>新增</w:t>
            </w:r>
            <w:r>
              <w:rPr>
                <w:color w:val="auto"/>
                <w:sz w:val="24"/>
                <w:highlight w:val="none"/>
              </w:rPr>
              <w:t>职工</w:t>
            </w:r>
            <w:r>
              <w:rPr>
                <w:rFonts w:hint="eastAsia"/>
                <w:color w:val="auto"/>
                <w:sz w:val="24"/>
                <w:highlight w:val="none"/>
              </w:rPr>
              <w:t>60</w:t>
            </w:r>
            <w:r>
              <w:rPr>
                <w:color w:val="auto"/>
                <w:sz w:val="24"/>
                <w:highlight w:val="none"/>
              </w:rPr>
              <w:t>人，员工生活垃圾按0.4kg/d/人计，年工作时间</w:t>
            </w:r>
            <w:r>
              <w:rPr>
                <w:rFonts w:hint="eastAsia"/>
                <w:color w:val="auto"/>
                <w:sz w:val="24"/>
                <w:highlight w:val="none"/>
              </w:rPr>
              <w:t>300</w:t>
            </w:r>
            <w:r>
              <w:rPr>
                <w:color w:val="auto"/>
                <w:sz w:val="24"/>
                <w:highlight w:val="none"/>
              </w:rPr>
              <w:t>天，共产生生活垃圾为</w:t>
            </w:r>
            <w:r>
              <w:rPr>
                <w:rFonts w:hint="eastAsia"/>
                <w:color w:val="auto"/>
                <w:sz w:val="24"/>
                <w:highlight w:val="none"/>
              </w:rPr>
              <w:t>7.2</w:t>
            </w:r>
            <w:r>
              <w:rPr>
                <w:color w:val="auto"/>
                <w:sz w:val="24"/>
                <w:highlight w:val="none"/>
              </w:rPr>
              <w:t>t/a。</w:t>
            </w:r>
          </w:p>
          <w:p w14:paraId="393B56D2">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建设项目固体废物产生情况汇总见表</w:t>
            </w:r>
            <w:r>
              <w:rPr>
                <w:snapToGrid w:val="0"/>
                <w:color w:val="auto"/>
                <w:kern w:val="0"/>
                <w:sz w:val="24"/>
                <w:highlight w:val="none"/>
              </w:rPr>
              <w:t>4-21</w:t>
            </w:r>
            <w:r>
              <w:rPr>
                <w:rFonts w:hAnsi="宋体"/>
                <w:snapToGrid w:val="0"/>
                <w:color w:val="auto"/>
                <w:kern w:val="0"/>
                <w:sz w:val="24"/>
                <w:highlight w:val="none"/>
              </w:rPr>
              <w:t>，危险废物汇总见表</w:t>
            </w:r>
            <w:r>
              <w:rPr>
                <w:snapToGrid w:val="0"/>
                <w:color w:val="auto"/>
                <w:kern w:val="0"/>
                <w:sz w:val="24"/>
                <w:highlight w:val="none"/>
              </w:rPr>
              <w:t>4-22</w:t>
            </w:r>
            <w:r>
              <w:rPr>
                <w:rFonts w:hAnsi="宋体"/>
                <w:snapToGrid w:val="0"/>
                <w:color w:val="auto"/>
                <w:kern w:val="0"/>
                <w:sz w:val="24"/>
                <w:highlight w:val="none"/>
              </w:rPr>
              <w:t>。</w:t>
            </w:r>
          </w:p>
          <w:p w14:paraId="6A8D79C3">
            <w:pPr>
              <w:adjustRightInd w:val="0"/>
              <w:snapToGrid w:val="0"/>
              <w:jc w:val="center"/>
              <w:rPr>
                <w:rFonts w:hAnsi="宋体"/>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 xml:space="preserve">4-21  </w:t>
            </w:r>
            <w:r>
              <w:rPr>
                <w:rFonts w:hAnsi="宋体"/>
                <w:b/>
                <w:snapToGrid w:val="0"/>
                <w:color w:val="auto"/>
                <w:kern w:val="0"/>
                <w:sz w:val="24"/>
                <w:highlight w:val="none"/>
              </w:rPr>
              <w:t>建设项目固体废物分析结果汇总表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0"/>
              <w:gridCol w:w="1302"/>
              <w:gridCol w:w="768"/>
              <w:gridCol w:w="990"/>
              <w:gridCol w:w="813"/>
              <w:gridCol w:w="1138"/>
              <w:gridCol w:w="941"/>
              <w:gridCol w:w="686"/>
              <w:gridCol w:w="976"/>
              <w:gridCol w:w="1140"/>
              <w:gridCol w:w="953"/>
            </w:tblGrid>
            <w:tr w14:paraId="35197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4F4B0A2C">
                  <w:pPr>
                    <w:adjustRightInd w:val="0"/>
                    <w:snapToGrid w:val="0"/>
                    <w:jc w:val="center"/>
                    <w:rPr>
                      <w:b/>
                      <w:bCs/>
                      <w:color w:val="auto"/>
                      <w:szCs w:val="21"/>
                      <w:highlight w:val="none"/>
                    </w:rPr>
                  </w:pPr>
                  <w:r>
                    <w:rPr>
                      <w:b/>
                      <w:bCs/>
                      <w:color w:val="auto"/>
                      <w:szCs w:val="21"/>
                      <w:highlight w:val="none"/>
                    </w:rPr>
                    <w:t>序号</w:t>
                  </w:r>
                </w:p>
              </w:tc>
              <w:tc>
                <w:tcPr>
                  <w:tcW w:w="634" w:type="pct"/>
                  <w:vAlign w:val="center"/>
                </w:tcPr>
                <w:p w14:paraId="5F08349F">
                  <w:pPr>
                    <w:adjustRightInd w:val="0"/>
                    <w:snapToGrid w:val="0"/>
                    <w:jc w:val="center"/>
                    <w:rPr>
                      <w:b/>
                      <w:bCs/>
                      <w:color w:val="auto"/>
                      <w:szCs w:val="21"/>
                      <w:highlight w:val="none"/>
                    </w:rPr>
                  </w:pPr>
                  <w:r>
                    <w:rPr>
                      <w:b/>
                      <w:bCs/>
                      <w:color w:val="auto"/>
                      <w:szCs w:val="21"/>
                      <w:highlight w:val="none"/>
                    </w:rPr>
                    <w:t>固废名称</w:t>
                  </w:r>
                </w:p>
              </w:tc>
              <w:tc>
                <w:tcPr>
                  <w:tcW w:w="374" w:type="pct"/>
                  <w:vAlign w:val="center"/>
                </w:tcPr>
                <w:p w14:paraId="3932C1C0">
                  <w:pPr>
                    <w:adjustRightInd w:val="0"/>
                    <w:snapToGrid w:val="0"/>
                    <w:jc w:val="center"/>
                    <w:rPr>
                      <w:b/>
                      <w:bCs/>
                      <w:color w:val="auto"/>
                      <w:szCs w:val="21"/>
                      <w:highlight w:val="none"/>
                    </w:rPr>
                  </w:pPr>
                  <w:r>
                    <w:rPr>
                      <w:b/>
                      <w:bCs/>
                      <w:color w:val="auto"/>
                      <w:szCs w:val="21"/>
                      <w:highlight w:val="none"/>
                    </w:rPr>
                    <w:t>属性</w:t>
                  </w:r>
                </w:p>
              </w:tc>
              <w:tc>
                <w:tcPr>
                  <w:tcW w:w="482" w:type="pct"/>
                  <w:vAlign w:val="center"/>
                </w:tcPr>
                <w:p w14:paraId="2194DDE5">
                  <w:pPr>
                    <w:adjustRightInd w:val="0"/>
                    <w:snapToGrid w:val="0"/>
                    <w:jc w:val="center"/>
                    <w:rPr>
                      <w:b/>
                      <w:bCs/>
                      <w:color w:val="auto"/>
                      <w:szCs w:val="21"/>
                      <w:highlight w:val="none"/>
                    </w:rPr>
                  </w:pPr>
                  <w:r>
                    <w:rPr>
                      <w:b/>
                      <w:bCs/>
                      <w:color w:val="auto"/>
                      <w:szCs w:val="21"/>
                      <w:highlight w:val="none"/>
                    </w:rPr>
                    <w:t>产生工序</w:t>
                  </w:r>
                </w:p>
              </w:tc>
              <w:tc>
                <w:tcPr>
                  <w:tcW w:w="396" w:type="pct"/>
                  <w:vAlign w:val="center"/>
                </w:tcPr>
                <w:p w14:paraId="6629C73E">
                  <w:pPr>
                    <w:adjustRightInd w:val="0"/>
                    <w:snapToGrid w:val="0"/>
                    <w:jc w:val="center"/>
                    <w:rPr>
                      <w:b/>
                      <w:bCs/>
                      <w:color w:val="auto"/>
                      <w:szCs w:val="21"/>
                      <w:highlight w:val="none"/>
                    </w:rPr>
                  </w:pPr>
                  <w:r>
                    <w:rPr>
                      <w:b/>
                      <w:bCs/>
                      <w:color w:val="auto"/>
                      <w:szCs w:val="21"/>
                      <w:highlight w:val="none"/>
                    </w:rPr>
                    <w:t>形态</w:t>
                  </w:r>
                </w:p>
              </w:tc>
              <w:tc>
                <w:tcPr>
                  <w:tcW w:w="554" w:type="pct"/>
                  <w:vAlign w:val="center"/>
                </w:tcPr>
                <w:p w14:paraId="2BDED8B5">
                  <w:pPr>
                    <w:adjustRightInd w:val="0"/>
                    <w:snapToGrid w:val="0"/>
                    <w:jc w:val="center"/>
                    <w:rPr>
                      <w:b/>
                      <w:bCs/>
                      <w:color w:val="auto"/>
                      <w:szCs w:val="21"/>
                      <w:highlight w:val="none"/>
                    </w:rPr>
                  </w:pPr>
                  <w:r>
                    <w:rPr>
                      <w:b/>
                      <w:bCs/>
                      <w:color w:val="auto"/>
                      <w:szCs w:val="21"/>
                      <w:highlight w:val="none"/>
                    </w:rPr>
                    <w:t>主要成分</w:t>
                  </w:r>
                </w:p>
              </w:tc>
              <w:tc>
                <w:tcPr>
                  <w:tcW w:w="458" w:type="pct"/>
                  <w:vAlign w:val="center"/>
                </w:tcPr>
                <w:p w14:paraId="6A14F640">
                  <w:pPr>
                    <w:adjustRightInd w:val="0"/>
                    <w:snapToGrid w:val="0"/>
                    <w:jc w:val="center"/>
                    <w:rPr>
                      <w:b/>
                      <w:bCs/>
                      <w:color w:val="auto"/>
                      <w:szCs w:val="21"/>
                      <w:highlight w:val="none"/>
                    </w:rPr>
                  </w:pPr>
                  <w:r>
                    <w:rPr>
                      <w:b/>
                      <w:bCs/>
                      <w:color w:val="auto"/>
                      <w:szCs w:val="21"/>
                      <w:highlight w:val="none"/>
                    </w:rPr>
                    <w:t>危险特性鉴别方法</w:t>
                  </w:r>
                </w:p>
              </w:tc>
              <w:tc>
                <w:tcPr>
                  <w:tcW w:w="334" w:type="pct"/>
                  <w:vAlign w:val="center"/>
                </w:tcPr>
                <w:p w14:paraId="75CD808F">
                  <w:pPr>
                    <w:adjustRightInd w:val="0"/>
                    <w:snapToGrid w:val="0"/>
                    <w:jc w:val="center"/>
                    <w:rPr>
                      <w:b/>
                      <w:bCs/>
                      <w:color w:val="auto"/>
                      <w:szCs w:val="21"/>
                      <w:highlight w:val="none"/>
                    </w:rPr>
                  </w:pPr>
                  <w:r>
                    <w:rPr>
                      <w:b/>
                      <w:bCs/>
                      <w:color w:val="auto"/>
                      <w:szCs w:val="21"/>
                      <w:highlight w:val="none"/>
                    </w:rPr>
                    <w:t>危险特性</w:t>
                  </w:r>
                </w:p>
              </w:tc>
              <w:tc>
                <w:tcPr>
                  <w:tcW w:w="475" w:type="pct"/>
                  <w:vAlign w:val="center"/>
                </w:tcPr>
                <w:p w14:paraId="7A0857A9">
                  <w:pPr>
                    <w:adjustRightInd w:val="0"/>
                    <w:snapToGrid w:val="0"/>
                    <w:jc w:val="center"/>
                    <w:rPr>
                      <w:b/>
                      <w:bCs/>
                      <w:color w:val="auto"/>
                      <w:szCs w:val="21"/>
                      <w:highlight w:val="none"/>
                    </w:rPr>
                  </w:pPr>
                  <w:r>
                    <w:rPr>
                      <w:b/>
                      <w:bCs/>
                      <w:color w:val="auto"/>
                      <w:szCs w:val="21"/>
                      <w:highlight w:val="none"/>
                    </w:rPr>
                    <w:t>废物类别</w:t>
                  </w:r>
                </w:p>
              </w:tc>
              <w:tc>
                <w:tcPr>
                  <w:tcW w:w="555" w:type="pct"/>
                  <w:vAlign w:val="center"/>
                </w:tcPr>
                <w:p w14:paraId="50398D2F">
                  <w:pPr>
                    <w:adjustRightInd w:val="0"/>
                    <w:snapToGrid w:val="0"/>
                    <w:jc w:val="center"/>
                    <w:rPr>
                      <w:b/>
                      <w:bCs/>
                      <w:color w:val="auto"/>
                      <w:szCs w:val="21"/>
                      <w:highlight w:val="none"/>
                    </w:rPr>
                  </w:pPr>
                  <w:r>
                    <w:rPr>
                      <w:b/>
                      <w:bCs/>
                      <w:color w:val="auto"/>
                      <w:szCs w:val="21"/>
                      <w:highlight w:val="none"/>
                    </w:rPr>
                    <w:t>废物代码</w:t>
                  </w:r>
                </w:p>
              </w:tc>
              <w:tc>
                <w:tcPr>
                  <w:tcW w:w="464" w:type="pct"/>
                  <w:vAlign w:val="center"/>
                </w:tcPr>
                <w:p w14:paraId="01E03895">
                  <w:pPr>
                    <w:adjustRightInd w:val="0"/>
                    <w:snapToGrid w:val="0"/>
                    <w:jc w:val="center"/>
                    <w:rPr>
                      <w:b/>
                      <w:bCs/>
                      <w:color w:val="auto"/>
                      <w:szCs w:val="21"/>
                      <w:highlight w:val="none"/>
                    </w:rPr>
                  </w:pPr>
                  <w:r>
                    <w:rPr>
                      <w:b/>
                      <w:bCs/>
                      <w:color w:val="auto"/>
                      <w:szCs w:val="21"/>
                      <w:highlight w:val="none"/>
                    </w:rPr>
                    <w:t>估算产生量(t/a)</w:t>
                  </w:r>
                </w:p>
              </w:tc>
            </w:tr>
            <w:tr w14:paraId="1D93E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6B00722C">
                  <w:pPr>
                    <w:adjustRightInd w:val="0"/>
                    <w:snapToGrid w:val="0"/>
                    <w:jc w:val="center"/>
                    <w:rPr>
                      <w:bCs/>
                      <w:color w:val="auto"/>
                      <w:szCs w:val="21"/>
                      <w:highlight w:val="none"/>
                    </w:rPr>
                  </w:pPr>
                  <w:r>
                    <w:rPr>
                      <w:bCs/>
                      <w:color w:val="auto"/>
                      <w:szCs w:val="21"/>
                      <w:highlight w:val="none"/>
                    </w:rPr>
                    <w:t>1</w:t>
                  </w:r>
                </w:p>
              </w:tc>
              <w:tc>
                <w:tcPr>
                  <w:tcW w:w="634" w:type="pct"/>
                  <w:vAlign w:val="center"/>
                </w:tcPr>
                <w:p w14:paraId="497EF88F">
                  <w:pPr>
                    <w:adjustRightInd w:val="0"/>
                    <w:snapToGrid w:val="0"/>
                    <w:jc w:val="center"/>
                    <w:rPr>
                      <w:color w:val="auto"/>
                      <w:kern w:val="24"/>
                      <w:szCs w:val="21"/>
                      <w:highlight w:val="none"/>
                    </w:rPr>
                  </w:pPr>
                  <w:r>
                    <w:rPr>
                      <w:color w:val="auto"/>
                      <w:kern w:val="24"/>
                      <w:szCs w:val="21"/>
                      <w:highlight w:val="none"/>
                    </w:rPr>
                    <w:t>废铜线</w:t>
                  </w:r>
                </w:p>
              </w:tc>
              <w:tc>
                <w:tcPr>
                  <w:tcW w:w="374" w:type="pct"/>
                  <w:vAlign w:val="center"/>
                </w:tcPr>
                <w:p w14:paraId="4B88A027">
                  <w:pPr>
                    <w:adjustRightInd w:val="0"/>
                    <w:snapToGrid w:val="0"/>
                    <w:jc w:val="center"/>
                    <w:rPr>
                      <w:color w:val="auto"/>
                      <w:kern w:val="24"/>
                      <w:szCs w:val="21"/>
                      <w:highlight w:val="none"/>
                    </w:rPr>
                  </w:pPr>
                  <w:r>
                    <w:rPr>
                      <w:color w:val="auto"/>
                      <w:kern w:val="24"/>
                      <w:szCs w:val="21"/>
                      <w:highlight w:val="none"/>
                    </w:rPr>
                    <w:t>一般工业固体废物</w:t>
                  </w:r>
                </w:p>
              </w:tc>
              <w:tc>
                <w:tcPr>
                  <w:tcW w:w="482" w:type="pct"/>
                  <w:vAlign w:val="center"/>
                </w:tcPr>
                <w:p w14:paraId="7B2D8A3A">
                  <w:pPr>
                    <w:adjustRightInd w:val="0"/>
                    <w:snapToGrid w:val="0"/>
                    <w:jc w:val="center"/>
                    <w:rPr>
                      <w:color w:val="auto"/>
                      <w:kern w:val="24"/>
                      <w:szCs w:val="21"/>
                      <w:highlight w:val="none"/>
                    </w:rPr>
                  </w:pPr>
                  <w:r>
                    <w:rPr>
                      <w:color w:val="auto"/>
                      <w:kern w:val="24"/>
                      <w:szCs w:val="21"/>
                      <w:highlight w:val="none"/>
                    </w:rPr>
                    <w:t>绕线</w:t>
                  </w:r>
                </w:p>
              </w:tc>
              <w:tc>
                <w:tcPr>
                  <w:tcW w:w="396" w:type="pct"/>
                  <w:vAlign w:val="center"/>
                </w:tcPr>
                <w:p w14:paraId="25779543">
                  <w:pPr>
                    <w:adjustRightInd w:val="0"/>
                    <w:snapToGrid w:val="0"/>
                    <w:jc w:val="center"/>
                    <w:rPr>
                      <w:color w:val="auto"/>
                      <w:szCs w:val="21"/>
                      <w:highlight w:val="none"/>
                    </w:rPr>
                  </w:pPr>
                  <w:r>
                    <w:rPr>
                      <w:color w:val="auto"/>
                      <w:szCs w:val="21"/>
                      <w:highlight w:val="none"/>
                    </w:rPr>
                    <w:t>固态</w:t>
                  </w:r>
                </w:p>
              </w:tc>
              <w:tc>
                <w:tcPr>
                  <w:tcW w:w="554" w:type="pct"/>
                  <w:vAlign w:val="center"/>
                </w:tcPr>
                <w:p w14:paraId="28370FD8">
                  <w:pPr>
                    <w:adjustRightInd w:val="0"/>
                    <w:snapToGrid w:val="0"/>
                    <w:jc w:val="center"/>
                    <w:rPr>
                      <w:color w:val="auto"/>
                      <w:szCs w:val="21"/>
                      <w:highlight w:val="none"/>
                    </w:rPr>
                  </w:pPr>
                  <w:r>
                    <w:rPr>
                      <w:color w:val="auto"/>
                      <w:szCs w:val="21"/>
                      <w:highlight w:val="none"/>
                    </w:rPr>
                    <w:t>铜、漆皮</w:t>
                  </w:r>
                </w:p>
              </w:tc>
              <w:tc>
                <w:tcPr>
                  <w:tcW w:w="458" w:type="pct"/>
                  <w:vMerge w:val="restart"/>
                  <w:vAlign w:val="center"/>
                </w:tcPr>
                <w:p w14:paraId="70EF7427">
                  <w:pPr>
                    <w:adjustRightInd w:val="0"/>
                    <w:snapToGrid w:val="0"/>
                    <w:jc w:val="center"/>
                    <w:rPr>
                      <w:bCs/>
                      <w:color w:val="auto"/>
                      <w:szCs w:val="21"/>
                      <w:highlight w:val="none"/>
                    </w:rPr>
                  </w:pPr>
                  <w:r>
                    <w:rPr>
                      <w:color w:val="auto"/>
                      <w:szCs w:val="21"/>
                      <w:highlight w:val="none"/>
                    </w:rPr>
                    <w:t>《国家危险废物名录》（2021版）以及危险废物鉴别标准</w:t>
                  </w:r>
                </w:p>
              </w:tc>
              <w:tc>
                <w:tcPr>
                  <w:tcW w:w="334" w:type="pct"/>
                  <w:vAlign w:val="center"/>
                </w:tcPr>
                <w:p w14:paraId="772DAC82">
                  <w:pPr>
                    <w:adjustRightInd w:val="0"/>
                    <w:snapToGrid w:val="0"/>
                    <w:jc w:val="center"/>
                    <w:rPr>
                      <w:bCs/>
                      <w:color w:val="auto"/>
                      <w:szCs w:val="21"/>
                      <w:highlight w:val="none"/>
                    </w:rPr>
                  </w:pPr>
                  <w:r>
                    <w:rPr>
                      <w:bCs/>
                      <w:color w:val="auto"/>
                      <w:szCs w:val="21"/>
                      <w:highlight w:val="none"/>
                    </w:rPr>
                    <w:t>/</w:t>
                  </w:r>
                </w:p>
              </w:tc>
              <w:tc>
                <w:tcPr>
                  <w:tcW w:w="475" w:type="pct"/>
                  <w:vAlign w:val="center"/>
                </w:tcPr>
                <w:p w14:paraId="6CD05D2E">
                  <w:pPr>
                    <w:adjustRightInd w:val="0"/>
                    <w:snapToGrid w:val="0"/>
                    <w:jc w:val="center"/>
                    <w:rPr>
                      <w:bCs/>
                      <w:color w:val="auto"/>
                      <w:szCs w:val="21"/>
                      <w:highlight w:val="none"/>
                    </w:rPr>
                  </w:pPr>
                  <w:r>
                    <w:rPr>
                      <w:bCs/>
                      <w:color w:val="auto"/>
                      <w:szCs w:val="21"/>
                      <w:highlight w:val="none"/>
                    </w:rPr>
                    <w:t>有色金属废物</w:t>
                  </w:r>
                </w:p>
              </w:tc>
              <w:tc>
                <w:tcPr>
                  <w:tcW w:w="555" w:type="pct"/>
                  <w:vAlign w:val="center"/>
                </w:tcPr>
                <w:p w14:paraId="02C0E506">
                  <w:pPr>
                    <w:adjustRightInd w:val="0"/>
                    <w:snapToGrid w:val="0"/>
                    <w:jc w:val="center"/>
                    <w:rPr>
                      <w:bCs/>
                      <w:color w:val="auto"/>
                      <w:szCs w:val="21"/>
                      <w:highlight w:val="none"/>
                    </w:rPr>
                  </w:pPr>
                  <w:r>
                    <w:rPr>
                      <w:bCs/>
                      <w:color w:val="auto"/>
                      <w:szCs w:val="21"/>
                      <w:highlight w:val="none"/>
                    </w:rPr>
                    <w:t>82</w:t>
                  </w:r>
                </w:p>
              </w:tc>
              <w:tc>
                <w:tcPr>
                  <w:tcW w:w="464" w:type="pct"/>
                  <w:vAlign w:val="center"/>
                </w:tcPr>
                <w:p w14:paraId="626B1987">
                  <w:pPr>
                    <w:adjustRightInd w:val="0"/>
                    <w:snapToGrid w:val="0"/>
                    <w:jc w:val="center"/>
                    <w:rPr>
                      <w:color w:val="auto"/>
                      <w:szCs w:val="21"/>
                      <w:highlight w:val="none"/>
                    </w:rPr>
                  </w:pPr>
                  <w:r>
                    <w:rPr>
                      <w:color w:val="auto"/>
                      <w:szCs w:val="21"/>
                      <w:highlight w:val="none"/>
                    </w:rPr>
                    <w:t>0.2</w:t>
                  </w:r>
                </w:p>
              </w:tc>
            </w:tr>
            <w:tr w14:paraId="4945C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48CC4F09">
                  <w:pPr>
                    <w:adjustRightInd w:val="0"/>
                    <w:snapToGrid w:val="0"/>
                    <w:jc w:val="center"/>
                    <w:rPr>
                      <w:bCs/>
                      <w:color w:val="auto"/>
                      <w:szCs w:val="21"/>
                      <w:highlight w:val="none"/>
                    </w:rPr>
                  </w:pPr>
                  <w:r>
                    <w:rPr>
                      <w:bCs/>
                      <w:color w:val="auto"/>
                      <w:szCs w:val="21"/>
                      <w:highlight w:val="none"/>
                    </w:rPr>
                    <w:t>2</w:t>
                  </w:r>
                </w:p>
              </w:tc>
              <w:tc>
                <w:tcPr>
                  <w:tcW w:w="634" w:type="pct"/>
                  <w:vAlign w:val="center"/>
                </w:tcPr>
                <w:p w14:paraId="48AB23B7">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废粉</w:t>
                  </w:r>
                </w:p>
              </w:tc>
              <w:tc>
                <w:tcPr>
                  <w:tcW w:w="374" w:type="pct"/>
                  <w:vMerge w:val="restart"/>
                  <w:vAlign w:val="center"/>
                </w:tcPr>
                <w:p w14:paraId="39B4087F">
                  <w:pPr>
                    <w:pStyle w:val="79"/>
                    <w:spacing w:line="240" w:lineRule="auto"/>
                    <w:rPr>
                      <w:rFonts w:ascii="Times New Roman"/>
                      <w:bCs/>
                      <w:snapToGrid w:val="0"/>
                      <w:color w:val="auto"/>
                      <w:kern w:val="24"/>
                      <w:sz w:val="21"/>
                      <w:szCs w:val="21"/>
                      <w:highlight w:val="none"/>
                      <w:lang w:val="en-US"/>
                    </w:rPr>
                  </w:pPr>
                  <w:r>
                    <w:rPr>
                      <w:rFonts w:ascii="Times New Roman"/>
                      <w:bCs/>
                      <w:snapToGrid w:val="0"/>
                      <w:color w:val="auto"/>
                      <w:kern w:val="24"/>
                      <w:sz w:val="21"/>
                      <w:szCs w:val="21"/>
                      <w:highlight w:val="none"/>
                      <w:lang w:val="en-US"/>
                    </w:rPr>
                    <w:t>危险废物</w:t>
                  </w:r>
                </w:p>
              </w:tc>
              <w:tc>
                <w:tcPr>
                  <w:tcW w:w="482" w:type="pct"/>
                  <w:vAlign w:val="center"/>
                </w:tcPr>
                <w:p w14:paraId="70F0339D">
                  <w:pPr>
                    <w:adjustRightInd w:val="0"/>
                    <w:snapToGrid w:val="0"/>
                    <w:jc w:val="center"/>
                    <w:rPr>
                      <w:color w:val="auto"/>
                      <w:kern w:val="24"/>
                      <w:szCs w:val="21"/>
                      <w:highlight w:val="none"/>
                    </w:rPr>
                  </w:pPr>
                  <w:r>
                    <w:rPr>
                      <w:color w:val="auto"/>
                      <w:kern w:val="24"/>
                      <w:szCs w:val="21"/>
                      <w:highlight w:val="none"/>
                    </w:rPr>
                    <w:t>涂粉</w:t>
                  </w:r>
                </w:p>
              </w:tc>
              <w:tc>
                <w:tcPr>
                  <w:tcW w:w="396" w:type="pct"/>
                  <w:vAlign w:val="center"/>
                </w:tcPr>
                <w:p w14:paraId="65361F3E">
                  <w:pPr>
                    <w:adjustRightInd w:val="0"/>
                    <w:snapToGrid w:val="0"/>
                    <w:jc w:val="center"/>
                    <w:rPr>
                      <w:color w:val="auto"/>
                      <w:szCs w:val="21"/>
                      <w:highlight w:val="none"/>
                    </w:rPr>
                  </w:pPr>
                  <w:r>
                    <w:rPr>
                      <w:color w:val="auto"/>
                      <w:szCs w:val="21"/>
                      <w:highlight w:val="none"/>
                    </w:rPr>
                    <w:t>固态</w:t>
                  </w:r>
                </w:p>
              </w:tc>
              <w:tc>
                <w:tcPr>
                  <w:tcW w:w="554" w:type="pct"/>
                  <w:vAlign w:val="center"/>
                </w:tcPr>
                <w:p w14:paraId="0E56862F">
                  <w:pPr>
                    <w:adjustRightInd w:val="0"/>
                    <w:snapToGrid w:val="0"/>
                    <w:jc w:val="center"/>
                    <w:rPr>
                      <w:color w:val="auto"/>
                      <w:kern w:val="24"/>
                      <w:szCs w:val="21"/>
                      <w:highlight w:val="none"/>
                    </w:rPr>
                  </w:pPr>
                  <w:r>
                    <w:rPr>
                      <w:color w:val="auto"/>
                      <w:kern w:val="24"/>
                      <w:szCs w:val="21"/>
                      <w:highlight w:val="none"/>
                    </w:rPr>
                    <w:t>树脂粉</w:t>
                  </w:r>
                </w:p>
              </w:tc>
              <w:tc>
                <w:tcPr>
                  <w:tcW w:w="458" w:type="pct"/>
                  <w:vMerge w:val="continue"/>
                  <w:vAlign w:val="center"/>
                </w:tcPr>
                <w:p w14:paraId="1FD49C97">
                  <w:pPr>
                    <w:adjustRightInd w:val="0"/>
                    <w:snapToGrid w:val="0"/>
                    <w:jc w:val="center"/>
                    <w:rPr>
                      <w:bCs/>
                      <w:color w:val="auto"/>
                      <w:szCs w:val="21"/>
                      <w:highlight w:val="none"/>
                    </w:rPr>
                  </w:pPr>
                </w:p>
              </w:tc>
              <w:tc>
                <w:tcPr>
                  <w:tcW w:w="686" w:type="dxa"/>
                  <w:vAlign w:val="center"/>
                </w:tcPr>
                <w:p w14:paraId="5FF69D6B">
                  <w:pPr>
                    <w:adjustRightInd w:val="0"/>
                    <w:snapToGrid w:val="0"/>
                    <w:jc w:val="center"/>
                    <w:rPr>
                      <w:bCs/>
                      <w:color w:val="auto"/>
                      <w:szCs w:val="21"/>
                      <w:highlight w:val="none"/>
                    </w:rPr>
                  </w:pPr>
                  <w:r>
                    <w:rPr>
                      <w:bCs/>
                      <w:color w:val="auto"/>
                      <w:szCs w:val="21"/>
                      <w:highlight w:val="none"/>
                    </w:rPr>
                    <w:t>T</w:t>
                  </w:r>
                </w:p>
              </w:tc>
              <w:tc>
                <w:tcPr>
                  <w:tcW w:w="976" w:type="dxa"/>
                  <w:vAlign w:val="center"/>
                </w:tcPr>
                <w:p w14:paraId="5CA53A48">
                  <w:pPr>
                    <w:adjustRightInd w:val="0"/>
                    <w:snapToGrid w:val="0"/>
                    <w:jc w:val="center"/>
                    <w:rPr>
                      <w:bCs/>
                      <w:color w:val="auto"/>
                      <w:szCs w:val="21"/>
                      <w:highlight w:val="none"/>
                    </w:rPr>
                  </w:pPr>
                  <w:r>
                    <w:rPr>
                      <w:bCs/>
                      <w:color w:val="auto"/>
                      <w:szCs w:val="21"/>
                      <w:highlight w:val="none"/>
                    </w:rPr>
                    <w:t>HW13</w:t>
                  </w:r>
                </w:p>
              </w:tc>
              <w:tc>
                <w:tcPr>
                  <w:tcW w:w="1140" w:type="dxa"/>
                  <w:vAlign w:val="center"/>
                </w:tcPr>
                <w:p w14:paraId="473DAF7B">
                  <w:pPr>
                    <w:adjustRightInd w:val="0"/>
                    <w:snapToGrid w:val="0"/>
                    <w:jc w:val="center"/>
                    <w:rPr>
                      <w:bCs/>
                      <w:color w:val="auto"/>
                      <w:szCs w:val="21"/>
                      <w:highlight w:val="none"/>
                    </w:rPr>
                  </w:pPr>
                  <w:r>
                    <w:rPr>
                      <w:bCs/>
                      <w:color w:val="auto"/>
                      <w:szCs w:val="21"/>
                      <w:highlight w:val="none"/>
                    </w:rPr>
                    <w:t>900-014-13</w:t>
                  </w:r>
                </w:p>
              </w:tc>
              <w:tc>
                <w:tcPr>
                  <w:tcW w:w="464" w:type="pct"/>
                  <w:vAlign w:val="center"/>
                </w:tcPr>
                <w:p w14:paraId="2C18ADFD">
                  <w:pPr>
                    <w:adjustRightInd w:val="0"/>
                    <w:snapToGrid w:val="0"/>
                    <w:jc w:val="center"/>
                    <w:rPr>
                      <w:color w:val="auto"/>
                      <w:szCs w:val="21"/>
                      <w:highlight w:val="none"/>
                    </w:rPr>
                  </w:pPr>
                  <w:r>
                    <w:rPr>
                      <w:color w:val="auto"/>
                      <w:szCs w:val="21"/>
                      <w:highlight w:val="none"/>
                    </w:rPr>
                    <w:t>2.139</w:t>
                  </w:r>
                </w:p>
              </w:tc>
            </w:tr>
            <w:tr w14:paraId="66509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607A83E9">
                  <w:pPr>
                    <w:adjustRightInd w:val="0"/>
                    <w:snapToGrid w:val="0"/>
                    <w:jc w:val="center"/>
                    <w:rPr>
                      <w:bCs/>
                      <w:color w:val="auto"/>
                      <w:szCs w:val="21"/>
                      <w:highlight w:val="none"/>
                    </w:rPr>
                  </w:pPr>
                  <w:r>
                    <w:rPr>
                      <w:bCs/>
                      <w:color w:val="auto"/>
                      <w:szCs w:val="21"/>
                      <w:highlight w:val="none"/>
                    </w:rPr>
                    <w:t>3</w:t>
                  </w:r>
                </w:p>
              </w:tc>
              <w:tc>
                <w:tcPr>
                  <w:tcW w:w="634" w:type="pct"/>
                  <w:vAlign w:val="center"/>
                </w:tcPr>
                <w:p w14:paraId="5DBBA9B6">
                  <w:pPr>
                    <w:pStyle w:val="79"/>
                    <w:spacing w:line="240" w:lineRule="auto"/>
                    <w:rPr>
                      <w:rFonts w:ascii="Times New Roman"/>
                      <w:snapToGrid w:val="0"/>
                      <w:color w:val="auto"/>
                      <w:sz w:val="21"/>
                      <w:szCs w:val="21"/>
                      <w:highlight w:val="none"/>
                      <w:lang w:val="en-US"/>
                    </w:rPr>
                  </w:pPr>
                  <w:r>
                    <w:rPr>
                      <w:rFonts w:ascii="Times New Roman"/>
                      <w:color w:val="auto"/>
                      <w:kern w:val="24"/>
                      <w:sz w:val="21"/>
                      <w:szCs w:val="21"/>
                      <w:highlight w:val="none"/>
                      <w:lang w:val="en-US"/>
                    </w:rPr>
                    <w:t>废胶</w:t>
                  </w:r>
                </w:p>
              </w:tc>
              <w:tc>
                <w:tcPr>
                  <w:tcW w:w="374" w:type="pct"/>
                  <w:vMerge w:val="continue"/>
                  <w:vAlign w:val="center"/>
                </w:tcPr>
                <w:p w14:paraId="5FED7411">
                  <w:pPr>
                    <w:pStyle w:val="79"/>
                    <w:spacing w:line="240" w:lineRule="auto"/>
                    <w:rPr>
                      <w:rFonts w:ascii="Times New Roman"/>
                      <w:bCs/>
                      <w:snapToGrid w:val="0"/>
                      <w:color w:val="auto"/>
                      <w:kern w:val="24"/>
                      <w:sz w:val="21"/>
                      <w:szCs w:val="21"/>
                      <w:highlight w:val="none"/>
                      <w:lang w:val="en-US"/>
                    </w:rPr>
                  </w:pPr>
                </w:p>
              </w:tc>
              <w:tc>
                <w:tcPr>
                  <w:tcW w:w="482" w:type="pct"/>
                  <w:vAlign w:val="center"/>
                </w:tcPr>
                <w:p w14:paraId="30BD1AFA">
                  <w:pPr>
                    <w:pStyle w:val="79"/>
                    <w:spacing w:line="240" w:lineRule="auto"/>
                    <w:rPr>
                      <w:rFonts w:ascii="Times New Roman"/>
                      <w:color w:val="auto"/>
                      <w:kern w:val="24"/>
                      <w:sz w:val="21"/>
                      <w:szCs w:val="21"/>
                      <w:highlight w:val="none"/>
                      <w:lang w:val="en-US"/>
                    </w:rPr>
                  </w:pPr>
                  <w:r>
                    <w:rPr>
                      <w:rFonts w:ascii="Times New Roman"/>
                      <w:color w:val="auto"/>
                      <w:kern w:val="24"/>
                      <w:sz w:val="21"/>
                      <w:szCs w:val="21"/>
                      <w:highlight w:val="none"/>
                      <w:lang w:val="en-US"/>
                    </w:rPr>
                    <w:t>涂胶、滴胶</w:t>
                  </w:r>
                </w:p>
              </w:tc>
              <w:tc>
                <w:tcPr>
                  <w:tcW w:w="396" w:type="pct"/>
                  <w:vAlign w:val="center"/>
                </w:tcPr>
                <w:p w14:paraId="177E3089">
                  <w:pPr>
                    <w:adjustRightInd w:val="0"/>
                    <w:snapToGrid w:val="0"/>
                    <w:jc w:val="center"/>
                    <w:rPr>
                      <w:color w:val="auto"/>
                      <w:szCs w:val="21"/>
                      <w:highlight w:val="none"/>
                    </w:rPr>
                  </w:pPr>
                  <w:r>
                    <w:rPr>
                      <w:color w:val="auto"/>
                      <w:szCs w:val="21"/>
                      <w:highlight w:val="none"/>
                    </w:rPr>
                    <w:t>固态</w:t>
                  </w:r>
                </w:p>
              </w:tc>
              <w:tc>
                <w:tcPr>
                  <w:tcW w:w="554" w:type="pct"/>
                  <w:vAlign w:val="center"/>
                </w:tcPr>
                <w:p w14:paraId="6B4BC047">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树脂</w:t>
                  </w:r>
                </w:p>
              </w:tc>
              <w:tc>
                <w:tcPr>
                  <w:tcW w:w="458" w:type="pct"/>
                  <w:vMerge w:val="continue"/>
                  <w:vAlign w:val="center"/>
                </w:tcPr>
                <w:p w14:paraId="061F12F9">
                  <w:pPr>
                    <w:adjustRightInd w:val="0"/>
                    <w:snapToGrid w:val="0"/>
                    <w:jc w:val="center"/>
                    <w:rPr>
                      <w:bCs/>
                      <w:color w:val="auto"/>
                      <w:szCs w:val="21"/>
                      <w:highlight w:val="none"/>
                    </w:rPr>
                  </w:pPr>
                </w:p>
              </w:tc>
              <w:tc>
                <w:tcPr>
                  <w:tcW w:w="334" w:type="pct"/>
                  <w:vAlign w:val="center"/>
                </w:tcPr>
                <w:p w14:paraId="0365F733">
                  <w:pPr>
                    <w:adjustRightInd w:val="0"/>
                    <w:snapToGrid w:val="0"/>
                    <w:jc w:val="center"/>
                    <w:rPr>
                      <w:bCs/>
                      <w:color w:val="auto"/>
                      <w:szCs w:val="21"/>
                      <w:highlight w:val="none"/>
                    </w:rPr>
                  </w:pPr>
                  <w:r>
                    <w:rPr>
                      <w:bCs/>
                      <w:color w:val="auto"/>
                      <w:szCs w:val="21"/>
                      <w:highlight w:val="none"/>
                    </w:rPr>
                    <w:t>T</w:t>
                  </w:r>
                </w:p>
              </w:tc>
              <w:tc>
                <w:tcPr>
                  <w:tcW w:w="475" w:type="pct"/>
                  <w:vAlign w:val="center"/>
                </w:tcPr>
                <w:p w14:paraId="55D083E0">
                  <w:pPr>
                    <w:adjustRightInd w:val="0"/>
                    <w:snapToGrid w:val="0"/>
                    <w:jc w:val="center"/>
                    <w:rPr>
                      <w:bCs/>
                      <w:color w:val="auto"/>
                      <w:szCs w:val="21"/>
                      <w:highlight w:val="none"/>
                    </w:rPr>
                  </w:pPr>
                  <w:r>
                    <w:rPr>
                      <w:bCs/>
                      <w:color w:val="auto"/>
                      <w:szCs w:val="21"/>
                      <w:highlight w:val="none"/>
                    </w:rPr>
                    <w:t>HW13</w:t>
                  </w:r>
                </w:p>
              </w:tc>
              <w:tc>
                <w:tcPr>
                  <w:tcW w:w="555" w:type="pct"/>
                  <w:vAlign w:val="center"/>
                </w:tcPr>
                <w:p w14:paraId="5ADBA378">
                  <w:pPr>
                    <w:adjustRightInd w:val="0"/>
                    <w:snapToGrid w:val="0"/>
                    <w:jc w:val="center"/>
                    <w:rPr>
                      <w:bCs/>
                      <w:color w:val="auto"/>
                      <w:szCs w:val="21"/>
                      <w:highlight w:val="none"/>
                    </w:rPr>
                  </w:pPr>
                  <w:r>
                    <w:rPr>
                      <w:bCs/>
                      <w:color w:val="auto"/>
                      <w:szCs w:val="21"/>
                      <w:highlight w:val="none"/>
                    </w:rPr>
                    <w:t>900-014-13</w:t>
                  </w:r>
                </w:p>
              </w:tc>
              <w:tc>
                <w:tcPr>
                  <w:tcW w:w="464" w:type="pct"/>
                  <w:vAlign w:val="center"/>
                </w:tcPr>
                <w:p w14:paraId="45C8B29B">
                  <w:pPr>
                    <w:adjustRightInd w:val="0"/>
                    <w:snapToGrid w:val="0"/>
                    <w:jc w:val="center"/>
                    <w:rPr>
                      <w:bCs/>
                      <w:color w:val="auto"/>
                      <w:szCs w:val="21"/>
                      <w:highlight w:val="none"/>
                    </w:rPr>
                  </w:pPr>
                  <w:r>
                    <w:rPr>
                      <w:bCs/>
                      <w:color w:val="auto"/>
                      <w:szCs w:val="21"/>
                      <w:highlight w:val="none"/>
                    </w:rPr>
                    <w:t>1.11</w:t>
                  </w:r>
                </w:p>
              </w:tc>
            </w:tr>
            <w:tr w14:paraId="250AF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59A954E9">
                  <w:pPr>
                    <w:adjustRightInd w:val="0"/>
                    <w:snapToGrid w:val="0"/>
                    <w:jc w:val="center"/>
                    <w:rPr>
                      <w:bCs/>
                      <w:color w:val="auto"/>
                      <w:szCs w:val="21"/>
                      <w:highlight w:val="none"/>
                    </w:rPr>
                  </w:pPr>
                  <w:r>
                    <w:rPr>
                      <w:bCs/>
                      <w:color w:val="auto"/>
                      <w:szCs w:val="21"/>
                      <w:highlight w:val="none"/>
                    </w:rPr>
                    <w:t>4</w:t>
                  </w:r>
                </w:p>
              </w:tc>
              <w:tc>
                <w:tcPr>
                  <w:tcW w:w="634" w:type="pct"/>
                  <w:vAlign w:val="center"/>
                </w:tcPr>
                <w:p w14:paraId="5F6D2792">
                  <w:pPr>
                    <w:pStyle w:val="79"/>
                    <w:spacing w:line="240" w:lineRule="auto"/>
                    <w:rPr>
                      <w:rFonts w:ascii="Times New Roman"/>
                      <w:snapToGrid w:val="0"/>
                      <w:color w:val="auto"/>
                      <w:sz w:val="21"/>
                      <w:szCs w:val="21"/>
                      <w:highlight w:val="none"/>
                      <w:lang w:val="en-US"/>
                    </w:rPr>
                  </w:pPr>
                  <w:r>
                    <w:rPr>
                      <w:rFonts w:ascii="Times New Roman"/>
                      <w:color w:val="auto"/>
                      <w:kern w:val="24"/>
                      <w:sz w:val="21"/>
                      <w:szCs w:val="21"/>
                      <w:highlight w:val="none"/>
                      <w:lang w:val="en-US"/>
                    </w:rPr>
                    <w:t>废包装桶</w:t>
                  </w:r>
                </w:p>
              </w:tc>
              <w:tc>
                <w:tcPr>
                  <w:tcW w:w="374" w:type="pct"/>
                  <w:vMerge w:val="continue"/>
                  <w:vAlign w:val="center"/>
                </w:tcPr>
                <w:p w14:paraId="12FFABBE">
                  <w:pPr>
                    <w:pStyle w:val="79"/>
                    <w:spacing w:line="240" w:lineRule="auto"/>
                    <w:rPr>
                      <w:rFonts w:ascii="Times New Roman"/>
                      <w:color w:val="auto"/>
                      <w:kern w:val="24"/>
                      <w:sz w:val="21"/>
                      <w:szCs w:val="21"/>
                      <w:highlight w:val="none"/>
                      <w:lang w:val="en-US"/>
                    </w:rPr>
                  </w:pPr>
                </w:p>
              </w:tc>
              <w:tc>
                <w:tcPr>
                  <w:tcW w:w="482" w:type="pct"/>
                  <w:vAlign w:val="center"/>
                </w:tcPr>
                <w:p w14:paraId="09220F63">
                  <w:pPr>
                    <w:pStyle w:val="79"/>
                    <w:spacing w:line="240" w:lineRule="auto"/>
                    <w:rPr>
                      <w:rFonts w:ascii="Times New Roman"/>
                      <w:color w:val="auto"/>
                      <w:kern w:val="24"/>
                      <w:sz w:val="21"/>
                      <w:szCs w:val="21"/>
                      <w:highlight w:val="none"/>
                      <w:lang w:val="en-US"/>
                    </w:rPr>
                  </w:pPr>
                  <w:r>
                    <w:rPr>
                      <w:rFonts w:ascii="Times New Roman"/>
                      <w:bCs/>
                      <w:snapToGrid w:val="0"/>
                      <w:color w:val="auto"/>
                      <w:kern w:val="24"/>
                      <w:sz w:val="21"/>
                      <w:szCs w:val="21"/>
                      <w:highlight w:val="none"/>
                      <w:lang w:val="en-US"/>
                    </w:rPr>
                    <w:t>原料包装</w:t>
                  </w:r>
                </w:p>
              </w:tc>
              <w:tc>
                <w:tcPr>
                  <w:tcW w:w="396" w:type="pct"/>
                  <w:vAlign w:val="center"/>
                </w:tcPr>
                <w:p w14:paraId="193C1D62">
                  <w:pPr>
                    <w:adjustRightInd w:val="0"/>
                    <w:snapToGrid w:val="0"/>
                    <w:jc w:val="center"/>
                    <w:rPr>
                      <w:color w:val="auto"/>
                      <w:szCs w:val="21"/>
                      <w:highlight w:val="none"/>
                    </w:rPr>
                  </w:pPr>
                  <w:r>
                    <w:rPr>
                      <w:color w:val="auto"/>
                      <w:szCs w:val="21"/>
                      <w:highlight w:val="none"/>
                    </w:rPr>
                    <w:t>固态</w:t>
                  </w:r>
                </w:p>
              </w:tc>
              <w:tc>
                <w:tcPr>
                  <w:tcW w:w="554" w:type="pct"/>
                  <w:vAlign w:val="center"/>
                </w:tcPr>
                <w:p w14:paraId="3206933D">
                  <w:pPr>
                    <w:pStyle w:val="79"/>
                    <w:spacing w:line="240" w:lineRule="auto"/>
                    <w:rPr>
                      <w:rFonts w:ascii="Times New Roman"/>
                      <w:snapToGrid w:val="0"/>
                      <w:color w:val="auto"/>
                      <w:sz w:val="21"/>
                      <w:szCs w:val="21"/>
                      <w:highlight w:val="none"/>
                      <w:lang w:val="en-US"/>
                    </w:rPr>
                  </w:pPr>
                  <w:r>
                    <w:rPr>
                      <w:rFonts w:ascii="Times New Roman"/>
                      <w:bCs/>
                      <w:snapToGrid w:val="0"/>
                      <w:color w:val="auto"/>
                      <w:sz w:val="21"/>
                      <w:szCs w:val="21"/>
                      <w:highlight w:val="none"/>
                      <w:lang w:val="en-US"/>
                    </w:rPr>
                    <w:t>塑料、铁</w:t>
                  </w:r>
                  <w:r>
                    <w:rPr>
                      <w:rFonts w:hint="eastAsia" w:ascii="Times New Roman"/>
                      <w:bCs/>
                      <w:snapToGrid w:val="0"/>
                      <w:color w:val="auto"/>
                      <w:sz w:val="21"/>
                      <w:szCs w:val="21"/>
                      <w:highlight w:val="none"/>
                      <w:lang w:val="en-US" w:eastAsia="zh-Hans"/>
                    </w:rPr>
                    <w:t>、油</w:t>
                  </w:r>
                </w:p>
              </w:tc>
              <w:tc>
                <w:tcPr>
                  <w:tcW w:w="458" w:type="pct"/>
                  <w:vMerge w:val="continue"/>
                  <w:vAlign w:val="center"/>
                </w:tcPr>
                <w:p w14:paraId="0511380B">
                  <w:pPr>
                    <w:adjustRightInd w:val="0"/>
                    <w:snapToGrid w:val="0"/>
                    <w:jc w:val="center"/>
                    <w:rPr>
                      <w:bCs/>
                      <w:color w:val="auto"/>
                      <w:szCs w:val="21"/>
                      <w:highlight w:val="none"/>
                    </w:rPr>
                  </w:pPr>
                </w:p>
              </w:tc>
              <w:tc>
                <w:tcPr>
                  <w:tcW w:w="334" w:type="pct"/>
                  <w:vAlign w:val="center"/>
                </w:tcPr>
                <w:p w14:paraId="18B7CB9C">
                  <w:pPr>
                    <w:adjustRightInd w:val="0"/>
                    <w:snapToGrid w:val="0"/>
                    <w:jc w:val="center"/>
                    <w:rPr>
                      <w:bCs/>
                      <w:color w:val="auto"/>
                      <w:szCs w:val="21"/>
                      <w:highlight w:val="none"/>
                    </w:rPr>
                  </w:pPr>
                  <w:r>
                    <w:rPr>
                      <w:bCs/>
                      <w:color w:val="auto"/>
                      <w:szCs w:val="21"/>
                      <w:highlight w:val="none"/>
                    </w:rPr>
                    <w:t>T/In</w:t>
                  </w:r>
                </w:p>
              </w:tc>
              <w:tc>
                <w:tcPr>
                  <w:tcW w:w="475" w:type="pct"/>
                  <w:vAlign w:val="center"/>
                </w:tcPr>
                <w:p w14:paraId="0E95C3C0">
                  <w:pPr>
                    <w:adjustRightInd w:val="0"/>
                    <w:snapToGrid w:val="0"/>
                    <w:jc w:val="center"/>
                    <w:rPr>
                      <w:bCs/>
                      <w:color w:val="auto"/>
                      <w:szCs w:val="21"/>
                      <w:highlight w:val="none"/>
                    </w:rPr>
                  </w:pPr>
                  <w:r>
                    <w:rPr>
                      <w:bCs/>
                      <w:color w:val="auto"/>
                      <w:szCs w:val="21"/>
                      <w:highlight w:val="none"/>
                    </w:rPr>
                    <w:t>HW49</w:t>
                  </w:r>
                </w:p>
              </w:tc>
              <w:tc>
                <w:tcPr>
                  <w:tcW w:w="555" w:type="pct"/>
                  <w:vAlign w:val="center"/>
                </w:tcPr>
                <w:p w14:paraId="071165D1">
                  <w:pPr>
                    <w:adjustRightInd w:val="0"/>
                    <w:snapToGrid w:val="0"/>
                    <w:jc w:val="center"/>
                    <w:rPr>
                      <w:bCs/>
                      <w:color w:val="auto"/>
                      <w:szCs w:val="21"/>
                      <w:highlight w:val="none"/>
                    </w:rPr>
                  </w:pPr>
                  <w:r>
                    <w:rPr>
                      <w:bCs/>
                      <w:color w:val="auto"/>
                      <w:szCs w:val="21"/>
                      <w:highlight w:val="none"/>
                    </w:rPr>
                    <w:t>900-041-49</w:t>
                  </w:r>
                </w:p>
              </w:tc>
              <w:tc>
                <w:tcPr>
                  <w:tcW w:w="464" w:type="pct"/>
                  <w:vAlign w:val="center"/>
                </w:tcPr>
                <w:p w14:paraId="47CFBC78">
                  <w:pPr>
                    <w:adjustRightInd w:val="0"/>
                    <w:snapToGrid w:val="0"/>
                    <w:jc w:val="center"/>
                    <w:rPr>
                      <w:bCs/>
                      <w:color w:val="auto"/>
                      <w:szCs w:val="21"/>
                      <w:highlight w:val="none"/>
                    </w:rPr>
                  </w:pPr>
                  <w:r>
                    <w:rPr>
                      <w:bCs/>
                      <w:color w:val="auto"/>
                      <w:szCs w:val="21"/>
                      <w:highlight w:val="none"/>
                    </w:rPr>
                    <w:t>0.25</w:t>
                  </w:r>
                </w:p>
              </w:tc>
            </w:tr>
            <w:tr w14:paraId="77CB8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26D4B1C5">
                  <w:pPr>
                    <w:adjustRightInd w:val="0"/>
                    <w:snapToGrid w:val="0"/>
                    <w:jc w:val="center"/>
                    <w:rPr>
                      <w:bCs/>
                      <w:color w:val="auto"/>
                      <w:szCs w:val="21"/>
                      <w:highlight w:val="none"/>
                    </w:rPr>
                  </w:pPr>
                  <w:r>
                    <w:rPr>
                      <w:bCs/>
                      <w:color w:val="auto"/>
                      <w:szCs w:val="21"/>
                      <w:highlight w:val="none"/>
                    </w:rPr>
                    <w:t>5</w:t>
                  </w:r>
                </w:p>
              </w:tc>
              <w:tc>
                <w:tcPr>
                  <w:tcW w:w="634" w:type="pct"/>
                  <w:vAlign w:val="center"/>
                </w:tcPr>
                <w:p w14:paraId="6C3145AB">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废手套</w:t>
                  </w:r>
                </w:p>
              </w:tc>
              <w:tc>
                <w:tcPr>
                  <w:tcW w:w="374" w:type="pct"/>
                  <w:vMerge w:val="continue"/>
                  <w:vAlign w:val="center"/>
                </w:tcPr>
                <w:p w14:paraId="6C3D7AB7">
                  <w:pPr>
                    <w:pStyle w:val="79"/>
                    <w:spacing w:line="240" w:lineRule="auto"/>
                    <w:rPr>
                      <w:rFonts w:ascii="Times New Roman"/>
                      <w:snapToGrid w:val="0"/>
                      <w:color w:val="auto"/>
                      <w:sz w:val="21"/>
                      <w:szCs w:val="21"/>
                      <w:highlight w:val="none"/>
                      <w:lang w:val="en-US"/>
                    </w:rPr>
                  </w:pPr>
                </w:p>
              </w:tc>
              <w:tc>
                <w:tcPr>
                  <w:tcW w:w="482" w:type="pct"/>
                  <w:vAlign w:val="center"/>
                </w:tcPr>
                <w:p w14:paraId="06C950BF">
                  <w:pPr>
                    <w:pStyle w:val="79"/>
                    <w:spacing w:line="240" w:lineRule="auto"/>
                    <w:rPr>
                      <w:rFonts w:ascii="Times New Roman"/>
                      <w:bCs/>
                      <w:snapToGrid w:val="0"/>
                      <w:color w:val="auto"/>
                      <w:sz w:val="21"/>
                      <w:szCs w:val="21"/>
                      <w:highlight w:val="none"/>
                      <w:lang w:val="en-US"/>
                    </w:rPr>
                  </w:pPr>
                  <w:r>
                    <w:rPr>
                      <w:rFonts w:ascii="Times New Roman"/>
                      <w:bCs/>
                      <w:snapToGrid w:val="0"/>
                      <w:color w:val="auto"/>
                      <w:sz w:val="21"/>
                      <w:szCs w:val="21"/>
                      <w:highlight w:val="none"/>
                      <w:lang w:val="en-US"/>
                    </w:rPr>
                    <w:t>生产过程</w:t>
                  </w:r>
                </w:p>
              </w:tc>
              <w:tc>
                <w:tcPr>
                  <w:tcW w:w="396" w:type="pct"/>
                  <w:vAlign w:val="center"/>
                </w:tcPr>
                <w:p w14:paraId="01A8962A">
                  <w:pPr>
                    <w:adjustRightInd w:val="0"/>
                    <w:snapToGrid w:val="0"/>
                    <w:jc w:val="center"/>
                    <w:rPr>
                      <w:color w:val="auto"/>
                      <w:szCs w:val="21"/>
                      <w:highlight w:val="none"/>
                    </w:rPr>
                  </w:pPr>
                  <w:r>
                    <w:rPr>
                      <w:bCs/>
                      <w:color w:val="auto"/>
                      <w:szCs w:val="21"/>
                      <w:highlight w:val="none"/>
                    </w:rPr>
                    <w:t>固态</w:t>
                  </w:r>
                </w:p>
              </w:tc>
              <w:tc>
                <w:tcPr>
                  <w:tcW w:w="554" w:type="pct"/>
                  <w:vAlign w:val="center"/>
                </w:tcPr>
                <w:p w14:paraId="2EC5F3D6">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布、胶</w:t>
                  </w:r>
                </w:p>
              </w:tc>
              <w:tc>
                <w:tcPr>
                  <w:tcW w:w="458" w:type="pct"/>
                  <w:vMerge w:val="continue"/>
                  <w:vAlign w:val="center"/>
                </w:tcPr>
                <w:p w14:paraId="0A3BF1E3">
                  <w:pPr>
                    <w:adjustRightInd w:val="0"/>
                    <w:snapToGrid w:val="0"/>
                    <w:jc w:val="center"/>
                    <w:rPr>
                      <w:bCs/>
                      <w:color w:val="auto"/>
                      <w:szCs w:val="21"/>
                      <w:highlight w:val="none"/>
                    </w:rPr>
                  </w:pPr>
                </w:p>
              </w:tc>
              <w:tc>
                <w:tcPr>
                  <w:tcW w:w="334" w:type="pct"/>
                  <w:vAlign w:val="center"/>
                </w:tcPr>
                <w:p w14:paraId="0C79AC24">
                  <w:pPr>
                    <w:adjustRightInd w:val="0"/>
                    <w:snapToGrid w:val="0"/>
                    <w:jc w:val="center"/>
                    <w:rPr>
                      <w:bCs/>
                      <w:color w:val="auto"/>
                      <w:szCs w:val="21"/>
                      <w:highlight w:val="none"/>
                    </w:rPr>
                  </w:pPr>
                  <w:r>
                    <w:rPr>
                      <w:bCs/>
                      <w:color w:val="auto"/>
                      <w:szCs w:val="21"/>
                      <w:highlight w:val="none"/>
                    </w:rPr>
                    <w:t>T/In</w:t>
                  </w:r>
                </w:p>
              </w:tc>
              <w:tc>
                <w:tcPr>
                  <w:tcW w:w="475" w:type="pct"/>
                  <w:vAlign w:val="center"/>
                </w:tcPr>
                <w:p w14:paraId="0289B446">
                  <w:pPr>
                    <w:adjustRightInd w:val="0"/>
                    <w:snapToGrid w:val="0"/>
                    <w:jc w:val="center"/>
                    <w:rPr>
                      <w:bCs/>
                      <w:color w:val="auto"/>
                      <w:szCs w:val="21"/>
                      <w:highlight w:val="none"/>
                    </w:rPr>
                  </w:pPr>
                  <w:r>
                    <w:rPr>
                      <w:bCs/>
                      <w:color w:val="auto"/>
                      <w:szCs w:val="21"/>
                      <w:highlight w:val="none"/>
                    </w:rPr>
                    <w:t>HW49</w:t>
                  </w:r>
                </w:p>
              </w:tc>
              <w:tc>
                <w:tcPr>
                  <w:tcW w:w="555" w:type="pct"/>
                  <w:vAlign w:val="center"/>
                </w:tcPr>
                <w:p w14:paraId="35736F7B">
                  <w:pPr>
                    <w:adjustRightInd w:val="0"/>
                    <w:snapToGrid w:val="0"/>
                    <w:jc w:val="center"/>
                    <w:rPr>
                      <w:bCs/>
                      <w:color w:val="auto"/>
                      <w:szCs w:val="21"/>
                      <w:highlight w:val="none"/>
                    </w:rPr>
                  </w:pPr>
                  <w:r>
                    <w:rPr>
                      <w:bCs/>
                      <w:color w:val="auto"/>
                      <w:szCs w:val="21"/>
                      <w:highlight w:val="none"/>
                    </w:rPr>
                    <w:t>900-041-49</w:t>
                  </w:r>
                </w:p>
              </w:tc>
              <w:tc>
                <w:tcPr>
                  <w:tcW w:w="464" w:type="pct"/>
                  <w:vAlign w:val="center"/>
                </w:tcPr>
                <w:p w14:paraId="04ABA83C">
                  <w:pPr>
                    <w:adjustRightInd w:val="0"/>
                    <w:snapToGrid w:val="0"/>
                    <w:jc w:val="center"/>
                    <w:rPr>
                      <w:bCs/>
                      <w:color w:val="auto"/>
                      <w:szCs w:val="21"/>
                      <w:highlight w:val="none"/>
                    </w:rPr>
                  </w:pPr>
                  <w:r>
                    <w:rPr>
                      <w:bCs/>
                      <w:color w:val="auto"/>
                      <w:szCs w:val="21"/>
                      <w:highlight w:val="none"/>
                    </w:rPr>
                    <w:t>0.02</w:t>
                  </w:r>
                </w:p>
              </w:tc>
            </w:tr>
            <w:tr w14:paraId="40E8C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0E9C6B64">
                  <w:pPr>
                    <w:adjustRightInd w:val="0"/>
                    <w:snapToGrid w:val="0"/>
                    <w:jc w:val="center"/>
                    <w:rPr>
                      <w:bCs/>
                      <w:color w:val="auto"/>
                      <w:szCs w:val="21"/>
                      <w:highlight w:val="none"/>
                    </w:rPr>
                  </w:pPr>
                  <w:r>
                    <w:rPr>
                      <w:bCs/>
                      <w:color w:val="auto"/>
                      <w:szCs w:val="21"/>
                      <w:highlight w:val="none"/>
                    </w:rPr>
                    <w:t>6</w:t>
                  </w:r>
                </w:p>
              </w:tc>
              <w:tc>
                <w:tcPr>
                  <w:tcW w:w="634" w:type="pct"/>
                  <w:vAlign w:val="center"/>
                </w:tcPr>
                <w:p w14:paraId="17DA979E">
                  <w:pPr>
                    <w:pStyle w:val="79"/>
                    <w:spacing w:line="240" w:lineRule="auto"/>
                    <w:rPr>
                      <w:rFonts w:ascii="Times New Roman"/>
                      <w:bCs/>
                      <w:snapToGrid w:val="0"/>
                      <w:color w:val="auto"/>
                      <w:sz w:val="21"/>
                      <w:szCs w:val="21"/>
                      <w:highlight w:val="none"/>
                      <w:lang w:val="en-US"/>
                    </w:rPr>
                  </w:pPr>
                  <w:r>
                    <w:rPr>
                      <w:rFonts w:ascii="Times New Roman"/>
                      <w:bCs/>
                      <w:snapToGrid w:val="0"/>
                      <w:color w:val="auto"/>
                      <w:sz w:val="21"/>
                      <w:szCs w:val="21"/>
                      <w:highlight w:val="none"/>
                      <w:lang w:val="en-US"/>
                    </w:rPr>
                    <w:t>废活性炭</w:t>
                  </w:r>
                </w:p>
              </w:tc>
              <w:tc>
                <w:tcPr>
                  <w:tcW w:w="374" w:type="pct"/>
                  <w:vMerge w:val="continue"/>
                  <w:vAlign w:val="center"/>
                </w:tcPr>
                <w:p w14:paraId="31741585">
                  <w:pPr>
                    <w:pStyle w:val="79"/>
                    <w:spacing w:line="240" w:lineRule="auto"/>
                    <w:rPr>
                      <w:rFonts w:ascii="Times New Roman"/>
                      <w:snapToGrid w:val="0"/>
                      <w:color w:val="auto"/>
                      <w:sz w:val="21"/>
                      <w:szCs w:val="21"/>
                      <w:highlight w:val="none"/>
                      <w:lang w:val="en-US"/>
                    </w:rPr>
                  </w:pPr>
                </w:p>
              </w:tc>
              <w:tc>
                <w:tcPr>
                  <w:tcW w:w="482" w:type="pct"/>
                  <w:vMerge w:val="restart"/>
                  <w:vAlign w:val="center"/>
                </w:tcPr>
                <w:p w14:paraId="369BAD18">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废气处理</w:t>
                  </w:r>
                </w:p>
              </w:tc>
              <w:tc>
                <w:tcPr>
                  <w:tcW w:w="396" w:type="pct"/>
                  <w:vAlign w:val="center"/>
                </w:tcPr>
                <w:p w14:paraId="7088DF1B">
                  <w:pPr>
                    <w:adjustRightInd w:val="0"/>
                    <w:snapToGrid w:val="0"/>
                    <w:jc w:val="center"/>
                    <w:rPr>
                      <w:bCs/>
                      <w:color w:val="auto"/>
                      <w:szCs w:val="21"/>
                      <w:highlight w:val="none"/>
                    </w:rPr>
                  </w:pPr>
                  <w:r>
                    <w:rPr>
                      <w:bCs/>
                      <w:color w:val="auto"/>
                      <w:szCs w:val="21"/>
                      <w:highlight w:val="none"/>
                    </w:rPr>
                    <w:t>固态</w:t>
                  </w:r>
                </w:p>
              </w:tc>
              <w:tc>
                <w:tcPr>
                  <w:tcW w:w="554" w:type="pct"/>
                  <w:vAlign w:val="center"/>
                </w:tcPr>
                <w:p w14:paraId="3014B7B5">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活性炭、有机物</w:t>
                  </w:r>
                </w:p>
              </w:tc>
              <w:tc>
                <w:tcPr>
                  <w:tcW w:w="458" w:type="pct"/>
                  <w:vMerge w:val="continue"/>
                  <w:vAlign w:val="center"/>
                </w:tcPr>
                <w:p w14:paraId="7953599B">
                  <w:pPr>
                    <w:adjustRightInd w:val="0"/>
                    <w:snapToGrid w:val="0"/>
                    <w:jc w:val="center"/>
                    <w:rPr>
                      <w:bCs/>
                      <w:color w:val="auto"/>
                      <w:szCs w:val="21"/>
                      <w:highlight w:val="none"/>
                    </w:rPr>
                  </w:pPr>
                </w:p>
              </w:tc>
              <w:tc>
                <w:tcPr>
                  <w:tcW w:w="334" w:type="pct"/>
                  <w:vAlign w:val="center"/>
                </w:tcPr>
                <w:p w14:paraId="41881D97">
                  <w:pPr>
                    <w:adjustRightInd w:val="0"/>
                    <w:snapToGrid w:val="0"/>
                    <w:jc w:val="center"/>
                    <w:rPr>
                      <w:bCs/>
                      <w:color w:val="auto"/>
                      <w:szCs w:val="21"/>
                      <w:highlight w:val="none"/>
                    </w:rPr>
                  </w:pPr>
                  <w:r>
                    <w:rPr>
                      <w:bCs/>
                      <w:color w:val="auto"/>
                      <w:szCs w:val="21"/>
                      <w:highlight w:val="none"/>
                    </w:rPr>
                    <w:t>T</w:t>
                  </w:r>
                </w:p>
              </w:tc>
              <w:tc>
                <w:tcPr>
                  <w:tcW w:w="475" w:type="pct"/>
                  <w:vAlign w:val="center"/>
                </w:tcPr>
                <w:p w14:paraId="4376468D">
                  <w:pPr>
                    <w:adjustRightInd w:val="0"/>
                    <w:snapToGrid w:val="0"/>
                    <w:jc w:val="center"/>
                    <w:rPr>
                      <w:bCs/>
                      <w:color w:val="auto"/>
                      <w:szCs w:val="21"/>
                      <w:highlight w:val="none"/>
                    </w:rPr>
                  </w:pPr>
                  <w:r>
                    <w:rPr>
                      <w:bCs/>
                      <w:color w:val="auto"/>
                      <w:szCs w:val="21"/>
                      <w:highlight w:val="none"/>
                    </w:rPr>
                    <w:t>HW49</w:t>
                  </w:r>
                </w:p>
              </w:tc>
              <w:tc>
                <w:tcPr>
                  <w:tcW w:w="555" w:type="pct"/>
                  <w:vAlign w:val="center"/>
                </w:tcPr>
                <w:p w14:paraId="4C6075C5">
                  <w:pPr>
                    <w:adjustRightInd w:val="0"/>
                    <w:snapToGrid w:val="0"/>
                    <w:jc w:val="center"/>
                    <w:rPr>
                      <w:bCs/>
                      <w:color w:val="auto"/>
                      <w:szCs w:val="21"/>
                      <w:highlight w:val="none"/>
                    </w:rPr>
                  </w:pPr>
                  <w:r>
                    <w:rPr>
                      <w:bCs/>
                      <w:color w:val="auto"/>
                      <w:szCs w:val="21"/>
                      <w:highlight w:val="none"/>
                    </w:rPr>
                    <w:t>900-039-49</w:t>
                  </w:r>
                </w:p>
              </w:tc>
              <w:tc>
                <w:tcPr>
                  <w:tcW w:w="464" w:type="pct"/>
                  <w:vAlign w:val="center"/>
                </w:tcPr>
                <w:p w14:paraId="0DF5A532">
                  <w:pPr>
                    <w:adjustRightInd w:val="0"/>
                    <w:snapToGrid w:val="0"/>
                    <w:jc w:val="center"/>
                    <w:rPr>
                      <w:bCs/>
                      <w:color w:val="auto"/>
                      <w:szCs w:val="21"/>
                      <w:highlight w:val="none"/>
                    </w:rPr>
                  </w:pPr>
                  <w:r>
                    <w:rPr>
                      <w:rFonts w:hint="eastAsia"/>
                      <w:bCs/>
                      <w:color w:val="auto"/>
                      <w:szCs w:val="21"/>
                      <w:highlight w:val="none"/>
                      <w:lang w:eastAsia="zh-CN"/>
                    </w:rPr>
                    <w:t>44.0901</w:t>
                  </w:r>
                </w:p>
              </w:tc>
            </w:tr>
            <w:tr w14:paraId="06AD6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5DFB0932">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7</w:t>
                  </w:r>
                </w:p>
              </w:tc>
              <w:tc>
                <w:tcPr>
                  <w:tcW w:w="634" w:type="pct"/>
                  <w:vAlign w:val="center"/>
                </w:tcPr>
                <w:p w14:paraId="0A40B20F">
                  <w:pPr>
                    <w:pStyle w:val="79"/>
                    <w:spacing w:line="240" w:lineRule="auto"/>
                    <w:rPr>
                      <w:rFonts w:hint="eastAsia" w:ascii="Times New Roman" w:eastAsia="宋体"/>
                      <w:bCs/>
                      <w:snapToGrid w:val="0"/>
                      <w:color w:val="auto"/>
                      <w:sz w:val="21"/>
                      <w:szCs w:val="21"/>
                      <w:highlight w:val="none"/>
                      <w:lang w:val="en-US" w:eastAsia="zh-Hans"/>
                    </w:rPr>
                  </w:pPr>
                  <w:r>
                    <w:rPr>
                      <w:rFonts w:hint="eastAsia" w:ascii="Times New Roman"/>
                      <w:bCs/>
                      <w:snapToGrid w:val="0"/>
                      <w:color w:val="auto"/>
                      <w:sz w:val="21"/>
                      <w:szCs w:val="21"/>
                      <w:highlight w:val="none"/>
                      <w:lang w:val="en-US" w:eastAsia="zh-Hans"/>
                    </w:rPr>
                    <w:t>废润滑油</w:t>
                  </w:r>
                </w:p>
              </w:tc>
              <w:tc>
                <w:tcPr>
                  <w:tcW w:w="374" w:type="pct"/>
                  <w:vMerge w:val="continue"/>
                  <w:vAlign w:val="center"/>
                </w:tcPr>
                <w:p w14:paraId="53EA2A0B">
                  <w:pPr>
                    <w:pStyle w:val="79"/>
                    <w:spacing w:line="240" w:lineRule="auto"/>
                    <w:rPr>
                      <w:rFonts w:ascii="Times New Roman"/>
                      <w:snapToGrid w:val="0"/>
                      <w:color w:val="auto"/>
                      <w:sz w:val="21"/>
                      <w:szCs w:val="21"/>
                      <w:highlight w:val="none"/>
                      <w:lang w:val="en-US"/>
                    </w:rPr>
                  </w:pPr>
                </w:p>
              </w:tc>
              <w:tc>
                <w:tcPr>
                  <w:tcW w:w="482" w:type="pct"/>
                  <w:vMerge w:val="continue"/>
                  <w:vAlign w:val="center"/>
                </w:tcPr>
                <w:p w14:paraId="49C5970A">
                  <w:pPr>
                    <w:pStyle w:val="79"/>
                    <w:spacing w:line="240" w:lineRule="auto"/>
                    <w:rPr>
                      <w:rFonts w:ascii="Times New Roman"/>
                      <w:snapToGrid w:val="0"/>
                      <w:color w:val="auto"/>
                      <w:sz w:val="21"/>
                      <w:szCs w:val="21"/>
                      <w:highlight w:val="none"/>
                      <w:lang w:val="en-US"/>
                    </w:rPr>
                  </w:pPr>
                </w:p>
              </w:tc>
              <w:tc>
                <w:tcPr>
                  <w:tcW w:w="396" w:type="pct"/>
                  <w:vAlign w:val="center"/>
                </w:tcPr>
                <w:p w14:paraId="14D6551E">
                  <w:pPr>
                    <w:adjustRightInd w:val="0"/>
                    <w:snapToGrid w:val="0"/>
                    <w:jc w:val="center"/>
                    <w:rPr>
                      <w:rFonts w:hint="eastAsia" w:eastAsia="宋体"/>
                      <w:bCs/>
                      <w:color w:val="auto"/>
                      <w:szCs w:val="21"/>
                      <w:highlight w:val="none"/>
                      <w:lang w:val="en-US" w:eastAsia="zh-Hans"/>
                    </w:rPr>
                  </w:pPr>
                  <w:r>
                    <w:rPr>
                      <w:rFonts w:hint="eastAsia"/>
                      <w:bCs/>
                      <w:color w:val="auto"/>
                      <w:szCs w:val="21"/>
                      <w:highlight w:val="none"/>
                      <w:lang w:val="en-US" w:eastAsia="zh-Hans"/>
                    </w:rPr>
                    <w:t>液态</w:t>
                  </w:r>
                </w:p>
              </w:tc>
              <w:tc>
                <w:tcPr>
                  <w:tcW w:w="554" w:type="pct"/>
                  <w:vAlign w:val="center"/>
                </w:tcPr>
                <w:p w14:paraId="5DC9E2D1">
                  <w:pPr>
                    <w:pStyle w:val="79"/>
                    <w:spacing w:line="240" w:lineRule="auto"/>
                    <w:rPr>
                      <w:rFonts w:hint="eastAsia" w:ascii="Times New Roman" w:eastAsia="宋体"/>
                      <w:snapToGrid w:val="0"/>
                      <w:color w:val="auto"/>
                      <w:sz w:val="21"/>
                      <w:szCs w:val="21"/>
                      <w:highlight w:val="none"/>
                      <w:lang w:val="en-US" w:eastAsia="zh-Hans"/>
                    </w:rPr>
                  </w:pPr>
                  <w:r>
                    <w:rPr>
                      <w:rFonts w:hint="eastAsia" w:ascii="Times New Roman"/>
                      <w:snapToGrid w:val="0"/>
                      <w:color w:val="auto"/>
                      <w:sz w:val="21"/>
                      <w:szCs w:val="21"/>
                      <w:highlight w:val="none"/>
                      <w:lang w:val="en-US" w:eastAsia="zh-Hans"/>
                    </w:rPr>
                    <w:t>润滑油</w:t>
                  </w:r>
                </w:p>
              </w:tc>
              <w:tc>
                <w:tcPr>
                  <w:tcW w:w="458" w:type="pct"/>
                  <w:vMerge w:val="continue"/>
                  <w:vAlign w:val="center"/>
                </w:tcPr>
                <w:p w14:paraId="33EF5FE6">
                  <w:pPr>
                    <w:adjustRightInd w:val="0"/>
                    <w:snapToGrid w:val="0"/>
                    <w:jc w:val="center"/>
                    <w:rPr>
                      <w:bCs/>
                      <w:color w:val="auto"/>
                      <w:szCs w:val="21"/>
                      <w:highlight w:val="none"/>
                    </w:rPr>
                  </w:pPr>
                </w:p>
              </w:tc>
              <w:tc>
                <w:tcPr>
                  <w:tcW w:w="334" w:type="pct"/>
                  <w:vAlign w:val="center"/>
                </w:tcPr>
                <w:p w14:paraId="4D5FB24A">
                  <w:pPr>
                    <w:adjustRightInd w:val="0"/>
                    <w:snapToGrid w:val="0"/>
                    <w:jc w:val="center"/>
                    <w:rPr>
                      <w:bCs/>
                      <w:color w:val="auto"/>
                      <w:szCs w:val="21"/>
                      <w:highlight w:val="none"/>
                    </w:rPr>
                  </w:pPr>
                  <w:r>
                    <w:rPr>
                      <w:rFonts w:hint="eastAsia"/>
                      <w:color w:val="auto"/>
                      <w:szCs w:val="21"/>
                      <w:lang w:eastAsia="zh-Hans"/>
                    </w:rPr>
                    <w:t>T，I</w:t>
                  </w:r>
                </w:p>
              </w:tc>
              <w:tc>
                <w:tcPr>
                  <w:tcW w:w="475" w:type="pct"/>
                  <w:vAlign w:val="center"/>
                </w:tcPr>
                <w:p w14:paraId="1850135C">
                  <w:pPr>
                    <w:pStyle w:val="60"/>
                    <w:spacing w:beforeLines="0" w:afterLines="0" w:line="240" w:lineRule="auto"/>
                    <w:rPr>
                      <w:bCs/>
                      <w:color w:val="auto"/>
                      <w:szCs w:val="21"/>
                      <w:highlight w:val="none"/>
                    </w:rPr>
                  </w:pPr>
                  <w:r>
                    <w:rPr>
                      <w:rFonts w:hint="eastAsia" w:ascii="Times New Roman"/>
                      <w:color w:val="auto"/>
                      <w:szCs w:val="21"/>
                      <w:lang w:val="en-US" w:eastAsia="zh-Hans"/>
                    </w:rPr>
                    <w:t>HW</w:t>
                  </w:r>
                  <w:r>
                    <w:rPr>
                      <w:rFonts w:ascii="Times New Roman"/>
                      <w:color w:val="auto"/>
                      <w:szCs w:val="21"/>
                      <w:lang w:val="en-US" w:eastAsia="zh-Hans"/>
                    </w:rPr>
                    <w:t>08</w:t>
                  </w:r>
                </w:p>
              </w:tc>
              <w:tc>
                <w:tcPr>
                  <w:tcW w:w="555" w:type="pct"/>
                  <w:vAlign w:val="center"/>
                </w:tcPr>
                <w:p w14:paraId="74ABA64F">
                  <w:pPr>
                    <w:adjustRightInd w:val="0"/>
                    <w:snapToGrid w:val="0"/>
                    <w:jc w:val="center"/>
                    <w:rPr>
                      <w:bCs/>
                      <w:color w:val="auto"/>
                      <w:szCs w:val="21"/>
                      <w:highlight w:val="none"/>
                    </w:rPr>
                  </w:pPr>
                  <w:r>
                    <w:rPr>
                      <w:color w:val="auto"/>
                      <w:szCs w:val="21"/>
                    </w:rPr>
                    <w:t>900-249-08</w:t>
                  </w:r>
                </w:p>
              </w:tc>
              <w:tc>
                <w:tcPr>
                  <w:tcW w:w="464" w:type="pct"/>
                  <w:vAlign w:val="center"/>
                </w:tcPr>
                <w:p w14:paraId="0F7AC5EB">
                  <w:pPr>
                    <w:adjustRightInd w:val="0"/>
                    <w:snapToGrid w:val="0"/>
                    <w:jc w:val="center"/>
                    <w:rPr>
                      <w:bCs/>
                      <w:color w:val="auto"/>
                      <w:szCs w:val="21"/>
                      <w:highlight w:val="none"/>
                      <w:lang w:eastAsia="zh-CN"/>
                    </w:rPr>
                  </w:pPr>
                  <w:r>
                    <w:rPr>
                      <w:bCs/>
                      <w:color w:val="auto"/>
                      <w:szCs w:val="21"/>
                      <w:highlight w:val="none"/>
                      <w:lang w:eastAsia="zh-CN"/>
                    </w:rPr>
                    <w:t>0.0868</w:t>
                  </w:r>
                </w:p>
              </w:tc>
            </w:tr>
            <w:tr w14:paraId="4D0D6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252896BB">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8</w:t>
                  </w:r>
                </w:p>
              </w:tc>
              <w:tc>
                <w:tcPr>
                  <w:tcW w:w="634" w:type="pct"/>
                  <w:vAlign w:val="center"/>
                </w:tcPr>
                <w:p w14:paraId="0B190769">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焊接烟尘净化器粉尘</w:t>
                  </w:r>
                </w:p>
              </w:tc>
              <w:tc>
                <w:tcPr>
                  <w:tcW w:w="374" w:type="pct"/>
                  <w:vMerge w:val="restart"/>
                  <w:vAlign w:val="center"/>
                </w:tcPr>
                <w:p w14:paraId="1C5F7E3B">
                  <w:pPr>
                    <w:pStyle w:val="79"/>
                    <w:spacing w:line="240" w:lineRule="auto"/>
                    <w:rPr>
                      <w:rFonts w:ascii="Times New Roman"/>
                      <w:bCs/>
                      <w:snapToGrid w:val="0"/>
                      <w:color w:val="auto"/>
                      <w:kern w:val="24"/>
                      <w:sz w:val="21"/>
                      <w:szCs w:val="21"/>
                      <w:highlight w:val="none"/>
                      <w:lang w:val="en-US"/>
                    </w:rPr>
                  </w:pPr>
                  <w:r>
                    <w:rPr>
                      <w:rFonts w:ascii="Times New Roman"/>
                      <w:color w:val="auto"/>
                      <w:kern w:val="24"/>
                      <w:sz w:val="21"/>
                      <w:szCs w:val="21"/>
                      <w:highlight w:val="none"/>
                      <w:lang w:val="en-US"/>
                    </w:rPr>
                    <w:t>一般工业固体废物</w:t>
                  </w:r>
                </w:p>
              </w:tc>
              <w:tc>
                <w:tcPr>
                  <w:tcW w:w="482" w:type="pct"/>
                  <w:vMerge w:val="continue"/>
                  <w:vAlign w:val="center"/>
                </w:tcPr>
                <w:p w14:paraId="63DA3CEC">
                  <w:pPr>
                    <w:pStyle w:val="79"/>
                    <w:spacing w:line="240" w:lineRule="auto"/>
                    <w:rPr>
                      <w:rFonts w:ascii="Times New Roman"/>
                      <w:snapToGrid w:val="0"/>
                      <w:color w:val="auto"/>
                      <w:sz w:val="21"/>
                      <w:szCs w:val="21"/>
                      <w:highlight w:val="none"/>
                      <w:lang w:val="en-US"/>
                    </w:rPr>
                  </w:pPr>
                </w:p>
              </w:tc>
              <w:tc>
                <w:tcPr>
                  <w:tcW w:w="396" w:type="pct"/>
                  <w:vAlign w:val="center"/>
                </w:tcPr>
                <w:p w14:paraId="106D7212">
                  <w:pPr>
                    <w:adjustRightInd w:val="0"/>
                    <w:snapToGrid w:val="0"/>
                    <w:jc w:val="center"/>
                    <w:rPr>
                      <w:color w:val="auto"/>
                      <w:szCs w:val="21"/>
                      <w:highlight w:val="none"/>
                    </w:rPr>
                  </w:pPr>
                  <w:r>
                    <w:rPr>
                      <w:color w:val="auto"/>
                      <w:szCs w:val="21"/>
                      <w:highlight w:val="none"/>
                    </w:rPr>
                    <w:t>固态</w:t>
                  </w:r>
                </w:p>
              </w:tc>
              <w:tc>
                <w:tcPr>
                  <w:tcW w:w="554" w:type="pct"/>
                  <w:vAlign w:val="center"/>
                </w:tcPr>
                <w:p w14:paraId="4B876561">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粉尘</w:t>
                  </w:r>
                </w:p>
              </w:tc>
              <w:tc>
                <w:tcPr>
                  <w:tcW w:w="458" w:type="pct"/>
                  <w:vMerge w:val="continue"/>
                  <w:vAlign w:val="center"/>
                </w:tcPr>
                <w:p w14:paraId="5DAE27A5">
                  <w:pPr>
                    <w:adjustRightInd w:val="0"/>
                    <w:snapToGrid w:val="0"/>
                    <w:jc w:val="center"/>
                    <w:rPr>
                      <w:bCs/>
                      <w:color w:val="auto"/>
                      <w:szCs w:val="21"/>
                      <w:highlight w:val="none"/>
                    </w:rPr>
                  </w:pPr>
                </w:p>
              </w:tc>
              <w:tc>
                <w:tcPr>
                  <w:tcW w:w="334" w:type="pct"/>
                  <w:vAlign w:val="center"/>
                </w:tcPr>
                <w:p w14:paraId="7ECF5A3E">
                  <w:pPr>
                    <w:adjustRightInd w:val="0"/>
                    <w:snapToGrid w:val="0"/>
                    <w:jc w:val="center"/>
                    <w:rPr>
                      <w:bCs/>
                      <w:color w:val="auto"/>
                      <w:szCs w:val="21"/>
                      <w:highlight w:val="none"/>
                    </w:rPr>
                  </w:pPr>
                  <w:r>
                    <w:rPr>
                      <w:bCs/>
                      <w:color w:val="auto"/>
                      <w:szCs w:val="21"/>
                      <w:highlight w:val="none"/>
                    </w:rPr>
                    <w:t>/</w:t>
                  </w:r>
                </w:p>
              </w:tc>
              <w:tc>
                <w:tcPr>
                  <w:tcW w:w="475" w:type="pct"/>
                  <w:vAlign w:val="center"/>
                </w:tcPr>
                <w:p w14:paraId="32CA60DB">
                  <w:pPr>
                    <w:adjustRightInd w:val="0"/>
                    <w:snapToGrid w:val="0"/>
                    <w:jc w:val="center"/>
                    <w:rPr>
                      <w:bCs/>
                      <w:color w:val="auto"/>
                      <w:szCs w:val="21"/>
                      <w:highlight w:val="none"/>
                    </w:rPr>
                  </w:pPr>
                  <w:r>
                    <w:rPr>
                      <w:bCs/>
                      <w:color w:val="auto"/>
                      <w:szCs w:val="21"/>
                      <w:highlight w:val="none"/>
                    </w:rPr>
                    <w:t>其他废物</w:t>
                  </w:r>
                </w:p>
              </w:tc>
              <w:tc>
                <w:tcPr>
                  <w:tcW w:w="555" w:type="pct"/>
                  <w:vAlign w:val="center"/>
                </w:tcPr>
                <w:p w14:paraId="6E4AA69C">
                  <w:pPr>
                    <w:adjustRightInd w:val="0"/>
                    <w:snapToGrid w:val="0"/>
                    <w:jc w:val="center"/>
                    <w:rPr>
                      <w:bCs/>
                      <w:color w:val="auto"/>
                      <w:szCs w:val="21"/>
                      <w:highlight w:val="none"/>
                    </w:rPr>
                  </w:pPr>
                  <w:r>
                    <w:rPr>
                      <w:bCs/>
                      <w:color w:val="auto"/>
                      <w:szCs w:val="21"/>
                      <w:highlight w:val="none"/>
                    </w:rPr>
                    <w:t>99</w:t>
                  </w:r>
                </w:p>
              </w:tc>
              <w:tc>
                <w:tcPr>
                  <w:tcW w:w="464" w:type="pct"/>
                  <w:vAlign w:val="center"/>
                </w:tcPr>
                <w:p w14:paraId="5F302180">
                  <w:pPr>
                    <w:adjustRightInd w:val="0"/>
                    <w:snapToGrid w:val="0"/>
                    <w:jc w:val="center"/>
                    <w:rPr>
                      <w:bCs/>
                      <w:color w:val="auto"/>
                      <w:szCs w:val="21"/>
                      <w:highlight w:val="none"/>
                    </w:rPr>
                  </w:pPr>
                  <w:r>
                    <w:rPr>
                      <w:bCs/>
                      <w:color w:val="auto"/>
                      <w:szCs w:val="21"/>
                      <w:highlight w:val="none"/>
                    </w:rPr>
                    <w:t>0.288</w:t>
                  </w:r>
                </w:p>
              </w:tc>
            </w:tr>
            <w:tr w14:paraId="54BFC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1B01407E">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9</w:t>
                  </w:r>
                </w:p>
              </w:tc>
              <w:tc>
                <w:tcPr>
                  <w:tcW w:w="634" w:type="pct"/>
                  <w:vAlign w:val="center"/>
                </w:tcPr>
                <w:p w14:paraId="3A5123B6">
                  <w:pPr>
                    <w:pStyle w:val="79"/>
                    <w:spacing w:line="240" w:lineRule="auto"/>
                    <w:rPr>
                      <w:rFonts w:ascii="Times New Roman"/>
                      <w:snapToGrid w:val="0"/>
                      <w:color w:val="auto"/>
                      <w:sz w:val="21"/>
                      <w:szCs w:val="21"/>
                      <w:highlight w:val="none"/>
                      <w:lang w:val="en-US"/>
                    </w:rPr>
                  </w:pPr>
                  <w:r>
                    <w:rPr>
                      <w:rFonts w:ascii="Times New Roman"/>
                      <w:color w:val="auto"/>
                      <w:kern w:val="24"/>
                      <w:sz w:val="21"/>
                      <w:szCs w:val="21"/>
                      <w:highlight w:val="none"/>
                      <w:lang w:val="en-US"/>
                    </w:rPr>
                    <w:t>废包装袋</w:t>
                  </w:r>
                </w:p>
              </w:tc>
              <w:tc>
                <w:tcPr>
                  <w:tcW w:w="374" w:type="pct"/>
                  <w:vMerge w:val="continue"/>
                  <w:vAlign w:val="center"/>
                </w:tcPr>
                <w:p w14:paraId="1D3BAD3D">
                  <w:pPr>
                    <w:pStyle w:val="79"/>
                    <w:spacing w:line="240" w:lineRule="auto"/>
                    <w:rPr>
                      <w:rFonts w:ascii="Times New Roman"/>
                      <w:color w:val="auto"/>
                      <w:kern w:val="24"/>
                      <w:sz w:val="21"/>
                      <w:szCs w:val="21"/>
                      <w:highlight w:val="none"/>
                      <w:lang w:val="en-US"/>
                    </w:rPr>
                  </w:pPr>
                </w:p>
              </w:tc>
              <w:tc>
                <w:tcPr>
                  <w:tcW w:w="482" w:type="pct"/>
                  <w:vAlign w:val="center"/>
                </w:tcPr>
                <w:p w14:paraId="3BF81392">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原料包装</w:t>
                  </w:r>
                </w:p>
              </w:tc>
              <w:tc>
                <w:tcPr>
                  <w:tcW w:w="396" w:type="pct"/>
                  <w:vAlign w:val="center"/>
                </w:tcPr>
                <w:p w14:paraId="12236008">
                  <w:pPr>
                    <w:adjustRightInd w:val="0"/>
                    <w:snapToGrid w:val="0"/>
                    <w:jc w:val="center"/>
                    <w:rPr>
                      <w:color w:val="auto"/>
                      <w:szCs w:val="21"/>
                      <w:highlight w:val="none"/>
                    </w:rPr>
                  </w:pPr>
                  <w:r>
                    <w:rPr>
                      <w:color w:val="auto"/>
                      <w:szCs w:val="21"/>
                      <w:highlight w:val="none"/>
                    </w:rPr>
                    <w:t>固态</w:t>
                  </w:r>
                </w:p>
              </w:tc>
              <w:tc>
                <w:tcPr>
                  <w:tcW w:w="554" w:type="pct"/>
                  <w:vAlign w:val="center"/>
                </w:tcPr>
                <w:p w14:paraId="6DD481D4">
                  <w:pPr>
                    <w:pStyle w:val="79"/>
                    <w:spacing w:line="240" w:lineRule="auto"/>
                    <w:rPr>
                      <w:rFonts w:ascii="Times New Roman"/>
                      <w:snapToGrid w:val="0"/>
                      <w:color w:val="auto"/>
                      <w:sz w:val="21"/>
                      <w:szCs w:val="21"/>
                      <w:highlight w:val="none"/>
                      <w:lang w:val="en-US"/>
                    </w:rPr>
                  </w:pPr>
                  <w:r>
                    <w:rPr>
                      <w:rFonts w:ascii="Times New Roman"/>
                      <w:bCs/>
                      <w:snapToGrid w:val="0"/>
                      <w:color w:val="auto"/>
                      <w:sz w:val="21"/>
                      <w:szCs w:val="21"/>
                      <w:highlight w:val="none"/>
                      <w:lang w:val="en-US"/>
                    </w:rPr>
                    <w:t>树脂粉</w:t>
                  </w:r>
                </w:p>
              </w:tc>
              <w:tc>
                <w:tcPr>
                  <w:tcW w:w="458" w:type="pct"/>
                  <w:vMerge w:val="continue"/>
                  <w:vAlign w:val="center"/>
                </w:tcPr>
                <w:p w14:paraId="7C0856E3">
                  <w:pPr>
                    <w:adjustRightInd w:val="0"/>
                    <w:snapToGrid w:val="0"/>
                    <w:jc w:val="center"/>
                    <w:rPr>
                      <w:bCs/>
                      <w:color w:val="auto"/>
                      <w:szCs w:val="21"/>
                      <w:highlight w:val="none"/>
                    </w:rPr>
                  </w:pPr>
                </w:p>
              </w:tc>
              <w:tc>
                <w:tcPr>
                  <w:tcW w:w="334" w:type="pct"/>
                  <w:vAlign w:val="center"/>
                </w:tcPr>
                <w:p w14:paraId="7B2CBE93">
                  <w:pPr>
                    <w:adjustRightInd w:val="0"/>
                    <w:snapToGrid w:val="0"/>
                    <w:jc w:val="center"/>
                    <w:rPr>
                      <w:bCs/>
                      <w:color w:val="auto"/>
                      <w:szCs w:val="21"/>
                      <w:highlight w:val="none"/>
                    </w:rPr>
                  </w:pPr>
                  <w:r>
                    <w:rPr>
                      <w:bCs/>
                      <w:color w:val="auto"/>
                      <w:szCs w:val="21"/>
                      <w:highlight w:val="none"/>
                    </w:rPr>
                    <w:t>/</w:t>
                  </w:r>
                </w:p>
              </w:tc>
              <w:tc>
                <w:tcPr>
                  <w:tcW w:w="475" w:type="pct"/>
                  <w:vAlign w:val="center"/>
                </w:tcPr>
                <w:p w14:paraId="7B2864E9">
                  <w:pPr>
                    <w:adjustRightInd w:val="0"/>
                    <w:snapToGrid w:val="0"/>
                    <w:jc w:val="center"/>
                    <w:rPr>
                      <w:bCs/>
                      <w:color w:val="auto"/>
                      <w:szCs w:val="21"/>
                      <w:highlight w:val="none"/>
                    </w:rPr>
                  </w:pPr>
                  <w:r>
                    <w:rPr>
                      <w:bCs/>
                      <w:color w:val="auto"/>
                      <w:szCs w:val="21"/>
                      <w:highlight w:val="none"/>
                    </w:rPr>
                    <w:t>其他废物</w:t>
                  </w:r>
                </w:p>
              </w:tc>
              <w:tc>
                <w:tcPr>
                  <w:tcW w:w="555" w:type="pct"/>
                  <w:vAlign w:val="center"/>
                </w:tcPr>
                <w:p w14:paraId="5134AAB2">
                  <w:pPr>
                    <w:adjustRightInd w:val="0"/>
                    <w:snapToGrid w:val="0"/>
                    <w:jc w:val="center"/>
                    <w:rPr>
                      <w:bCs/>
                      <w:color w:val="auto"/>
                      <w:szCs w:val="21"/>
                      <w:highlight w:val="none"/>
                    </w:rPr>
                  </w:pPr>
                  <w:r>
                    <w:rPr>
                      <w:bCs/>
                      <w:color w:val="auto"/>
                      <w:szCs w:val="21"/>
                      <w:highlight w:val="none"/>
                    </w:rPr>
                    <w:t>99</w:t>
                  </w:r>
                </w:p>
              </w:tc>
              <w:tc>
                <w:tcPr>
                  <w:tcW w:w="464" w:type="pct"/>
                  <w:vAlign w:val="center"/>
                </w:tcPr>
                <w:p w14:paraId="5E7F4F01">
                  <w:pPr>
                    <w:adjustRightInd w:val="0"/>
                    <w:snapToGrid w:val="0"/>
                    <w:jc w:val="center"/>
                    <w:rPr>
                      <w:bCs/>
                      <w:color w:val="auto"/>
                      <w:szCs w:val="21"/>
                      <w:highlight w:val="none"/>
                    </w:rPr>
                  </w:pPr>
                  <w:r>
                    <w:rPr>
                      <w:bCs/>
                      <w:color w:val="auto"/>
                      <w:szCs w:val="21"/>
                      <w:highlight w:val="none"/>
                    </w:rPr>
                    <w:t>0.03</w:t>
                  </w:r>
                </w:p>
              </w:tc>
            </w:tr>
            <w:tr w14:paraId="325AB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8" w:type="pct"/>
                  <w:vAlign w:val="center"/>
                </w:tcPr>
                <w:p w14:paraId="717A71EA">
                  <w:pPr>
                    <w:adjustRightInd w:val="0"/>
                    <w:snapToGrid w:val="0"/>
                    <w:jc w:val="center"/>
                    <w:rPr>
                      <w:bCs/>
                      <w:color w:val="auto"/>
                      <w:szCs w:val="21"/>
                      <w:highlight w:val="none"/>
                    </w:rPr>
                  </w:pPr>
                  <w:r>
                    <w:rPr>
                      <w:bCs/>
                      <w:color w:val="auto"/>
                      <w:szCs w:val="21"/>
                      <w:highlight w:val="none"/>
                    </w:rPr>
                    <w:t>10</w:t>
                  </w:r>
                </w:p>
              </w:tc>
              <w:tc>
                <w:tcPr>
                  <w:tcW w:w="634" w:type="pct"/>
                  <w:vAlign w:val="center"/>
                </w:tcPr>
                <w:p w14:paraId="0C9FEDCA">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生活垃圾</w:t>
                  </w:r>
                </w:p>
              </w:tc>
              <w:tc>
                <w:tcPr>
                  <w:tcW w:w="374" w:type="pct"/>
                  <w:vAlign w:val="center"/>
                </w:tcPr>
                <w:p w14:paraId="66B760EF">
                  <w:pPr>
                    <w:pStyle w:val="79"/>
                    <w:spacing w:line="240" w:lineRule="auto"/>
                    <w:rPr>
                      <w:rFonts w:ascii="Times New Roman"/>
                      <w:bCs/>
                      <w:snapToGrid w:val="0"/>
                      <w:color w:val="auto"/>
                      <w:kern w:val="24"/>
                      <w:sz w:val="21"/>
                      <w:szCs w:val="21"/>
                      <w:highlight w:val="none"/>
                      <w:lang w:val="en-US"/>
                    </w:rPr>
                  </w:pPr>
                  <w:r>
                    <w:rPr>
                      <w:rFonts w:ascii="Times New Roman"/>
                      <w:bCs/>
                      <w:snapToGrid w:val="0"/>
                      <w:color w:val="auto"/>
                      <w:kern w:val="24"/>
                      <w:sz w:val="21"/>
                      <w:szCs w:val="21"/>
                      <w:highlight w:val="none"/>
                      <w:lang w:val="en-US"/>
                    </w:rPr>
                    <w:t>一般固废</w:t>
                  </w:r>
                </w:p>
              </w:tc>
              <w:tc>
                <w:tcPr>
                  <w:tcW w:w="482" w:type="pct"/>
                  <w:vAlign w:val="center"/>
                </w:tcPr>
                <w:p w14:paraId="2B6639C5">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员工生活</w:t>
                  </w:r>
                </w:p>
              </w:tc>
              <w:tc>
                <w:tcPr>
                  <w:tcW w:w="396" w:type="pct"/>
                  <w:vAlign w:val="center"/>
                </w:tcPr>
                <w:p w14:paraId="68D22E67">
                  <w:pPr>
                    <w:adjustRightInd w:val="0"/>
                    <w:snapToGrid w:val="0"/>
                    <w:jc w:val="center"/>
                    <w:rPr>
                      <w:color w:val="auto"/>
                      <w:szCs w:val="21"/>
                      <w:highlight w:val="none"/>
                    </w:rPr>
                  </w:pPr>
                  <w:r>
                    <w:rPr>
                      <w:color w:val="auto"/>
                      <w:szCs w:val="21"/>
                      <w:highlight w:val="none"/>
                    </w:rPr>
                    <w:t>固态</w:t>
                  </w:r>
                </w:p>
              </w:tc>
              <w:tc>
                <w:tcPr>
                  <w:tcW w:w="554" w:type="pct"/>
                  <w:vAlign w:val="center"/>
                </w:tcPr>
                <w:p w14:paraId="180749F6">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生活垃圾</w:t>
                  </w:r>
                </w:p>
              </w:tc>
              <w:tc>
                <w:tcPr>
                  <w:tcW w:w="458" w:type="pct"/>
                  <w:vMerge w:val="continue"/>
                  <w:vAlign w:val="center"/>
                </w:tcPr>
                <w:p w14:paraId="5A697C99">
                  <w:pPr>
                    <w:adjustRightInd w:val="0"/>
                    <w:snapToGrid w:val="0"/>
                    <w:jc w:val="center"/>
                    <w:rPr>
                      <w:bCs/>
                      <w:color w:val="auto"/>
                      <w:szCs w:val="21"/>
                      <w:highlight w:val="none"/>
                    </w:rPr>
                  </w:pPr>
                </w:p>
              </w:tc>
              <w:tc>
                <w:tcPr>
                  <w:tcW w:w="334" w:type="pct"/>
                  <w:vAlign w:val="center"/>
                </w:tcPr>
                <w:p w14:paraId="129ADDDD">
                  <w:pPr>
                    <w:adjustRightInd w:val="0"/>
                    <w:snapToGrid w:val="0"/>
                    <w:jc w:val="center"/>
                    <w:rPr>
                      <w:color w:val="auto"/>
                      <w:szCs w:val="21"/>
                      <w:highlight w:val="none"/>
                    </w:rPr>
                  </w:pPr>
                  <w:r>
                    <w:rPr>
                      <w:color w:val="auto"/>
                      <w:szCs w:val="21"/>
                      <w:highlight w:val="none"/>
                    </w:rPr>
                    <w:t>/</w:t>
                  </w:r>
                </w:p>
              </w:tc>
              <w:tc>
                <w:tcPr>
                  <w:tcW w:w="475" w:type="pct"/>
                  <w:vAlign w:val="center"/>
                </w:tcPr>
                <w:p w14:paraId="764AFB04">
                  <w:pPr>
                    <w:adjustRightInd w:val="0"/>
                    <w:snapToGrid w:val="0"/>
                    <w:jc w:val="center"/>
                    <w:rPr>
                      <w:bCs/>
                      <w:color w:val="auto"/>
                      <w:szCs w:val="21"/>
                      <w:highlight w:val="none"/>
                    </w:rPr>
                  </w:pPr>
                  <w:r>
                    <w:rPr>
                      <w:bCs/>
                      <w:color w:val="auto"/>
                      <w:szCs w:val="21"/>
                      <w:highlight w:val="none"/>
                    </w:rPr>
                    <w:t>其他废物</w:t>
                  </w:r>
                </w:p>
              </w:tc>
              <w:tc>
                <w:tcPr>
                  <w:tcW w:w="555" w:type="pct"/>
                  <w:vAlign w:val="center"/>
                </w:tcPr>
                <w:p w14:paraId="6576F4BB">
                  <w:pPr>
                    <w:adjustRightInd w:val="0"/>
                    <w:snapToGrid w:val="0"/>
                    <w:jc w:val="center"/>
                    <w:rPr>
                      <w:bCs/>
                      <w:color w:val="auto"/>
                      <w:szCs w:val="21"/>
                      <w:highlight w:val="none"/>
                    </w:rPr>
                  </w:pPr>
                  <w:r>
                    <w:rPr>
                      <w:bCs/>
                      <w:color w:val="auto"/>
                      <w:szCs w:val="21"/>
                      <w:highlight w:val="none"/>
                    </w:rPr>
                    <w:t>99</w:t>
                  </w:r>
                </w:p>
              </w:tc>
              <w:tc>
                <w:tcPr>
                  <w:tcW w:w="464" w:type="pct"/>
                  <w:vAlign w:val="center"/>
                </w:tcPr>
                <w:p w14:paraId="6D8167EF">
                  <w:pPr>
                    <w:adjustRightInd w:val="0"/>
                    <w:snapToGrid w:val="0"/>
                    <w:jc w:val="center"/>
                    <w:rPr>
                      <w:color w:val="auto"/>
                      <w:szCs w:val="21"/>
                      <w:highlight w:val="none"/>
                    </w:rPr>
                  </w:pPr>
                  <w:r>
                    <w:rPr>
                      <w:color w:val="auto"/>
                      <w:szCs w:val="21"/>
                      <w:highlight w:val="none"/>
                    </w:rPr>
                    <w:t>7.2</w:t>
                  </w:r>
                </w:p>
              </w:tc>
            </w:tr>
          </w:tbl>
          <w:p w14:paraId="7A893F5A">
            <w:pPr>
              <w:adjustRightInd w:val="0"/>
              <w:snapToGrid w:val="0"/>
              <w:jc w:val="center"/>
              <w:rPr>
                <w:rFonts w:hAnsi="宋体"/>
                <w:b/>
                <w:snapToGrid w:val="0"/>
                <w:color w:val="auto"/>
                <w:kern w:val="0"/>
                <w:sz w:val="10"/>
                <w:szCs w:val="10"/>
                <w:highlight w:val="none"/>
              </w:rPr>
            </w:pPr>
          </w:p>
          <w:p w14:paraId="46970FA3">
            <w:pPr>
              <w:adjustRightInd w:val="0"/>
              <w:snapToGrid w:val="0"/>
              <w:jc w:val="center"/>
              <w:rPr>
                <w:b/>
                <w:bCs/>
                <w:snapToGrid w:val="0"/>
                <w:color w:val="auto"/>
                <w:kern w:val="0"/>
                <w:sz w:val="24"/>
                <w:highlight w:val="none"/>
              </w:rPr>
            </w:pPr>
            <w:r>
              <w:rPr>
                <w:rFonts w:hAnsi="宋体"/>
                <w:b/>
                <w:bCs/>
                <w:snapToGrid w:val="0"/>
                <w:color w:val="auto"/>
                <w:kern w:val="0"/>
                <w:sz w:val="24"/>
                <w:highlight w:val="none"/>
              </w:rPr>
              <w:t>表</w:t>
            </w:r>
            <w:r>
              <w:rPr>
                <w:b/>
                <w:bCs/>
                <w:snapToGrid w:val="0"/>
                <w:color w:val="auto"/>
                <w:kern w:val="0"/>
                <w:sz w:val="24"/>
                <w:highlight w:val="none"/>
              </w:rPr>
              <w:t xml:space="preserve">4-22  </w:t>
            </w:r>
            <w:r>
              <w:rPr>
                <w:rFonts w:hAnsi="宋体"/>
                <w:b/>
                <w:bCs/>
                <w:snapToGrid w:val="0"/>
                <w:color w:val="auto"/>
                <w:kern w:val="0"/>
                <w:sz w:val="24"/>
                <w:highlight w:val="none"/>
              </w:rPr>
              <w:t>危险废物汇总表</w:t>
            </w:r>
          </w:p>
          <w:tbl>
            <w:tblPr>
              <w:tblStyle w:val="2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1"/>
              <w:gridCol w:w="844"/>
              <w:gridCol w:w="857"/>
              <w:gridCol w:w="1005"/>
              <w:gridCol w:w="1120"/>
              <w:gridCol w:w="949"/>
              <w:gridCol w:w="618"/>
              <w:gridCol w:w="945"/>
              <w:gridCol w:w="787"/>
              <w:gridCol w:w="787"/>
              <w:gridCol w:w="620"/>
              <w:gridCol w:w="1294"/>
            </w:tblGrid>
            <w:tr w14:paraId="045E3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0" w:type="pct"/>
                  <w:vAlign w:val="center"/>
                </w:tcPr>
                <w:p w14:paraId="488B2C44">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序号</w:t>
                  </w:r>
                </w:p>
              </w:tc>
              <w:tc>
                <w:tcPr>
                  <w:tcW w:w="411" w:type="pct"/>
                  <w:vAlign w:val="center"/>
                </w:tcPr>
                <w:p w14:paraId="7FE133B0">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危险废物名称</w:t>
                  </w:r>
                </w:p>
              </w:tc>
              <w:tc>
                <w:tcPr>
                  <w:tcW w:w="417" w:type="pct"/>
                  <w:vAlign w:val="center"/>
                </w:tcPr>
                <w:p w14:paraId="23AA014D">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危险废物类别</w:t>
                  </w:r>
                </w:p>
              </w:tc>
              <w:tc>
                <w:tcPr>
                  <w:tcW w:w="489" w:type="pct"/>
                  <w:vAlign w:val="center"/>
                </w:tcPr>
                <w:p w14:paraId="1C286274">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危险废物</w:t>
                  </w:r>
                </w:p>
                <w:p w14:paraId="3CF4568E">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代码</w:t>
                  </w:r>
                </w:p>
              </w:tc>
              <w:tc>
                <w:tcPr>
                  <w:tcW w:w="545" w:type="pct"/>
                  <w:vAlign w:val="center"/>
                </w:tcPr>
                <w:p w14:paraId="2B1B972A">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产生量</w:t>
                  </w:r>
                </w:p>
                <w:p w14:paraId="168FAB70">
                  <w:pPr>
                    <w:topLinePunct/>
                    <w:adjustRightInd w:val="0"/>
                    <w:snapToGrid w:val="0"/>
                    <w:jc w:val="center"/>
                    <w:rPr>
                      <w:b/>
                      <w:snapToGrid w:val="0"/>
                      <w:color w:val="auto"/>
                      <w:kern w:val="0"/>
                      <w:szCs w:val="21"/>
                      <w:highlight w:val="none"/>
                    </w:rPr>
                  </w:pPr>
                  <w:r>
                    <w:rPr>
                      <w:rFonts w:hint="eastAsia" w:hAnsi="宋体"/>
                      <w:b/>
                      <w:snapToGrid w:val="0"/>
                      <w:color w:val="auto"/>
                      <w:kern w:val="0"/>
                      <w:szCs w:val="21"/>
                      <w:highlight w:val="none"/>
                    </w:rPr>
                    <w:t>(</w:t>
                  </w:r>
                  <w:r>
                    <w:rPr>
                      <w:b/>
                      <w:snapToGrid w:val="0"/>
                      <w:color w:val="auto"/>
                      <w:kern w:val="0"/>
                      <w:szCs w:val="21"/>
                      <w:highlight w:val="none"/>
                    </w:rPr>
                    <w:t>t/a</w:t>
                  </w:r>
                  <w:r>
                    <w:rPr>
                      <w:rFonts w:hint="eastAsia" w:hAnsi="宋体"/>
                      <w:b/>
                      <w:snapToGrid w:val="0"/>
                      <w:color w:val="auto"/>
                      <w:kern w:val="0"/>
                      <w:szCs w:val="21"/>
                      <w:highlight w:val="none"/>
                    </w:rPr>
                    <w:t>)</w:t>
                  </w:r>
                </w:p>
              </w:tc>
              <w:tc>
                <w:tcPr>
                  <w:tcW w:w="462" w:type="pct"/>
                  <w:vAlign w:val="center"/>
                </w:tcPr>
                <w:p w14:paraId="7BAD4A57">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产生工序及装置</w:t>
                  </w:r>
                </w:p>
              </w:tc>
              <w:tc>
                <w:tcPr>
                  <w:tcW w:w="301" w:type="pct"/>
                  <w:vAlign w:val="center"/>
                </w:tcPr>
                <w:p w14:paraId="46E7F1DE">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形态</w:t>
                  </w:r>
                </w:p>
              </w:tc>
              <w:tc>
                <w:tcPr>
                  <w:tcW w:w="460" w:type="pct"/>
                  <w:vAlign w:val="center"/>
                </w:tcPr>
                <w:p w14:paraId="772EEDFD">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主要成分</w:t>
                  </w:r>
                </w:p>
              </w:tc>
              <w:tc>
                <w:tcPr>
                  <w:tcW w:w="383" w:type="pct"/>
                  <w:vAlign w:val="center"/>
                </w:tcPr>
                <w:p w14:paraId="1831415F">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有害</w:t>
                  </w:r>
                </w:p>
                <w:p w14:paraId="7878C1BB">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成分</w:t>
                  </w:r>
                </w:p>
              </w:tc>
              <w:tc>
                <w:tcPr>
                  <w:tcW w:w="383" w:type="pct"/>
                  <w:vAlign w:val="center"/>
                </w:tcPr>
                <w:p w14:paraId="45661023">
                  <w:pPr>
                    <w:topLinePunct/>
                    <w:adjustRightInd w:val="0"/>
                    <w:snapToGrid w:val="0"/>
                    <w:jc w:val="center"/>
                    <w:rPr>
                      <w:rFonts w:hAnsi="宋体"/>
                      <w:b/>
                      <w:snapToGrid w:val="0"/>
                      <w:color w:val="auto"/>
                      <w:kern w:val="0"/>
                      <w:szCs w:val="21"/>
                      <w:highlight w:val="none"/>
                    </w:rPr>
                  </w:pPr>
                  <w:r>
                    <w:rPr>
                      <w:rFonts w:hAnsi="宋体"/>
                      <w:b/>
                      <w:snapToGrid w:val="0"/>
                      <w:color w:val="auto"/>
                      <w:kern w:val="0"/>
                      <w:szCs w:val="21"/>
                      <w:highlight w:val="none"/>
                    </w:rPr>
                    <w:t>产废</w:t>
                  </w:r>
                </w:p>
                <w:p w14:paraId="7E59E69C">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周期</w:t>
                  </w:r>
                </w:p>
              </w:tc>
              <w:tc>
                <w:tcPr>
                  <w:tcW w:w="302" w:type="pct"/>
                  <w:vAlign w:val="center"/>
                </w:tcPr>
                <w:p w14:paraId="5DD079A6">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危险</w:t>
                  </w:r>
                </w:p>
                <w:p w14:paraId="11E89521">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特性</w:t>
                  </w:r>
                </w:p>
              </w:tc>
              <w:tc>
                <w:tcPr>
                  <w:tcW w:w="630" w:type="pct"/>
                  <w:vAlign w:val="center"/>
                </w:tcPr>
                <w:p w14:paraId="5177DA88">
                  <w:pPr>
                    <w:topLinePunct/>
                    <w:adjustRightInd w:val="0"/>
                    <w:snapToGrid w:val="0"/>
                    <w:jc w:val="center"/>
                    <w:rPr>
                      <w:b/>
                      <w:snapToGrid w:val="0"/>
                      <w:color w:val="auto"/>
                      <w:kern w:val="0"/>
                      <w:szCs w:val="21"/>
                      <w:highlight w:val="none"/>
                    </w:rPr>
                  </w:pPr>
                  <w:r>
                    <w:rPr>
                      <w:rFonts w:hAnsi="宋体"/>
                      <w:b/>
                      <w:snapToGrid w:val="0"/>
                      <w:color w:val="auto"/>
                      <w:kern w:val="0"/>
                      <w:szCs w:val="21"/>
                      <w:highlight w:val="none"/>
                    </w:rPr>
                    <w:t>污染防治措施</w:t>
                  </w:r>
                </w:p>
              </w:tc>
            </w:tr>
            <w:tr w14:paraId="003ED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0" w:type="pct"/>
                  <w:vAlign w:val="center"/>
                </w:tcPr>
                <w:p w14:paraId="35777D7B">
                  <w:pPr>
                    <w:adjustRightInd w:val="0"/>
                    <w:snapToGrid w:val="0"/>
                    <w:jc w:val="center"/>
                    <w:rPr>
                      <w:snapToGrid w:val="0"/>
                      <w:color w:val="auto"/>
                      <w:kern w:val="0"/>
                      <w:szCs w:val="21"/>
                      <w:highlight w:val="none"/>
                    </w:rPr>
                  </w:pPr>
                  <w:r>
                    <w:rPr>
                      <w:snapToGrid w:val="0"/>
                      <w:color w:val="auto"/>
                      <w:kern w:val="0"/>
                      <w:szCs w:val="21"/>
                      <w:highlight w:val="none"/>
                    </w:rPr>
                    <w:t>1</w:t>
                  </w:r>
                </w:p>
              </w:tc>
              <w:tc>
                <w:tcPr>
                  <w:tcW w:w="411" w:type="pct"/>
                  <w:vAlign w:val="center"/>
                </w:tcPr>
                <w:p w14:paraId="6BE9822A">
                  <w:pPr>
                    <w:pStyle w:val="79"/>
                    <w:spacing w:line="240" w:lineRule="auto"/>
                    <w:rPr>
                      <w:rFonts w:ascii="Times New Roman"/>
                      <w:snapToGrid w:val="0"/>
                      <w:color w:val="auto"/>
                      <w:sz w:val="21"/>
                      <w:szCs w:val="21"/>
                      <w:highlight w:val="none"/>
                      <w:lang w:val="en-US"/>
                    </w:rPr>
                  </w:pPr>
                  <w:r>
                    <w:rPr>
                      <w:rFonts w:hint="eastAsia"/>
                      <w:color w:val="auto"/>
                      <w:kern w:val="24"/>
                      <w:sz w:val="21"/>
                      <w:szCs w:val="21"/>
                      <w:highlight w:val="none"/>
                      <w:lang w:val="en-US"/>
                    </w:rPr>
                    <w:t>废胶</w:t>
                  </w:r>
                </w:p>
              </w:tc>
              <w:tc>
                <w:tcPr>
                  <w:tcW w:w="417" w:type="pct"/>
                  <w:vAlign w:val="center"/>
                </w:tcPr>
                <w:p w14:paraId="417A9548">
                  <w:pPr>
                    <w:adjustRightInd w:val="0"/>
                    <w:snapToGrid w:val="0"/>
                    <w:jc w:val="center"/>
                    <w:rPr>
                      <w:bCs/>
                      <w:color w:val="auto"/>
                      <w:szCs w:val="21"/>
                      <w:highlight w:val="none"/>
                    </w:rPr>
                  </w:pPr>
                  <w:r>
                    <w:rPr>
                      <w:rFonts w:hint="eastAsia"/>
                      <w:bCs/>
                      <w:color w:val="auto"/>
                      <w:szCs w:val="21"/>
                      <w:highlight w:val="none"/>
                    </w:rPr>
                    <w:t>HW13</w:t>
                  </w:r>
                </w:p>
              </w:tc>
              <w:tc>
                <w:tcPr>
                  <w:tcW w:w="489" w:type="pct"/>
                  <w:vAlign w:val="center"/>
                </w:tcPr>
                <w:p w14:paraId="42E7C786">
                  <w:pPr>
                    <w:adjustRightInd w:val="0"/>
                    <w:snapToGrid w:val="0"/>
                    <w:jc w:val="center"/>
                    <w:rPr>
                      <w:color w:val="auto"/>
                      <w:szCs w:val="21"/>
                      <w:highlight w:val="none"/>
                    </w:rPr>
                  </w:pPr>
                  <w:r>
                    <w:rPr>
                      <w:rFonts w:hint="eastAsia"/>
                      <w:bCs/>
                      <w:color w:val="auto"/>
                      <w:szCs w:val="21"/>
                      <w:highlight w:val="none"/>
                    </w:rPr>
                    <w:t>900-014-13</w:t>
                  </w:r>
                </w:p>
              </w:tc>
              <w:tc>
                <w:tcPr>
                  <w:tcW w:w="545" w:type="pct"/>
                  <w:vAlign w:val="center"/>
                </w:tcPr>
                <w:p w14:paraId="37E3D2C1">
                  <w:pPr>
                    <w:adjustRightInd w:val="0"/>
                    <w:snapToGrid w:val="0"/>
                    <w:jc w:val="center"/>
                    <w:rPr>
                      <w:color w:val="auto"/>
                      <w:szCs w:val="21"/>
                      <w:highlight w:val="none"/>
                    </w:rPr>
                  </w:pPr>
                  <w:r>
                    <w:rPr>
                      <w:color w:val="auto"/>
                      <w:szCs w:val="21"/>
                      <w:highlight w:val="none"/>
                    </w:rPr>
                    <w:t>1.11</w:t>
                  </w:r>
                </w:p>
              </w:tc>
              <w:tc>
                <w:tcPr>
                  <w:tcW w:w="462" w:type="pct"/>
                  <w:vAlign w:val="center"/>
                </w:tcPr>
                <w:p w14:paraId="40B925AE">
                  <w:pPr>
                    <w:pStyle w:val="79"/>
                    <w:spacing w:line="240" w:lineRule="auto"/>
                    <w:rPr>
                      <w:rFonts w:ascii="Times New Roman"/>
                      <w:snapToGrid w:val="0"/>
                      <w:color w:val="auto"/>
                      <w:sz w:val="21"/>
                      <w:szCs w:val="21"/>
                      <w:highlight w:val="none"/>
                      <w:lang w:val="en-US"/>
                    </w:rPr>
                  </w:pPr>
                  <w:r>
                    <w:rPr>
                      <w:rFonts w:hint="eastAsia" w:ascii="Times New Roman"/>
                      <w:color w:val="auto"/>
                      <w:kern w:val="24"/>
                      <w:sz w:val="21"/>
                      <w:szCs w:val="21"/>
                      <w:highlight w:val="none"/>
                      <w:lang w:val="en-US"/>
                    </w:rPr>
                    <w:t>涂胶、滴胶</w:t>
                  </w:r>
                </w:p>
              </w:tc>
              <w:tc>
                <w:tcPr>
                  <w:tcW w:w="301" w:type="pct"/>
                  <w:vAlign w:val="center"/>
                </w:tcPr>
                <w:p w14:paraId="5D75F665">
                  <w:pPr>
                    <w:adjustRightInd w:val="0"/>
                    <w:snapToGrid w:val="0"/>
                    <w:jc w:val="center"/>
                    <w:rPr>
                      <w:color w:val="auto"/>
                      <w:szCs w:val="21"/>
                      <w:highlight w:val="none"/>
                    </w:rPr>
                  </w:pPr>
                  <w:r>
                    <w:rPr>
                      <w:color w:val="auto"/>
                      <w:szCs w:val="21"/>
                      <w:highlight w:val="none"/>
                    </w:rPr>
                    <w:t>固态</w:t>
                  </w:r>
                </w:p>
              </w:tc>
              <w:tc>
                <w:tcPr>
                  <w:tcW w:w="460" w:type="pct"/>
                  <w:vAlign w:val="center"/>
                </w:tcPr>
                <w:p w14:paraId="5673C402">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树脂</w:t>
                  </w:r>
                </w:p>
              </w:tc>
              <w:tc>
                <w:tcPr>
                  <w:tcW w:w="383" w:type="pct"/>
                  <w:vAlign w:val="center"/>
                </w:tcPr>
                <w:p w14:paraId="1B73726B">
                  <w:pPr>
                    <w:topLinePunct/>
                    <w:adjustRightInd w:val="0"/>
                    <w:snapToGrid w:val="0"/>
                    <w:jc w:val="center"/>
                    <w:rPr>
                      <w:color w:val="auto"/>
                      <w:kern w:val="0"/>
                      <w:szCs w:val="21"/>
                      <w:highlight w:val="none"/>
                    </w:rPr>
                  </w:pPr>
                  <w:r>
                    <w:rPr>
                      <w:rFonts w:hint="eastAsia"/>
                      <w:color w:val="auto"/>
                      <w:kern w:val="0"/>
                      <w:szCs w:val="21"/>
                      <w:highlight w:val="none"/>
                    </w:rPr>
                    <w:t>树脂</w:t>
                  </w:r>
                </w:p>
              </w:tc>
              <w:tc>
                <w:tcPr>
                  <w:tcW w:w="383" w:type="pct"/>
                  <w:vAlign w:val="center"/>
                </w:tcPr>
                <w:p w14:paraId="0FE9A7AB">
                  <w:pPr>
                    <w:topLinePunct/>
                    <w:adjustRightInd w:val="0"/>
                    <w:snapToGrid w:val="0"/>
                    <w:jc w:val="center"/>
                    <w:rPr>
                      <w:color w:val="auto"/>
                      <w:kern w:val="0"/>
                      <w:szCs w:val="21"/>
                      <w:highlight w:val="none"/>
                    </w:rPr>
                  </w:pPr>
                  <w:r>
                    <w:rPr>
                      <w:rFonts w:hint="eastAsia"/>
                      <w:color w:val="auto"/>
                      <w:kern w:val="0"/>
                      <w:szCs w:val="21"/>
                      <w:highlight w:val="none"/>
                    </w:rPr>
                    <w:t>1</w:t>
                  </w:r>
                  <w:r>
                    <w:rPr>
                      <w:color w:val="auto"/>
                      <w:kern w:val="0"/>
                      <w:szCs w:val="21"/>
                      <w:highlight w:val="none"/>
                    </w:rPr>
                    <w:t>个月</w:t>
                  </w:r>
                </w:p>
              </w:tc>
              <w:tc>
                <w:tcPr>
                  <w:tcW w:w="302" w:type="pct"/>
                  <w:vAlign w:val="center"/>
                </w:tcPr>
                <w:p w14:paraId="66CA0368">
                  <w:pPr>
                    <w:adjustRightInd w:val="0"/>
                    <w:snapToGrid w:val="0"/>
                    <w:jc w:val="center"/>
                    <w:rPr>
                      <w:bCs/>
                      <w:color w:val="auto"/>
                      <w:szCs w:val="21"/>
                      <w:highlight w:val="none"/>
                    </w:rPr>
                  </w:pPr>
                  <w:r>
                    <w:rPr>
                      <w:rFonts w:hint="eastAsia"/>
                      <w:bCs/>
                      <w:color w:val="auto"/>
                      <w:szCs w:val="21"/>
                      <w:highlight w:val="none"/>
                    </w:rPr>
                    <w:t>T</w:t>
                  </w:r>
                </w:p>
              </w:tc>
              <w:tc>
                <w:tcPr>
                  <w:tcW w:w="630" w:type="pct"/>
                  <w:vMerge w:val="restart"/>
                  <w:vAlign w:val="center"/>
                </w:tcPr>
                <w:p w14:paraId="24F298DB">
                  <w:pPr>
                    <w:topLinePunct/>
                    <w:adjustRightInd w:val="0"/>
                    <w:snapToGrid w:val="0"/>
                    <w:jc w:val="center"/>
                    <w:rPr>
                      <w:snapToGrid w:val="0"/>
                      <w:color w:val="auto"/>
                      <w:kern w:val="0"/>
                      <w:szCs w:val="21"/>
                      <w:highlight w:val="none"/>
                    </w:rPr>
                  </w:pPr>
                  <w:r>
                    <w:rPr>
                      <w:color w:val="auto"/>
                      <w:szCs w:val="21"/>
                      <w:highlight w:val="none"/>
                    </w:rPr>
                    <w:t>危废仓库暂存，委托有资质单位处理</w:t>
                  </w:r>
                </w:p>
              </w:tc>
            </w:tr>
            <w:tr w14:paraId="39054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0" w:type="pct"/>
                  <w:vAlign w:val="center"/>
                </w:tcPr>
                <w:p w14:paraId="35C805A8">
                  <w:pPr>
                    <w:adjustRightInd w:val="0"/>
                    <w:snapToGrid w:val="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2</w:t>
                  </w:r>
                </w:p>
              </w:tc>
              <w:tc>
                <w:tcPr>
                  <w:tcW w:w="411" w:type="pct"/>
                  <w:vAlign w:val="center"/>
                </w:tcPr>
                <w:p w14:paraId="149BA5FD">
                  <w:pPr>
                    <w:pStyle w:val="79"/>
                    <w:spacing w:line="240" w:lineRule="auto"/>
                    <w:rPr>
                      <w:rFonts w:hint="eastAsia" w:eastAsia="宋体"/>
                      <w:color w:val="auto"/>
                      <w:kern w:val="24"/>
                      <w:sz w:val="21"/>
                      <w:szCs w:val="21"/>
                      <w:highlight w:val="none"/>
                      <w:lang w:val="en-US" w:eastAsia="zh-Hans"/>
                    </w:rPr>
                  </w:pPr>
                  <w:r>
                    <w:rPr>
                      <w:rFonts w:hint="eastAsia"/>
                      <w:color w:val="auto"/>
                      <w:kern w:val="24"/>
                      <w:sz w:val="21"/>
                      <w:szCs w:val="21"/>
                      <w:highlight w:val="none"/>
                      <w:lang w:val="en-US" w:eastAsia="zh-Hans"/>
                    </w:rPr>
                    <w:t>废粉</w:t>
                  </w:r>
                </w:p>
              </w:tc>
              <w:tc>
                <w:tcPr>
                  <w:tcW w:w="857" w:type="dxa"/>
                  <w:vAlign w:val="center"/>
                </w:tcPr>
                <w:p w14:paraId="0BE665FC">
                  <w:pPr>
                    <w:adjustRightInd w:val="0"/>
                    <w:snapToGrid w:val="0"/>
                    <w:jc w:val="center"/>
                    <w:rPr>
                      <w:rFonts w:hint="eastAsia"/>
                      <w:bCs/>
                      <w:color w:val="auto"/>
                      <w:szCs w:val="21"/>
                      <w:highlight w:val="none"/>
                    </w:rPr>
                  </w:pPr>
                  <w:r>
                    <w:rPr>
                      <w:rFonts w:hint="eastAsia"/>
                      <w:bCs/>
                      <w:color w:val="auto"/>
                      <w:szCs w:val="21"/>
                      <w:highlight w:val="none"/>
                    </w:rPr>
                    <w:t>HW13</w:t>
                  </w:r>
                </w:p>
              </w:tc>
              <w:tc>
                <w:tcPr>
                  <w:tcW w:w="1005" w:type="dxa"/>
                  <w:vAlign w:val="center"/>
                </w:tcPr>
                <w:p w14:paraId="2EBC423D">
                  <w:pPr>
                    <w:adjustRightInd w:val="0"/>
                    <w:snapToGrid w:val="0"/>
                    <w:jc w:val="center"/>
                    <w:rPr>
                      <w:rFonts w:hint="eastAsia"/>
                      <w:bCs/>
                      <w:color w:val="auto"/>
                      <w:szCs w:val="21"/>
                      <w:highlight w:val="none"/>
                    </w:rPr>
                  </w:pPr>
                  <w:r>
                    <w:rPr>
                      <w:rFonts w:hint="eastAsia"/>
                      <w:bCs/>
                      <w:color w:val="auto"/>
                      <w:szCs w:val="21"/>
                      <w:highlight w:val="none"/>
                    </w:rPr>
                    <w:t>900-014-13</w:t>
                  </w:r>
                </w:p>
              </w:tc>
              <w:tc>
                <w:tcPr>
                  <w:tcW w:w="545" w:type="pct"/>
                  <w:vAlign w:val="center"/>
                </w:tcPr>
                <w:p w14:paraId="32849521">
                  <w:pPr>
                    <w:adjustRightInd w:val="0"/>
                    <w:snapToGrid w:val="0"/>
                    <w:jc w:val="center"/>
                    <w:rPr>
                      <w:color w:val="auto"/>
                      <w:szCs w:val="21"/>
                      <w:highlight w:val="none"/>
                    </w:rPr>
                  </w:pPr>
                  <w:r>
                    <w:rPr>
                      <w:color w:val="auto"/>
                      <w:szCs w:val="21"/>
                      <w:highlight w:val="none"/>
                    </w:rPr>
                    <w:t>2.139</w:t>
                  </w:r>
                </w:p>
              </w:tc>
              <w:tc>
                <w:tcPr>
                  <w:tcW w:w="462" w:type="pct"/>
                  <w:vAlign w:val="center"/>
                </w:tcPr>
                <w:p w14:paraId="2EF6C6BF">
                  <w:pPr>
                    <w:pStyle w:val="79"/>
                    <w:spacing w:line="240" w:lineRule="auto"/>
                    <w:rPr>
                      <w:rFonts w:hint="eastAsia" w:ascii="Times New Roman" w:eastAsia="宋体"/>
                      <w:color w:val="auto"/>
                      <w:kern w:val="24"/>
                      <w:sz w:val="21"/>
                      <w:szCs w:val="21"/>
                      <w:highlight w:val="none"/>
                      <w:lang w:val="en-US" w:eastAsia="zh-Hans"/>
                    </w:rPr>
                  </w:pPr>
                  <w:r>
                    <w:rPr>
                      <w:rFonts w:hint="eastAsia" w:ascii="Times New Roman"/>
                      <w:color w:val="auto"/>
                      <w:kern w:val="24"/>
                      <w:sz w:val="21"/>
                      <w:szCs w:val="21"/>
                      <w:highlight w:val="none"/>
                      <w:lang w:val="en-US" w:eastAsia="zh-Hans"/>
                    </w:rPr>
                    <w:t>涂粉</w:t>
                  </w:r>
                </w:p>
              </w:tc>
              <w:tc>
                <w:tcPr>
                  <w:tcW w:w="301" w:type="pct"/>
                  <w:vAlign w:val="center"/>
                </w:tcPr>
                <w:p w14:paraId="689E52DC">
                  <w:pPr>
                    <w:adjustRightInd w:val="0"/>
                    <w:snapToGrid w:val="0"/>
                    <w:jc w:val="center"/>
                    <w:rPr>
                      <w:rFonts w:hint="eastAsia" w:eastAsia="宋体"/>
                      <w:color w:val="auto"/>
                      <w:szCs w:val="21"/>
                      <w:highlight w:val="none"/>
                      <w:lang w:val="en-US" w:eastAsia="zh-Hans"/>
                    </w:rPr>
                  </w:pPr>
                  <w:r>
                    <w:rPr>
                      <w:rFonts w:hint="eastAsia"/>
                      <w:color w:val="auto"/>
                      <w:szCs w:val="21"/>
                      <w:highlight w:val="none"/>
                      <w:lang w:val="en-US" w:eastAsia="zh-Hans"/>
                    </w:rPr>
                    <w:t>固态</w:t>
                  </w:r>
                </w:p>
              </w:tc>
              <w:tc>
                <w:tcPr>
                  <w:tcW w:w="460" w:type="pct"/>
                  <w:vAlign w:val="center"/>
                </w:tcPr>
                <w:p w14:paraId="0F770EC3">
                  <w:pPr>
                    <w:pStyle w:val="79"/>
                    <w:spacing w:line="240" w:lineRule="auto"/>
                    <w:rPr>
                      <w:rFonts w:hint="eastAsia" w:ascii="Times New Roman" w:eastAsia="宋体"/>
                      <w:snapToGrid w:val="0"/>
                      <w:color w:val="auto"/>
                      <w:sz w:val="21"/>
                      <w:szCs w:val="21"/>
                      <w:highlight w:val="none"/>
                      <w:lang w:val="en-US" w:eastAsia="zh-Hans"/>
                    </w:rPr>
                  </w:pPr>
                  <w:r>
                    <w:rPr>
                      <w:rFonts w:hint="eastAsia" w:ascii="Times New Roman"/>
                      <w:snapToGrid w:val="0"/>
                      <w:color w:val="auto"/>
                      <w:sz w:val="21"/>
                      <w:szCs w:val="21"/>
                      <w:highlight w:val="none"/>
                      <w:lang w:val="en-US" w:eastAsia="zh-Hans"/>
                    </w:rPr>
                    <w:t>树脂粉</w:t>
                  </w:r>
                </w:p>
              </w:tc>
              <w:tc>
                <w:tcPr>
                  <w:tcW w:w="383" w:type="pct"/>
                  <w:vAlign w:val="center"/>
                </w:tcPr>
                <w:p w14:paraId="53F42023">
                  <w:pPr>
                    <w:topLinePunct/>
                    <w:adjustRightInd w:val="0"/>
                    <w:snapToGrid w:val="0"/>
                    <w:jc w:val="center"/>
                    <w:rPr>
                      <w:rFonts w:hint="eastAsia" w:eastAsia="宋体"/>
                      <w:color w:val="auto"/>
                      <w:kern w:val="0"/>
                      <w:szCs w:val="21"/>
                      <w:highlight w:val="none"/>
                      <w:lang w:val="en-US" w:eastAsia="zh-Hans"/>
                    </w:rPr>
                  </w:pPr>
                  <w:r>
                    <w:rPr>
                      <w:rFonts w:hint="eastAsia"/>
                      <w:color w:val="auto"/>
                      <w:kern w:val="0"/>
                      <w:szCs w:val="21"/>
                      <w:highlight w:val="none"/>
                      <w:lang w:val="en-US" w:eastAsia="zh-Hans"/>
                    </w:rPr>
                    <w:t>树脂粉</w:t>
                  </w:r>
                </w:p>
              </w:tc>
              <w:tc>
                <w:tcPr>
                  <w:tcW w:w="383" w:type="pct"/>
                  <w:vAlign w:val="center"/>
                </w:tcPr>
                <w:p w14:paraId="6B90CBC3">
                  <w:pPr>
                    <w:topLinePunct/>
                    <w:adjustRightInd w:val="0"/>
                    <w:snapToGrid w:val="0"/>
                    <w:jc w:val="center"/>
                    <w:rPr>
                      <w:rFonts w:hint="eastAsia"/>
                      <w:color w:val="auto"/>
                      <w:kern w:val="0"/>
                      <w:szCs w:val="21"/>
                      <w:highlight w:val="none"/>
                    </w:rPr>
                  </w:pPr>
                  <w:r>
                    <w:rPr>
                      <w:rFonts w:hint="default"/>
                      <w:color w:val="auto"/>
                      <w:kern w:val="0"/>
                      <w:szCs w:val="21"/>
                      <w:highlight w:val="none"/>
                    </w:rPr>
                    <w:t>1</w:t>
                  </w:r>
                  <w:r>
                    <w:rPr>
                      <w:rFonts w:hint="eastAsia"/>
                      <w:color w:val="auto"/>
                      <w:kern w:val="0"/>
                      <w:szCs w:val="21"/>
                      <w:highlight w:val="none"/>
                      <w:lang w:val="en-US" w:eastAsia="zh-Hans"/>
                    </w:rPr>
                    <w:t>个月</w:t>
                  </w:r>
                </w:p>
              </w:tc>
              <w:tc>
                <w:tcPr>
                  <w:tcW w:w="302" w:type="pct"/>
                  <w:vAlign w:val="center"/>
                </w:tcPr>
                <w:p w14:paraId="549ED7F9">
                  <w:pPr>
                    <w:adjustRightInd w:val="0"/>
                    <w:snapToGrid w:val="0"/>
                    <w:jc w:val="center"/>
                    <w:rPr>
                      <w:rFonts w:hint="eastAsia" w:eastAsia="宋体"/>
                      <w:bCs/>
                      <w:color w:val="auto"/>
                      <w:szCs w:val="21"/>
                      <w:highlight w:val="none"/>
                      <w:lang w:val="en-US" w:eastAsia="zh-Hans"/>
                    </w:rPr>
                  </w:pPr>
                  <w:r>
                    <w:rPr>
                      <w:rFonts w:hint="eastAsia"/>
                      <w:bCs/>
                      <w:color w:val="auto"/>
                      <w:szCs w:val="21"/>
                      <w:highlight w:val="none"/>
                      <w:lang w:val="en-US" w:eastAsia="zh-Hans"/>
                    </w:rPr>
                    <w:t>T</w:t>
                  </w:r>
                </w:p>
              </w:tc>
              <w:tc>
                <w:tcPr>
                  <w:tcW w:w="630" w:type="pct"/>
                  <w:vMerge w:val="continue"/>
                  <w:vAlign w:val="center"/>
                </w:tcPr>
                <w:p w14:paraId="1C65B9DD">
                  <w:pPr>
                    <w:topLinePunct/>
                    <w:adjustRightInd w:val="0"/>
                    <w:snapToGrid w:val="0"/>
                    <w:jc w:val="center"/>
                    <w:rPr>
                      <w:color w:val="auto"/>
                      <w:szCs w:val="21"/>
                      <w:highlight w:val="none"/>
                    </w:rPr>
                  </w:pPr>
                </w:p>
              </w:tc>
            </w:tr>
            <w:tr w14:paraId="77C56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10" w:type="pct"/>
                  <w:vAlign w:val="center"/>
                </w:tcPr>
                <w:p w14:paraId="03F88027">
                  <w:pPr>
                    <w:adjustRightInd w:val="0"/>
                    <w:snapToGrid w:val="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3</w:t>
                  </w:r>
                </w:p>
              </w:tc>
              <w:tc>
                <w:tcPr>
                  <w:tcW w:w="411" w:type="pct"/>
                  <w:vAlign w:val="center"/>
                </w:tcPr>
                <w:p w14:paraId="1DD4B0F4">
                  <w:pPr>
                    <w:pStyle w:val="79"/>
                    <w:spacing w:line="240" w:lineRule="auto"/>
                    <w:rPr>
                      <w:rFonts w:ascii="Times New Roman"/>
                      <w:snapToGrid w:val="0"/>
                      <w:color w:val="auto"/>
                      <w:sz w:val="21"/>
                      <w:szCs w:val="21"/>
                      <w:highlight w:val="none"/>
                      <w:lang w:val="en-US"/>
                    </w:rPr>
                  </w:pPr>
                  <w:r>
                    <w:rPr>
                      <w:rFonts w:ascii="Times New Roman"/>
                      <w:color w:val="auto"/>
                      <w:kern w:val="24"/>
                      <w:sz w:val="21"/>
                      <w:szCs w:val="21"/>
                      <w:highlight w:val="none"/>
                      <w:lang w:val="en-US"/>
                    </w:rPr>
                    <w:t>废</w:t>
                  </w:r>
                  <w:r>
                    <w:rPr>
                      <w:rFonts w:hint="eastAsia" w:ascii="Times New Roman"/>
                      <w:color w:val="auto"/>
                      <w:kern w:val="24"/>
                      <w:sz w:val="21"/>
                      <w:szCs w:val="21"/>
                      <w:highlight w:val="none"/>
                      <w:lang w:val="en-US"/>
                    </w:rPr>
                    <w:t>包装桶</w:t>
                  </w:r>
                </w:p>
              </w:tc>
              <w:tc>
                <w:tcPr>
                  <w:tcW w:w="417" w:type="pct"/>
                  <w:vAlign w:val="center"/>
                </w:tcPr>
                <w:p w14:paraId="0E69BC6D">
                  <w:pPr>
                    <w:adjustRightInd w:val="0"/>
                    <w:snapToGrid w:val="0"/>
                    <w:jc w:val="center"/>
                    <w:rPr>
                      <w:color w:val="auto"/>
                      <w:szCs w:val="21"/>
                      <w:highlight w:val="none"/>
                    </w:rPr>
                  </w:pPr>
                  <w:r>
                    <w:rPr>
                      <w:rFonts w:hint="eastAsia"/>
                      <w:bCs/>
                      <w:color w:val="auto"/>
                      <w:szCs w:val="21"/>
                      <w:highlight w:val="none"/>
                    </w:rPr>
                    <w:t>HW49</w:t>
                  </w:r>
                </w:p>
              </w:tc>
              <w:tc>
                <w:tcPr>
                  <w:tcW w:w="489" w:type="pct"/>
                  <w:vAlign w:val="center"/>
                </w:tcPr>
                <w:p w14:paraId="7098FC28">
                  <w:pPr>
                    <w:adjustRightInd w:val="0"/>
                    <w:snapToGrid w:val="0"/>
                    <w:jc w:val="center"/>
                    <w:rPr>
                      <w:color w:val="auto"/>
                      <w:szCs w:val="21"/>
                      <w:highlight w:val="none"/>
                    </w:rPr>
                  </w:pPr>
                  <w:r>
                    <w:rPr>
                      <w:rFonts w:hint="eastAsia"/>
                      <w:bCs/>
                      <w:color w:val="auto"/>
                      <w:szCs w:val="21"/>
                      <w:highlight w:val="none"/>
                    </w:rPr>
                    <w:t>900-041-49</w:t>
                  </w:r>
                </w:p>
              </w:tc>
              <w:tc>
                <w:tcPr>
                  <w:tcW w:w="545" w:type="pct"/>
                  <w:vAlign w:val="center"/>
                </w:tcPr>
                <w:p w14:paraId="33548EF0">
                  <w:pPr>
                    <w:adjustRightInd w:val="0"/>
                    <w:snapToGrid w:val="0"/>
                    <w:jc w:val="center"/>
                    <w:rPr>
                      <w:color w:val="auto"/>
                      <w:szCs w:val="21"/>
                      <w:highlight w:val="none"/>
                    </w:rPr>
                  </w:pPr>
                  <w:r>
                    <w:rPr>
                      <w:color w:val="auto"/>
                      <w:szCs w:val="21"/>
                      <w:highlight w:val="none"/>
                    </w:rPr>
                    <w:t>0.25</w:t>
                  </w:r>
                </w:p>
              </w:tc>
              <w:tc>
                <w:tcPr>
                  <w:tcW w:w="462" w:type="pct"/>
                  <w:vAlign w:val="center"/>
                </w:tcPr>
                <w:p w14:paraId="1F5022D8">
                  <w:pPr>
                    <w:pStyle w:val="79"/>
                    <w:spacing w:line="240" w:lineRule="auto"/>
                    <w:rPr>
                      <w:rFonts w:ascii="Times New Roman"/>
                      <w:snapToGrid w:val="0"/>
                      <w:color w:val="auto"/>
                      <w:sz w:val="21"/>
                      <w:szCs w:val="21"/>
                      <w:highlight w:val="none"/>
                      <w:lang w:val="en-US"/>
                    </w:rPr>
                  </w:pPr>
                  <w:r>
                    <w:rPr>
                      <w:rFonts w:ascii="Times New Roman"/>
                      <w:bCs/>
                      <w:snapToGrid w:val="0"/>
                      <w:color w:val="auto"/>
                      <w:kern w:val="24"/>
                      <w:sz w:val="21"/>
                      <w:szCs w:val="21"/>
                      <w:highlight w:val="none"/>
                      <w:lang w:val="en-US"/>
                    </w:rPr>
                    <w:t>原</w:t>
                  </w:r>
                  <w:r>
                    <w:rPr>
                      <w:rFonts w:hint="eastAsia" w:ascii="Times New Roman"/>
                      <w:bCs/>
                      <w:snapToGrid w:val="0"/>
                      <w:color w:val="auto"/>
                      <w:kern w:val="24"/>
                      <w:sz w:val="21"/>
                      <w:szCs w:val="21"/>
                      <w:highlight w:val="none"/>
                      <w:lang w:val="en-US"/>
                    </w:rPr>
                    <w:t>料</w:t>
                  </w:r>
                  <w:r>
                    <w:rPr>
                      <w:rFonts w:ascii="Times New Roman"/>
                      <w:bCs/>
                      <w:snapToGrid w:val="0"/>
                      <w:color w:val="auto"/>
                      <w:kern w:val="24"/>
                      <w:sz w:val="21"/>
                      <w:szCs w:val="21"/>
                      <w:highlight w:val="none"/>
                      <w:lang w:val="en-US"/>
                    </w:rPr>
                    <w:t>包装</w:t>
                  </w:r>
                </w:p>
              </w:tc>
              <w:tc>
                <w:tcPr>
                  <w:tcW w:w="301" w:type="pct"/>
                  <w:vAlign w:val="center"/>
                </w:tcPr>
                <w:p w14:paraId="0D551A63">
                  <w:pPr>
                    <w:adjustRightInd w:val="0"/>
                    <w:snapToGrid w:val="0"/>
                    <w:jc w:val="center"/>
                    <w:rPr>
                      <w:color w:val="auto"/>
                      <w:szCs w:val="21"/>
                      <w:highlight w:val="none"/>
                    </w:rPr>
                  </w:pPr>
                  <w:r>
                    <w:rPr>
                      <w:color w:val="auto"/>
                      <w:szCs w:val="21"/>
                      <w:highlight w:val="none"/>
                    </w:rPr>
                    <w:t>固态</w:t>
                  </w:r>
                </w:p>
              </w:tc>
              <w:tc>
                <w:tcPr>
                  <w:tcW w:w="460" w:type="pct"/>
                  <w:vAlign w:val="center"/>
                </w:tcPr>
                <w:p w14:paraId="48C93C11">
                  <w:pPr>
                    <w:pStyle w:val="79"/>
                    <w:spacing w:line="240" w:lineRule="auto"/>
                    <w:rPr>
                      <w:rFonts w:ascii="Times New Roman"/>
                      <w:snapToGrid w:val="0"/>
                      <w:color w:val="auto"/>
                      <w:sz w:val="21"/>
                      <w:szCs w:val="21"/>
                      <w:highlight w:val="none"/>
                      <w:lang w:val="en-US"/>
                    </w:rPr>
                  </w:pPr>
                  <w:r>
                    <w:rPr>
                      <w:rFonts w:ascii="Times New Roman"/>
                      <w:bCs/>
                      <w:snapToGrid w:val="0"/>
                      <w:color w:val="auto"/>
                      <w:sz w:val="21"/>
                      <w:szCs w:val="21"/>
                      <w:highlight w:val="none"/>
                      <w:lang w:val="en-US"/>
                    </w:rPr>
                    <w:t>塑料</w:t>
                  </w:r>
                  <w:r>
                    <w:rPr>
                      <w:rFonts w:hint="eastAsia" w:ascii="Times New Roman"/>
                      <w:bCs/>
                      <w:snapToGrid w:val="0"/>
                      <w:color w:val="auto"/>
                      <w:sz w:val="21"/>
                      <w:szCs w:val="21"/>
                      <w:highlight w:val="none"/>
                      <w:lang w:val="en-US"/>
                    </w:rPr>
                    <w:t>、铁</w:t>
                  </w:r>
                  <w:r>
                    <w:rPr>
                      <w:rFonts w:hint="eastAsia" w:ascii="Times New Roman"/>
                      <w:bCs/>
                      <w:snapToGrid w:val="0"/>
                      <w:color w:val="auto"/>
                      <w:sz w:val="21"/>
                      <w:szCs w:val="21"/>
                      <w:highlight w:val="none"/>
                      <w:lang w:val="en-US" w:eastAsia="zh-Hans"/>
                    </w:rPr>
                    <w:t>、油</w:t>
                  </w:r>
                </w:p>
              </w:tc>
              <w:tc>
                <w:tcPr>
                  <w:tcW w:w="383" w:type="pct"/>
                  <w:vAlign w:val="center"/>
                </w:tcPr>
                <w:p w14:paraId="13E5EE55">
                  <w:pPr>
                    <w:topLinePunct/>
                    <w:adjustRightInd w:val="0"/>
                    <w:snapToGrid w:val="0"/>
                    <w:jc w:val="center"/>
                    <w:rPr>
                      <w:color w:val="auto"/>
                      <w:kern w:val="0"/>
                      <w:szCs w:val="21"/>
                      <w:highlight w:val="none"/>
                    </w:rPr>
                  </w:pPr>
                  <w:r>
                    <w:rPr>
                      <w:rFonts w:hint="eastAsia"/>
                      <w:color w:val="auto"/>
                      <w:kern w:val="0"/>
                      <w:szCs w:val="21"/>
                      <w:highlight w:val="none"/>
                    </w:rPr>
                    <w:t>有机物</w:t>
                  </w:r>
                  <w:r>
                    <w:rPr>
                      <w:rFonts w:hint="eastAsia"/>
                      <w:color w:val="auto"/>
                      <w:kern w:val="0"/>
                      <w:szCs w:val="21"/>
                      <w:highlight w:val="none"/>
                      <w:lang w:eastAsia="zh-Hans"/>
                    </w:rPr>
                    <w:t>、</w:t>
                  </w:r>
                  <w:r>
                    <w:rPr>
                      <w:rFonts w:hint="eastAsia"/>
                      <w:color w:val="auto"/>
                      <w:kern w:val="0"/>
                      <w:szCs w:val="21"/>
                      <w:highlight w:val="none"/>
                      <w:lang w:val="en-US" w:eastAsia="zh-Hans"/>
                    </w:rPr>
                    <w:t>油</w:t>
                  </w:r>
                </w:p>
              </w:tc>
              <w:tc>
                <w:tcPr>
                  <w:tcW w:w="383" w:type="pct"/>
                  <w:vAlign w:val="center"/>
                </w:tcPr>
                <w:p w14:paraId="4E2F2DBD">
                  <w:pPr>
                    <w:topLinePunct/>
                    <w:adjustRightInd w:val="0"/>
                    <w:snapToGrid w:val="0"/>
                    <w:jc w:val="center"/>
                    <w:rPr>
                      <w:color w:val="auto"/>
                      <w:kern w:val="0"/>
                      <w:szCs w:val="21"/>
                      <w:highlight w:val="none"/>
                    </w:rPr>
                  </w:pPr>
                  <w:r>
                    <w:rPr>
                      <w:rFonts w:hint="eastAsia"/>
                      <w:color w:val="auto"/>
                      <w:kern w:val="0"/>
                      <w:szCs w:val="21"/>
                      <w:highlight w:val="none"/>
                    </w:rPr>
                    <w:t>1个月</w:t>
                  </w:r>
                </w:p>
              </w:tc>
              <w:tc>
                <w:tcPr>
                  <w:tcW w:w="302" w:type="pct"/>
                  <w:vAlign w:val="center"/>
                </w:tcPr>
                <w:p w14:paraId="768577D9">
                  <w:pPr>
                    <w:adjustRightInd w:val="0"/>
                    <w:snapToGrid w:val="0"/>
                    <w:jc w:val="center"/>
                    <w:rPr>
                      <w:color w:val="auto"/>
                      <w:szCs w:val="21"/>
                      <w:highlight w:val="none"/>
                    </w:rPr>
                  </w:pPr>
                  <w:r>
                    <w:rPr>
                      <w:rFonts w:hint="eastAsia"/>
                      <w:bCs/>
                      <w:color w:val="auto"/>
                      <w:szCs w:val="21"/>
                      <w:highlight w:val="none"/>
                    </w:rPr>
                    <w:t>T/In</w:t>
                  </w:r>
                </w:p>
              </w:tc>
              <w:tc>
                <w:tcPr>
                  <w:tcW w:w="630" w:type="pct"/>
                  <w:vMerge w:val="continue"/>
                  <w:vAlign w:val="center"/>
                </w:tcPr>
                <w:p w14:paraId="38D19D8F">
                  <w:pPr>
                    <w:topLinePunct/>
                    <w:adjustRightInd w:val="0"/>
                    <w:snapToGrid w:val="0"/>
                    <w:jc w:val="center"/>
                    <w:rPr>
                      <w:color w:val="auto"/>
                      <w:szCs w:val="21"/>
                      <w:highlight w:val="none"/>
                    </w:rPr>
                  </w:pPr>
                </w:p>
              </w:tc>
            </w:tr>
            <w:tr w14:paraId="34224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0" w:type="pct"/>
                  <w:vAlign w:val="center"/>
                </w:tcPr>
                <w:p w14:paraId="7769DD67">
                  <w:pPr>
                    <w:adjustRightInd w:val="0"/>
                    <w:snapToGrid w:val="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4</w:t>
                  </w:r>
                </w:p>
              </w:tc>
              <w:tc>
                <w:tcPr>
                  <w:tcW w:w="411" w:type="pct"/>
                  <w:vAlign w:val="center"/>
                </w:tcPr>
                <w:p w14:paraId="2563A0AC">
                  <w:pPr>
                    <w:pStyle w:val="79"/>
                    <w:spacing w:line="240" w:lineRule="auto"/>
                    <w:rPr>
                      <w:rFonts w:ascii="Times New Roman"/>
                      <w:snapToGrid w:val="0"/>
                      <w:color w:val="auto"/>
                      <w:sz w:val="21"/>
                      <w:szCs w:val="21"/>
                      <w:highlight w:val="none"/>
                      <w:lang w:val="en-US"/>
                    </w:rPr>
                  </w:pPr>
                  <w:r>
                    <w:rPr>
                      <w:rFonts w:ascii="Times New Roman"/>
                      <w:bCs/>
                      <w:snapToGrid w:val="0"/>
                      <w:color w:val="auto"/>
                      <w:sz w:val="21"/>
                      <w:szCs w:val="21"/>
                      <w:highlight w:val="none"/>
                      <w:lang w:val="en-US"/>
                    </w:rPr>
                    <w:t>废</w:t>
                  </w:r>
                  <w:r>
                    <w:rPr>
                      <w:rFonts w:hint="eastAsia" w:ascii="Times New Roman"/>
                      <w:bCs/>
                      <w:snapToGrid w:val="0"/>
                      <w:color w:val="auto"/>
                      <w:sz w:val="21"/>
                      <w:szCs w:val="21"/>
                      <w:highlight w:val="none"/>
                      <w:lang w:val="en-US"/>
                    </w:rPr>
                    <w:t>活性炭</w:t>
                  </w:r>
                </w:p>
              </w:tc>
              <w:tc>
                <w:tcPr>
                  <w:tcW w:w="417" w:type="pct"/>
                  <w:vAlign w:val="center"/>
                </w:tcPr>
                <w:p w14:paraId="51D13C41">
                  <w:pPr>
                    <w:adjustRightInd w:val="0"/>
                    <w:snapToGrid w:val="0"/>
                    <w:jc w:val="center"/>
                    <w:rPr>
                      <w:color w:val="auto"/>
                      <w:szCs w:val="21"/>
                      <w:highlight w:val="none"/>
                    </w:rPr>
                  </w:pPr>
                  <w:r>
                    <w:rPr>
                      <w:bCs/>
                      <w:color w:val="auto"/>
                      <w:szCs w:val="21"/>
                      <w:highlight w:val="none"/>
                    </w:rPr>
                    <w:t>HW49</w:t>
                  </w:r>
                </w:p>
              </w:tc>
              <w:tc>
                <w:tcPr>
                  <w:tcW w:w="489" w:type="pct"/>
                  <w:vAlign w:val="center"/>
                </w:tcPr>
                <w:p w14:paraId="44A77D4A">
                  <w:pPr>
                    <w:adjustRightInd w:val="0"/>
                    <w:snapToGrid w:val="0"/>
                    <w:jc w:val="center"/>
                    <w:rPr>
                      <w:color w:val="auto"/>
                      <w:szCs w:val="21"/>
                      <w:highlight w:val="none"/>
                    </w:rPr>
                  </w:pPr>
                  <w:r>
                    <w:rPr>
                      <w:bCs/>
                      <w:color w:val="auto"/>
                      <w:szCs w:val="21"/>
                      <w:highlight w:val="none"/>
                    </w:rPr>
                    <w:t>900-039-49</w:t>
                  </w:r>
                </w:p>
              </w:tc>
              <w:tc>
                <w:tcPr>
                  <w:tcW w:w="545" w:type="pct"/>
                  <w:vAlign w:val="center"/>
                </w:tcPr>
                <w:p w14:paraId="0C3427C2">
                  <w:pPr>
                    <w:adjustRightInd w:val="0"/>
                    <w:snapToGrid w:val="0"/>
                    <w:jc w:val="center"/>
                    <w:rPr>
                      <w:color w:val="auto"/>
                      <w:szCs w:val="21"/>
                      <w:highlight w:val="none"/>
                    </w:rPr>
                  </w:pPr>
                  <w:r>
                    <w:rPr>
                      <w:rFonts w:hint="eastAsia"/>
                      <w:color w:val="auto"/>
                      <w:szCs w:val="21"/>
                      <w:highlight w:val="none"/>
                    </w:rPr>
                    <w:t>44.0901</w:t>
                  </w:r>
                </w:p>
              </w:tc>
              <w:tc>
                <w:tcPr>
                  <w:tcW w:w="462" w:type="pct"/>
                  <w:vAlign w:val="center"/>
                </w:tcPr>
                <w:p w14:paraId="459A8C60">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废气处理</w:t>
                  </w:r>
                </w:p>
              </w:tc>
              <w:tc>
                <w:tcPr>
                  <w:tcW w:w="301" w:type="pct"/>
                  <w:vAlign w:val="center"/>
                </w:tcPr>
                <w:p w14:paraId="37A5AFA0">
                  <w:pPr>
                    <w:adjustRightInd w:val="0"/>
                    <w:snapToGrid w:val="0"/>
                    <w:jc w:val="center"/>
                    <w:rPr>
                      <w:color w:val="auto"/>
                      <w:szCs w:val="21"/>
                      <w:highlight w:val="none"/>
                    </w:rPr>
                  </w:pPr>
                  <w:r>
                    <w:rPr>
                      <w:color w:val="auto"/>
                      <w:szCs w:val="21"/>
                      <w:highlight w:val="none"/>
                    </w:rPr>
                    <w:t>固态</w:t>
                  </w:r>
                </w:p>
              </w:tc>
              <w:tc>
                <w:tcPr>
                  <w:tcW w:w="460" w:type="pct"/>
                  <w:vAlign w:val="center"/>
                </w:tcPr>
                <w:p w14:paraId="5ABF0E38">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活性炭、有机物</w:t>
                  </w:r>
                </w:p>
              </w:tc>
              <w:tc>
                <w:tcPr>
                  <w:tcW w:w="383" w:type="pct"/>
                  <w:vAlign w:val="center"/>
                </w:tcPr>
                <w:p w14:paraId="179AED20">
                  <w:pPr>
                    <w:topLinePunct/>
                    <w:adjustRightInd w:val="0"/>
                    <w:snapToGrid w:val="0"/>
                    <w:jc w:val="center"/>
                    <w:rPr>
                      <w:color w:val="auto"/>
                      <w:kern w:val="0"/>
                      <w:szCs w:val="21"/>
                      <w:highlight w:val="none"/>
                    </w:rPr>
                  </w:pPr>
                  <w:r>
                    <w:rPr>
                      <w:rFonts w:hint="eastAsia"/>
                      <w:color w:val="auto"/>
                      <w:kern w:val="0"/>
                      <w:szCs w:val="21"/>
                      <w:highlight w:val="none"/>
                    </w:rPr>
                    <w:t>有机物、活性炭</w:t>
                  </w:r>
                </w:p>
              </w:tc>
              <w:tc>
                <w:tcPr>
                  <w:tcW w:w="383" w:type="pct"/>
                  <w:vAlign w:val="center"/>
                </w:tcPr>
                <w:p w14:paraId="025E2CCD">
                  <w:pPr>
                    <w:topLinePunct/>
                    <w:adjustRightInd w:val="0"/>
                    <w:snapToGrid w:val="0"/>
                    <w:jc w:val="center"/>
                    <w:rPr>
                      <w:color w:val="auto"/>
                      <w:kern w:val="0"/>
                      <w:szCs w:val="21"/>
                      <w:highlight w:val="none"/>
                    </w:rPr>
                  </w:pPr>
                  <w:r>
                    <w:rPr>
                      <w:rFonts w:hint="default"/>
                      <w:color w:val="auto"/>
                      <w:kern w:val="0"/>
                      <w:szCs w:val="21"/>
                      <w:highlight w:val="none"/>
                    </w:rPr>
                    <w:t>3</w:t>
                  </w:r>
                  <w:r>
                    <w:rPr>
                      <w:rFonts w:hint="eastAsia"/>
                      <w:color w:val="auto"/>
                      <w:kern w:val="0"/>
                      <w:szCs w:val="21"/>
                      <w:highlight w:val="none"/>
                    </w:rPr>
                    <w:t>个月</w:t>
                  </w:r>
                </w:p>
              </w:tc>
              <w:tc>
                <w:tcPr>
                  <w:tcW w:w="302" w:type="pct"/>
                  <w:vAlign w:val="center"/>
                </w:tcPr>
                <w:p w14:paraId="20E34624">
                  <w:pPr>
                    <w:adjustRightInd w:val="0"/>
                    <w:snapToGrid w:val="0"/>
                    <w:jc w:val="center"/>
                    <w:rPr>
                      <w:color w:val="auto"/>
                      <w:szCs w:val="21"/>
                      <w:highlight w:val="none"/>
                    </w:rPr>
                  </w:pPr>
                  <w:r>
                    <w:rPr>
                      <w:bCs/>
                      <w:color w:val="auto"/>
                      <w:szCs w:val="21"/>
                      <w:highlight w:val="none"/>
                    </w:rPr>
                    <w:t>T</w:t>
                  </w:r>
                </w:p>
              </w:tc>
              <w:tc>
                <w:tcPr>
                  <w:tcW w:w="630" w:type="pct"/>
                  <w:vMerge w:val="continue"/>
                  <w:vAlign w:val="center"/>
                </w:tcPr>
                <w:p w14:paraId="1DC01396">
                  <w:pPr>
                    <w:topLinePunct/>
                    <w:adjustRightInd w:val="0"/>
                    <w:snapToGrid w:val="0"/>
                    <w:jc w:val="center"/>
                    <w:rPr>
                      <w:color w:val="auto"/>
                      <w:szCs w:val="21"/>
                      <w:highlight w:val="none"/>
                    </w:rPr>
                  </w:pPr>
                </w:p>
              </w:tc>
            </w:tr>
            <w:tr w14:paraId="11F73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0" w:type="pct"/>
                  <w:vAlign w:val="center"/>
                </w:tcPr>
                <w:p w14:paraId="5B08FCF4">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snapToGrid w:val="0"/>
                      <w:color w:val="auto"/>
                      <w:kern w:val="0"/>
                      <w:szCs w:val="21"/>
                      <w:highlight w:val="none"/>
                    </w:rPr>
                    <w:t>5</w:t>
                  </w:r>
                </w:p>
              </w:tc>
              <w:tc>
                <w:tcPr>
                  <w:tcW w:w="411" w:type="pct"/>
                  <w:vAlign w:val="center"/>
                </w:tcPr>
                <w:p w14:paraId="0CAABB1F">
                  <w:pPr>
                    <w:pStyle w:val="79"/>
                    <w:spacing w:line="240" w:lineRule="auto"/>
                    <w:rPr>
                      <w:rFonts w:ascii="Times New Roman"/>
                      <w:bCs/>
                      <w:snapToGrid w:val="0"/>
                      <w:color w:val="auto"/>
                      <w:sz w:val="21"/>
                      <w:szCs w:val="21"/>
                      <w:highlight w:val="none"/>
                      <w:lang w:val="en-US"/>
                    </w:rPr>
                  </w:pPr>
                  <w:r>
                    <w:rPr>
                      <w:rFonts w:hint="eastAsia" w:ascii="Times New Roman"/>
                      <w:bCs/>
                      <w:snapToGrid w:val="0"/>
                      <w:color w:val="auto"/>
                      <w:sz w:val="21"/>
                      <w:szCs w:val="21"/>
                      <w:highlight w:val="none"/>
                      <w:lang w:val="en-US"/>
                    </w:rPr>
                    <w:t>废手套</w:t>
                  </w:r>
                </w:p>
              </w:tc>
              <w:tc>
                <w:tcPr>
                  <w:tcW w:w="417" w:type="pct"/>
                  <w:vAlign w:val="center"/>
                </w:tcPr>
                <w:p w14:paraId="780F294F">
                  <w:pPr>
                    <w:adjustRightInd w:val="0"/>
                    <w:snapToGrid w:val="0"/>
                    <w:jc w:val="center"/>
                    <w:rPr>
                      <w:color w:val="auto"/>
                      <w:szCs w:val="21"/>
                      <w:highlight w:val="none"/>
                    </w:rPr>
                  </w:pPr>
                  <w:r>
                    <w:rPr>
                      <w:rFonts w:hint="eastAsia"/>
                      <w:bCs/>
                      <w:color w:val="auto"/>
                      <w:szCs w:val="21"/>
                      <w:highlight w:val="none"/>
                    </w:rPr>
                    <w:t>HW49</w:t>
                  </w:r>
                </w:p>
              </w:tc>
              <w:tc>
                <w:tcPr>
                  <w:tcW w:w="489" w:type="pct"/>
                  <w:vAlign w:val="center"/>
                </w:tcPr>
                <w:p w14:paraId="62680E16">
                  <w:pPr>
                    <w:adjustRightInd w:val="0"/>
                    <w:snapToGrid w:val="0"/>
                    <w:jc w:val="center"/>
                    <w:rPr>
                      <w:color w:val="auto"/>
                      <w:szCs w:val="21"/>
                      <w:highlight w:val="none"/>
                    </w:rPr>
                  </w:pPr>
                  <w:r>
                    <w:rPr>
                      <w:rFonts w:hint="eastAsia"/>
                      <w:bCs/>
                      <w:color w:val="auto"/>
                      <w:szCs w:val="21"/>
                      <w:highlight w:val="none"/>
                    </w:rPr>
                    <w:t>900-041-49</w:t>
                  </w:r>
                </w:p>
              </w:tc>
              <w:tc>
                <w:tcPr>
                  <w:tcW w:w="545" w:type="pct"/>
                  <w:vAlign w:val="center"/>
                </w:tcPr>
                <w:p w14:paraId="44FC606D">
                  <w:pPr>
                    <w:adjustRightInd w:val="0"/>
                    <w:snapToGrid w:val="0"/>
                    <w:jc w:val="center"/>
                    <w:rPr>
                      <w:color w:val="auto"/>
                      <w:szCs w:val="21"/>
                      <w:highlight w:val="none"/>
                    </w:rPr>
                  </w:pPr>
                  <w:r>
                    <w:rPr>
                      <w:color w:val="auto"/>
                      <w:szCs w:val="21"/>
                      <w:highlight w:val="none"/>
                    </w:rPr>
                    <w:t>0.02</w:t>
                  </w:r>
                </w:p>
              </w:tc>
              <w:tc>
                <w:tcPr>
                  <w:tcW w:w="462" w:type="pct"/>
                  <w:vAlign w:val="center"/>
                </w:tcPr>
                <w:p w14:paraId="35CAC7C0">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生产过程</w:t>
                  </w:r>
                </w:p>
              </w:tc>
              <w:tc>
                <w:tcPr>
                  <w:tcW w:w="301" w:type="pct"/>
                  <w:vAlign w:val="center"/>
                </w:tcPr>
                <w:p w14:paraId="6BC53C59">
                  <w:pPr>
                    <w:adjustRightInd w:val="0"/>
                    <w:snapToGrid w:val="0"/>
                    <w:jc w:val="center"/>
                    <w:rPr>
                      <w:color w:val="auto"/>
                      <w:szCs w:val="21"/>
                      <w:highlight w:val="none"/>
                    </w:rPr>
                  </w:pPr>
                  <w:r>
                    <w:rPr>
                      <w:rFonts w:hint="eastAsia"/>
                      <w:color w:val="auto"/>
                      <w:szCs w:val="21"/>
                      <w:highlight w:val="none"/>
                    </w:rPr>
                    <w:t>固态</w:t>
                  </w:r>
                </w:p>
              </w:tc>
              <w:tc>
                <w:tcPr>
                  <w:tcW w:w="460" w:type="pct"/>
                  <w:vAlign w:val="center"/>
                </w:tcPr>
                <w:p w14:paraId="00252F17">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布、胶</w:t>
                  </w:r>
                </w:p>
              </w:tc>
              <w:tc>
                <w:tcPr>
                  <w:tcW w:w="383" w:type="pct"/>
                  <w:vAlign w:val="center"/>
                </w:tcPr>
                <w:p w14:paraId="79F97B42">
                  <w:pPr>
                    <w:topLinePunct/>
                    <w:adjustRightInd w:val="0"/>
                    <w:snapToGrid w:val="0"/>
                    <w:jc w:val="center"/>
                    <w:rPr>
                      <w:color w:val="auto"/>
                      <w:kern w:val="0"/>
                      <w:szCs w:val="21"/>
                      <w:highlight w:val="none"/>
                    </w:rPr>
                  </w:pPr>
                  <w:r>
                    <w:rPr>
                      <w:rFonts w:hint="eastAsia"/>
                      <w:color w:val="auto"/>
                      <w:kern w:val="0"/>
                      <w:szCs w:val="21"/>
                      <w:highlight w:val="none"/>
                    </w:rPr>
                    <w:t>胶</w:t>
                  </w:r>
                </w:p>
              </w:tc>
              <w:tc>
                <w:tcPr>
                  <w:tcW w:w="383" w:type="pct"/>
                  <w:vAlign w:val="center"/>
                </w:tcPr>
                <w:p w14:paraId="17556C68">
                  <w:pPr>
                    <w:topLinePunct/>
                    <w:adjustRightInd w:val="0"/>
                    <w:snapToGrid w:val="0"/>
                    <w:jc w:val="center"/>
                    <w:rPr>
                      <w:color w:val="auto"/>
                      <w:kern w:val="0"/>
                      <w:szCs w:val="21"/>
                      <w:highlight w:val="none"/>
                    </w:rPr>
                  </w:pPr>
                  <w:r>
                    <w:rPr>
                      <w:rFonts w:hint="eastAsia"/>
                      <w:color w:val="auto"/>
                      <w:kern w:val="0"/>
                      <w:szCs w:val="21"/>
                      <w:highlight w:val="none"/>
                    </w:rPr>
                    <w:t>6个月</w:t>
                  </w:r>
                </w:p>
              </w:tc>
              <w:tc>
                <w:tcPr>
                  <w:tcW w:w="302" w:type="pct"/>
                  <w:vAlign w:val="center"/>
                </w:tcPr>
                <w:p w14:paraId="53EBD237">
                  <w:pPr>
                    <w:adjustRightInd w:val="0"/>
                    <w:snapToGrid w:val="0"/>
                    <w:jc w:val="center"/>
                    <w:rPr>
                      <w:bCs/>
                      <w:color w:val="auto"/>
                      <w:szCs w:val="21"/>
                      <w:highlight w:val="none"/>
                    </w:rPr>
                  </w:pPr>
                  <w:r>
                    <w:rPr>
                      <w:rFonts w:hint="eastAsia"/>
                      <w:bCs/>
                      <w:color w:val="auto"/>
                      <w:szCs w:val="21"/>
                      <w:highlight w:val="none"/>
                    </w:rPr>
                    <w:t>T/In</w:t>
                  </w:r>
                </w:p>
              </w:tc>
              <w:tc>
                <w:tcPr>
                  <w:tcW w:w="630" w:type="pct"/>
                  <w:vMerge w:val="continue"/>
                  <w:vAlign w:val="center"/>
                </w:tcPr>
                <w:p w14:paraId="02FA36B4">
                  <w:pPr>
                    <w:topLinePunct/>
                    <w:adjustRightInd w:val="0"/>
                    <w:snapToGrid w:val="0"/>
                    <w:jc w:val="center"/>
                    <w:rPr>
                      <w:color w:val="auto"/>
                      <w:szCs w:val="21"/>
                      <w:highlight w:val="none"/>
                    </w:rPr>
                  </w:pPr>
                </w:p>
              </w:tc>
            </w:tr>
            <w:tr w14:paraId="42626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10" w:type="pct"/>
                  <w:vAlign w:val="center"/>
                </w:tcPr>
                <w:p w14:paraId="7C01FBA6">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6</w:t>
                  </w:r>
                </w:p>
              </w:tc>
              <w:tc>
                <w:tcPr>
                  <w:tcW w:w="411" w:type="pct"/>
                  <w:vAlign w:val="center"/>
                </w:tcPr>
                <w:p w14:paraId="781A4849">
                  <w:pPr>
                    <w:pStyle w:val="79"/>
                    <w:spacing w:line="240" w:lineRule="auto"/>
                    <w:rPr>
                      <w:rFonts w:hint="eastAsia" w:ascii="Times New Roman" w:eastAsia="宋体"/>
                      <w:bCs/>
                      <w:snapToGrid w:val="0"/>
                      <w:color w:val="auto"/>
                      <w:sz w:val="21"/>
                      <w:szCs w:val="21"/>
                      <w:highlight w:val="none"/>
                      <w:lang w:val="en-US" w:eastAsia="zh-Hans"/>
                    </w:rPr>
                  </w:pPr>
                  <w:r>
                    <w:rPr>
                      <w:rFonts w:hint="eastAsia" w:ascii="Times New Roman"/>
                      <w:bCs/>
                      <w:snapToGrid w:val="0"/>
                      <w:color w:val="auto"/>
                      <w:sz w:val="21"/>
                      <w:szCs w:val="21"/>
                      <w:highlight w:val="none"/>
                      <w:lang w:val="en-US" w:eastAsia="zh-Hans"/>
                    </w:rPr>
                    <w:t>废润滑油</w:t>
                  </w:r>
                </w:p>
              </w:tc>
              <w:tc>
                <w:tcPr>
                  <w:tcW w:w="417" w:type="pct"/>
                  <w:vAlign w:val="center"/>
                </w:tcPr>
                <w:p w14:paraId="395FD252">
                  <w:pPr>
                    <w:pStyle w:val="60"/>
                    <w:spacing w:beforeLines="0" w:afterLines="0" w:line="240" w:lineRule="auto"/>
                    <w:rPr>
                      <w:rFonts w:hint="eastAsia"/>
                      <w:bCs/>
                      <w:color w:val="auto"/>
                      <w:szCs w:val="21"/>
                      <w:highlight w:val="none"/>
                    </w:rPr>
                  </w:pPr>
                  <w:r>
                    <w:rPr>
                      <w:rFonts w:hint="eastAsia" w:ascii="Times New Roman"/>
                      <w:color w:val="auto"/>
                      <w:szCs w:val="21"/>
                      <w:lang w:val="en-US" w:eastAsia="zh-Hans"/>
                    </w:rPr>
                    <w:t>HW</w:t>
                  </w:r>
                  <w:r>
                    <w:rPr>
                      <w:rFonts w:ascii="Times New Roman"/>
                      <w:color w:val="auto"/>
                      <w:szCs w:val="21"/>
                      <w:lang w:val="en-US" w:eastAsia="zh-Hans"/>
                    </w:rPr>
                    <w:t>08</w:t>
                  </w:r>
                </w:p>
              </w:tc>
              <w:tc>
                <w:tcPr>
                  <w:tcW w:w="489" w:type="pct"/>
                  <w:vAlign w:val="center"/>
                </w:tcPr>
                <w:p w14:paraId="0D01F33C">
                  <w:pPr>
                    <w:adjustRightInd w:val="0"/>
                    <w:snapToGrid w:val="0"/>
                    <w:jc w:val="center"/>
                    <w:rPr>
                      <w:rFonts w:hint="eastAsia"/>
                      <w:bCs/>
                      <w:color w:val="auto"/>
                      <w:szCs w:val="21"/>
                      <w:highlight w:val="none"/>
                    </w:rPr>
                  </w:pPr>
                  <w:r>
                    <w:rPr>
                      <w:color w:val="auto"/>
                      <w:szCs w:val="21"/>
                    </w:rPr>
                    <w:t>900-249-08</w:t>
                  </w:r>
                </w:p>
              </w:tc>
              <w:tc>
                <w:tcPr>
                  <w:tcW w:w="545" w:type="pct"/>
                  <w:vAlign w:val="center"/>
                </w:tcPr>
                <w:p w14:paraId="5BD56110">
                  <w:pPr>
                    <w:adjustRightInd w:val="0"/>
                    <w:snapToGrid w:val="0"/>
                    <w:jc w:val="center"/>
                    <w:rPr>
                      <w:rFonts w:hint="eastAsia"/>
                      <w:bCs/>
                      <w:color w:val="auto"/>
                      <w:szCs w:val="21"/>
                      <w:highlight w:val="none"/>
                    </w:rPr>
                  </w:pPr>
                  <w:r>
                    <w:rPr>
                      <w:rFonts w:hint="default"/>
                      <w:bCs/>
                      <w:color w:val="auto"/>
                      <w:szCs w:val="21"/>
                      <w:highlight w:val="none"/>
                    </w:rPr>
                    <w:t>0.0868</w:t>
                  </w:r>
                </w:p>
              </w:tc>
              <w:tc>
                <w:tcPr>
                  <w:tcW w:w="462" w:type="pct"/>
                  <w:vAlign w:val="center"/>
                </w:tcPr>
                <w:p w14:paraId="04C9309B">
                  <w:pPr>
                    <w:pStyle w:val="79"/>
                    <w:spacing w:line="240" w:lineRule="auto"/>
                    <w:rPr>
                      <w:rFonts w:hint="eastAsia" w:ascii="Times New Roman" w:eastAsia="宋体"/>
                      <w:snapToGrid w:val="0"/>
                      <w:color w:val="auto"/>
                      <w:sz w:val="21"/>
                      <w:szCs w:val="21"/>
                      <w:highlight w:val="none"/>
                      <w:lang w:val="en-US" w:eastAsia="zh-Hans"/>
                    </w:rPr>
                  </w:pPr>
                  <w:r>
                    <w:rPr>
                      <w:rFonts w:hint="eastAsia" w:ascii="Times New Roman"/>
                      <w:snapToGrid w:val="0"/>
                      <w:color w:val="auto"/>
                      <w:sz w:val="21"/>
                      <w:szCs w:val="21"/>
                      <w:highlight w:val="none"/>
                      <w:lang w:val="en-US" w:eastAsia="zh-Hans"/>
                    </w:rPr>
                    <w:t>设备维护</w:t>
                  </w:r>
                </w:p>
              </w:tc>
              <w:tc>
                <w:tcPr>
                  <w:tcW w:w="301" w:type="pct"/>
                  <w:vAlign w:val="center"/>
                </w:tcPr>
                <w:p w14:paraId="001D41BA">
                  <w:pPr>
                    <w:adjustRightInd w:val="0"/>
                    <w:snapToGrid w:val="0"/>
                    <w:jc w:val="center"/>
                    <w:rPr>
                      <w:rFonts w:hint="eastAsia" w:eastAsia="宋体"/>
                      <w:color w:val="auto"/>
                      <w:szCs w:val="21"/>
                      <w:highlight w:val="none"/>
                      <w:lang w:val="en-US" w:eastAsia="zh-Hans"/>
                    </w:rPr>
                  </w:pPr>
                  <w:r>
                    <w:rPr>
                      <w:rFonts w:hint="eastAsia"/>
                      <w:color w:val="auto"/>
                      <w:szCs w:val="21"/>
                      <w:highlight w:val="none"/>
                      <w:lang w:val="en-US" w:eastAsia="zh-Hans"/>
                    </w:rPr>
                    <w:t>液态</w:t>
                  </w:r>
                </w:p>
              </w:tc>
              <w:tc>
                <w:tcPr>
                  <w:tcW w:w="460" w:type="pct"/>
                  <w:vAlign w:val="center"/>
                </w:tcPr>
                <w:p w14:paraId="3D28C328">
                  <w:pPr>
                    <w:pStyle w:val="79"/>
                    <w:spacing w:line="240" w:lineRule="auto"/>
                    <w:rPr>
                      <w:rFonts w:hint="eastAsia" w:ascii="Times New Roman" w:eastAsia="宋体"/>
                      <w:snapToGrid w:val="0"/>
                      <w:color w:val="auto"/>
                      <w:sz w:val="21"/>
                      <w:szCs w:val="21"/>
                      <w:highlight w:val="none"/>
                      <w:lang w:val="en-US" w:eastAsia="zh-Hans"/>
                    </w:rPr>
                  </w:pPr>
                  <w:r>
                    <w:rPr>
                      <w:rFonts w:hint="eastAsia" w:ascii="Times New Roman"/>
                      <w:snapToGrid w:val="0"/>
                      <w:color w:val="auto"/>
                      <w:sz w:val="21"/>
                      <w:szCs w:val="21"/>
                      <w:highlight w:val="none"/>
                      <w:lang w:val="en-US" w:eastAsia="zh-Hans"/>
                    </w:rPr>
                    <w:t>润滑油</w:t>
                  </w:r>
                </w:p>
              </w:tc>
              <w:tc>
                <w:tcPr>
                  <w:tcW w:w="383" w:type="pct"/>
                  <w:vAlign w:val="center"/>
                </w:tcPr>
                <w:p w14:paraId="7C0E5FFA">
                  <w:pPr>
                    <w:topLinePunct/>
                    <w:adjustRightInd w:val="0"/>
                    <w:snapToGrid w:val="0"/>
                    <w:jc w:val="center"/>
                    <w:rPr>
                      <w:rFonts w:hint="eastAsia" w:eastAsia="宋体"/>
                      <w:color w:val="auto"/>
                      <w:kern w:val="0"/>
                      <w:szCs w:val="21"/>
                      <w:highlight w:val="none"/>
                      <w:lang w:val="en-US" w:eastAsia="zh-Hans"/>
                    </w:rPr>
                  </w:pPr>
                  <w:r>
                    <w:rPr>
                      <w:rFonts w:hint="eastAsia"/>
                      <w:color w:val="auto"/>
                      <w:kern w:val="0"/>
                      <w:szCs w:val="21"/>
                      <w:highlight w:val="none"/>
                      <w:lang w:val="en-US" w:eastAsia="zh-Hans"/>
                    </w:rPr>
                    <w:t>润滑油</w:t>
                  </w:r>
                </w:p>
              </w:tc>
              <w:tc>
                <w:tcPr>
                  <w:tcW w:w="383" w:type="pct"/>
                  <w:vAlign w:val="center"/>
                </w:tcPr>
                <w:p w14:paraId="613ADF3E">
                  <w:pPr>
                    <w:topLinePunct/>
                    <w:adjustRightInd w:val="0"/>
                    <w:snapToGrid w:val="0"/>
                    <w:jc w:val="center"/>
                    <w:rPr>
                      <w:rFonts w:hint="eastAsia"/>
                      <w:color w:val="auto"/>
                      <w:kern w:val="0"/>
                      <w:szCs w:val="21"/>
                      <w:highlight w:val="none"/>
                    </w:rPr>
                  </w:pPr>
                  <w:r>
                    <w:rPr>
                      <w:rFonts w:hint="default"/>
                      <w:color w:val="auto"/>
                      <w:kern w:val="0"/>
                      <w:szCs w:val="21"/>
                      <w:highlight w:val="none"/>
                    </w:rPr>
                    <w:t>1</w:t>
                  </w:r>
                  <w:r>
                    <w:rPr>
                      <w:rFonts w:hint="eastAsia"/>
                      <w:color w:val="auto"/>
                      <w:kern w:val="0"/>
                      <w:szCs w:val="21"/>
                      <w:highlight w:val="none"/>
                      <w:lang w:val="en-US" w:eastAsia="zh-Hans"/>
                    </w:rPr>
                    <w:t>年</w:t>
                  </w:r>
                </w:p>
              </w:tc>
              <w:tc>
                <w:tcPr>
                  <w:tcW w:w="302" w:type="pct"/>
                  <w:vAlign w:val="center"/>
                </w:tcPr>
                <w:p w14:paraId="5797F85F">
                  <w:pPr>
                    <w:adjustRightInd w:val="0"/>
                    <w:snapToGrid w:val="0"/>
                    <w:jc w:val="center"/>
                    <w:rPr>
                      <w:rFonts w:hint="eastAsia" w:eastAsia="宋体"/>
                      <w:bCs/>
                      <w:color w:val="auto"/>
                      <w:szCs w:val="21"/>
                      <w:highlight w:val="none"/>
                      <w:lang w:val="en-US" w:eastAsia="zh-Hans"/>
                    </w:rPr>
                  </w:pPr>
                  <w:r>
                    <w:rPr>
                      <w:rFonts w:hint="eastAsia"/>
                      <w:bCs/>
                      <w:color w:val="auto"/>
                      <w:szCs w:val="21"/>
                      <w:highlight w:val="none"/>
                      <w:lang w:val="en-US" w:eastAsia="zh-Hans"/>
                    </w:rPr>
                    <w:t>T，I</w:t>
                  </w:r>
                </w:p>
              </w:tc>
              <w:tc>
                <w:tcPr>
                  <w:tcW w:w="630" w:type="pct"/>
                  <w:vMerge w:val="continue"/>
                  <w:vAlign w:val="center"/>
                </w:tcPr>
                <w:p w14:paraId="53870C5A">
                  <w:pPr>
                    <w:topLinePunct/>
                    <w:adjustRightInd w:val="0"/>
                    <w:snapToGrid w:val="0"/>
                    <w:jc w:val="center"/>
                    <w:rPr>
                      <w:color w:val="auto"/>
                      <w:szCs w:val="21"/>
                      <w:highlight w:val="none"/>
                    </w:rPr>
                  </w:pPr>
                </w:p>
              </w:tc>
            </w:tr>
          </w:tbl>
          <w:p w14:paraId="5B8EFFD6">
            <w:pPr>
              <w:adjustRightInd w:val="0"/>
              <w:snapToGrid w:val="0"/>
              <w:ind w:firstLine="201" w:firstLineChars="200"/>
              <w:rPr>
                <w:rFonts w:hAnsi="宋体"/>
                <w:b/>
                <w:bCs/>
                <w:color w:val="auto"/>
                <w:kern w:val="0"/>
                <w:sz w:val="10"/>
                <w:szCs w:val="10"/>
                <w:highlight w:val="none"/>
              </w:rPr>
            </w:pPr>
          </w:p>
          <w:p w14:paraId="5A02DBD8">
            <w:pPr>
              <w:adjustRightInd w:val="0"/>
              <w:snapToGrid w:val="0"/>
              <w:spacing w:line="360" w:lineRule="auto"/>
              <w:ind w:firstLine="482" w:firstLineChars="200"/>
              <w:rPr>
                <w:b/>
                <w:bCs/>
                <w:color w:val="auto"/>
                <w:kern w:val="0"/>
                <w:sz w:val="24"/>
                <w:highlight w:val="none"/>
              </w:rPr>
            </w:pPr>
            <w:r>
              <w:rPr>
                <w:rFonts w:hAnsi="宋体"/>
                <w:b/>
                <w:bCs/>
                <w:color w:val="auto"/>
                <w:kern w:val="0"/>
                <w:sz w:val="24"/>
                <w:highlight w:val="none"/>
              </w:rPr>
              <w:t>（</w:t>
            </w:r>
            <w:r>
              <w:rPr>
                <w:b/>
                <w:bCs/>
                <w:color w:val="auto"/>
                <w:kern w:val="0"/>
                <w:sz w:val="24"/>
                <w:highlight w:val="none"/>
              </w:rPr>
              <w:t>2</w:t>
            </w:r>
            <w:r>
              <w:rPr>
                <w:rFonts w:hAnsi="宋体"/>
                <w:b/>
                <w:bCs/>
                <w:color w:val="auto"/>
                <w:kern w:val="0"/>
                <w:sz w:val="24"/>
                <w:highlight w:val="none"/>
              </w:rPr>
              <w:t>）固体废物处置利用情况</w:t>
            </w:r>
          </w:p>
          <w:p w14:paraId="4A684FBD">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建设项目固体废物利用处置方式见表</w:t>
            </w:r>
            <w:r>
              <w:rPr>
                <w:snapToGrid w:val="0"/>
                <w:color w:val="auto"/>
                <w:kern w:val="0"/>
                <w:sz w:val="24"/>
                <w:highlight w:val="none"/>
              </w:rPr>
              <w:t>4-23</w:t>
            </w:r>
            <w:r>
              <w:rPr>
                <w:rFonts w:hAnsi="宋体"/>
                <w:snapToGrid w:val="0"/>
                <w:color w:val="auto"/>
                <w:kern w:val="0"/>
                <w:sz w:val="24"/>
                <w:highlight w:val="none"/>
              </w:rPr>
              <w:t>。</w:t>
            </w:r>
          </w:p>
          <w:p w14:paraId="4B145925">
            <w:pPr>
              <w:adjustRightInd w:val="0"/>
              <w:snapToGrid w:val="0"/>
              <w:jc w:val="center"/>
              <w:rPr>
                <w:rFonts w:hAnsi="宋体"/>
                <w:b/>
                <w:snapToGrid w:val="0"/>
                <w:color w:val="auto"/>
                <w:kern w:val="0"/>
                <w:sz w:val="24"/>
                <w:highlight w:val="none"/>
              </w:rPr>
            </w:pPr>
          </w:p>
          <w:p w14:paraId="74563972">
            <w:pPr>
              <w:adjustRightInd w:val="0"/>
              <w:snapToGrid w:val="0"/>
              <w:jc w:val="center"/>
              <w:rPr>
                <w:rFonts w:hAnsi="宋体"/>
                <w:b/>
                <w:snapToGrid w:val="0"/>
                <w:color w:val="auto"/>
                <w:kern w:val="0"/>
                <w:sz w:val="24"/>
                <w:highlight w:val="none"/>
              </w:rPr>
            </w:pPr>
          </w:p>
          <w:p w14:paraId="28756792">
            <w:pPr>
              <w:adjustRightInd w:val="0"/>
              <w:snapToGrid w:val="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 xml:space="preserve">4-23  </w:t>
            </w:r>
            <w:r>
              <w:rPr>
                <w:rFonts w:hAnsi="宋体"/>
                <w:b/>
                <w:snapToGrid w:val="0"/>
                <w:color w:val="auto"/>
                <w:kern w:val="0"/>
                <w:sz w:val="24"/>
                <w:highlight w:val="none"/>
              </w:rPr>
              <w:t>建设项目固体废物利用处置方式一览表</w:t>
            </w:r>
          </w:p>
          <w:tbl>
            <w:tblPr>
              <w:tblStyle w:val="24"/>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9"/>
              <w:gridCol w:w="1931"/>
              <w:gridCol w:w="934"/>
              <w:gridCol w:w="1237"/>
              <w:gridCol w:w="1451"/>
              <w:gridCol w:w="1137"/>
              <w:gridCol w:w="1238"/>
              <w:gridCol w:w="1704"/>
            </w:tblGrid>
            <w:tr w14:paraId="1AB00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7C2F91FA">
                  <w:pPr>
                    <w:adjustRightInd w:val="0"/>
                    <w:snapToGrid w:val="0"/>
                    <w:jc w:val="center"/>
                    <w:rPr>
                      <w:b/>
                      <w:snapToGrid w:val="0"/>
                      <w:color w:val="auto"/>
                      <w:kern w:val="0"/>
                      <w:szCs w:val="21"/>
                      <w:highlight w:val="none"/>
                    </w:rPr>
                  </w:pPr>
                  <w:r>
                    <w:rPr>
                      <w:rFonts w:hAnsi="宋体"/>
                      <w:b/>
                      <w:snapToGrid w:val="0"/>
                      <w:color w:val="auto"/>
                      <w:kern w:val="0"/>
                      <w:szCs w:val="21"/>
                      <w:highlight w:val="none"/>
                    </w:rPr>
                    <w:t>序号</w:t>
                  </w:r>
                </w:p>
              </w:tc>
              <w:tc>
                <w:tcPr>
                  <w:tcW w:w="941" w:type="pct"/>
                  <w:vAlign w:val="center"/>
                </w:tcPr>
                <w:p w14:paraId="6B1674C9">
                  <w:pPr>
                    <w:adjustRightInd w:val="0"/>
                    <w:snapToGrid w:val="0"/>
                    <w:jc w:val="center"/>
                    <w:rPr>
                      <w:b/>
                      <w:snapToGrid w:val="0"/>
                      <w:color w:val="auto"/>
                      <w:kern w:val="0"/>
                      <w:szCs w:val="21"/>
                      <w:highlight w:val="none"/>
                    </w:rPr>
                  </w:pPr>
                  <w:r>
                    <w:rPr>
                      <w:rFonts w:hAnsi="宋体"/>
                      <w:b/>
                      <w:snapToGrid w:val="0"/>
                      <w:color w:val="auto"/>
                      <w:kern w:val="0"/>
                      <w:szCs w:val="21"/>
                      <w:highlight w:val="none"/>
                    </w:rPr>
                    <w:t>固废名称</w:t>
                  </w:r>
                </w:p>
              </w:tc>
              <w:tc>
                <w:tcPr>
                  <w:tcW w:w="455" w:type="pct"/>
                  <w:vAlign w:val="center"/>
                </w:tcPr>
                <w:p w14:paraId="5608DDDA">
                  <w:pPr>
                    <w:adjustRightInd w:val="0"/>
                    <w:snapToGrid w:val="0"/>
                    <w:jc w:val="center"/>
                    <w:rPr>
                      <w:b/>
                      <w:snapToGrid w:val="0"/>
                      <w:color w:val="auto"/>
                      <w:kern w:val="0"/>
                      <w:szCs w:val="21"/>
                      <w:highlight w:val="none"/>
                    </w:rPr>
                  </w:pPr>
                  <w:r>
                    <w:rPr>
                      <w:rFonts w:hAnsi="宋体"/>
                      <w:b/>
                      <w:snapToGrid w:val="0"/>
                      <w:color w:val="auto"/>
                      <w:kern w:val="0"/>
                      <w:szCs w:val="21"/>
                      <w:highlight w:val="none"/>
                    </w:rPr>
                    <w:t>属性</w:t>
                  </w:r>
                </w:p>
              </w:tc>
              <w:tc>
                <w:tcPr>
                  <w:tcW w:w="603" w:type="pct"/>
                  <w:vAlign w:val="center"/>
                </w:tcPr>
                <w:p w14:paraId="7D1EAD2B">
                  <w:pPr>
                    <w:adjustRightInd w:val="0"/>
                    <w:snapToGrid w:val="0"/>
                    <w:jc w:val="center"/>
                    <w:rPr>
                      <w:b/>
                      <w:snapToGrid w:val="0"/>
                      <w:color w:val="auto"/>
                      <w:kern w:val="0"/>
                      <w:szCs w:val="21"/>
                      <w:highlight w:val="none"/>
                    </w:rPr>
                  </w:pPr>
                  <w:r>
                    <w:rPr>
                      <w:rFonts w:hAnsi="宋体"/>
                      <w:b/>
                      <w:snapToGrid w:val="0"/>
                      <w:color w:val="auto"/>
                      <w:kern w:val="0"/>
                      <w:szCs w:val="21"/>
                      <w:highlight w:val="none"/>
                    </w:rPr>
                    <w:t>产生工序</w:t>
                  </w:r>
                </w:p>
              </w:tc>
              <w:tc>
                <w:tcPr>
                  <w:tcW w:w="707" w:type="pct"/>
                  <w:vAlign w:val="center"/>
                </w:tcPr>
                <w:p w14:paraId="16441B97">
                  <w:pPr>
                    <w:adjustRightInd w:val="0"/>
                    <w:snapToGrid w:val="0"/>
                    <w:jc w:val="center"/>
                    <w:rPr>
                      <w:b/>
                      <w:snapToGrid w:val="0"/>
                      <w:color w:val="auto"/>
                      <w:kern w:val="0"/>
                      <w:szCs w:val="21"/>
                      <w:highlight w:val="none"/>
                    </w:rPr>
                  </w:pPr>
                  <w:r>
                    <w:rPr>
                      <w:rFonts w:hAnsi="宋体"/>
                      <w:b/>
                      <w:snapToGrid w:val="0"/>
                      <w:color w:val="auto"/>
                      <w:kern w:val="0"/>
                      <w:szCs w:val="21"/>
                      <w:highlight w:val="none"/>
                    </w:rPr>
                    <w:t>废物类别</w:t>
                  </w:r>
                </w:p>
              </w:tc>
              <w:tc>
                <w:tcPr>
                  <w:tcW w:w="554" w:type="pct"/>
                  <w:vAlign w:val="center"/>
                </w:tcPr>
                <w:p w14:paraId="5BF5E54B">
                  <w:pPr>
                    <w:adjustRightInd w:val="0"/>
                    <w:snapToGrid w:val="0"/>
                    <w:jc w:val="center"/>
                    <w:rPr>
                      <w:b/>
                      <w:snapToGrid w:val="0"/>
                      <w:color w:val="auto"/>
                      <w:kern w:val="0"/>
                      <w:szCs w:val="21"/>
                      <w:highlight w:val="none"/>
                    </w:rPr>
                  </w:pPr>
                  <w:r>
                    <w:rPr>
                      <w:rFonts w:hAnsi="宋体"/>
                      <w:b/>
                      <w:snapToGrid w:val="0"/>
                      <w:color w:val="auto"/>
                      <w:kern w:val="0"/>
                      <w:szCs w:val="21"/>
                      <w:highlight w:val="none"/>
                    </w:rPr>
                    <w:t>废物代码</w:t>
                  </w:r>
                </w:p>
              </w:tc>
              <w:tc>
                <w:tcPr>
                  <w:tcW w:w="603" w:type="pct"/>
                  <w:vAlign w:val="center"/>
                </w:tcPr>
                <w:p w14:paraId="715A2F66">
                  <w:pPr>
                    <w:adjustRightInd w:val="0"/>
                    <w:snapToGrid w:val="0"/>
                    <w:jc w:val="center"/>
                    <w:rPr>
                      <w:b/>
                      <w:snapToGrid w:val="0"/>
                      <w:color w:val="auto"/>
                      <w:kern w:val="0"/>
                      <w:szCs w:val="21"/>
                      <w:highlight w:val="none"/>
                    </w:rPr>
                  </w:pPr>
                  <w:r>
                    <w:rPr>
                      <w:rFonts w:hAnsi="宋体"/>
                      <w:b/>
                      <w:snapToGrid w:val="0"/>
                      <w:color w:val="auto"/>
                      <w:kern w:val="0"/>
                      <w:szCs w:val="21"/>
                      <w:highlight w:val="none"/>
                    </w:rPr>
                    <w:t>估算产生量</w:t>
                  </w:r>
                  <w:r>
                    <w:rPr>
                      <w:rFonts w:hint="eastAsia" w:hAnsi="宋体"/>
                      <w:b/>
                      <w:snapToGrid w:val="0"/>
                      <w:color w:val="auto"/>
                      <w:kern w:val="0"/>
                      <w:szCs w:val="21"/>
                      <w:highlight w:val="none"/>
                    </w:rPr>
                    <w:t>(</w:t>
                  </w:r>
                  <w:r>
                    <w:rPr>
                      <w:b/>
                      <w:snapToGrid w:val="0"/>
                      <w:color w:val="auto"/>
                      <w:kern w:val="0"/>
                      <w:szCs w:val="21"/>
                      <w:highlight w:val="none"/>
                    </w:rPr>
                    <w:t>t/a</w:t>
                  </w:r>
                  <w:r>
                    <w:rPr>
                      <w:rFonts w:hint="eastAsia" w:hAnsi="宋体"/>
                      <w:b/>
                      <w:snapToGrid w:val="0"/>
                      <w:color w:val="auto"/>
                      <w:kern w:val="0"/>
                      <w:szCs w:val="21"/>
                      <w:highlight w:val="none"/>
                    </w:rPr>
                    <w:t>)</w:t>
                  </w:r>
                </w:p>
              </w:tc>
              <w:tc>
                <w:tcPr>
                  <w:tcW w:w="831" w:type="pct"/>
                  <w:vAlign w:val="center"/>
                </w:tcPr>
                <w:p w14:paraId="74B4ADBB">
                  <w:pPr>
                    <w:adjustRightInd w:val="0"/>
                    <w:snapToGrid w:val="0"/>
                    <w:jc w:val="center"/>
                    <w:rPr>
                      <w:b/>
                      <w:snapToGrid w:val="0"/>
                      <w:color w:val="auto"/>
                      <w:kern w:val="0"/>
                      <w:szCs w:val="21"/>
                      <w:highlight w:val="none"/>
                    </w:rPr>
                  </w:pPr>
                  <w:r>
                    <w:rPr>
                      <w:rFonts w:hAnsi="宋体"/>
                      <w:b/>
                      <w:snapToGrid w:val="0"/>
                      <w:color w:val="auto"/>
                      <w:kern w:val="0"/>
                      <w:szCs w:val="21"/>
                      <w:highlight w:val="none"/>
                    </w:rPr>
                    <w:t>利用处置方式</w:t>
                  </w:r>
                </w:p>
              </w:tc>
            </w:tr>
            <w:tr w14:paraId="1DD38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6EDF3CD2">
                  <w:pPr>
                    <w:adjustRightInd w:val="0"/>
                    <w:snapToGrid w:val="0"/>
                    <w:jc w:val="center"/>
                    <w:rPr>
                      <w:bCs/>
                      <w:snapToGrid w:val="0"/>
                      <w:color w:val="auto"/>
                      <w:kern w:val="0"/>
                      <w:szCs w:val="21"/>
                      <w:highlight w:val="none"/>
                    </w:rPr>
                  </w:pPr>
                  <w:r>
                    <w:rPr>
                      <w:bCs/>
                      <w:snapToGrid w:val="0"/>
                      <w:color w:val="auto"/>
                      <w:kern w:val="0"/>
                      <w:szCs w:val="21"/>
                      <w:highlight w:val="none"/>
                    </w:rPr>
                    <w:t>1</w:t>
                  </w:r>
                </w:p>
              </w:tc>
              <w:tc>
                <w:tcPr>
                  <w:tcW w:w="941" w:type="pct"/>
                  <w:vAlign w:val="center"/>
                </w:tcPr>
                <w:p w14:paraId="51A85063">
                  <w:pPr>
                    <w:adjustRightInd w:val="0"/>
                    <w:snapToGrid w:val="0"/>
                    <w:jc w:val="center"/>
                    <w:rPr>
                      <w:color w:val="auto"/>
                      <w:kern w:val="24"/>
                      <w:szCs w:val="21"/>
                      <w:highlight w:val="none"/>
                    </w:rPr>
                  </w:pPr>
                  <w:r>
                    <w:rPr>
                      <w:rFonts w:hint="eastAsia"/>
                      <w:color w:val="auto"/>
                      <w:kern w:val="24"/>
                      <w:szCs w:val="21"/>
                      <w:highlight w:val="none"/>
                    </w:rPr>
                    <w:t>废铜线</w:t>
                  </w:r>
                </w:p>
              </w:tc>
              <w:tc>
                <w:tcPr>
                  <w:tcW w:w="455" w:type="pct"/>
                  <w:vMerge w:val="restart"/>
                  <w:vAlign w:val="center"/>
                </w:tcPr>
                <w:p w14:paraId="073F378C">
                  <w:pPr>
                    <w:adjustRightInd w:val="0"/>
                    <w:snapToGrid w:val="0"/>
                    <w:jc w:val="center"/>
                    <w:rPr>
                      <w:bCs/>
                      <w:snapToGrid w:val="0"/>
                      <w:color w:val="auto"/>
                      <w:kern w:val="0"/>
                      <w:szCs w:val="21"/>
                      <w:highlight w:val="none"/>
                    </w:rPr>
                  </w:pPr>
                  <w:r>
                    <w:rPr>
                      <w:rFonts w:hAnsi="宋体"/>
                      <w:snapToGrid w:val="0"/>
                      <w:color w:val="auto"/>
                      <w:kern w:val="0"/>
                      <w:szCs w:val="21"/>
                      <w:highlight w:val="none"/>
                    </w:rPr>
                    <w:t>一般工业固体废物</w:t>
                  </w:r>
                </w:p>
              </w:tc>
              <w:tc>
                <w:tcPr>
                  <w:tcW w:w="603" w:type="pct"/>
                  <w:vAlign w:val="center"/>
                </w:tcPr>
                <w:p w14:paraId="4F0FAF9F">
                  <w:pPr>
                    <w:adjustRightInd w:val="0"/>
                    <w:snapToGrid w:val="0"/>
                    <w:jc w:val="center"/>
                    <w:rPr>
                      <w:color w:val="auto"/>
                      <w:kern w:val="24"/>
                      <w:szCs w:val="21"/>
                      <w:highlight w:val="none"/>
                    </w:rPr>
                  </w:pPr>
                  <w:r>
                    <w:rPr>
                      <w:rFonts w:hint="eastAsia"/>
                      <w:color w:val="auto"/>
                      <w:kern w:val="24"/>
                      <w:szCs w:val="21"/>
                      <w:highlight w:val="none"/>
                    </w:rPr>
                    <w:t>绕线</w:t>
                  </w:r>
                </w:p>
              </w:tc>
              <w:tc>
                <w:tcPr>
                  <w:tcW w:w="707" w:type="pct"/>
                  <w:vAlign w:val="center"/>
                </w:tcPr>
                <w:p w14:paraId="57A7AD18">
                  <w:pPr>
                    <w:adjustRightInd w:val="0"/>
                    <w:snapToGrid w:val="0"/>
                    <w:jc w:val="center"/>
                    <w:rPr>
                      <w:bCs/>
                      <w:color w:val="auto"/>
                      <w:szCs w:val="21"/>
                      <w:highlight w:val="none"/>
                    </w:rPr>
                  </w:pPr>
                  <w:r>
                    <w:rPr>
                      <w:rFonts w:hint="eastAsia"/>
                      <w:bCs/>
                      <w:color w:val="auto"/>
                      <w:szCs w:val="21"/>
                      <w:highlight w:val="none"/>
                    </w:rPr>
                    <w:t>有色金属废物</w:t>
                  </w:r>
                </w:p>
              </w:tc>
              <w:tc>
                <w:tcPr>
                  <w:tcW w:w="554" w:type="pct"/>
                  <w:vAlign w:val="center"/>
                </w:tcPr>
                <w:p w14:paraId="6E00DAF8">
                  <w:pPr>
                    <w:adjustRightInd w:val="0"/>
                    <w:snapToGrid w:val="0"/>
                    <w:jc w:val="center"/>
                    <w:rPr>
                      <w:bCs/>
                      <w:color w:val="auto"/>
                      <w:szCs w:val="21"/>
                      <w:highlight w:val="none"/>
                    </w:rPr>
                  </w:pPr>
                  <w:r>
                    <w:rPr>
                      <w:rFonts w:hint="eastAsia"/>
                      <w:bCs/>
                      <w:color w:val="auto"/>
                      <w:szCs w:val="21"/>
                      <w:highlight w:val="none"/>
                    </w:rPr>
                    <w:t>82</w:t>
                  </w:r>
                </w:p>
              </w:tc>
              <w:tc>
                <w:tcPr>
                  <w:tcW w:w="603" w:type="pct"/>
                  <w:vAlign w:val="center"/>
                </w:tcPr>
                <w:p w14:paraId="67A8BB1A">
                  <w:pPr>
                    <w:adjustRightInd w:val="0"/>
                    <w:snapToGrid w:val="0"/>
                    <w:jc w:val="center"/>
                    <w:rPr>
                      <w:color w:val="auto"/>
                      <w:szCs w:val="21"/>
                      <w:highlight w:val="none"/>
                    </w:rPr>
                  </w:pPr>
                  <w:r>
                    <w:rPr>
                      <w:rFonts w:hint="eastAsia"/>
                      <w:color w:val="auto"/>
                      <w:szCs w:val="21"/>
                      <w:highlight w:val="none"/>
                    </w:rPr>
                    <w:t>0.2</w:t>
                  </w:r>
                </w:p>
              </w:tc>
              <w:tc>
                <w:tcPr>
                  <w:tcW w:w="831" w:type="pct"/>
                  <w:vAlign w:val="center"/>
                </w:tcPr>
                <w:p w14:paraId="4D625AF0">
                  <w:pPr>
                    <w:adjustRightInd w:val="0"/>
                    <w:snapToGrid w:val="0"/>
                    <w:jc w:val="center"/>
                    <w:rPr>
                      <w:bCs/>
                      <w:snapToGrid w:val="0"/>
                      <w:color w:val="auto"/>
                      <w:kern w:val="0"/>
                      <w:szCs w:val="21"/>
                      <w:highlight w:val="none"/>
                    </w:rPr>
                  </w:pPr>
                  <w:r>
                    <w:rPr>
                      <w:rFonts w:hint="eastAsia"/>
                      <w:snapToGrid w:val="0"/>
                      <w:color w:val="auto"/>
                      <w:kern w:val="0"/>
                      <w:szCs w:val="21"/>
                      <w:highlight w:val="none"/>
                    </w:rPr>
                    <w:t>外售综合利用</w:t>
                  </w:r>
                </w:p>
              </w:tc>
            </w:tr>
            <w:tr w14:paraId="5DA19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1A29243B">
                  <w:pPr>
                    <w:adjustRightInd w:val="0"/>
                    <w:snapToGrid w:val="0"/>
                    <w:jc w:val="center"/>
                    <w:rPr>
                      <w:bCs/>
                      <w:snapToGrid w:val="0"/>
                      <w:color w:val="auto"/>
                      <w:kern w:val="0"/>
                      <w:szCs w:val="21"/>
                      <w:highlight w:val="none"/>
                    </w:rPr>
                  </w:pPr>
                  <w:r>
                    <w:rPr>
                      <w:bCs/>
                      <w:snapToGrid w:val="0"/>
                      <w:color w:val="auto"/>
                      <w:kern w:val="0"/>
                      <w:szCs w:val="21"/>
                      <w:highlight w:val="none"/>
                    </w:rPr>
                    <w:t>2</w:t>
                  </w:r>
                </w:p>
              </w:tc>
              <w:tc>
                <w:tcPr>
                  <w:tcW w:w="941" w:type="pct"/>
                  <w:vAlign w:val="center"/>
                </w:tcPr>
                <w:p w14:paraId="4FD3780B">
                  <w:pPr>
                    <w:pStyle w:val="79"/>
                    <w:spacing w:line="240" w:lineRule="auto"/>
                    <w:rPr>
                      <w:rFonts w:ascii="Times New Roman" w:hAnsi="Times New Roman" w:eastAsia="宋体" w:cs="Times New Roman"/>
                      <w:snapToGrid w:val="0"/>
                      <w:color w:val="auto"/>
                      <w:kern w:val="0"/>
                      <w:sz w:val="21"/>
                      <w:szCs w:val="21"/>
                      <w:highlight w:val="none"/>
                      <w:lang w:val="en-US" w:eastAsia="zh-CN" w:bidi="ar-SA"/>
                    </w:rPr>
                  </w:pPr>
                  <w:r>
                    <w:rPr>
                      <w:rFonts w:hint="eastAsia" w:ascii="Times New Roman"/>
                      <w:snapToGrid w:val="0"/>
                      <w:color w:val="auto"/>
                      <w:sz w:val="21"/>
                      <w:szCs w:val="21"/>
                      <w:highlight w:val="none"/>
                      <w:lang w:val="en-US"/>
                    </w:rPr>
                    <w:t>废包装袋</w:t>
                  </w:r>
                </w:p>
              </w:tc>
              <w:tc>
                <w:tcPr>
                  <w:tcW w:w="455" w:type="pct"/>
                  <w:vMerge w:val="continue"/>
                  <w:vAlign w:val="center"/>
                </w:tcPr>
                <w:p w14:paraId="26991CBD">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p>
              </w:tc>
              <w:tc>
                <w:tcPr>
                  <w:tcW w:w="603" w:type="pct"/>
                  <w:vAlign w:val="center"/>
                </w:tcPr>
                <w:p w14:paraId="10B9115F">
                  <w:pPr>
                    <w:adjustRightInd w:val="0"/>
                    <w:snapToGrid w:val="0"/>
                    <w:jc w:val="center"/>
                    <w:rPr>
                      <w:rFonts w:ascii="Times New Roman" w:hAnsi="Times New Roman" w:eastAsia="宋体" w:cs="Times New Roman"/>
                      <w:color w:val="auto"/>
                      <w:kern w:val="24"/>
                      <w:sz w:val="21"/>
                      <w:szCs w:val="21"/>
                      <w:highlight w:val="none"/>
                      <w:lang w:val="en-US" w:eastAsia="zh-CN" w:bidi="ar-SA"/>
                    </w:rPr>
                  </w:pPr>
                  <w:r>
                    <w:rPr>
                      <w:rFonts w:hint="eastAsia"/>
                      <w:color w:val="auto"/>
                      <w:kern w:val="24"/>
                      <w:szCs w:val="21"/>
                      <w:highlight w:val="none"/>
                    </w:rPr>
                    <w:t>原料包装</w:t>
                  </w:r>
                </w:p>
              </w:tc>
              <w:tc>
                <w:tcPr>
                  <w:tcW w:w="707" w:type="pct"/>
                  <w:vAlign w:val="center"/>
                </w:tcPr>
                <w:p w14:paraId="405A0209">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其他废物</w:t>
                  </w:r>
                </w:p>
              </w:tc>
              <w:tc>
                <w:tcPr>
                  <w:tcW w:w="554" w:type="pct"/>
                  <w:vAlign w:val="center"/>
                </w:tcPr>
                <w:p w14:paraId="6FAE75FC">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99</w:t>
                  </w:r>
                </w:p>
              </w:tc>
              <w:tc>
                <w:tcPr>
                  <w:tcW w:w="603" w:type="pct"/>
                  <w:vAlign w:val="center"/>
                </w:tcPr>
                <w:p w14:paraId="63641CF8">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0.03</w:t>
                  </w:r>
                </w:p>
              </w:tc>
              <w:tc>
                <w:tcPr>
                  <w:tcW w:w="831" w:type="pct"/>
                  <w:vAlign w:val="center"/>
                </w:tcPr>
                <w:p w14:paraId="72B85D65">
                  <w:pPr>
                    <w:adjustRightInd w:val="0"/>
                    <w:snapToGrid w:val="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外售综合利用</w:t>
                  </w:r>
                </w:p>
              </w:tc>
            </w:tr>
            <w:tr w14:paraId="62E91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16A4D761">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3</w:t>
                  </w:r>
                </w:p>
              </w:tc>
              <w:tc>
                <w:tcPr>
                  <w:tcW w:w="941" w:type="pct"/>
                  <w:vAlign w:val="center"/>
                </w:tcPr>
                <w:p w14:paraId="780D210F">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废粉</w:t>
                  </w:r>
                </w:p>
              </w:tc>
              <w:tc>
                <w:tcPr>
                  <w:tcW w:w="455" w:type="pct"/>
                  <w:vMerge w:val="restart"/>
                  <w:vAlign w:val="center"/>
                </w:tcPr>
                <w:p w14:paraId="67D515CF">
                  <w:pPr>
                    <w:adjustRightInd w:val="0"/>
                    <w:snapToGrid w:val="0"/>
                    <w:jc w:val="center"/>
                    <w:rPr>
                      <w:bCs/>
                      <w:snapToGrid w:val="0"/>
                      <w:color w:val="auto"/>
                      <w:kern w:val="0"/>
                      <w:szCs w:val="21"/>
                      <w:highlight w:val="none"/>
                    </w:rPr>
                  </w:pPr>
                  <w:r>
                    <w:rPr>
                      <w:rFonts w:hAnsi="宋体"/>
                      <w:bCs/>
                      <w:snapToGrid w:val="0"/>
                      <w:color w:val="auto"/>
                      <w:kern w:val="0"/>
                      <w:szCs w:val="21"/>
                      <w:highlight w:val="none"/>
                    </w:rPr>
                    <w:t>危险废物</w:t>
                  </w:r>
                </w:p>
              </w:tc>
              <w:tc>
                <w:tcPr>
                  <w:tcW w:w="603" w:type="pct"/>
                  <w:vAlign w:val="center"/>
                </w:tcPr>
                <w:p w14:paraId="3D12D2C8">
                  <w:pPr>
                    <w:adjustRightInd w:val="0"/>
                    <w:snapToGrid w:val="0"/>
                    <w:jc w:val="center"/>
                    <w:rPr>
                      <w:color w:val="auto"/>
                      <w:kern w:val="24"/>
                      <w:szCs w:val="21"/>
                      <w:highlight w:val="none"/>
                    </w:rPr>
                  </w:pPr>
                  <w:r>
                    <w:rPr>
                      <w:rFonts w:hint="eastAsia"/>
                      <w:color w:val="auto"/>
                      <w:kern w:val="24"/>
                      <w:szCs w:val="21"/>
                      <w:highlight w:val="none"/>
                    </w:rPr>
                    <w:t>涂粉</w:t>
                  </w:r>
                </w:p>
              </w:tc>
              <w:tc>
                <w:tcPr>
                  <w:tcW w:w="1451" w:type="dxa"/>
                  <w:vAlign w:val="center"/>
                </w:tcPr>
                <w:p w14:paraId="33419C53">
                  <w:pPr>
                    <w:adjustRightInd w:val="0"/>
                    <w:snapToGrid w:val="0"/>
                    <w:jc w:val="center"/>
                    <w:rPr>
                      <w:bCs/>
                      <w:color w:val="auto"/>
                      <w:szCs w:val="21"/>
                      <w:highlight w:val="none"/>
                    </w:rPr>
                  </w:pPr>
                  <w:r>
                    <w:rPr>
                      <w:rFonts w:hint="eastAsia"/>
                      <w:bCs/>
                      <w:color w:val="auto"/>
                      <w:szCs w:val="21"/>
                      <w:highlight w:val="none"/>
                    </w:rPr>
                    <w:t>HW13</w:t>
                  </w:r>
                </w:p>
              </w:tc>
              <w:tc>
                <w:tcPr>
                  <w:tcW w:w="1137" w:type="dxa"/>
                  <w:vAlign w:val="center"/>
                </w:tcPr>
                <w:p w14:paraId="32AF59E1">
                  <w:pPr>
                    <w:adjustRightInd w:val="0"/>
                    <w:snapToGrid w:val="0"/>
                    <w:jc w:val="center"/>
                    <w:rPr>
                      <w:bCs/>
                      <w:color w:val="auto"/>
                      <w:szCs w:val="21"/>
                      <w:highlight w:val="none"/>
                    </w:rPr>
                  </w:pPr>
                  <w:r>
                    <w:rPr>
                      <w:rFonts w:hint="eastAsia"/>
                      <w:bCs/>
                      <w:color w:val="auto"/>
                      <w:szCs w:val="21"/>
                      <w:highlight w:val="none"/>
                    </w:rPr>
                    <w:t>900-014-13</w:t>
                  </w:r>
                </w:p>
              </w:tc>
              <w:tc>
                <w:tcPr>
                  <w:tcW w:w="603" w:type="pct"/>
                  <w:vAlign w:val="center"/>
                </w:tcPr>
                <w:p w14:paraId="7B5A2BC7">
                  <w:pPr>
                    <w:adjustRightInd w:val="0"/>
                    <w:snapToGrid w:val="0"/>
                    <w:jc w:val="center"/>
                    <w:rPr>
                      <w:color w:val="auto"/>
                      <w:szCs w:val="21"/>
                      <w:highlight w:val="none"/>
                    </w:rPr>
                  </w:pPr>
                  <w:r>
                    <w:rPr>
                      <w:rFonts w:hint="default"/>
                      <w:color w:val="auto"/>
                      <w:szCs w:val="21"/>
                      <w:highlight w:val="none"/>
                    </w:rPr>
                    <w:t>2.1</w:t>
                  </w:r>
                  <w:r>
                    <w:rPr>
                      <w:rFonts w:hint="eastAsia"/>
                      <w:color w:val="auto"/>
                      <w:szCs w:val="21"/>
                      <w:highlight w:val="none"/>
                    </w:rPr>
                    <w:t>39</w:t>
                  </w:r>
                </w:p>
              </w:tc>
              <w:tc>
                <w:tcPr>
                  <w:tcW w:w="831" w:type="pct"/>
                  <w:vAlign w:val="center"/>
                </w:tcPr>
                <w:p w14:paraId="24684028">
                  <w:pPr>
                    <w:adjustRightInd w:val="0"/>
                    <w:snapToGrid w:val="0"/>
                    <w:jc w:val="center"/>
                    <w:rPr>
                      <w:snapToGrid w:val="0"/>
                      <w:color w:val="auto"/>
                      <w:kern w:val="0"/>
                      <w:szCs w:val="21"/>
                      <w:highlight w:val="none"/>
                    </w:rPr>
                  </w:pPr>
                  <w:r>
                    <w:rPr>
                      <w:rFonts w:hint="eastAsia"/>
                      <w:color w:val="auto"/>
                      <w:szCs w:val="21"/>
                      <w:highlight w:val="none"/>
                    </w:rPr>
                    <w:t>有资质单位处理</w:t>
                  </w:r>
                </w:p>
              </w:tc>
            </w:tr>
            <w:tr w14:paraId="1513B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2BD9618C">
                  <w:pPr>
                    <w:adjustRightInd w:val="0"/>
                    <w:snapToGrid w:val="0"/>
                    <w:jc w:val="center"/>
                    <w:rPr>
                      <w:bCs/>
                      <w:snapToGrid w:val="0"/>
                      <w:color w:val="auto"/>
                      <w:kern w:val="0"/>
                      <w:szCs w:val="21"/>
                      <w:highlight w:val="none"/>
                    </w:rPr>
                  </w:pPr>
                  <w:r>
                    <w:rPr>
                      <w:bCs/>
                      <w:snapToGrid w:val="0"/>
                      <w:color w:val="auto"/>
                      <w:kern w:val="0"/>
                      <w:szCs w:val="21"/>
                      <w:highlight w:val="none"/>
                    </w:rPr>
                    <w:t>4</w:t>
                  </w:r>
                </w:p>
              </w:tc>
              <w:tc>
                <w:tcPr>
                  <w:tcW w:w="941" w:type="pct"/>
                  <w:vAlign w:val="center"/>
                </w:tcPr>
                <w:p w14:paraId="12EC27C8">
                  <w:pPr>
                    <w:pStyle w:val="79"/>
                    <w:spacing w:line="240" w:lineRule="auto"/>
                    <w:rPr>
                      <w:rFonts w:ascii="Times New Roman"/>
                      <w:snapToGrid w:val="0"/>
                      <w:color w:val="auto"/>
                      <w:sz w:val="21"/>
                      <w:szCs w:val="21"/>
                      <w:highlight w:val="none"/>
                      <w:lang w:val="en-US"/>
                    </w:rPr>
                  </w:pPr>
                  <w:r>
                    <w:rPr>
                      <w:rFonts w:hint="eastAsia"/>
                      <w:color w:val="auto"/>
                      <w:kern w:val="24"/>
                      <w:sz w:val="21"/>
                      <w:szCs w:val="21"/>
                      <w:highlight w:val="none"/>
                      <w:lang w:val="en-US"/>
                    </w:rPr>
                    <w:t>废胶</w:t>
                  </w:r>
                </w:p>
              </w:tc>
              <w:tc>
                <w:tcPr>
                  <w:tcW w:w="455" w:type="pct"/>
                  <w:vMerge w:val="continue"/>
                  <w:vAlign w:val="center"/>
                </w:tcPr>
                <w:p w14:paraId="5AD07B2C">
                  <w:pPr>
                    <w:adjustRightInd w:val="0"/>
                    <w:snapToGrid w:val="0"/>
                    <w:jc w:val="center"/>
                    <w:rPr>
                      <w:bCs/>
                      <w:snapToGrid w:val="0"/>
                      <w:color w:val="auto"/>
                      <w:kern w:val="0"/>
                      <w:szCs w:val="21"/>
                      <w:highlight w:val="none"/>
                    </w:rPr>
                  </w:pPr>
                </w:p>
              </w:tc>
              <w:tc>
                <w:tcPr>
                  <w:tcW w:w="603" w:type="pct"/>
                  <w:vAlign w:val="center"/>
                </w:tcPr>
                <w:p w14:paraId="66011EF9">
                  <w:pPr>
                    <w:pStyle w:val="79"/>
                    <w:spacing w:line="240" w:lineRule="auto"/>
                    <w:rPr>
                      <w:rFonts w:ascii="Times New Roman"/>
                      <w:color w:val="auto"/>
                      <w:kern w:val="24"/>
                      <w:sz w:val="21"/>
                      <w:szCs w:val="21"/>
                      <w:highlight w:val="none"/>
                      <w:lang w:val="en-US"/>
                    </w:rPr>
                  </w:pPr>
                  <w:r>
                    <w:rPr>
                      <w:rFonts w:hint="eastAsia" w:ascii="Times New Roman"/>
                      <w:color w:val="auto"/>
                      <w:kern w:val="24"/>
                      <w:sz w:val="21"/>
                      <w:szCs w:val="21"/>
                      <w:highlight w:val="none"/>
                      <w:lang w:val="en-US"/>
                    </w:rPr>
                    <w:t>涂胶、滴胶</w:t>
                  </w:r>
                </w:p>
              </w:tc>
              <w:tc>
                <w:tcPr>
                  <w:tcW w:w="707" w:type="pct"/>
                  <w:vAlign w:val="center"/>
                </w:tcPr>
                <w:p w14:paraId="00C578D1">
                  <w:pPr>
                    <w:adjustRightInd w:val="0"/>
                    <w:snapToGrid w:val="0"/>
                    <w:jc w:val="center"/>
                    <w:rPr>
                      <w:color w:val="auto"/>
                      <w:szCs w:val="21"/>
                      <w:highlight w:val="none"/>
                    </w:rPr>
                  </w:pPr>
                  <w:r>
                    <w:rPr>
                      <w:rFonts w:hint="eastAsia"/>
                      <w:bCs/>
                      <w:color w:val="auto"/>
                      <w:szCs w:val="21"/>
                      <w:highlight w:val="none"/>
                    </w:rPr>
                    <w:t>HW13</w:t>
                  </w:r>
                </w:p>
              </w:tc>
              <w:tc>
                <w:tcPr>
                  <w:tcW w:w="554" w:type="pct"/>
                  <w:vAlign w:val="center"/>
                </w:tcPr>
                <w:p w14:paraId="05A559A5">
                  <w:pPr>
                    <w:adjustRightInd w:val="0"/>
                    <w:snapToGrid w:val="0"/>
                    <w:jc w:val="center"/>
                    <w:rPr>
                      <w:bCs/>
                      <w:color w:val="auto"/>
                      <w:szCs w:val="21"/>
                      <w:highlight w:val="none"/>
                    </w:rPr>
                  </w:pPr>
                  <w:r>
                    <w:rPr>
                      <w:rFonts w:hint="eastAsia"/>
                      <w:bCs/>
                      <w:color w:val="auto"/>
                      <w:szCs w:val="21"/>
                      <w:highlight w:val="none"/>
                    </w:rPr>
                    <w:t>900-014-13</w:t>
                  </w:r>
                </w:p>
              </w:tc>
              <w:tc>
                <w:tcPr>
                  <w:tcW w:w="603" w:type="pct"/>
                  <w:vAlign w:val="center"/>
                </w:tcPr>
                <w:p w14:paraId="2BBE1077">
                  <w:pPr>
                    <w:adjustRightInd w:val="0"/>
                    <w:snapToGrid w:val="0"/>
                    <w:jc w:val="center"/>
                    <w:rPr>
                      <w:color w:val="auto"/>
                      <w:szCs w:val="21"/>
                      <w:highlight w:val="none"/>
                    </w:rPr>
                  </w:pPr>
                  <w:r>
                    <w:rPr>
                      <w:rFonts w:hint="eastAsia"/>
                      <w:bCs/>
                      <w:color w:val="auto"/>
                      <w:szCs w:val="21"/>
                      <w:highlight w:val="none"/>
                    </w:rPr>
                    <w:t>1.11</w:t>
                  </w:r>
                </w:p>
              </w:tc>
              <w:tc>
                <w:tcPr>
                  <w:tcW w:w="831" w:type="pct"/>
                  <w:vAlign w:val="center"/>
                </w:tcPr>
                <w:p w14:paraId="33F335CB">
                  <w:pPr>
                    <w:adjustRightInd w:val="0"/>
                    <w:snapToGrid w:val="0"/>
                    <w:jc w:val="center"/>
                    <w:rPr>
                      <w:snapToGrid w:val="0"/>
                      <w:color w:val="auto"/>
                      <w:kern w:val="0"/>
                      <w:szCs w:val="21"/>
                      <w:highlight w:val="none"/>
                    </w:rPr>
                  </w:pPr>
                  <w:r>
                    <w:rPr>
                      <w:rFonts w:hint="eastAsia"/>
                      <w:color w:val="auto"/>
                      <w:szCs w:val="21"/>
                      <w:highlight w:val="none"/>
                    </w:rPr>
                    <w:t>有资质单位处理</w:t>
                  </w:r>
                </w:p>
              </w:tc>
            </w:tr>
            <w:tr w14:paraId="42A28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7C8C88B3">
                  <w:pPr>
                    <w:adjustRightInd w:val="0"/>
                    <w:snapToGrid w:val="0"/>
                    <w:jc w:val="center"/>
                    <w:rPr>
                      <w:bCs/>
                      <w:snapToGrid w:val="0"/>
                      <w:color w:val="auto"/>
                      <w:kern w:val="0"/>
                      <w:szCs w:val="21"/>
                      <w:highlight w:val="none"/>
                    </w:rPr>
                  </w:pPr>
                  <w:r>
                    <w:rPr>
                      <w:bCs/>
                      <w:snapToGrid w:val="0"/>
                      <w:color w:val="auto"/>
                      <w:kern w:val="0"/>
                      <w:szCs w:val="21"/>
                      <w:highlight w:val="none"/>
                    </w:rPr>
                    <w:t>5</w:t>
                  </w:r>
                </w:p>
              </w:tc>
              <w:tc>
                <w:tcPr>
                  <w:tcW w:w="941" w:type="pct"/>
                  <w:vAlign w:val="center"/>
                </w:tcPr>
                <w:p w14:paraId="2C8EF41D">
                  <w:pPr>
                    <w:pStyle w:val="79"/>
                    <w:spacing w:line="240" w:lineRule="auto"/>
                    <w:rPr>
                      <w:rFonts w:ascii="Times New Roman"/>
                      <w:snapToGrid w:val="0"/>
                      <w:color w:val="auto"/>
                      <w:sz w:val="21"/>
                      <w:szCs w:val="21"/>
                      <w:highlight w:val="none"/>
                      <w:lang w:val="en-US"/>
                    </w:rPr>
                  </w:pPr>
                  <w:r>
                    <w:rPr>
                      <w:rFonts w:ascii="Times New Roman"/>
                      <w:color w:val="auto"/>
                      <w:kern w:val="24"/>
                      <w:sz w:val="21"/>
                      <w:szCs w:val="21"/>
                      <w:highlight w:val="none"/>
                      <w:lang w:val="en-US"/>
                    </w:rPr>
                    <w:t>废</w:t>
                  </w:r>
                  <w:r>
                    <w:rPr>
                      <w:rFonts w:hint="eastAsia" w:ascii="Times New Roman"/>
                      <w:color w:val="auto"/>
                      <w:kern w:val="24"/>
                      <w:sz w:val="21"/>
                      <w:szCs w:val="21"/>
                      <w:highlight w:val="none"/>
                      <w:lang w:val="en-US"/>
                    </w:rPr>
                    <w:t>包装桶</w:t>
                  </w:r>
                </w:p>
              </w:tc>
              <w:tc>
                <w:tcPr>
                  <w:tcW w:w="455" w:type="pct"/>
                  <w:vMerge w:val="continue"/>
                  <w:vAlign w:val="center"/>
                </w:tcPr>
                <w:p w14:paraId="76248647">
                  <w:pPr>
                    <w:adjustRightInd w:val="0"/>
                    <w:snapToGrid w:val="0"/>
                    <w:jc w:val="center"/>
                    <w:rPr>
                      <w:bCs/>
                      <w:snapToGrid w:val="0"/>
                      <w:color w:val="auto"/>
                      <w:kern w:val="0"/>
                      <w:szCs w:val="21"/>
                      <w:highlight w:val="none"/>
                    </w:rPr>
                  </w:pPr>
                </w:p>
              </w:tc>
              <w:tc>
                <w:tcPr>
                  <w:tcW w:w="603" w:type="pct"/>
                  <w:vAlign w:val="center"/>
                </w:tcPr>
                <w:p w14:paraId="2357E95E">
                  <w:pPr>
                    <w:pStyle w:val="79"/>
                    <w:spacing w:line="240" w:lineRule="auto"/>
                    <w:rPr>
                      <w:rFonts w:ascii="Times New Roman"/>
                      <w:color w:val="auto"/>
                      <w:kern w:val="24"/>
                      <w:sz w:val="21"/>
                      <w:szCs w:val="21"/>
                      <w:highlight w:val="none"/>
                      <w:lang w:val="en-US"/>
                    </w:rPr>
                  </w:pPr>
                  <w:r>
                    <w:rPr>
                      <w:rFonts w:ascii="Times New Roman"/>
                      <w:bCs/>
                      <w:snapToGrid w:val="0"/>
                      <w:color w:val="auto"/>
                      <w:kern w:val="24"/>
                      <w:sz w:val="21"/>
                      <w:szCs w:val="21"/>
                      <w:highlight w:val="none"/>
                      <w:lang w:val="en-US"/>
                    </w:rPr>
                    <w:t>原</w:t>
                  </w:r>
                  <w:r>
                    <w:rPr>
                      <w:rFonts w:hint="eastAsia" w:ascii="Times New Roman"/>
                      <w:bCs/>
                      <w:snapToGrid w:val="0"/>
                      <w:color w:val="auto"/>
                      <w:kern w:val="24"/>
                      <w:sz w:val="21"/>
                      <w:szCs w:val="21"/>
                      <w:highlight w:val="none"/>
                      <w:lang w:val="en-US"/>
                    </w:rPr>
                    <w:t>料</w:t>
                  </w:r>
                  <w:r>
                    <w:rPr>
                      <w:rFonts w:ascii="Times New Roman"/>
                      <w:bCs/>
                      <w:snapToGrid w:val="0"/>
                      <w:color w:val="auto"/>
                      <w:kern w:val="24"/>
                      <w:sz w:val="21"/>
                      <w:szCs w:val="21"/>
                      <w:highlight w:val="none"/>
                      <w:lang w:val="en-US"/>
                    </w:rPr>
                    <w:t>包装</w:t>
                  </w:r>
                </w:p>
              </w:tc>
              <w:tc>
                <w:tcPr>
                  <w:tcW w:w="707" w:type="pct"/>
                  <w:vAlign w:val="center"/>
                </w:tcPr>
                <w:p w14:paraId="5E4EEDC7">
                  <w:pPr>
                    <w:adjustRightInd w:val="0"/>
                    <w:snapToGrid w:val="0"/>
                    <w:jc w:val="center"/>
                    <w:rPr>
                      <w:bCs/>
                      <w:color w:val="auto"/>
                      <w:szCs w:val="21"/>
                      <w:highlight w:val="none"/>
                    </w:rPr>
                  </w:pPr>
                  <w:r>
                    <w:rPr>
                      <w:rFonts w:hint="eastAsia"/>
                      <w:bCs/>
                      <w:color w:val="auto"/>
                      <w:szCs w:val="21"/>
                      <w:highlight w:val="none"/>
                    </w:rPr>
                    <w:t>HW49</w:t>
                  </w:r>
                </w:p>
              </w:tc>
              <w:tc>
                <w:tcPr>
                  <w:tcW w:w="554" w:type="pct"/>
                  <w:vAlign w:val="center"/>
                </w:tcPr>
                <w:p w14:paraId="17D0683C">
                  <w:pPr>
                    <w:adjustRightInd w:val="0"/>
                    <w:snapToGrid w:val="0"/>
                    <w:jc w:val="center"/>
                    <w:rPr>
                      <w:bCs/>
                      <w:color w:val="auto"/>
                      <w:szCs w:val="21"/>
                      <w:highlight w:val="none"/>
                    </w:rPr>
                  </w:pPr>
                  <w:r>
                    <w:rPr>
                      <w:rFonts w:hint="eastAsia"/>
                      <w:bCs/>
                      <w:color w:val="auto"/>
                      <w:szCs w:val="21"/>
                      <w:highlight w:val="none"/>
                    </w:rPr>
                    <w:t>900-041-49</w:t>
                  </w:r>
                </w:p>
              </w:tc>
              <w:tc>
                <w:tcPr>
                  <w:tcW w:w="603" w:type="pct"/>
                  <w:vAlign w:val="center"/>
                </w:tcPr>
                <w:p w14:paraId="0B22E8B0">
                  <w:pPr>
                    <w:adjustRightInd w:val="0"/>
                    <w:snapToGrid w:val="0"/>
                    <w:jc w:val="center"/>
                    <w:rPr>
                      <w:color w:val="auto"/>
                      <w:szCs w:val="21"/>
                      <w:highlight w:val="none"/>
                    </w:rPr>
                  </w:pPr>
                  <w:r>
                    <w:rPr>
                      <w:rFonts w:hint="eastAsia"/>
                      <w:bCs/>
                      <w:color w:val="auto"/>
                      <w:szCs w:val="21"/>
                      <w:highlight w:val="none"/>
                    </w:rPr>
                    <w:t>0.2</w:t>
                  </w:r>
                  <w:r>
                    <w:rPr>
                      <w:rFonts w:hint="default"/>
                      <w:bCs/>
                      <w:color w:val="auto"/>
                      <w:szCs w:val="21"/>
                      <w:highlight w:val="none"/>
                    </w:rPr>
                    <w:t>5</w:t>
                  </w:r>
                </w:p>
              </w:tc>
              <w:tc>
                <w:tcPr>
                  <w:tcW w:w="831" w:type="pct"/>
                  <w:vAlign w:val="center"/>
                </w:tcPr>
                <w:p w14:paraId="47CCEB90">
                  <w:pPr>
                    <w:adjustRightInd w:val="0"/>
                    <w:snapToGrid w:val="0"/>
                    <w:jc w:val="center"/>
                    <w:rPr>
                      <w:snapToGrid w:val="0"/>
                      <w:color w:val="auto"/>
                      <w:kern w:val="0"/>
                      <w:szCs w:val="21"/>
                      <w:highlight w:val="none"/>
                    </w:rPr>
                  </w:pPr>
                  <w:r>
                    <w:rPr>
                      <w:rFonts w:hint="eastAsia"/>
                      <w:color w:val="auto"/>
                      <w:szCs w:val="21"/>
                      <w:highlight w:val="none"/>
                    </w:rPr>
                    <w:t>有资质单位处理</w:t>
                  </w:r>
                </w:p>
              </w:tc>
            </w:tr>
            <w:tr w14:paraId="5B4FB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0C20D3B7">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6</w:t>
                  </w:r>
                </w:p>
              </w:tc>
              <w:tc>
                <w:tcPr>
                  <w:tcW w:w="941" w:type="pct"/>
                  <w:vAlign w:val="center"/>
                </w:tcPr>
                <w:p w14:paraId="3E88DD8A">
                  <w:pPr>
                    <w:pStyle w:val="79"/>
                    <w:spacing w:line="240" w:lineRule="auto"/>
                    <w:rPr>
                      <w:rFonts w:ascii="Times New Roman"/>
                      <w:color w:val="auto"/>
                      <w:kern w:val="24"/>
                      <w:sz w:val="21"/>
                      <w:szCs w:val="21"/>
                      <w:highlight w:val="none"/>
                      <w:lang w:val="en-US"/>
                    </w:rPr>
                  </w:pPr>
                  <w:r>
                    <w:rPr>
                      <w:rFonts w:hint="eastAsia" w:ascii="Times New Roman"/>
                      <w:color w:val="auto"/>
                      <w:kern w:val="24"/>
                      <w:sz w:val="21"/>
                      <w:szCs w:val="21"/>
                      <w:highlight w:val="none"/>
                      <w:lang w:val="en-US"/>
                    </w:rPr>
                    <w:t>废手套</w:t>
                  </w:r>
                </w:p>
              </w:tc>
              <w:tc>
                <w:tcPr>
                  <w:tcW w:w="455" w:type="pct"/>
                  <w:vMerge w:val="continue"/>
                  <w:vAlign w:val="center"/>
                </w:tcPr>
                <w:p w14:paraId="22B1D015">
                  <w:pPr>
                    <w:adjustRightInd w:val="0"/>
                    <w:snapToGrid w:val="0"/>
                    <w:jc w:val="center"/>
                    <w:rPr>
                      <w:bCs/>
                      <w:snapToGrid w:val="0"/>
                      <w:color w:val="auto"/>
                      <w:kern w:val="0"/>
                      <w:szCs w:val="21"/>
                      <w:highlight w:val="none"/>
                    </w:rPr>
                  </w:pPr>
                </w:p>
              </w:tc>
              <w:tc>
                <w:tcPr>
                  <w:tcW w:w="603" w:type="pct"/>
                  <w:vAlign w:val="center"/>
                </w:tcPr>
                <w:p w14:paraId="1B87202C">
                  <w:pPr>
                    <w:pStyle w:val="79"/>
                    <w:spacing w:line="240" w:lineRule="auto"/>
                    <w:rPr>
                      <w:rFonts w:ascii="Times New Roman"/>
                      <w:bCs/>
                      <w:snapToGrid w:val="0"/>
                      <w:color w:val="auto"/>
                      <w:kern w:val="24"/>
                      <w:sz w:val="21"/>
                      <w:szCs w:val="21"/>
                      <w:highlight w:val="none"/>
                      <w:lang w:val="en-US"/>
                    </w:rPr>
                  </w:pPr>
                  <w:r>
                    <w:rPr>
                      <w:rFonts w:hint="eastAsia" w:ascii="Times New Roman"/>
                      <w:bCs/>
                      <w:snapToGrid w:val="0"/>
                      <w:color w:val="auto"/>
                      <w:kern w:val="24"/>
                      <w:sz w:val="21"/>
                      <w:szCs w:val="21"/>
                      <w:highlight w:val="none"/>
                      <w:lang w:val="en-US"/>
                    </w:rPr>
                    <w:t>生产过程</w:t>
                  </w:r>
                </w:p>
              </w:tc>
              <w:tc>
                <w:tcPr>
                  <w:tcW w:w="707" w:type="pct"/>
                  <w:vAlign w:val="center"/>
                </w:tcPr>
                <w:p w14:paraId="4C0B6381">
                  <w:pPr>
                    <w:adjustRightInd w:val="0"/>
                    <w:snapToGrid w:val="0"/>
                    <w:jc w:val="center"/>
                    <w:rPr>
                      <w:bCs/>
                      <w:color w:val="auto"/>
                      <w:szCs w:val="21"/>
                      <w:highlight w:val="none"/>
                    </w:rPr>
                  </w:pPr>
                  <w:r>
                    <w:rPr>
                      <w:rFonts w:hint="eastAsia"/>
                      <w:bCs/>
                      <w:color w:val="auto"/>
                      <w:szCs w:val="21"/>
                      <w:highlight w:val="none"/>
                    </w:rPr>
                    <w:t>HW49</w:t>
                  </w:r>
                </w:p>
              </w:tc>
              <w:tc>
                <w:tcPr>
                  <w:tcW w:w="554" w:type="pct"/>
                  <w:vAlign w:val="center"/>
                </w:tcPr>
                <w:p w14:paraId="23E534BA">
                  <w:pPr>
                    <w:adjustRightInd w:val="0"/>
                    <w:snapToGrid w:val="0"/>
                    <w:jc w:val="center"/>
                    <w:rPr>
                      <w:bCs/>
                      <w:color w:val="auto"/>
                      <w:szCs w:val="21"/>
                      <w:highlight w:val="none"/>
                    </w:rPr>
                  </w:pPr>
                  <w:r>
                    <w:rPr>
                      <w:rFonts w:hint="eastAsia"/>
                      <w:bCs/>
                      <w:color w:val="auto"/>
                      <w:szCs w:val="21"/>
                      <w:highlight w:val="none"/>
                    </w:rPr>
                    <w:t>900-041-49</w:t>
                  </w:r>
                </w:p>
              </w:tc>
              <w:tc>
                <w:tcPr>
                  <w:tcW w:w="603" w:type="pct"/>
                  <w:vAlign w:val="center"/>
                </w:tcPr>
                <w:p w14:paraId="606A5093">
                  <w:pPr>
                    <w:adjustRightInd w:val="0"/>
                    <w:snapToGrid w:val="0"/>
                    <w:jc w:val="center"/>
                    <w:rPr>
                      <w:bCs/>
                      <w:color w:val="auto"/>
                      <w:szCs w:val="21"/>
                      <w:highlight w:val="none"/>
                    </w:rPr>
                  </w:pPr>
                  <w:r>
                    <w:rPr>
                      <w:rFonts w:hint="eastAsia"/>
                      <w:bCs/>
                      <w:color w:val="auto"/>
                      <w:szCs w:val="21"/>
                      <w:highlight w:val="none"/>
                    </w:rPr>
                    <w:t>0.02</w:t>
                  </w:r>
                </w:p>
              </w:tc>
              <w:tc>
                <w:tcPr>
                  <w:tcW w:w="831" w:type="pct"/>
                  <w:vAlign w:val="center"/>
                </w:tcPr>
                <w:p w14:paraId="3C32F216">
                  <w:pPr>
                    <w:adjustRightInd w:val="0"/>
                    <w:snapToGrid w:val="0"/>
                    <w:jc w:val="center"/>
                    <w:rPr>
                      <w:color w:val="auto"/>
                      <w:szCs w:val="21"/>
                      <w:highlight w:val="none"/>
                    </w:rPr>
                  </w:pPr>
                  <w:r>
                    <w:rPr>
                      <w:rFonts w:hint="eastAsia"/>
                      <w:color w:val="auto"/>
                      <w:szCs w:val="21"/>
                      <w:highlight w:val="none"/>
                    </w:rPr>
                    <w:t>有资质单位处理</w:t>
                  </w:r>
                </w:p>
              </w:tc>
            </w:tr>
            <w:tr w14:paraId="1DA90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5D21EC56">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7</w:t>
                  </w:r>
                </w:p>
              </w:tc>
              <w:tc>
                <w:tcPr>
                  <w:tcW w:w="941" w:type="pct"/>
                  <w:vAlign w:val="center"/>
                </w:tcPr>
                <w:p w14:paraId="7030D6D8">
                  <w:pPr>
                    <w:pStyle w:val="79"/>
                    <w:spacing w:line="240" w:lineRule="auto"/>
                    <w:rPr>
                      <w:rFonts w:ascii="Times New Roman"/>
                      <w:snapToGrid w:val="0"/>
                      <w:color w:val="auto"/>
                      <w:sz w:val="21"/>
                      <w:szCs w:val="21"/>
                      <w:highlight w:val="none"/>
                      <w:lang w:val="en-US"/>
                    </w:rPr>
                  </w:pPr>
                  <w:r>
                    <w:rPr>
                      <w:rFonts w:hint="eastAsia" w:ascii="Times New Roman"/>
                      <w:bCs/>
                      <w:snapToGrid w:val="0"/>
                      <w:color w:val="auto"/>
                      <w:sz w:val="21"/>
                      <w:szCs w:val="21"/>
                      <w:highlight w:val="none"/>
                      <w:lang w:val="en-US" w:eastAsia="zh-Hans"/>
                    </w:rPr>
                    <w:t>废润滑油</w:t>
                  </w:r>
                </w:p>
              </w:tc>
              <w:tc>
                <w:tcPr>
                  <w:tcW w:w="455" w:type="pct"/>
                  <w:vMerge w:val="continue"/>
                  <w:vAlign w:val="center"/>
                </w:tcPr>
                <w:p w14:paraId="6CA2D4E4">
                  <w:pPr>
                    <w:adjustRightInd w:val="0"/>
                    <w:snapToGrid w:val="0"/>
                    <w:jc w:val="center"/>
                    <w:rPr>
                      <w:bCs/>
                      <w:snapToGrid w:val="0"/>
                      <w:color w:val="auto"/>
                      <w:kern w:val="0"/>
                      <w:szCs w:val="21"/>
                      <w:highlight w:val="none"/>
                    </w:rPr>
                  </w:pPr>
                </w:p>
              </w:tc>
              <w:tc>
                <w:tcPr>
                  <w:tcW w:w="603" w:type="pct"/>
                  <w:vAlign w:val="center"/>
                </w:tcPr>
                <w:p w14:paraId="01978EE7">
                  <w:pPr>
                    <w:pStyle w:val="79"/>
                    <w:spacing w:line="240" w:lineRule="auto"/>
                    <w:rPr>
                      <w:rFonts w:hint="eastAsia" w:ascii="Times New Roman" w:eastAsia="宋体"/>
                      <w:snapToGrid w:val="0"/>
                      <w:color w:val="auto"/>
                      <w:sz w:val="21"/>
                      <w:szCs w:val="21"/>
                      <w:highlight w:val="none"/>
                      <w:lang w:val="en-US" w:eastAsia="zh-Hans"/>
                    </w:rPr>
                  </w:pPr>
                  <w:r>
                    <w:rPr>
                      <w:rFonts w:hint="eastAsia" w:ascii="Times New Roman"/>
                      <w:snapToGrid w:val="0"/>
                      <w:color w:val="auto"/>
                      <w:sz w:val="21"/>
                      <w:szCs w:val="21"/>
                      <w:highlight w:val="none"/>
                      <w:lang w:val="en-US" w:eastAsia="zh-Hans"/>
                    </w:rPr>
                    <w:t>设备维护</w:t>
                  </w:r>
                </w:p>
              </w:tc>
              <w:tc>
                <w:tcPr>
                  <w:tcW w:w="707" w:type="pct"/>
                  <w:vAlign w:val="center"/>
                </w:tcPr>
                <w:p w14:paraId="4562EE7B">
                  <w:pPr>
                    <w:pStyle w:val="60"/>
                    <w:spacing w:beforeLines="0" w:afterLines="0" w:line="240" w:lineRule="auto"/>
                    <w:rPr>
                      <w:bCs/>
                      <w:color w:val="auto"/>
                      <w:szCs w:val="21"/>
                      <w:highlight w:val="none"/>
                    </w:rPr>
                  </w:pPr>
                  <w:r>
                    <w:rPr>
                      <w:rFonts w:hint="eastAsia" w:ascii="Times New Roman"/>
                      <w:color w:val="auto"/>
                      <w:szCs w:val="21"/>
                      <w:lang w:val="en-US" w:eastAsia="zh-Hans"/>
                    </w:rPr>
                    <w:t>HW</w:t>
                  </w:r>
                  <w:r>
                    <w:rPr>
                      <w:rFonts w:ascii="Times New Roman"/>
                      <w:color w:val="auto"/>
                      <w:szCs w:val="21"/>
                      <w:lang w:val="en-US" w:eastAsia="zh-Hans"/>
                    </w:rPr>
                    <w:t>08</w:t>
                  </w:r>
                </w:p>
              </w:tc>
              <w:tc>
                <w:tcPr>
                  <w:tcW w:w="554" w:type="pct"/>
                  <w:vAlign w:val="center"/>
                </w:tcPr>
                <w:p w14:paraId="16D08420">
                  <w:pPr>
                    <w:adjustRightInd w:val="0"/>
                    <w:snapToGrid w:val="0"/>
                    <w:jc w:val="center"/>
                    <w:rPr>
                      <w:bCs/>
                      <w:color w:val="auto"/>
                      <w:szCs w:val="21"/>
                      <w:highlight w:val="none"/>
                    </w:rPr>
                  </w:pPr>
                  <w:r>
                    <w:rPr>
                      <w:color w:val="auto"/>
                      <w:szCs w:val="21"/>
                    </w:rPr>
                    <w:t>900-249-08</w:t>
                  </w:r>
                </w:p>
              </w:tc>
              <w:tc>
                <w:tcPr>
                  <w:tcW w:w="603" w:type="pct"/>
                  <w:vAlign w:val="center"/>
                </w:tcPr>
                <w:p w14:paraId="1590822D">
                  <w:pPr>
                    <w:adjustRightInd w:val="0"/>
                    <w:snapToGrid w:val="0"/>
                    <w:jc w:val="center"/>
                    <w:rPr>
                      <w:color w:val="auto"/>
                      <w:szCs w:val="21"/>
                      <w:highlight w:val="none"/>
                    </w:rPr>
                  </w:pPr>
                  <w:r>
                    <w:rPr>
                      <w:color w:val="auto"/>
                      <w:szCs w:val="21"/>
                      <w:highlight w:val="none"/>
                    </w:rPr>
                    <w:t>0.0868</w:t>
                  </w:r>
                </w:p>
              </w:tc>
              <w:tc>
                <w:tcPr>
                  <w:tcW w:w="831" w:type="pct"/>
                  <w:vAlign w:val="center"/>
                </w:tcPr>
                <w:p w14:paraId="6330271E">
                  <w:pPr>
                    <w:adjustRightInd w:val="0"/>
                    <w:snapToGrid w:val="0"/>
                    <w:jc w:val="center"/>
                    <w:rPr>
                      <w:snapToGrid w:val="0"/>
                      <w:color w:val="auto"/>
                      <w:kern w:val="0"/>
                      <w:szCs w:val="21"/>
                      <w:highlight w:val="none"/>
                    </w:rPr>
                  </w:pPr>
                  <w:r>
                    <w:rPr>
                      <w:rFonts w:hint="eastAsia"/>
                      <w:color w:val="auto"/>
                      <w:szCs w:val="21"/>
                      <w:highlight w:val="none"/>
                    </w:rPr>
                    <w:t>有资质单位处理</w:t>
                  </w:r>
                </w:p>
              </w:tc>
            </w:tr>
            <w:tr w14:paraId="7CCCF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2C47AF18">
                  <w:pPr>
                    <w:adjustRightInd w:val="0"/>
                    <w:snapToGrid w:val="0"/>
                    <w:jc w:val="center"/>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bCs/>
                      <w:snapToGrid w:val="0"/>
                      <w:color w:val="auto"/>
                      <w:kern w:val="0"/>
                      <w:szCs w:val="21"/>
                      <w:highlight w:val="none"/>
                    </w:rPr>
                    <w:t>8</w:t>
                  </w:r>
                </w:p>
              </w:tc>
              <w:tc>
                <w:tcPr>
                  <w:tcW w:w="941" w:type="pct"/>
                  <w:vAlign w:val="center"/>
                </w:tcPr>
                <w:p w14:paraId="3CD56F25">
                  <w:pPr>
                    <w:pStyle w:val="79"/>
                    <w:spacing w:line="240" w:lineRule="auto"/>
                    <w:rPr>
                      <w:rFonts w:hint="eastAsia" w:ascii="Times New Roman" w:eastAsia="宋体"/>
                      <w:bCs/>
                      <w:snapToGrid w:val="0"/>
                      <w:color w:val="auto"/>
                      <w:sz w:val="21"/>
                      <w:szCs w:val="21"/>
                      <w:highlight w:val="none"/>
                      <w:lang w:val="en-US" w:eastAsia="zh-Hans"/>
                    </w:rPr>
                  </w:pPr>
                  <w:r>
                    <w:rPr>
                      <w:rFonts w:ascii="Times New Roman"/>
                      <w:bCs/>
                      <w:snapToGrid w:val="0"/>
                      <w:color w:val="auto"/>
                      <w:sz w:val="21"/>
                      <w:szCs w:val="21"/>
                      <w:highlight w:val="none"/>
                      <w:lang w:val="en-US"/>
                    </w:rPr>
                    <w:t>废</w:t>
                  </w:r>
                  <w:r>
                    <w:rPr>
                      <w:rFonts w:hint="eastAsia" w:ascii="Times New Roman"/>
                      <w:bCs/>
                      <w:snapToGrid w:val="0"/>
                      <w:color w:val="auto"/>
                      <w:sz w:val="21"/>
                      <w:szCs w:val="21"/>
                      <w:highlight w:val="none"/>
                      <w:lang w:val="en-US"/>
                    </w:rPr>
                    <w:t>活性炭</w:t>
                  </w:r>
                </w:p>
              </w:tc>
              <w:tc>
                <w:tcPr>
                  <w:tcW w:w="455" w:type="pct"/>
                  <w:vMerge w:val="continue"/>
                  <w:vAlign w:val="center"/>
                </w:tcPr>
                <w:p w14:paraId="7271AF5E">
                  <w:pPr>
                    <w:adjustRightInd w:val="0"/>
                    <w:snapToGrid w:val="0"/>
                    <w:jc w:val="center"/>
                    <w:rPr>
                      <w:bCs/>
                      <w:snapToGrid w:val="0"/>
                      <w:color w:val="auto"/>
                      <w:kern w:val="0"/>
                      <w:szCs w:val="21"/>
                      <w:highlight w:val="none"/>
                    </w:rPr>
                  </w:pPr>
                </w:p>
              </w:tc>
              <w:tc>
                <w:tcPr>
                  <w:tcW w:w="603" w:type="pct"/>
                  <w:vMerge w:val="restart"/>
                  <w:vAlign w:val="center"/>
                </w:tcPr>
                <w:p w14:paraId="115E4ABC">
                  <w:pPr>
                    <w:pStyle w:val="79"/>
                    <w:spacing w:line="240" w:lineRule="auto"/>
                    <w:rPr>
                      <w:rFonts w:ascii="Times New Roman" w:hAnsi="Times New Roman" w:eastAsia="宋体" w:cs="Times New Roman"/>
                      <w:snapToGrid w:val="0"/>
                      <w:color w:val="auto"/>
                      <w:kern w:val="0"/>
                      <w:sz w:val="21"/>
                      <w:szCs w:val="21"/>
                      <w:highlight w:val="none"/>
                      <w:lang w:val="en-US" w:eastAsia="zh-CN" w:bidi="ar-SA"/>
                    </w:rPr>
                  </w:pPr>
                  <w:r>
                    <w:rPr>
                      <w:rFonts w:ascii="Times New Roman"/>
                      <w:snapToGrid w:val="0"/>
                      <w:color w:val="auto"/>
                      <w:sz w:val="21"/>
                      <w:szCs w:val="21"/>
                      <w:highlight w:val="none"/>
                      <w:lang w:val="en-US"/>
                    </w:rPr>
                    <w:t>废气处理</w:t>
                  </w:r>
                </w:p>
              </w:tc>
              <w:tc>
                <w:tcPr>
                  <w:tcW w:w="707" w:type="pct"/>
                  <w:vAlign w:val="center"/>
                </w:tcPr>
                <w:p w14:paraId="49BDE4B4">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HW49</w:t>
                  </w:r>
                </w:p>
              </w:tc>
              <w:tc>
                <w:tcPr>
                  <w:tcW w:w="554" w:type="pct"/>
                  <w:vAlign w:val="center"/>
                </w:tcPr>
                <w:p w14:paraId="75DF4863">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900-039-49</w:t>
                  </w:r>
                </w:p>
              </w:tc>
              <w:tc>
                <w:tcPr>
                  <w:tcW w:w="603" w:type="pct"/>
                  <w:vAlign w:val="center"/>
                </w:tcPr>
                <w:p w14:paraId="407ED81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bCs/>
                      <w:color w:val="auto"/>
                      <w:szCs w:val="21"/>
                      <w:highlight w:val="none"/>
                    </w:rPr>
                    <w:t>44.0901</w:t>
                  </w:r>
                </w:p>
              </w:tc>
              <w:tc>
                <w:tcPr>
                  <w:tcW w:w="831" w:type="pct"/>
                  <w:vAlign w:val="center"/>
                </w:tcPr>
                <w:p w14:paraId="52C15673">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Cs w:val="21"/>
                      <w:highlight w:val="none"/>
                    </w:rPr>
                    <w:t>有资质单位处理</w:t>
                  </w:r>
                </w:p>
              </w:tc>
            </w:tr>
            <w:tr w14:paraId="2D0B1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5B603E9A">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bookmarkStart w:id="16" w:name="_Hlk28855030"/>
                  <w:r>
                    <w:rPr>
                      <w:bCs/>
                      <w:snapToGrid w:val="0"/>
                      <w:color w:val="auto"/>
                      <w:kern w:val="0"/>
                      <w:szCs w:val="21"/>
                      <w:highlight w:val="none"/>
                    </w:rPr>
                    <w:t>9</w:t>
                  </w:r>
                </w:p>
              </w:tc>
              <w:tc>
                <w:tcPr>
                  <w:tcW w:w="941" w:type="pct"/>
                  <w:vAlign w:val="center"/>
                </w:tcPr>
                <w:p w14:paraId="4C19C20C">
                  <w:pPr>
                    <w:pStyle w:val="79"/>
                    <w:spacing w:line="240" w:lineRule="auto"/>
                    <w:rPr>
                      <w:snapToGrid w:val="0"/>
                      <w:color w:val="auto"/>
                      <w:sz w:val="21"/>
                      <w:szCs w:val="21"/>
                      <w:highlight w:val="none"/>
                    </w:rPr>
                  </w:pPr>
                  <w:r>
                    <w:rPr>
                      <w:rFonts w:ascii="Times New Roman"/>
                      <w:snapToGrid w:val="0"/>
                      <w:color w:val="auto"/>
                      <w:sz w:val="21"/>
                      <w:szCs w:val="21"/>
                      <w:highlight w:val="none"/>
                      <w:lang w:val="en-US"/>
                    </w:rPr>
                    <w:t>焊接烟尘净化器粉尘</w:t>
                  </w:r>
                </w:p>
              </w:tc>
              <w:tc>
                <w:tcPr>
                  <w:tcW w:w="455" w:type="pct"/>
                  <w:vAlign w:val="center"/>
                </w:tcPr>
                <w:p w14:paraId="720AB4D8">
                  <w:pPr>
                    <w:adjustRightInd w:val="0"/>
                    <w:snapToGrid w:val="0"/>
                    <w:jc w:val="center"/>
                    <w:rPr>
                      <w:rFonts w:hAnsi="宋体"/>
                      <w:bCs/>
                      <w:snapToGrid w:val="0"/>
                      <w:color w:val="auto"/>
                      <w:kern w:val="0"/>
                      <w:szCs w:val="21"/>
                      <w:highlight w:val="none"/>
                    </w:rPr>
                  </w:pPr>
                  <w:r>
                    <w:rPr>
                      <w:rFonts w:hAnsi="宋体"/>
                      <w:snapToGrid w:val="0"/>
                      <w:color w:val="auto"/>
                      <w:kern w:val="0"/>
                      <w:szCs w:val="21"/>
                      <w:highlight w:val="none"/>
                    </w:rPr>
                    <w:t>一般工业固体废物</w:t>
                  </w:r>
                </w:p>
              </w:tc>
              <w:tc>
                <w:tcPr>
                  <w:tcW w:w="603" w:type="pct"/>
                  <w:vMerge w:val="continue"/>
                  <w:vAlign w:val="center"/>
                </w:tcPr>
                <w:p w14:paraId="5082A81C">
                  <w:pPr>
                    <w:adjustRightInd w:val="0"/>
                    <w:snapToGrid w:val="0"/>
                    <w:jc w:val="center"/>
                    <w:rPr>
                      <w:snapToGrid w:val="0"/>
                      <w:color w:val="auto"/>
                      <w:szCs w:val="21"/>
                      <w:highlight w:val="none"/>
                    </w:rPr>
                  </w:pPr>
                </w:p>
              </w:tc>
              <w:tc>
                <w:tcPr>
                  <w:tcW w:w="707" w:type="pct"/>
                  <w:vAlign w:val="center"/>
                </w:tcPr>
                <w:p w14:paraId="457FD8BD">
                  <w:pPr>
                    <w:adjustRightInd w:val="0"/>
                    <w:snapToGrid w:val="0"/>
                    <w:jc w:val="center"/>
                    <w:rPr>
                      <w:color w:val="auto"/>
                      <w:szCs w:val="21"/>
                      <w:highlight w:val="none"/>
                    </w:rPr>
                  </w:pPr>
                  <w:r>
                    <w:rPr>
                      <w:bCs/>
                      <w:color w:val="auto"/>
                      <w:szCs w:val="21"/>
                      <w:highlight w:val="none"/>
                    </w:rPr>
                    <w:t>其他废物</w:t>
                  </w:r>
                </w:p>
              </w:tc>
              <w:tc>
                <w:tcPr>
                  <w:tcW w:w="554" w:type="pct"/>
                  <w:vAlign w:val="center"/>
                </w:tcPr>
                <w:p w14:paraId="68E5F0D0">
                  <w:pPr>
                    <w:adjustRightInd w:val="0"/>
                    <w:snapToGrid w:val="0"/>
                    <w:jc w:val="center"/>
                    <w:rPr>
                      <w:color w:val="auto"/>
                      <w:szCs w:val="21"/>
                      <w:highlight w:val="none"/>
                    </w:rPr>
                  </w:pPr>
                  <w:r>
                    <w:rPr>
                      <w:bCs/>
                      <w:color w:val="auto"/>
                      <w:szCs w:val="21"/>
                      <w:highlight w:val="none"/>
                    </w:rPr>
                    <w:t>99</w:t>
                  </w:r>
                </w:p>
              </w:tc>
              <w:tc>
                <w:tcPr>
                  <w:tcW w:w="603" w:type="pct"/>
                  <w:vAlign w:val="center"/>
                </w:tcPr>
                <w:p w14:paraId="28F1BE9E">
                  <w:pPr>
                    <w:adjustRightInd w:val="0"/>
                    <w:snapToGrid w:val="0"/>
                    <w:jc w:val="center"/>
                    <w:rPr>
                      <w:color w:val="auto"/>
                      <w:szCs w:val="21"/>
                      <w:highlight w:val="none"/>
                    </w:rPr>
                  </w:pPr>
                  <w:r>
                    <w:rPr>
                      <w:rFonts w:hint="eastAsia"/>
                      <w:bCs/>
                      <w:color w:val="auto"/>
                      <w:szCs w:val="21"/>
                      <w:highlight w:val="none"/>
                    </w:rPr>
                    <w:t>0.288</w:t>
                  </w:r>
                </w:p>
              </w:tc>
              <w:tc>
                <w:tcPr>
                  <w:tcW w:w="831" w:type="pct"/>
                  <w:vAlign w:val="center"/>
                </w:tcPr>
                <w:p w14:paraId="6DD64B22">
                  <w:pPr>
                    <w:adjustRightInd w:val="0"/>
                    <w:snapToGrid w:val="0"/>
                    <w:jc w:val="center"/>
                    <w:rPr>
                      <w:color w:val="auto"/>
                      <w:szCs w:val="21"/>
                      <w:highlight w:val="none"/>
                    </w:rPr>
                  </w:pPr>
                  <w:r>
                    <w:rPr>
                      <w:rFonts w:hint="eastAsia"/>
                      <w:snapToGrid w:val="0"/>
                      <w:color w:val="auto"/>
                      <w:kern w:val="0"/>
                      <w:szCs w:val="21"/>
                      <w:highlight w:val="none"/>
                    </w:rPr>
                    <w:t>外售综合利用</w:t>
                  </w:r>
                </w:p>
              </w:tc>
            </w:tr>
            <w:tr w14:paraId="1FFCD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5EA7188D">
                  <w:pPr>
                    <w:adjustRightInd w:val="0"/>
                    <w:snapToGrid w:val="0"/>
                    <w:jc w:val="center"/>
                    <w:rPr>
                      <w:bCs/>
                      <w:snapToGrid w:val="0"/>
                      <w:color w:val="auto"/>
                      <w:kern w:val="0"/>
                      <w:szCs w:val="21"/>
                      <w:highlight w:val="none"/>
                    </w:rPr>
                  </w:pPr>
                  <w:r>
                    <w:rPr>
                      <w:bCs/>
                      <w:snapToGrid w:val="0"/>
                      <w:color w:val="auto"/>
                      <w:kern w:val="0"/>
                      <w:szCs w:val="21"/>
                      <w:highlight w:val="none"/>
                    </w:rPr>
                    <w:t>10</w:t>
                  </w:r>
                </w:p>
              </w:tc>
              <w:tc>
                <w:tcPr>
                  <w:tcW w:w="941" w:type="pct"/>
                  <w:vAlign w:val="center"/>
                </w:tcPr>
                <w:p w14:paraId="020BEEC7">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生活垃圾</w:t>
                  </w:r>
                </w:p>
              </w:tc>
              <w:tc>
                <w:tcPr>
                  <w:tcW w:w="455" w:type="pct"/>
                  <w:vAlign w:val="center"/>
                </w:tcPr>
                <w:p w14:paraId="1B36F304">
                  <w:pPr>
                    <w:adjustRightInd w:val="0"/>
                    <w:snapToGrid w:val="0"/>
                    <w:jc w:val="center"/>
                    <w:rPr>
                      <w:rFonts w:hAnsi="宋体"/>
                      <w:bCs/>
                      <w:snapToGrid w:val="0"/>
                      <w:color w:val="auto"/>
                      <w:kern w:val="0"/>
                      <w:szCs w:val="21"/>
                      <w:highlight w:val="none"/>
                    </w:rPr>
                  </w:pPr>
                  <w:r>
                    <w:rPr>
                      <w:rFonts w:hint="eastAsia" w:hAnsi="宋体"/>
                      <w:bCs/>
                      <w:snapToGrid w:val="0"/>
                      <w:color w:val="auto"/>
                      <w:kern w:val="0"/>
                      <w:szCs w:val="21"/>
                      <w:highlight w:val="none"/>
                    </w:rPr>
                    <w:t>一般固废</w:t>
                  </w:r>
                </w:p>
              </w:tc>
              <w:tc>
                <w:tcPr>
                  <w:tcW w:w="603" w:type="pct"/>
                  <w:vAlign w:val="center"/>
                </w:tcPr>
                <w:p w14:paraId="48C8453B">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员工生活</w:t>
                  </w:r>
                </w:p>
              </w:tc>
              <w:tc>
                <w:tcPr>
                  <w:tcW w:w="707" w:type="pct"/>
                  <w:vAlign w:val="center"/>
                </w:tcPr>
                <w:p w14:paraId="5AFB9580">
                  <w:pPr>
                    <w:adjustRightInd w:val="0"/>
                    <w:snapToGrid w:val="0"/>
                    <w:jc w:val="center"/>
                    <w:rPr>
                      <w:bCs/>
                      <w:color w:val="auto"/>
                      <w:szCs w:val="21"/>
                      <w:highlight w:val="none"/>
                    </w:rPr>
                  </w:pPr>
                  <w:r>
                    <w:rPr>
                      <w:rFonts w:hint="eastAsia"/>
                      <w:bCs/>
                      <w:color w:val="auto"/>
                      <w:szCs w:val="21"/>
                      <w:highlight w:val="none"/>
                    </w:rPr>
                    <w:t>其他废物</w:t>
                  </w:r>
                </w:p>
              </w:tc>
              <w:tc>
                <w:tcPr>
                  <w:tcW w:w="554" w:type="pct"/>
                  <w:vAlign w:val="center"/>
                </w:tcPr>
                <w:p w14:paraId="4536EC63">
                  <w:pPr>
                    <w:adjustRightInd w:val="0"/>
                    <w:snapToGrid w:val="0"/>
                    <w:jc w:val="center"/>
                    <w:rPr>
                      <w:bCs/>
                      <w:color w:val="auto"/>
                      <w:szCs w:val="21"/>
                      <w:highlight w:val="none"/>
                    </w:rPr>
                  </w:pPr>
                  <w:r>
                    <w:rPr>
                      <w:rFonts w:hint="eastAsia"/>
                      <w:bCs/>
                      <w:color w:val="auto"/>
                      <w:szCs w:val="21"/>
                      <w:highlight w:val="none"/>
                    </w:rPr>
                    <w:t>99</w:t>
                  </w:r>
                </w:p>
              </w:tc>
              <w:tc>
                <w:tcPr>
                  <w:tcW w:w="603" w:type="pct"/>
                  <w:vAlign w:val="center"/>
                </w:tcPr>
                <w:p w14:paraId="6C699DCF">
                  <w:pPr>
                    <w:adjustRightInd w:val="0"/>
                    <w:snapToGrid w:val="0"/>
                    <w:jc w:val="center"/>
                    <w:rPr>
                      <w:color w:val="auto"/>
                      <w:szCs w:val="21"/>
                      <w:highlight w:val="none"/>
                    </w:rPr>
                  </w:pPr>
                  <w:r>
                    <w:rPr>
                      <w:rFonts w:hint="eastAsia"/>
                      <w:color w:val="auto"/>
                      <w:szCs w:val="21"/>
                      <w:highlight w:val="none"/>
                    </w:rPr>
                    <w:t>7.2</w:t>
                  </w:r>
                </w:p>
              </w:tc>
              <w:tc>
                <w:tcPr>
                  <w:tcW w:w="831" w:type="pct"/>
                  <w:vAlign w:val="center"/>
                </w:tcPr>
                <w:p w14:paraId="443620DD">
                  <w:pPr>
                    <w:adjustRightInd w:val="0"/>
                    <w:snapToGrid w:val="0"/>
                    <w:jc w:val="center"/>
                    <w:rPr>
                      <w:snapToGrid w:val="0"/>
                      <w:color w:val="auto"/>
                      <w:kern w:val="0"/>
                      <w:szCs w:val="21"/>
                      <w:highlight w:val="none"/>
                    </w:rPr>
                  </w:pPr>
                  <w:r>
                    <w:rPr>
                      <w:rFonts w:hint="eastAsia"/>
                      <w:snapToGrid w:val="0"/>
                      <w:color w:val="auto"/>
                      <w:kern w:val="0"/>
                      <w:szCs w:val="21"/>
                      <w:highlight w:val="none"/>
                    </w:rPr>
                    <w:t>环卫清运</w:t>
                  </w:r>
                </w:p>
              </w:tc>
            </w:tr>
          </w:tbl>
          <w:p w14:paraId="07C89F7F">
            <w:pPr>
              <w:pStyle w:val="22"/>
              <w:adjustRightInd w:val="0"/>
              <w:snapToGrid w:val="0"/>
              <w:spacing w:before="0" w:beforeAutospacing="0" w:after="0" w:afterAutospacing="0"/>
              <w:ind w:firstLine="200" w:firstLineChars="200"/>
              <w:jc w:val="both"/>
              <w:rPr>
                <w:rFonts w:ascii="Times New Roman"/>
                <w:snapToGrid w:val="0"/>
                <w:color w:val="auto"/>
                <w:sz w:val="10"/>
                <w:szCs w:val="10"/>
                <w:highlight w:val="none"/>
                <w:lang w:val="en-US"/>
              </w:rPr>
            </w:pPr>
          </w:p>
          <w:p w14:paraId="0084D5C1">
            <w:pPr>
              <w:adjustRightInd w:val="0"/>
              <w:snapToGrid w:val="0"/>
              <w:jc w:val="center"/>
              <w:rPr>
                <w:b/>
                <w:snapToGrid w:val="0"/>
                <w:color w:val="auto"/>
                <w:kern w:val="0"/>
                <w:szCs w:val="21"/>
                <w:highlight w:val="none"/>
              </w:rPr>
            </w:pPr>
            <w:r>
              <w:rPr>
                <w:rFonts w:hAnsi="宋体"/>
                <w:b/>
                <w:snapToGrid w:val="0"/>
                <w:color w:val="auto"/>
                <w:kern w:val="0"/>
                <w:sz w:val="24"/>
                <w:highlight w:val="none"/>
              </w:rPr>
              <w:t>表</w:t>
            </w:r>
            <w:r>
              <w:rPr>
                <w:b/>
                <w:snapToGrid w:val="0"/>
                <w:color w:val="auto"/>
                <w:kern w:val="0"/>
                <w:sz w:val="24"/>
                <w:highlight w:val="none"/>
              </w:rPr>
              <w:t xml:space="preserve">4-24  </w:t>
            </w:r>
            <w:r>
              <w:rPr>
                <w:rFonts w:hint="eastAsia" w:hAnsi="宋体"/>
                <w:b/>
                <w:snapToGrid w:val="0"/>
                <w:color w:val="auto"/>
                <w:kern w:val="0"/>
                <w:sz w:val="24"/>
                <w:highlight w:val="none"/>
              </w:rPr>
              <w:t>全厂</w:t>
            </w:r>
            <w:r>
              <w:rPr>
                <w:rFonts w:hAnsi="宋体"/>
                <w:b/>
                <w:snapToGrid w:val="0"/>
                <w:color w:val="auto"/>
                <w:kern w:val="0"/>
                <w:sz w:val="24"/>
                <w:highlight w:val="none"/>
              </w:rPr>
              <w:t>固体废物利用处置方式一览表</w:t>
            </w:r>
          </w:p>
          <w:tbl>
            <w:tblPr>
              <w:tblStyle w:val="24"/>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9"/>
              <w:gridCol w:w="1931"/>
              <w:gridCol w:w="934"/>
              <w:gridCol w:w="1237"/>
              <w:gridCol w:w="1451"/>
              <w:gridCol w:w="1137"/>
              <w:gridCol w:w="946"/>
              <w:gridCol w:w="1996"/>
            </w:tblGrid>
            <w:tr w14:paraId="27E11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23791EAC">
                  <w:pPr>
                    <w:adjustRightInd w:val="0"/>
                    <w:snapToGrid w:val="0"/>
                    <w:jc w:val="center"/>
                    <w:rPr>
                      <w:b/>
                      <w:snapToGrid w:val="0"/>
                      <w:color w:val="auto"/>
                      <w:kern w:val="0"/>
                      <w:szCs w:val="21"/>
                      <w:highlight w:val="none"/>
                    </w:rPr>
                  </w:pPr>
                  <w:r>
                    <w:rPr>
                      <w:b/>
                      <w:snapToGrid w:val="0"/>
                      <w:color w:val="auto"/>
                      <w:kern w:val="0"/>
                      <w:szCs w:val="21"/>
                      <w:highlight w:val="none"/>
                    </w:rPr>
                    <w:t>序号</w:t>
                  </w:r>
                </w:p>
              </w:tc>
              <w:tc>
                <w:tcPr>
                  <w:tcW w:w="941" w:type="pct"/>
                  <w:vAlign w:val="center"/>
                </w:tcPr>
                <w:p w14:paraId="5BECC915">
                  <w:pPr>
                    <w:adjustRightInd w:val="0"/>
                    <w:snapToGrid w:val="0"/>
                    <w:jc w:val="center"/>
                    <w:rPr>
                      <w:b/>
                      <w:snapToGrid w:val="0"/>
                      <w:color w:val="auto"/>
                      <w:kern w:val="0"/>
                      <w:szCs w:val="21"/>
                      <w:highlight w:val="none"/>
                    </w:rPr>
                  </w:pPr>
                  <w:r>
                    <w:rPr>
                      <w:b/>
                      <w:snapToGrid w:val="0"/>
                      <w:color w:val="auto"/>
                      <w:kern w:val="0"/>
                      <w:szCs w:val="21"/>
                      <w:highlight w:val="none"/>
                    </w:rPr>
                    <w:t>固废名称</w:t>
                  </w:r>
                </w:p>
              </w:tc>
              <w:tc>
                <w:tcPr>
                  <w:tcW w:w="455" w:type="pct"/>
                  <w:vAlign w:val="center"/>
                </w:tcPr>
                <w:p w14:paraId="246E8C90">
                  <w:pPr>
                    <w:adjustRightInd w:val="0"/>
                    <w:snapToGrid w:val="0"/>
                    <w:jc w:val="center"/>
                    <w:rPr>
                      <w:b/>
                      <w:snapToGrid w:val="0"/>
                      <w:color w:val="auto"/>
                      <w:kern w:val="0"/>
                      <w:szCs w:val="21"/>
                      <w:highlight w:val="none"/>
                    </w:rPr>
                  </w:pPr>
                  <w:r>
                    <w:rPr>
                      <w:b/>
                      <w:snapToGrid w:val="0"/>
                      <w:color w:val="auto"/>
                      <w:kern w:val="0"/>
                      <w:szCs w:val="21"/>
                      <w:highlight w:val="none"/>
                    </w:rPr>
                    <w:t>属性</w:t>
                  </w:r>
                </w:p>
              </w:tc>
              <w:tc>
                <w:tcPr>
                  <w:tcW w:w="603" w:type="pct"/>
                  <w:vAlign w:val="center"/>
                </w:tcPr>
                <w:p w14:paraId="0051C337">
                  <w:pPr>
                    <w:adjustRightInd w:val="0"/>
                    <w:snapToGrid w:val="0"/>
                    <w:jc w:val="center"/>
                    <w:rPr>
                      <w:b/>
                      <w:snapToGrid w:val="0"/>
                      <w:color w:val="auto"/>
                      <w:kern w:val="0"/>
                      <w:szCs w:val="21"/>
                      <w:highlight w:val="none"/>
                    </w:rPr>
                  </w:pPr>
                  <w:r>
                    <w:rPr>
                      <w:b/>
                      <w:snapToGrid w:val="0"/>
                      <w:color w:val="auto"/>
                      <w:kern w:val="0"/>
                      <w:szCs w:val="21"/>
                      <w:highlight w:val="none"/>
                    </w:rPr>
                    <w:t>产生工序</w:t>
                  </w:r>
                </w:p>
              </w:tc>
              <w:tc>
                <w:tcPr>
                  <w:tcW w:w="707" w:type="pct"/>
                  <w:vAlign w:val="center"/>
                </w:tcPr>
                <w:p w14:paraId="673A1B27">
                  <w:pPr>
                    <w:adjustRightInd w:val="0"/>
                    <w:snapToGrid w:val="0"/>
                    <w:jc w:val="center"/>
                    <w:rPr>
                      <w:b/>
                      <w:snapToGrid w:val="0"/>
                      <w:color w:val="auto"/>
                      <w:kern w:val="0"/>
                      <w:szCs w:val="21"/>
                      <w:highlight w:val="none"/>
                    </w:rPr>
                  </w:pPr>
                  <w:r>
                    <w:rPr>
                      <w:b/>
                      <w:snapToGrid w:val="0"/>
                      <w:color w:val="auto"/>
                      <w:kern w:val="0"/>
                      <w:szCs w:val="21"/>
                      <w:highlight w:val="none"/>
                    </w:rPr>
                    <w:t>废物类别</w:t>
                  </w:r>
                </w:p>
              </w:tc>
              <w:tc>
                <w:tcPr>
                  <w:tcW w:w="554" w:type="pct"/>
                  <w:vAlign w:val="center"/>
                </w:tcPr>
                <w:p w14:paraId="4B99B0E0">
                  <w:pPr>
                    <w:adjustRightInd w:val="0"/>
                    <w:snapToGrid w:val="0"/>
                    <w:jc w:val="center"/>
                    <w:rPr>
                      <w:b/>
                      <w:snapToGrid w:val="0"/>
                      <w:color w:val="auto"/>
                      <w:kern w:val="0"/>
                      <w:szCs w:val="21"/>
                      <w:highlight w:val="none"/>
                    </w:rPr>
                  </w:pPr>
                  <w:r>
                    <w:rPr>
                      <w:b/>
                      <w:snapToGrid w:val="0"/>
                      <w:color w:val="auto"/>
                      <w:kern w:val="0"/>
                      <w:szCs w:val="21"/>
                      <w:highlight w:val="none"/>
                    </w:rPr>
                    <w:t>废物代码</w:t>
                  </w:r>
                </w:p>
              </w:tc>
              <w:tc>
                <w:tcPr>
                  <w:tcW w:w="461" w:type="pct"/>
                  <w:vAlign w:val="center"/>
                </w:tcPr>
                <w:p w14:paraId="26F24E3B">
                  <w:pPr>
                    <w:adjustRightInd w:val="0"/>
                    <w:snapToGrid w:val="0"/>
                    <w:jc w:val="center"/>
                    <w:rPr>
                      <w:b/>
                      <w:snapToGrid w:val="0"/>
                      <w:color w:val="auto"/>
                      <w:kern w:val="0"/>
                      <w:szCs w:val="21"/>
                      <w:highlight w:val="none"/>
                    </w:rPr>
                  </w:pPr>
                  <w:r>
                    <w:rPr>
                      <w:b/>
                      <w:snapToGrid w:val="0"/>
                      <w:color w:val="auto"/>
                      <w:kern w:val="0"/>
                      <w:szCs w:val="21"/>
                      <w:highlight w:val="none"/>
                    </w:rPr>
                    <w:t>估算产生量(t/a)</w:t>
                  </w:r>
                </w:p>
              </w:tc>
              <w:tc>
                <w:tcPr>
                  <w:tcW w:w="973" w:type="pct"/>
                  <w:vAlign w:val="center"/>
                </w:tcPr>
                <w:p w14:paraId="6E935BBC">
                  <w:pPr>
                    <w:adjustRightInd w:val="0"/>
                    <w:snapToGrid w:val="0"/>
                    <w:jc w:val="center"/>
                    <w:rPr>
                      <w:b/>
                      <w:snapToGrid w:val="0"/>
                      <w:color w:val="auto"/>
                      <w:kern w:val="0"/>
                      <w:szCs w:val="21"/>
                      <w:highlight w:val="none"/>
                    </w:rPr>
                  </w:pPr>
                  <w:r>
                    <w:rPr>
                      <w:b/>
                      <w:snapToGrid w:val="0"/>
                      <w:color w:val="auto"/>
                      <w:kern w:val="0"/>
                      <w:szCs w:val="21"/>
                      <w:highlight w:val="none"/>
                    </w:rPr>
                    <w:t>利用处置方式</w:t>
                  </w:r>
                </w:p>
              </w:tc>
            </w:tr>
            <w:tr w14:paraId="2D64B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4D6D6C37">
                  <w:pPr>
                    <w:adjustRightInd w:val="0"/>
                    <w:snapToGrid w:val="0"/>
                    <w:jc w:val="center"/>
                    <w:rPr>
                      <w:bCs/>
                      <w:snapToGrid w:val="0"/>
                      <w:color w:val="auto"/>
                      <w:kern w:val="0"/>
                      <w:szCs w:val="21"/>
                      <w:highlight w:val="none"/>
                    </w:rPr>
                  </w:pPr>
                  <w:r>
                    <w:rPr>
                      <w:bCs/>
                      <w:snapToGrid w:val="0"/>
                      <w:color w:val="auto"/>
                      <w:kern w:val="0"/>
                      <w:szCs w:val="21"/>
                      <w:highlight w:val="none"/>
                    </w:rPr>
                    <w:t>1</w:t>
                  </w:r>
                </w:p>
              </w:tc>
              <w:tc>
                <w:tcPr>
                  <w:tcW w:w="941" w:type="pct"/>
                  <w:vAlign w:val="center"/>
                </w:tcPr>
                <w:p w14:paraId="02584DC5">
                  <w:pPr>
                    <w:adjustRightInd w:val="0"/>
                    <w:snapToGrid w:val="0"/>
                    <w:jc w:val="center"/>
                    <w:rPr>
                      <w:color w:val="auto"/>
                      <w:kern w:val="24"/>
                      <w:szCs w:val="21"/>
                      <w:highlight w:val="none"/>
                    </w:rPr>
                  </w:pPr>
                  <w:r>
                    <w:rPr>
                      <w:color w:val="auto"/>
                      <w:kern w:val="24"/>
                      <w:szCs w:val="21"/>
                      <w:highlight w:val="none"/>
                    </w:rPr>
                    <w:t>废铜线</w:t>
                  </w:r>
                </w:p>
              </w:tc>
              <w:tc>
                <w:tcPr>
                  <w:tcW w:w="455" w:type="pct"/>
                  <w:vMerge w:val="restart"/>
                  <w:vAlign w:val="center"/>
                </w:tcPr>
                <w:p w14:paraId="580DB62F">
                  <w:pPr>
                    <w:adjustRightInd w:val="0"/>
                    <w:snapToGrid w:val="0"/>
                    <w:jc w:val="center"/>
                    <w:rPr>
                      <w:bCs/>
                      <w:snapToGrid w:val="0"/>
                      <w:color w:val="auto"/>
                      <w:kern w:val="0"/>
                      <w:szCs w:val="21"/>
                      <w:highlight w:val="none"/>
                    </w:rPr>
                  </w:pPr>
                  <w:r>
                    <w:rPr>
                      <w:snapToGrid w:val="0"/>
                      <w:color w:val="auto"/>
                      <w:kern w:val="0"/>
                      <w:szCs w:val="21"/>
                      <w:highlight w:val="none"/>
                    </w:rPr>
                    <w:t>一般工业固体废物</w:t>
                  </w:r>
                </w:p>
              </w:tc>
              <w:tc>
                <w:tcPr>
                  <w:tcW w:w="603" w:type="pct"/>
                  <w:vAlign w:val="center"/>
                </w:tcPr>
                <w:p w14:paraId="55D375AF">
                  <w:pPr>
                    <w:adjustRightInd w:val="0"/>
                    <w:snapToGrid w:val="0"/>
                    <w:jc w:val="center"/>
                    <w:rPr>
                      <w:color w:val="auto"/>
                      <w:kern w:val="24"/>
                      <w:szCs w:val="21"/>
                      <w:highlight w:val="none"/>
                    </w:rPr>
                  </w:pPr>
                  <w:r>
                    <w:rPr>
                      <w:color w:val="auto"/>
                      <w:kern w:val="24"/>
                      <w:szCs w:val="21"/>
                      <w:highlight w:val="none"/>
                    </w:rPr>
                    <w:t>绕线</w:t>
                  </w:r>
                </w:p>
              </w:tc>
              <w:tc>
                <w:tcPr>
                  <w:tcW w:w="707" w:type="pct"/>
                  <w:vAlign w:val="center"/>
                </w:tcPr>
                <w:p w14:paraId="6B03086A">
                  <w:pPr>
                    <w:adjustRightInd w:val="0"/>
                    <w:snapToGrid w:val="0"/>
                    <w:jc w:val="center"/>
                    <w:rPr>
                      <w:bCs/>
                      <w:color w:val="auto"/>
                      <w:szCs w:val="21"/>
                      <w:highlight w:val="none"/>
                    </w:rPr>
                  </w:pPr>
                  <w:r>
                    <w:rPr>
                      <w:bCs/>
                      <w:color w:val="auto"/>
                      <w:szCs w:val="21"/>
                      <w:highlight w:val="none"/>
                    </w:rPr>
                    <w:t>有色金属废物</w:t>
                  </w:r>
                </w:p>
              </w:tc>
              <w:tc>
                <w:tcPr>
                  <w:tcW w:w="554" w:type="pct"/>
                  <w:vAlign w:val="center"/>
                </w:tcPr>
                <w:p w14:paraId="2CFA5710">
                  <w:pPr>
                    <w:adjustRightInd w:val="0"/>
                    <w:snapToGrid w:val="0"/>
                    <w:jc w:val="center"/>
                    <w:rPr>
                      <w:bCs/>
                      <w:color w:val="auto"/>
                      <w:szCs w:val="21"/>
                      <w:highlight w:val="none"/>
                    </w:rPr>
                  </w:pPr>
                  <w:r>
                    <w:rPr>
                      <w:bCs/>
                      <w:color w:val="auto"/>
                      <w:szCs w:val="21"/>
                      <w:highlight w:val="none"/>
                    </w:rPr>
                    <w:t>82</w:t>
                  </w:r>
                </w:p>
              </w:tc>
              <w:tc>
                <w:tcPr>
                  <w:tcW w:w="461" w:type="pct"/>
                  <w:vAlign w:val="center"/>
                </w:tcPr>
                <w:p w14:paraId="50231953">
                  <w:pPr>
                    <w:adjustRightInd w:val="0"/>
                    <w:snapToGrid w:val="0"/>
                    <w:jc w:val="center"/>
                    <w:rPr>
                      <w:color w:val="auto"/>
                      <w:szCs w:val="21"/>
                      <w:highlight w:val="none"/>
                    </w:rPr>
                  </w:pPr>
                  <w:r>
                    <w:rPr>
                      <w:color w:val="auto"/>
                      <w:szCs w:val="21"/>
                      <w:highlight w:val="none"/>
                    </w:rPr>
                    <w:t>0.4</w:t>
                  </w:r>
                </w:p>
              </w:tc>
              <w:tc>
                <w:tcPr>
                  <w:tcW w:w="973" w:type="pct"/>
                  <w:vAlign w:val="center"/>
                </w:tcPr>
                <w:p w14:paraId="1AC40176">
                  <w:pPr>
                    <w:adjustRightInd w:val="0"/>
                    <w:snapToGrid w:val="0"/>
                    <w:jc w:val="center"/>
                    <w:rPr>
                      <w:bCs/>
                      <w:snapToGrid w:val="0"/>
                      <w:color w:val="auto"/>
                      <w:kern w:val="0"/>
                      <w:szCs w:val="21"/>
                      <w:highlight w:val="none"/>
                    </w:rPr>
                  </w:pPr>
                  <w:r>
                    <w:rPr>
                      <w:snapToGrid w:val="0"/>
                      <w:color w:val="auto"/>
                      <w:kern w:val="0"/>
                      <w:szCs w:val="21"/>
                      <w:highlight w:val="none"/>
                    </w:rPr>
                    <w:t>外售综合利用</w:t>
                  </w:r>
                </w:p>
              </w:tc>
            </w:tr>
            <w:tr w14:paraId="504FC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623B620D">
                  <w:pPr>
                    <w:adjustRightInd w:val="0"/>
                    <w:snapToGrid w:val="0"/>
                    <w:jc w:val="center"/>
                    <w:rPr>
                      <w:bCs/>
                      <w:snapToGrid w:val="0"/>
                      <w:color w:val="auto"/>
                      <w:kern w:val="0"/>
                      <w:szCs w:val="21"/>
                      <w:highlight w:val="none"/>
                    </w:rPr>
                  </w:pPr>
                  <w:r>
                    <w:rPr>
                      <w:bCs/>
                      <w:snapToGrid w:val="0"/>
                      <w:color w:val="auto"/>
                      <w:kern w:val="0"/>
                      <w:szCs w:val="21"/>
                      <w:highlight w:val="none"/>
                    </w:rPr>
                    <w:t>2</w:t>
                  </w:r>
                </w:p>
              </w:tc>
              <w:tc>
                <w:tcPr>
                  <w:tcW w:w="941" w:type="pct"/>
                  <w:vAlign w:val="center"/>
                </w:tcPr>
                <w:p w14:paraId="769FABF9">
                  <w:pPr>
                    <w:pStyle w:val="79"/>
                    <w:spacing w:line="240" w:lineRule="auto"/>
                    <w:rPr>
                      <w:rFonts w:ascii="Times New Roman"/>
                      <w:color w:val="auto"/>
                      <w:kern w:val="24"/>
                      <w:sz w:val="21"/>
                      <w:szCs w:val="21"/>
                      <w:highlight w:val="none"/>
                    </w:rPr>
                  </w:pPr>
                  <w:r>
                    <w:rPr>
                      <w:rFonts w:hint="eastAsia" w:ascii="Times New Roman"/>
                      <w:snapToGrid w:val="0"/>
                      <w:color w:val="auto"/>
                      <w:sz w:val="21"/>
                      <w:szCs w:val="21"/>
                      <w:highlight w:val="none"/>
                      <w:lang w:val="en-US"/>
                    </w:rPr>
                    <w:t>废包装袋</w:t>
                  </w:r>
                </w:p>
              </w:tc>
              <w:tc>
                <w:tcPr>
                  <w:tcW w:w="455" w:type="pct"/>
                  <w:vMerge w:val="continue"/>
                  <w:vAlign w:val="center"/>
                </w:tcPr>
                <w:p w14:paraId="4E09C813">
                  <w:pPr>
                    <w:adjustRightInd w:val="0"/>
                    <w:snapToGrid w:val="0"/>
                    <w:jc w:val="center"/>
                    <w:rPr>
                      <w:bCs/>
                      <w:snapToGrid w:val="0"/>
                      <w:color w:val="auto"/>
                      <w:kern w:val="0"/>
                      <w:szCs w:val="21"/>
                      <w:highlight w:val="none"/>
                    </w:rPr>
                  </w:pPr>
                </w:p>
              </w:tc>
              <w:tc>
                <w:tcPr>
                  <w:tcW w:w="603" w:type="pct"/>
                  <w:vAlign w:val="center"/>
                </w:tcPr>
                <w:p w14:paraId="4624179D">
                  <w:pPr>
                    <w:adjustRightInd w:val="0"/>
                    <w:snapToGrid w:val="0"/>
                    <w:jc w:val="center"/>
                    <w:rPr>
                      <w:color w:val="auto"/>
                      <w:kern w:val="24"/>
                      <w:szCs w:val="21"/>
                      <w:highlight w:val="none"/>
                    </w:rPr>
                  </w:pPr>
                  <w:r>
                    <w:rPr>
                      <w:rFonts w:hint="eastAsia"/>
                      <w:color w:val="auto"/>
                      <w:kern w:val="24"/>
                      <w:szCs w:val="21"/>
                      <w:highlight w:val="none"/>
                    </w:rPr>
                    <w:t>原料使用</w:t>
                  </w:r>
                </w:p>
              </w:tc>
              <w:tc>
                <w:tcPr>
                  <w:tcW w:w="707" w:type="pct"/>
                  <w:vAlign w:val="center"/>
                </w:tcPr>
                <w:p w14:paraId="1D2516CF">
                  <w:pPr>
                    <w:adjustRightInd w:val="0"/>
                    <w:snapToGrid w:val="0"/>
                    <w:jc w:val="center"/>
                    <w:rPr>
                      <w:bCs/>
                      <w:color w:val="auto"/>
                      <w:szCs w:val="21"/>
                      <w:highlight w:val="none"/>
                    </w:rPr>
                  </w:pPr>
                  <w:r>
                    <w:rPr>
                      <w:bCs/>
                      <w:color w:val="auto"/>
                      <w:szCs w:val="21"/>
                      <w:highlight w:val="none"/>
                    </w:rPr>
                    <w:t>其他废物</w:t>
                  </w:r>
                </w:p>
              </w:tc>
              <w:tc>
                <w:tcPr>
                  <w:tcW w:w="554" w:type="pct"/>
                  <w:vAlign w:val="center"/>
                </w:tcPr>
                <w:p w14:paraId="59300637">
                  <w:pPr>
                    <w:adjustRightInd w:val="0"/>
                    <w:snapToGrid w:val="0"/>
                    <w:jc w:val="center"/>
                    <w:rPr>
                      <w:bCs/>
                      <w:color w:val="auto"/>
                      <w:szCs w:val="21"/>
                      <w:highlight w:val="none"/>
                    </w:rPr>
                  </w:pPr>
                  <w:r>
                    <w:rPr>
                      <w:bCs/>
                      <w:color w:val="auto"/>
                      <w:szCs w:val="21"/>
                      <w:highlight w:val="none"/>
                    </w:rPr>
                    <w:t>99</w:t>
                  </w:r>
                </w:p>
              </w:tc>
              <w:tc>
                <w:tcPr>
                  <w:tcW w:w="461" w:type="pct"/>
                  <w:vAlign w:val="center"/>
                </w:tcPr>
                <w:p w14:paraId="4EF48105">
                  <w:pPr>
                    <w:adjustRightInd w:val="0"/>
                    <w:snapToGrid w:val="0"/>
                    <w:jc w:val="center"/>
                    <w:rPr>
                      <w:color w:val="auto"/>
                      <w:szCs w:val="21"/>
                      <w:highlight w:val="none"/>
                    </w:rPr>
                  </w:pPr>
                  <w:r>
                    <w:rPr>
                      <w:rFonts w:hint="eastAsia"/>
                      <w:color w:val="auto"/>
                      <w:szCs w:val="21"/>
                      <w:highlight w:val="none"/>
                    </w:rPr>
                    <w:t>0.03</w:t>
                  </w:r>
                </w:p>
              </w:tc>
              <w:tc>
                <w:tcPr>
                  <w:tcW w:w="973" w:type="pct"/>
                  <w:vAlign w:val="center"/>
                </w:tcPr>
                <w:p w14:paraId="29B06F98">
                  <w:pPr>
                    <w:adjustRightInd w:val="0"/>
                    <w:snapToGrid w:val="0"/>
                    <w:jc w:val="center"/>
                    <w:rPr>
                      <w:snapToGrid w:val="0"/>
                      <w:color w:val="auto"/>
                      <w:kern w:val="0"/>
                      <w:szCs w:val="21"/>
                      <w:highlight w:val="none"/>
                    </w:rPr>
                  </w:pPr>
                  <w:r>
                    <w:rPr>
                      <w:snapToGrid w:val="0"/>
                      <w:color w:val="auto"/>
                      <w:kern w:val="0"/>
                      <w:szCs w:val="21"/>
                      <w:highlight w:val="none"/>
                    </w:rPr>
                    <w:t>外售综合利用</w:t>
                  </w:r>
                </w:p>
              </w:tc>
            </w:tr>
            <w:tr w14:paraId="59D4B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427C59AA">
                  <w:pPr>
                    <w:adjustRightInd w:val="0"/>
                    <w:snapToGrid w:val="0"/>
                    <w:jc w:val="center"/>
                    <w:rPr>
                      <w:bCs/>
                      <w:snapToGrid w:val="0"/>
                      <w:color w:val="auto"/>
                      <w:kern w:val="0"/>
                      <w:szCs w:val="21"/>
                      <w:highlight w:val="none"/>
                    </w:rPr>
                  </w:pPr>
                  <w:r>
                    <w:rPr>
                      <w:bCs/>
                      <w:snapToGrid w:val="0"/>
                      <w:color w:val="auto"/>
                      <w:kern w:val="0"/>
                      <w:szCs w:val="21"/>
                      <w:highlight w:val="none"/>
                    </w:rPr>
                    <w:t>3</w:t>
                  </w:r>
                </w:p>
              </w:tc>
              <w:tc>
                <w:tcPr>
                  <w:tcW w:w="941" w:type="pct"/>
                  <w:vAlign w:val="center"/>
                </w:tcPr>
                <w:p w14:paraId="486DA10C">
                  <w:pPr>
                    <w:pStyle w:val="79"/>
                    <w:spacing w:line="240" w:lineRule="auto"/>
                    <w:rPr>
                      <w:rFonts w:ascii="Times New Roman" w:hAnsi="Times New Roman" w:eastAsia="宋体" w:cs="Times New Roman"/>
                      <w:color w:val="auto"/>
                      <w:kern w:val="24"/>
                      <w:sz w:val="21"/>
                      <w:szCs w:val="21"/>
                      <w:highlight w:val="none"/>
                      <w:lang w:val="en-US" w:eastAsia="zh-CN" w:bidi="ar-SA"/>
                    </w:rPr>
                  </w:pPr>
                  <w:r>
                    <w:rPr>
                      <w:rFonts w:ascii="Times New Roman"/>
                      <w:snapToGrid w:val="0"/>
                      <w:color w:val="auto"/>
                      <w:sz w:val="21"/>
                      <w:szCs w:val="21"/>
                      <w:highlight w:val="none"/>
                      <w:lang w:val="en-US"/>
                    </w:rPr>
                    <w:t>废粉</w:t>
                  </w:r>
                </w:p>
              </w:tc>
              <w:tc>
                <w:tcPr>
                  <w:tcW w:w="455" w:type="pct"/>
                  <w:vMerge w:val="restart"/>
                  <w:vAlign w:val="center"/>
                </w:tcPr>
                <w:p w14:paraId="410C973A">
                  <w:pPr>
                    <w:adjustRightInd w:val="0"/>
                    <w:snapToGrid w:val="0"/>
                    <w:jc w:val="center"/>
                    <w:rPr>
                      <w:bCs/>
                      <w:snapToGrid w:val="0"/>
                      <w:color w:val="auto"/>
                      <w:kern w:val="0"/>
                      <w:szCs w:val="21"/>
                      <w:highlight w:val="none"/>
                    </w:rPr>
                  </w:pPr>
                  <w:r>
                    <w:rPr>
                      <w:bCs/>
                      <w:snapToGrid w:val="0"/>
                      <w:color w:val="auto"/>
                      <w:kern w:val="0"/>
                      <w:szCs w:val="21"/>
                      <w:highlight w:val="none"/>
                    </w:rPr>
                    <w:t>危险废物</w:t>
                  </w:r>
                </w:p>
              </w:tc>
              <w:tc>
                <w:tcPr>
                  <w:tcW w:w="603" w:type="pct"/>
                  <w:vAlign w:val="center"/>
                </w:tcPr>
                <w:p w14:paraId="7F865E67">
                  <w:pPr>
                    <w:adjustRightInd w:val="0"/>
                    <w:snapToGrid w:val="0"/>
                    <w:jc w:val="center"/>
                    <w:rPr>
                      <w:rFonts w:ascii="Times New Roman" w:hAnsi="Times New Roman" w:eastAsia="宋体" w:cs="Times New Roman"/>
                      <w:color w:val="auto"/>
                      <w:kern w:val="24"/>
                      <w:sz w:val="21"/>
                      <w:szCs w:val="21"/>
                      <w:highlight w:val="none"/>
                      <w:lang w:val="en-US" w:eastAsia="zh-CN" w:bidi="ar-SA"/>
                    </w:rPr>
                  </w:pPr>
                  <w:r>
                    <w:rPr>
                      <w:color w:val="auto"/>
                      <w:kern w:val="24"/>
                      <w:szCs w:val="21"/>
                      <w:highlight w:val="none"/>
                    </w:rPr>
                    <w:t>涂粉</w:t>
                  </w:r>
                </w:p>
              </w:tc>
              <w:tc>
                <w:tcPr>
                  <w:tcW w:w="707" w:type="pct"/>
                  <w:vAlign w:val="center"/>
                </w:tcPr>
                <w:p w14:paraId="6592E7A0">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HW13</w:t>
                  </w:r>
                </w:p>
              </w:tc>
              <w:tc>
                <w:tcPr>
                  <w:tcW w:w="554" w:type="pct"/>
                  <w:vAlign w:val="center"/>
                </w:tcPr>
                <w:p w14:paraId="2925463C">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900-014-13</w:t>
                  </w:r>
                </w:p>
              </w:tc>
              <w:tc>
                <w:tcPr>
                  <w:tcW w:w="461" w:type="pct"/>
                  <w:vAlign w:val="center"/>
                </w:tcPr>
                <w:p w14:paraId="26A9FFBD">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2.1</w:t>
                  </w:r>
                  <w:r>
                    <w:rPr>
                      <w:rFonts w:hint="eastAsia"/>
                      <w:color w:val="auto"/>
                      <w:szCs w:val="21"/>
                      <w:highlight w:val="none"/>
                    </w:rPr>
                    <w:t>39</w:t>
                  </w:r>
                </w:p>
              </w:tc>
              <w:tc>
                <w:tcPr>
                  <w:tcW w:w="973" w:type="pct"/>
                  <w:vMerge w:val="restart"/>
                  <w:vAlign w:val="center"/>
                </w:tcPr>
                <w:p w14:paraId="39BE73AE">
                  <w:pPr>
                    <w:adjustRightInd w:val="0"/>
                    <w:snapToGrid w:val="0"/>
                    <w:jc w:val="center"/>
                    <w:rPr>
                      <w:snapToGrid w:val="0"/>
                      <w:color w:val="auto"/>
                      <w:kern w:val="0"/>
                      <w:szCs w:val="21"/>
                      <w:highlight w:val="none"/>
                    </w:rPr>
                  </w:pPr>
                  <w:r>
                    <w:rPr>
                      <w:rFonts w:hint="eastAsia"/>
                      <w:snapToGrid w:val="0"/>
                      <w:color w:val="auto"/>
                      <w:kern w:val="0"/>
                      <w:szCs w:val="21"/>
                      <w:highlight w:val="none"/>
                    </w:rPr>
                    <w:t>委托资质单位处置</w:t>
                  </w:r>
                </w:p>
              </w:tc>
            </w:tr>
            <w:tr w14:paraId="14165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14EA335C">
                  <w:pPr>
                    <w:adjustRightInd w:val="0"/>
                    <w:snapToGrid w:val="0"/>
                    <w:jc w:val="center"/>
                    <w:rPr>
                      <w:bCs/>
                      <w:snapToGrid w:val="0"/>
                      <w:color w:val="auto"/>
                      <w:kern w:val="0"/>
                      <w:szCs w:val="21"/>
                      <w:highlight w:val="none"/>
                    </w:rPr>
                  </w:pPr>
                  <w:r>
                    <w:rPr>
                      <w:bCs/>
                      <w:snapToGrid w:val="0"/>
                      <w:color w:val="auto"/>
                      <w:kern w:val="0"/>
                      <w:szCs w:val="21"/>
                      <w:highlight w:val="none"/>
                    </w:rPr>
                    <w:t>4</w:t>
                  </w:r>
                </w:p>
              </w:tc>
              <w:tc>
                <w:tcPr>
                  <w:tcW w:w="941" w:type="pct"/>
                  <w:vAlign w:val="center"/>
                </w:tcPr>
                <w:p w14:paraId="6D747CD6">
                  <w:pPr>
                    <w:pStyle w:val="79"/>
                    <w:spacing w:line="240" w:lineRule="auto"/>
                    <w:rPr>
                      <w:rFonts w:ascii="Times New Roman"/>
                      <w:snapToGrid w:val="0"/>
                      <w:color w:val="auto"/>
                      <w:sz w:val="21"/>
                      <w:szCs w:val="21"/>
                      <w:highlight w:val="none"/>
                      <w:lang w:val="en-US"/>
                    </w:rPr>
                  </w:pPr>
                  <w:r>
                    <w:rPr>
                      <w:rFonts w:hint="eastAsia" w:ascii="Times New Roman"/>
                      <w:snapToGrid w:val="0"/>
                      <w:color w:val="auto"/>
                      <w:sz w:val="21"/>
                      <w:szCs w:val="21"/>
                      <w:highlight w:val="none"/>
                      <w:lang w:val="en-US"/>
                    </w:rPr>
                    <w:t>废手套</w:t>
                  </w:r>
                </w:p>
              </w:tc>
              <w:tc>
                <w:tcPr>
                  <w:tcW w:w="455" w:type="pct"/>
                  <w:vMerge w:val="continue"/>
                  <w:vAlign w:val="center"/>
                </w:tcPr>
                <w:p w14:paraId="012F74C4">
                  <w:pPr>
                    <w:adjustRightInd w:val="0"/>
                    <w:snapToGrid w:val="0"/>
                    <w:jc w:val="center"/>
                    <w:rPr>
                      <w:bCs/>
                      <w:snapToGrid w:val="0"/>
                      <w:color w:val="auto"/>
                      <w:kern w:val="0"/>
                      <w:szCs w:val="21"/>
                      <w:highlight w:val="none"/>
                    </w:rPr>
                  </w:pPr>
                </w:p>
              </w:tc>
              <w:tc>
                <w:tcPr>
                  <w:tcW w:w="603" w:type="pct"/>
                  <w:vAlign w:val="center"/>
                </w:tcPr>
                <w:p w14:paraId="1BF41F54">
                  <w:pPr>
                    <w:adjustRightInd w:val="0"/>
                    <w:snapToGrid w:val="0"/>
                    <w:jc w:val="center"/>
                    <w:rPr>
                      <w:color w:val="auto"/>
                      <w:kern w:val="24"/>
                      <w:szCs w:val="21"/>
                      <w:highlight w:val="none"/>
                    </w:rPr>
                  </w:pPr>
                  <w:r>
                    <w:rPr>
                      <w:rFonts w:hint="eastAsia"/>
                      <w:color w:val="auto"/>
                      <w:kern w:val="24"/>
                      <w:szCs w:val="21"/>
                      <w:highlight w:val="none"/>
                    </w:rPr>
                    <w:t>生产过程</w:t>
                  </w:r>
                </w:p>
              </w:tc>
              <w:tc>
                <w:tcPr>
                  <w:tcW w:w="707" w:type="pct"/>
                  <w:vAlign w:val="center"/>
                </w:tcPr>
                <w:p w14:paraId="4671D691">
                  <w:pPr>
                    <w:adjustRightInd w:val="0"/>
                    <w:snapToGrid w:val="0"/>
                    <w:jc w:val="center"/>
                    <w:rPr>
                      <w:bCs/>
                      <w:color w:val="auto"/>
                      <w:szCs w:val="21"/>
                      <w:highlight w:val="none"/>
                    </w:rPr>
                  </w:pPr>
                  <w:r>
                    <w:rPr>
                      <w:bCs/>
                      <w:color w:val="auto"/>
                      <w:szCs w:val="21"/>
                      <w:highlight w:val="none"/>
                    </w:rPr>
                    <w:t>HW49</w:t>
                  </w:r>
                </w:p>
              </w:tc>
              <w:tc>
                <w:tcPr>
                  <w:tcW w:w="554" w:type="pct"/>
                  <w:vAlign w:val="center"/>
                </w:tcPr>
                <w:p w14:paraId="737728CA">
                  <w:pPr>
                    <w:adjustRightInd w:val="0"/>
                    <w:snapToGrid w:val="0"/>
                    <w:jc w:val="center"/>
                    <w:rPr>
                      <w:bCs/>
                      <w:color w:val="auto"/>
                      <w:szCs w:val="21"/>
                      <w:highlight w:val="none"/>
                    </w:rPr>
                  </w:pPr>
                  <w:r>
                    <w:rPr>
                      <w:bCs/>
                      <w:color w:val="auto"/>
                      <w:szCs w:val="21"/>
                      <w:highlight w:val="none"/>
                    </w:rPr>
                    <w:t>900-041-49</w:t>
                  </w:r>
                </w:p>
              </w:tc>
              <w:tc>
                <w:tcPr>
                  <w:tcW w:w="461" w:type="pct"/>
                  <w:vAlign w:val="center"/>
                </w:tcPr>
                <w:p w14:paraId="19980DBE">
                  <w:pPr>
                    <w:adjustRightInd w:val="0"/>
                    <w:snapToGrid w:val="0"/>
                    <w:jc w:val="center"/>
                    <w:rPr>
                      <w:color w:val="auto"/>
                      <w:szCs w:val="21"/>
                      <w:highlight w:val="none"/>
                    </w:rPr>
                  </w:pPr>
                  <w:r>
                    <w:rPr>
                      <w:rFonts w:hint="eastAsia"/>
                      <w:color w:val="auto"/>
                      <w:szCs w:val="21"/>
                      <w:highlight w:val="none"/>
                    </w:rPr>
                    <w:t>0.02</w:t>
                  </w:r>
                </w:p>
              </w:tc>
              <w:tc>
                <w:tcPr>
                  <w:tcW w:w="973" w:type="pct"/>
                  <w:vMerge w:val="continue"/>
                  <w:vAlign w:val="center"/>
                </w:tcPr>
                <w:p w14:paraId="48CCACC5">
                  <w:pPr>
                    <w:adjustRightInd w:val="0"/>
                    <w:snapToGrid w:val="0"/>
                    <w:jc w:val="center"/>
                    <w:rPr>
                      <w:snapToGrid w:val="0"/>
                      <w:color w:val="auto"/>
                      <w:kern w:val="0"/>
                      <w:szCs w:val="21"/>
                      <w:highlight w:val="none"/>
                    </w:rPr>
                  </w:pPr>
                </w:p>
              </w:tc>
            </w:tr>
            <w:tr w14:paraId="08BD6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0" w:hRule="atLeast"/>
                <w:jc w:val="center"/>
              </w:trPr>
              <w:tc>
                <w:tcPr>
                  <w:tcW w:w="301" w:type="pct"/>
                  <w:vAlign w:val="center"/>
                </w:tcPr>
                <w:p w14:paraId="61E3CD03">
                  <w:pPr>
                    <w:adjustRightInd w:val="0"/>
                    <w:snapToGrid w:val="0"/>
                    <w:jc w:val="center"/>
                    <w:rPr>
                      <w:bCs/>
                      <w:snapToGrid w:val="0"/>
                      <w:color w:val="auto"/>
                      <w:kern w:val="0"/>
                      <w:szCs w:val="21"/>
                      <w:highlight w:val="none"/>
                    </w:rPr>
                  </w:pPr>
                  <w:r>
                    <w:rPr>
                      <w:bCs/>
                      <w:snapToGrid w:val="0"/>
                      <w:color w:val="auto"/>
                      <w:kern w:val="0"/>
                      <w:szCs w:val="21"/>
                      <w:highlight w:val="none"/>
                    </w:rPr>
                    <w:t>5</w:t>
                  </w:r>
                </w:p>
              </w:tc>
              <w:tc>
                <w:tcPr>
                  <w:tcW w:w="941" w:type="pct"/>
                  <w:vAlign w:val="center"/>
                </w:tcPr>
                <w:p w14:paraId="4B8BB24B">
                  <w:pPr>
                    <w:pStyle w:val="79"/>
                    <w:spacing w:line="240" w:lineRule="auto"/>
                    <w:rPr>
                      <w:rFonts w:ascii="Times New Roman"/>
                      <w:snapToGrid w:val="0"/>
                      <w:color w:val="auto"/>
                      <w:sz w:val="21"/>
                      <w:szCs w:val="21"/>
                      <w:highlight w:val="none"/>
                      <w:lang w:val="en-US"/>
                    </w:rPr>
                  </w:pPr>
                  <w:r>
                    <w:rPr>
                      <w:rFonts w:hint="eastAsia" w:ascii="Times New Roman"/>
                      <w:color w:val="auto"/>
                      <w:kern w:val="24"/>
                      <w:sz w:val="21"/>
                      <w:szCs w:val="21"/>
                      <w:highlight w:val="none"/>
                      <w:lang w:val="en-US" w:eastAsia="zh-Hans"/>
                    </w:rPr>
                    <w:t>废润滑油</w:t>
                  </w:r>
                </w:p>
              </w:tc>
              <w:tc>
                <w:tcPr>
                  <w:tcW w:w="455" w:type="pct"/>
                  <w:vMerge w:val="continue"/>
                  <w:vAlign w:val="center"/>
                </w:tcPr>
                <w:p w14:paraId="0323AF93">
                  <w:pPr>
                    <w:adjustRightInd w:val="0"/>
                    <w:snapToGrid w:val="0"/>
                    <w:jc w:val="center"/>
                    <w:rPr>
                      <w:bCs/>
                      <w:snapToGrid w:val="0"/>
                      <w:color w:val="auto"/>
                      <w:kern w:val="0"/>
                      <w:szCs w:val="21"/>
                      <w:highlight w:val="none"/>
                    </w:rPr>
                  </w:pPr>
                </w:p>
              </w:tc>
              <w:tc>
                <w:tcPr>
                  <w:tcW w:w="603" w:type="pct"/>
                  <w:vAlign w:val="center"/>
                </w:tcPr>
                <w:p w14:paraId="03421A56">
                  <w:pPr>
                    <w:pStyle w:val="79"/>
                    <w:spacing w:line="240" w:lineRule="auto"/>
                    <w:rPr>
                      <w:rFonts w:ascii="Times New Roman"/>
                      <w:color w:val="auto"/>
                      <w:kern w:val="24"/>
                      <w:sz w:val="21"/>
                      <w:szCs w:val="21"/>
                      <w:highlight w:val="none"/>
                      <w:lang w:val="en-US"/>
                    </w:rPr>
                  </w:pPr>
                  <w:r>
                    <w:rPr>
                      <w:rFonts w:hint="eastAsia" w:ascii="Times New Roman"/>
                      <w:bCs/>
                      <w:snapToGrid w:val="0"/>
                      <w:color w:val="auto"/>
                      <w:kern w:val="24"/>
                      <w:sz w:val="21"/>
                      <w:szCs w:val="21"/>
                      <w:highlight w:val="none"/>
                      <w:lang w:val="en-US" w:eastAsia="zh-Hans"/>
                    </w:rPr>
                    <w:t>设备维护</w:t>
                  </w:r>
                </w:p>
              </w:tc>
              <w:tc>
                <w:tcPr>
                  <w:tcW w:w="707" w:type="pct"/>
                  <w:vAlign w:val="center"/>
                </w:tcPr>
                <w:p w14:paraId="32EDC2C4">
                  <w:pPr>
                    <w:pStyle w:val="60"/>
                    <w:spacing w:beforeLines="0" w:afterLines="0" w:line="240" w:lineRule="auto"/>
                    <w:rPr>
                      <w:color w:val="auto"/>
                      <w:szCs w:val="21"/>
                      <w:highlight w:val="none"/>
                    </w:rPr>
                  </w:pPr>
                  <w:r>
                    <w:rPr>
                      <w:rFonts w:hint="eastAsia" w:ascii="Times New Roman"/>
                      <w:color w:val="auto"/>
                      <w:szCs w:val="21"/>
                      <w:lang w:val="en-US" w:eastAsia="zh-Hans"/>
                    </w:rPr>
                    <w:t>HW</w:t>
                  </w:r>
                  <w:r>
                    <w:rPr>
                      <w:rFonts w:ascii="Times New Roman"/>
                      <w:color w:val="auto"/>
                      <w:szCs w:val="21"/>
                      <w:lang w:val="en-US" w:eastAsia="zh-Hans"/>
                    </w:rPr>
                    <w:t>08</w:t>
                  </w:r>
                </w:p>
              </w:tc>
              <w:tc>
                <w:tcPr>
                  <w:tcW w:w="554" w:type="pct"/>
                  <w:vAlign w:val="center"/>
                </w:tcPr>
                <w:p w14:paraId="40346F65">
                  <w:pPr>
                    <w:adjustRightInd w:val="0"/>
                    <w:snapToGrid w:val="0"/>
                    <w:jc w:val="center"/>
                    <w:rPr>
                      <w:bCs/>
                      <w:color w:val="auto"/>
                      <w:szCs w:val="21"/>
                      <w:highlight w:val="none"/>
                    </w:rPr>
                  </w:pPr>
                  <w:r>
                    <w:rPr>
                      <w:color w:val="auto"/>
                      <w:szCs w:val="21"/>
                    </w:rPr>
                    <w:t>900-249-08</w:t>
                  </w:r>
                </w:p>
              </w:tc>
              <w:tc>
                <w:tcPr>
                  <w:tcW w:w="461" w:type="pct"/>
                  <w:vAlign w:val="center"/>
                </w:tcPr>
                <w:p w14:paraId="6DEC7E63">
                  <w:pPr>
                    <w:adjustRightInd w:val="0"/>
                    <w:snapToGrid w:val="0"/>
                    <w:jc w:val="center"/>
                    <w:rPr>
                      <w:color w:val="auto"/>
                      <w:szCs w:val="21"/>
                      <w:highlight w:val="none"/>
                    </w:rPr>
                  </w:pPr>
                  <w:r>
                    <w:rPr>
                      <w:color w:val="auto"/>
                      <w:szCs w:val="21"/>
                      <w:highlight w:val="none"/>
                    </w:rPr>
                    <w:t>0.0868</w:t>
                  </w:r>
                </w:p>
              </w:tc>
              <w:tc>
                <w:tcPr>
                  <w:tcW w:w="973" w:type="pct"/>
                  <w:vMerge w:val="continue"/>
                  <w:vAlign w:val="center"/>
                </w:tcPr>
                <w:p w14:paraId="112EEF4B">
                  <w:pPr>
                    <w:adjustRightInd w:val="0"/>
                    <w:snapToGrid w:val="0"/>
                    <w:jc w:val="center"/>
                    <w:rPr>
                      <w:snapToGrid w:val="0"/>
                      <w:color w:val="auto"/>
                      <w:kern w:val="0"/>
                      <w:szCs w:val="21"/>
                      <w:highlight w:val="none"/>
                    </w:rPr>
                  </w:pPr>
                </w:p>
              </w:tc>
            </w:tr>
            <w:tr w14:paraId="0015C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090C3DE2">
                  <w:pPr>
                    <w:adjustRightInd w:val="0"/>
                    <w:snapToGrid w:val="0"/>
                    <w:jc w:val="center"/>
                    <w:rPr>
                      <w:bCs/>
                      <w:snapToGrid w:val="0"/>
                      <w:color w:val="auto"/>
                      <w:kern w:val="0"/>
                      <w:szCs w:val="21"/>
                      <w:highlight w:val="none"/>
                    </w:rPr>
                  </w:pPr>
                  <w:r>
                    <w:rPr>
                      <w:bCs/>
                      <w:snapToGrid w:val="0"/>
                      <w:color w:val="auto"/>
                      <w:kern w:val="0"/>
                      <w:szCs w:val="21"/>
                      <w:highlight w:val="none"/>
                    </w:rPr>
                    <w:t>6</w:t>
                  </w:r>
                </w:p>
              </w:tc>
              <w:tc>
                <w:tcPr>
                  <w:tcW w:w="941" w:type="pct"/>
                  <w:vAlign w:val="center"/>
                </w:tcPr>
                <w:p w14:paraId="3912977B">
                  <w:pPr>
                    <w:pStyle w:val="79"/>
                    <w:spacing w:line="240" w:lineRule="auto"/>
                    <w:rPr>
                      <w:rFonts w:ascii="Times New Roman"/>
                      <w:snapToGrid w:val="0"/>
                      <w:color w:val="auto"/>
                      <w:sz w:val="21"/>
                      <w:szCs w:val="21"/>
                      <w:highlight w:val="none"/>
                      <w:lang w:val="en-US"/>
                    </w:rPr>
                  </w:pPr>
                  <w:r>
                    <w:rPr>
                      <w:rFonts w:ascii="Times New Roman"/>
                      <w:color w:val="auto"/>
                      <w:kern w:val="24"/>
                      <w:sz w:val="21"/>
                      <w:szCs w:val="21"/>
                      <w:highlight w:val="none"/>
                      <w:lang w:val="en-US"/>
                    </w:rPr>
                    <w:t>废胶</w:t>
                  </w:r>
                </w:p>
              </w:tc>
              <w:tc>
                <w:tcPr>
                  <w:tcW w:w="455" w:type="pct"/>
                  <w:vMerge w:val="continue"/>
                  <w:vAlign w:val="center"/>
                </w:tcPr>
                <w:p w14:paraId="45E90D5E">
                  <w:pPr>
                    <w:adjustRightInd w:val="0"/>
                    <w:snapToGrid w:val="0"/>
                    <w:jc w:val="center"/>
                    <w:rPr>
                      <w:bCs/>
                      <w:snapToGrid w:val="0"/>
                      <w:color w:val="auto"/>
                      <w:kern w:val="0"/>
                      <w:szCs w:val="21"/>
                      <w:highlight w:val="none"/>
                    </w:rPr>
                  </w:pPr>
                </w:p>
              </w:tc>
              <w:tc>
                <w:tcPr>
                  <w:tcW w:w="603" w:type="pct"/>
                  <w:vAlign w:val="center"/>
                </w:tcPr>
                <w:p w14:paraId="1BBD9769">
                  <w:pPr>
                    <w:pStyle w:val="79"/>
                    <w:spacing w:line="240" w:lineRule="auto"/>
                    <w:rPr>
                      <w:rFonts w:ascii="Times New Roman" w:hAnsi="Times New Roman" w:eastAsia="宋体" w:cs="Times New Roman"/>
                      <w:color w:val="auto"/>
                      <w:kern w:val="24"/>
                      <w:sz w:val="21"/>
                      <w:szCs w:val="21"/>
                      <w:highlight w:val="none"/>
                      <w:lang w:val="en-US" w:eastAsia="zh-CN" w:bidi="ar-SA"/>
                    </w:rPr>
                  </w:pPr>
                  <w:r>
                    <w:rPr>
                      <w:rFonts w:ascii="Times New Roman"/>
                      <w:color w:val="auto"/>
                      <w:kern w:val="24"/>
                      <w:sz w:val="21"/>
                      <w:szCs w:val="21"/>
                      <w:highlight w:val="none"/>
                      <w:lang w:val="en-US"/>
                    </w:rPr>
                    <w:t>涂胶、滴胶</w:t>
                  </w:r>
                </w:p>
              </w:tc>
              <w:tc>
                <w:tcPr>
                  <w:tcW w:w="707" w:type="pct"/>
                  <w:vAlign w:val="center"/>
                </w:tcPr>
                <w:p w14:paraId="15E1E9BB">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bCs/>
                      <w:color w:val="auto"/>
                      <w:szCs w:val="21"/>
                      <w:highlight w:val="none"/>
                    </w:rPr>
                    <w:t>HW13</w:t>
                  </w:r>
                </w:p>
              </w:tc>
              <w:tc>
                <w:tcPr>
                  <w:tcW w:w="554" w:type="pct"/>
                  <w:vAlign w:val="center"/>
                </w:tcPr>
                <w:p w14:paraId="3E5D0ED7">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900-014-13</w:t>
                  </w:r>
                </w:p>
              </w:tc>
              <w:tc>
                <w:tcPr>
                  <w:tcW w:w="461" w:type="pct"/>
                  <w:vAlign w:val="center"/>
                </w:tcPr>
                <w:p w14:paraId="359CE62A">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bCs/>
                      <w:color w:val="auto"/>
                      <w:szCs w:val="21"/>
                      <w:highlight w:val="none"/>
                    </w:rPr>
                    <w:t>1.21</w:t>
                  </w:r>
                </w:p>
              </w:tc>
              <w:tc>
                <w:tcPr>
                  <w:tcW w:w="973" w:type="pct"/>
                  <w:vMerge w:val="restart"/>
                  <w:vAlign w:val="center"/>
                </w:tcPr>
                <w:p w14:paraId="7D2475AF">
                  <w:pPr>
                    <w:adjustRightInd w:val="0"/>
                    <w:snapToGrid w:val="0"/>
                    <w:jc w:val="center"/>
                    <w:rPr>
                      <w:snapToGrid w:val="0"/>
                      <w:color w:val="auto"/>
                      <w:kern w:val="0"/>
                      <w:szCs w:val="21"/>
                      <w:highlight w:val="none"/>
                    </w:rPr>
                  </w:pPr>
                  <w:r>
                    <w:rPr>
                      <w:color w:val="auto"/>
                      <w:szCs w:val="21"/>
                      <w:highlight w:val="none"/>
                    </w:rPr>
                    <w:t>委托淮安华昌固废处置有限公司处置</w:t>
                  </w:r>
                </w:p>
              </w:tc>
            </w:tr>
            <w:tr w14:paraId="14981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17534EAD">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r>
                    <w:rPr>
                      <w:bCs/>
                      <w:snapToGrid w:val="0"/>
                      <w:color w:val="auto"/>
                      <w:kern w:val="0"/>
                      <w:szCs w:val="21"/>
                      <w:highlight w:val="none"/>
                    </w:rPr>
                    <w:t>7</w:t>
                  </w:r>
                </w:p>
              </w:tc>
              <w:tc>
                <w:tcPr>
                  <w:tcW w:w="941" w:type="pct"/>
                  <w:vAlign w:val="center"/>
                </w:tcPr>
                <w:p w14:paraId="49BFF0A0">
                  <w:pPr>
                    <w:pStyle w:val="79"/>
                    <w:spacing w:line="240" w:lineRule="auto"/>
                    <w:rPr>
                      <w:rFonts w:hint="eastAsia" w:ascii="Times New Roman" w:eastAsia="宋体"/>
                      <w:color w:val="auto"/>
                      <w:kern w:val="24"/>
                      <w:sz w:val="21"/>
                      <w:szCs w:val="21"/>
                      <w:highlight w:val="none"/>
                      <w:lang w:val="en-US" w:eastAsia="zh-Hans"/>
                    </w:rPr>
                  </w:pPr>
                  <w:r>
                    <w:rPr>
                      <w:rFonts w:ascii="Times New Roman"/>
                      <w:color w:val="auto"/>
                      <w:kern w:val="24"/>
                      <w:sz w:val="21"/>
                      <w:szCs w:val="21"/>
                      <w:highlight w:val="none"/>
                      <w:lang w:val="en-US"/>
                    </w:rPr>
                    <w:t>废包装桶</w:t>
                  </w:r>
                </w:p>
              </w:tc>
              <w:tc>
                <w:tcPr>
                  <w:tcW w:w="455" w:type="pct"/>
                  <w:vMerge w:val="continue"/>
                  <w:vAlign w:val="center"/>
                </w:tcPr>
                <w:p w14:paraId="1E467CE5">
                  <w:pPr>
                    <w:adjustRightInd w:val="0"/>
                    <w:snapToGrid w:val="0"/>
                    <w:jc w:val="center"/>
                    <w:rPr>
                      <w:bCs/>
                      <w:snapToGrid w:val="0"/>
                      <w:color w:val="auto"/>
                      <w:kern w:val="0"/>
                      <w:szCs w:val="21"/>
                      <w:highlight w:val="none"/>
                    </w:rPr>
                  </w:pPr>
                </w:p>
              </w:tc>
              <w:tc>
                <w:tcPr>
                  <w:tcW w:w="603" w:type="pct"/>
                  <w:vAlign w:val="center"/>
                </w:tcPr>
                <w:p w14:paraId="3FC159E7">
                  <w:pPr>
                    <w:pStyle w:val="79"/>
                    <w:spacing w:line="240" w:lineRule="auto"/>
                    <w:rPr>
                      <w:rFonts w:hint="eastAsia" w:ascii="Times New Roman" w:hAnsi="Times New Roman" w:eastAsia="宋体" w:cs="Times New Roman"/>
                      <w:color w:val="auto"/>
                      <w:kern w:val="24"/>
                      <w:sz w:val="21"/>
                      <w:szCs w:val="21"/>
                      <w:highlight w:val="none"/>
                      <w:lang w:val="en-US" w:eastAsia="zh-Hans" w:bidi="ar-SA"/>
                    </w:rPr>
                  </w:pPr>
                  <w:r>
                    <w:rPr>
                      <w:rFonts w:ascii="Times New Roman"/>
                      <w:bCs/>
                      <w:snapToGrid w:val="0"/>
                      <w:color w:val="auto"/>
                      <w:kern w:val="24"/>
                      <w:sz w:val="21"/>
                      <w:szCs w:val="21"/>
                      <w:highlight w:val="none"/>
                      <w:lang w:val="en-US"/>
                    </w:rPr>
                    <w:t>原料包装</w:t>
                  </w:r>
                </w:p>
              </w:tc>
              <w:tc>
                <w:tcPr>
                  <w:tcW w:w="707" w:type="pct"/>
                  <w:vAlign w:val="center"/>
                </w:tcPr>
                <w:p w14:paraId="4717AEC1">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HW49</w:t>
                  </w:r>
                </w:p>
              </w:tc>
              <w:tc>
                <w:tcPr>
                  <w:tcW w:w="554" w:type="pct"/>
                  <w:vAlign w:val="center"/>
                </w:tcPr>
                <w:p w14:paraId="113C82C2">
                  <w:pPr>
                    <w:adjustRightInd w:val="0"/>
                    <w:snapToGrid w:val="0"/>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900-041-49</w:t>
                  </w:r>
                </w:p>
              </w:tc>
              <w:tc>
                <w:tcPr>
                  <w:tcW w:w="461" w:type="pct"/>
                  <w:vAlign w:val="center"/>
                </w:tcPr>
                <w:p w14:paraId="492B9C78">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bCs/>
                      <w:color w:val="auto"/>
                      <w:szCs w:val="21"/>
                      <w:highlight w:val="none"/>
                    </w:rPr>
                    <w:t>0.55</w:t>
                  </w:r>
                </w:p>
              </w:tc>
              <w:tc>
                <w:tcPr>
                  <w:tcW w:w="973" w:type="pct"/>
                  <w:vMerge w:val="continue"/>
                  <w:vAlign w:val="center"/>
                </w:tcPr>
                <w:p w14:paraId="09DAEF30">
                  <w:pPr>
                    <w:adjustRightInd w:val="0"/>
                    <w:snapToGrid w:val="0"/>
                    <w:jc w:val="center"/>
                    <w:rPr>
                      <w:snapToGrid w:val="0"/>
                      <w:color w:val="auto"/>
                      <w:kern w:val="0"/>
                      <w:szCs w:val="21"/>
                      <w:highlight w:val="none"/>
                    </w:rPr>
                  </w:pPr>
                </w:p>
              </w:tc>
            </w:tr>
            <w:tr w14:paraId="354F4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365E551A">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r>
                    <w:rPr>
                      <w:bCs/>
                      <w:snapToGrid w:val="0"/>
                      <w:color w:val="auto"/>
                      <w:kern w:val="0"/>
                      <w:szCs w:val="21"/>
                      <w:highlight w:val="none"/>
                    </w:rPr>
                    <w:t>8</w:t>
                  </w:r>
                </w:p>
              </w:tc>
              <w:tc>
                <w:tcPr>
                  <w:tcW w:w="941" w:type="pct"/>
                  <w:vAlign w:val="center"/>
                </w:tcPr>
                <w:p w14:paraId="3D716C09">
                  <w:pPr>
                    <w:pStyle w:val="79"/>
                    <w:spacing w:line="240" w:lineRule="auto"/>
                    <w:rPr>
                      <w:rFonts w:ascii="Times New Roman"/>
                      <w:snapToGrid w:val="0"/>
                      <w:color w:val="auto"/>
                      <w:sz w:val="21"/>
                      <w:szCs w:val="21"/>
                      <w:highlight w:val="none"/>
                      <w:lang w:val="en-US"/>
                    </w:rPr>
                  </w:pPr>
                  <w:r>
                    <w:rPr>
                      <w:rFonts w:ascii="Times New Roman"/>
                      <w:bCs/>
                      <w:snapToGrid w:val="0"/>
                      <w:color w:val="auto"/>
                      <w:sz w:val="21"/>
                      <w:szCs w:val="21"/>
                      <w:highlight w:val="none"/>
                      <w:lang w:val="en-US"/>
                    </w:rPr>
                    <w:t>废活性炭</w:t>
                  </w:r>
                </w:p>
              </w:tc>
              <w:tc>
                <w:tcPr>
                  <w:tcW w:w="455" w:type="pct"/>
                  <w:vMerge w:val="continue"/>
                  <w:vAlign w:val="center"/>
                </w:tcPr>
                <w:p w14:paraId="6AD382FA">
                  <w:pPr>
                    <w:adjustRightInd w:val="0"/>
                    <w:snapToGrid w:val="0"/>
                    <w:jc w:val="center"/>
                    <w:rPr>
                      <w:bCs/>
                      <w:snapToGrid w:val="0"/>
                      <w:color w:val="auto"/>
                      <w:kern w:val="0"/>
                      <w:szCs w:val="21"/>
                      <w:highlight w:val="none"/>
                    </w:rPr>
                  </w:pPr>
                </w:p>
              </w:tc>
              <w:tc>
                <w:tcPr>
                  <w:tcW w:w="603" w:type="pct"/>
                  <w:vMerge w:val="restart"/>
                  <w:vAlign w:val="center"/>
                </w:tcPr>
                <w:p w14:paraId="2D30B5F8">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废气处理</w:t>
                  </w:r>
                </w:p>
              </w:tc>
              <w:tc>
                <w:tcPr>
                  <w:tcW w:w="707" w:type="pct"/>
                  <w:vAlign w:val="center"/>
                </w:tcPr>
                <w:p w14:paraId="5392304A">
                  <w:pPr>
                    <w:adjustRightInd w:val="0"/>
                    <w:snapToGrid w:val="0"/>
                    <w:jc w:val="center"/>
                    <w:rPr>
                      <w:bCs/>
                      <w:color w:val="auto"/>
                      <w:szCs w:val="21"/>
                      <w:highlight w:val="none"/>
                    </w:rPr>
                  </w:pPr>
                  <w:r>
                    <w:rPr>
                      <w:bCs/>
                      <w:color w:val="auto"/>
                      <w:szCs w:val="21"/>
                      <w:highlight w:val="none"/>
                    </w:rPr>
                    <w:t>HW49</w:t>
                  </w:r>
                </w:p>
              </w:tc>
              <w:tc>
                <w:tcPr>
                  <w:tcW w:w="554" w:type="pct"/>
                  <w:vAlign w:val="center"/>
                </w:tcPr>
                <w:p w14:paraId="199A523D">
                  <w:pPr>
                    <w:adjustRightInd w:val="0"/>
                    <w:snapToGrid w:val="0"/>
                    <w:jc w:val="center"/>
                    <w:rPr>
                      <w:bCs/>
                      <w:color w:val="auto"/>
                      <w:szCs w:val="21"/>
                      <w:highlight w:val="none"/>
                    </w:rPr>
                  </w:pPr>
                  <w:r>
                    <w:rPr>
                      <w:bCs/>
                      <w:color w:val="auto"/>
                      <w:szCs w:val="21"/>
                      <w:highlight w:val="none"/>
                    </w:rPr>
                    <w:t>900-039-49</w:t>
                  </w:r>
                </w:p>
              </w:tc>
              <w:tc>
                <w:tcPr>
                  <w:tcW w:w="461" w:type="pct"/>
                  <w:vAlign w:val="center"/>
                </w:tcPr>
                <w:p w14:paraId="6D9AEE22">
                  <w:pPr>
                    <w:adjustRightInd w:val="0"/>
                    <w:snapToGrid w:val="0"/>
                    <w:jc w:val="center"/>
                    <w:rPr>
                      <w:color w:val="auto"/>
                      <w:szCs w:val="21"/>
                      <w:highlight w:val="none"/>
                    </w:rPr>
                  </w:pPr>
                  <w:r>
                    <w:rPr>
                      <w:rFonts w:hint="default"/>
                      <w:bCs/>
                      <w:color w:val="auto"/>
                      <w:szCs w:val="21"/>
                      <w:highlight w:val="none"/>
                    </w:rPr>
                    <w:t>44.0901</w:t>
                  </w:r>
                </w:p>
              </w:tc>
              <w:tc>
                <w:tcPr>
                  <w:tcW w:w="973" w:type="pct"/>
                  <w:vMerge w:val="continue"/>
                  <w:vAlign w:val="center"/>
                </w:tcPr>
                <w:p w14:paraId="26E9411A">
                  <w:pPr>
                    <w:adjustRightInd w:val="0"/>
                    <w:snapToGrid w:val="0"/>
                    <w:jc w:val="center"/>
                    <w:rPr>
                      <w:snapToGrid w:val="0"/>
                      <w:color w:val="auto"/>
                      <w:kern w:val="0"/>
                      <w:szCs w:val="21"/>
                      <w:highlight w:val="none"/>
                    </w:rPr>
                  </w:pPr>
                </w:p>
              </w:tc>
            </w:tr>
            <w:tr w14:paraId="64558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75CCF673">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r>
                    <w:rPr>
                      <w:bCs/>
                      <w:snapToGrid w:val="0"/>
                      <w:color w:val="auto"/>
                      <w:kern w:val="0"/>
                      <w:szCs w:val="21"/>
                      <w:highlight w:val="none"/>
                    </w:rPr>
                    <w:t>9</w:t>
                  </w:r>
                </w:p>
              </w:tc>
              <w:tc>
                <w:tcPr>
                  <w:tcW w:w="941" w:type="pct"/>
                  <w:vAlign w:val="center"/>
                </w:tcPr>
                <w:p w14:paraId="1EA6086A">
                  <w:pPr>
                    <w:pStyle w:val="79"/>
                    <w:spacing w:line="240" w:lineRule="auto"/>
                    <w:rPr>
                      <w:rFonts w:ascii="Times New Roman"/>
                      <w:bCs/>
                      <w:snapToGrid w:val="0"/>
                      <w:color w:val="auto"/>
                      <w:sz w:val="21"/>
                      <w:szCs w:val="21"/>
                      <w:highlight w:val="none"/>
                    </w:rPr>
                  </w:pPr>
                  <w:r>
                    <w:rPr>
                      <w:rFonts w:ascii="Times New Roman"/>
                      <w:snapToGrid w:val="0"/>
                      <w:color w:val="auto"/>
                      <w:sz w:val="21"/>
                      <w:szCs w:val="21"/>
                      <w:highlight w:val="none"/>
                      <w:lang w:val="en-US"/>
                    </w:rPr>
                    <w:t>废UV灯管</w:t>
                  </w:r>
                </w:p>
              </w:tc>
              <w:tc>
                <w:tcPr>
                  <w:tcW w:w="455" w:type="pct"/>
                  <w:vMerge w:val="continue"/>
                  <w:vAlign w:val="center"/>
                </w:tcPr>
                <w:p w14:paraId="7D6777A2">
                  <w:pPr>
                    <w:adjustRightInd w:val="0"/>
                    <w:snapToGrid w:val="0"/>
                    <w:jc w:val="center"/>
                    <w:rPr>
                      <w:bCs/>
                      <w:snapToGrid w:val="0"/>
                      <w:color w:val="auto"/>
                      <w:kern w:val="0"/>
                      <w:szCs w:val="21"/>
                      <w:highlight w:val="none"/>
                    </w:rPr>
                  </w:pPr>
                </w:p>
              </w:tc>
              <w:tc>
                <w:tcPr>
                  <w:tcW w:w="603" w:type="pct"/>
                  <w:vMerge w:val="continue"/>
                  <w:vAlign w:val="center"/>
                </w:tcPr>
                <w:p w14:paraId="7512F229">
                  <w:pPr>
                    <w:adjustRightInd w:val="0"/>
                    <w:snapToGrid w:val="0"/>
                    <w:jc w:val="center"/>
                    <w:rPr>
                      <w:bCs/>
                      <w:snapToGrid w:val="0"/>
                      <w:color w:val="auto"/>
                      <w:kern w:val="0"/>
                      <w:szCs w:val="21"/>
                      <w:highlight w:val="none"/>
                    </w:rPr>
                  </w:pPr>
                </w:p>
              </w:tc>
              <w:tc>
                <w:tcPr>
                  <w:tcW w:w="707" w:type="pct"/>
                  <w:vAlign w:val="center"/>
                </w:tcPr>
                <w:p w14:paraId="1F517D38">
                  <w:pPr>
                    <w:adjustRightInd w:val="0"/>
                    <w:snapToGrid w:val="0"/>
                    <w:jc w:val="center"/>
                    <w:rPr>
                      <w:bCs/>
                      <w:color w:val="auto"/>
                      <w:szCs w:val="21"/>
                      <w:highlight w:val="none"/>
                    </w:rPr>
                  </w:pPr>
                  <w:r>
                    <w:rPr>
                      <w:bCs/>
                      <w:color w:val="auto"/>
                      <w:szCs w:val="21"/>
                      <w:highlight w:val="none"/>
                    </w:rPr>
                    <w:t>HW29</w:t>
                  </w:r>
                </w:p>
              </w:tc>
              <w:tc>
                <w:tcPr>
                  <w:tcW w:w="554" w:type="pct"/>
                  <w:vAlign w:val="center"/>
                </w:tcPr>
                <w:p w14:paraId="6718FA92">
                  <w:pPr>
                    <w:adjustRightInd w:val="0"/>
                    <w:snapToGrid w:val="0"/>
                    <w:jc w:val="center"/>
                    <w:rPr>
                      <w:bCs/>
                      <w:color w:val="auto"/>
                      <w:szCs w:val="21"/>
                      <w:highlight w:val="none"/>
                    </w:rPr>
                  </w:pPr>
                  <w:r>
                    <w:rPr>
                      <w:bCs/>
                      <w:color w:val="auto"/>
                      <w:szCs w:val="21"/>
                      <w:highlight w:val="none"/>
                    </w:rPr>
                    <w:t>900-023-29</w:t>
                  </w:r>
                </w:p>
              </w:tc>
              <w:tc>
                <w:tcPr>
                  <w:tcW w:w="461" w:type="pct"/>
                  <w:vAlign w:val="center"/>
                </w:tcPr>
                <w:p w14:paraId="64947415">
                  <w:pPr>
                    <w:adjustRightInd w:val="0"/>
                    <w:snapToGrid w:val="0"/>
                    <w:jc w:val="center"/>
                    <w:rPr>
                      <w:bCs/>
                      <w:snapToGrid w:val="0"/>
                      <w:color w:val="auto"/>
                      <w:kern w:val="0"/>
                      <w:szCs w:val="21"/>
                      <w:highlight w:val="none"/>
                    </w:rPr>
                  </w:pPr>
                  <w:r>
                    <w:rPr>
                      <w:bCs/>
                      <w:color w:val="auto"/>
                      <w:szCs w:val="21"/>
                      <w:highlight w:val="none"/>
                    </w:rPr>
                    <w:t>0.</w:t>
                  </w:r>
                  <w:r>
                    <w:rPr>
                      <w:rFonts w:hint="eastAsia"/>
                      <w:bCs/>
                      <w:color w:val="auto"/>
                      <w:szCs w:val="21"/>
                      <w:highlight w:val="none"/>
                    </w:rPr>
                    <w:t>1</w:t>
                  </w:r>
                </w:p>
              </w:tc>
              <w:tc>
                <w:tcPr>
                  <w:tcW w:w="973" w:type="pct"/>
                  <w:vAlign w:val="center"/>
                </w:tcPr>
                <w:p w14:paraId="036FDEE1">
                  <w:pPr>
                    <w:adjustRightInd w:val="0"/>
                    <w:snapToGrid w:val="0"/>
                    <w:jc w:val="center"/>
                    <w:rPr>
                      <w:bCs/>
                      <w:snapToGrid w:val="0"/>
                      <w:color w:val="auto"/>
                      <w:kern w:val="0"/>
                      <w:szCs w:val="21"/>
                      <w:highlight w:val="none"/>
                    </w:rPr>
                  </w:pPr>
                  <w:r>
                    <w:rPr>
                      <w:color w:val="auto"/>
                      <w:szCs w:val="21"/>
                      <w:highlight w:val="none"/>
                    </w:rPr>
                    <w:t>委托常州市锦云工业废弃物处理有限公司处置</w:t>
                  </w:r>
                </w:p>
              </w:tc>
            </w:tr>
            <w:tr w14:paraId="3CFE2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0800002F">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r>
                    <w:rPr>
                      <w:bCs/>
                      <w:snapToGrid w:val="0"/>
                      <w:color w:val="auto"/>
                      <w:kern w:val="0"/>
                      <w:szCs w:val="21"/>
                      <w:highlight w:val="none"/>
                    </w:rPr>
                    <w:t>10</w:t>
                  </w:r>
                </w:p>
              </w:tc>
              <w:tc>
                <w:tcPr>
                  <w:tcW w:w="941" w:type="pct"/>
                  <w:vAlign w:val="center"/>
                </w:tcPr>
                <w:p w14:paraId="57BFD99C">
                  <w:pPr>
                    <w:pStyle w:val="79"/>
                    <w:spacing w:line="240" w:lineRule="auto"/>
                    <w:rPr>
                      <w:rFonts w:ascii="Times New Roman"/>
                      <w:snapToGrid w:val="0"/>
                      <w:color w:val="auto"/>
                      <w:sz w:val="21"/>
                      <w:szCs w:val="21"/>
                      <w:highlight w:val="none"/>
                    </w:rPr>
                  </w:pPr>
                  <w:r>
                    <w:rPr>
                      <w:rFonts w:ascii="Times New Roman"/>
                      <w:snapToGrid w:val="0"/>
                      <w:color w:val="auto"/>
                      <w:sz w:val="21"/>
                      <w:szCs w:val="21"/>
                      <w:highlight w:val="none"/>
                      <w:lang w:val="en-US"/>
                    </w:rPr>
                    <w:t>焊接烟尘净化器粉尘</w:t>
                  </w:r>
                </w:p>
              </w:tc>
              <w:tc>
                <w:tcPr>
                  <w:tcW w:w="455" w:type="pct"/>
                  <w:vMerge w:val="restart"/>
                  <w:vAlign w:val="center"/>
                </w:tcPr>
                <w:p w14:paraId="7B23FE1C">
                  <w:pPr>
                    <w:adjustRightInd w:val="0"/>
                    <w:snapToGrid w:val="0"/>
                    <w:jc w:val="center"/>
                    <w:rPr>
                      <w:bCs/>
                      <w:snapToGrid w:val="0"/>
                      <w:color w:val="auto"/>
                      <w:kern w:val="0"/>
                      <w:szCs w:val="21"/>
                      <w:highlight w:val="none"/>
                    </w:rPr>
                  </w:pPr>
                  <w:r>
                    <w:rPr>
                      <w:snapToGrid w:val="0"/>
                      <w:color w:val="auto"/>
                      <w:kern w:val="0"/>
                      <w:szCs w:val="21"/>
                      <w:highlight w:val="none"/>
                    </w:rPr>
                    <w:t>一般工业固体废物</w:t>
                  </w:r>
                </w:p>
              </w:tc>
              <w:tc>
                <w:tcPr>
                  <w:tcW w:w="603" w:type="pct"/>
                  <w:vMerge w:val="continue"/>
                  <w:vAlign w:val="center"/>
                </w:tcPr>
                <w:p w14:paraId="38179D59">
                  <w:pPr>
                    <w:adjustRightInd w:val="0"/>
                    <w:snapToGrid w:val="0"/>
                    <w:jc w:val="center"/>
                    <w:rPr>
                      <w:snapToGrid w:val="0"/>
                      <w:color w:val="auto"/>
                      <w:szCs w:val="21"/>
                      <w:highlight w:val="none"/>
                    </w:rPr>
                  </w:pPr>
                </w:p>
              </w:tc>
              <w:tc>
                <w:tcPr>
                  <w:tcW w:w="707" w:type="pct"/>
                  <w:vAlign w:val="center"/>
                </w:tcPr>
                <w:p w14:paraId="7985768A">
                  <w:pPr>
                    <w:adjustRightInd w:val="0"/>
                    <w:snapToGrid w:val="0"/>
                    <w:jc w:val="center"/>
                    <w:rPr>
                      <w:color w:val="auto"/>
                      <w:szCs w:val="21"/>
                      <w:highlight w:val="none"/>
                    </w:rPr>
                  </w:pPr>
                  <w:r>
                    <w:rPr>
                      <w:bCs/>
                      <w:color w:val="auto"/>
                      <w:szCs w:val="21"/>
                      <w:highlight w:val="none"/>
                    </w:rPr>
                    <w:t>其他废物</w:t>
                  </w:r>
                </w:p>
              </w:tc>
              <w:tc>
                <w:tcPr>
                  <w:tcW w:w="554" w:type="pct"/>
                  <w:vAlign w:val="center"/>
                </w:tcPr>
                <w:p w14:paraId="7E84C2C7">
                  <w:pPr>
                    <w:adjustRightInd w:val="0"/>
                    <w:snapToGrid w:val="0"/>
                    <w:jc w:val="center"/>
                    <w:rPr>
                      <w:color w:val="auto"/>
                      <w:szCs w:val="21"/>
                      <w:highlight w:val="none"/>
                    </w:rPr>
                  </w:pPr>
                  <w:r>
                    <w:rPr>
                      <w:bCs/>
                      <w:color w:val="auto"/>
                      <w:szCs w:val="21"/>
                      <w:highlight w:val="none"/>
                    </w:rPr>
                    <w:t>99</w:t>
                  </w:r>
                </w:p>
              </w:tc>
              <w:tc>
                <w:tcPr>
                  <w:tcW w:w="461" w:type="pct"/>
                  <w:vAlign w:val="center"/>
                </w:tcPr>
                <w:p w14:paraId="46FB4EA0">
                  <w:pPr>
                    <w:adjustRightInd w:val="0"/>
                    <w:snapToGrid w:val="0"/>
                    <w:jc w:val="center"/>
                    <w:rPr>
                      <w:color w:val="auto"/>
                      <w:szCs w:val="21"/>
                      <w:highlight w:val="none"/>
                    </w:rPr>
                  </w:pPr>
                  <w:r>
                    <w:rPr>
                      <w:bCs/>
                      <w:color w:val="auto"/>
                      <w:szCs w:val="21"/>
                      <w:highlight w:val="none"/>
                    </w:rPr>
                    <w:t>0.</w:t>
                  </w:r>
                  <w:r>
                    <w:rPr>
                      <w:rFonts w:hint="eastAsia"/>
                      <w:bCs/>
                      <w:color w:val="auto"/>
                      <w:szCs w:val="21"/>
                      <w:highlight w:val="none"/>
                    </w:rPr>
                    <w:t>518</w:t>
                  </w:r>
                </w:p>
              </w:tc>
              <w:tc>
                <w:tcPr>
                  <w:tcW w:w="973" w:type="pct"/>
                  <w:vAlign w:val="center"/>
                </w:tcPr>
                <w:p w14:paraId="6E43C8C2">
                  <w:pPr>
                    <w:adjustRightInd w:val="0"/>
                    <w:snapToGrid w:val="0"/>
                    <w:jc w:val="center"/>
                    <w:rPr>
                      <w:color w:val="auto"/>
                      <w:szCs w:val="21"/>
                      <w:highlight w:val="none"/>
                    </w:rPr>
                  </w:pPr>
                  <w:r>
                    <w:rPr>
                      <w:snapToGrid w:val="0"/>
                      <w:color w:val="auto"/>
                      <w:kern w:val="0"/>
                      <w:szCs w:val="21"/>
                      <w:highlight w:val="none"/>
                    </w:rPr>
                    <w:t>外售综合利用</w:t>
                  </w:r>
                </w:p>
              </w:tc>
            </w:tr>
            <w:tr w14:paraId="44E0C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494849DA">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r>
                    <w:rPr>
                      <w:rFonts w:hint="eastAsia"/>
                      <w:bCs/>
                      <w:snapToGrid w:val="0"/>
                      <w:color w:val="auto"/>
                      <w:kern w:val="0"/>
                      <w:szCs w:val="21"/>
                      <w:highlight w:val="none"/>
                    </w:rPr>
                    <w:t>11</w:t>
                  </w:r>
                </w:p>
              </w:tc>
              <w:tc>
                <w:tcPr>
                  <w:tcW w:w="941" w:type="pct"/>
                  <w:vAlign w:val="center"/>
                </w:tcPr>
                <w:p w14:paraId="1D49D52C">
                  <w:pPr>
                    <w:pStyle w:val="79"/>
                    <w:spacing w:line="240" w:lineRule="auto"/>
                    <w:rPr>
                      <w:rFonts w:ascii="Times New Roman"/>
                      <w:snapToGrid w:val="0"/>
                      <w:color w:val="auto"/>
                      <w:sz w:val="21"/>
                      <w:szCs w:val="21"/>
                      <w:highlight w:val="none"/>
                    </w:rPr>
                  </w:pPr>
                  <w:r>
                    <w:rPr>
                      <w:rFonts w:ascii="Times New Roman"/>
                      <w:snapToGrid w:val="0"/>
                      <w:color w:val="auto"/>
                      <w:sz w:val="21"/>
                      <w:szCs w:val="21"/>
                      <w:highlight w:val="none"/>
                      <w:lang w:val="en-US"/>
                    </w:rPr>
                    <w:t>废边角料</w:t>
                  </w:r>
                </w:p>
              </w:tc>
              <w:tc>
                <w:tcPr>
                  <w:tcW w:w="455" w:type="pct"/>
                  <w:vMerge w:val="continue"/>
                  <w:vAlign w:val="center"/>
                </w:tcPr>
                <w:p w14:paraId="78988F93">
                  <w:pPr>
                    <w:adjustRightInd w:val="0"/>
                    <w:snapToGrid w:val="0"/>
                    <w:jc w:val="center"/>
                    <w:rPr>
                      <w:bCs/>
                      <w:snapToGrid w:val="0"/>
                      <w:color w:val="auto"/>
                      <w:kern w:val="0"/>
                      <w:szCs w:val="21"/>
                      <w:highlight w:val="none"/>
                    </w:rPr>
                  </w:pPr>
                </w:p>
              </w:tc>
              <w:tc>
                <w:tcPr>
                  <w:tcW w:w="603" w:type="pct"/>
                  <w:vAlign w:val="center"/>
                </w:tcPr>
                <w:p w14:paraId="53E784D4">
                  <w:pPr>
                    <w:pStyle w:val="79"/>
                    <w:spacing w:line="240" w:lineRule="auto"/>
                    <w:rPr>
                      <w:rFonts w:ascii="Times New Roman"/>
                      <w:snapToGrid w:val="0"/>
                      <w:color w:val="auto"/>
                      <w:sz w:val="21"/>
                      <w:szCs w:val="21"/>
                      <w:highlight w:val="none"/>
                    </w:rPr>
                  </w:pPr>
                  <w:r>
                    <w:rPr>
                      <w:rFonts w:ascii="Times New Roman"/>
                      <w:snapToGrid w:val="0"/>
                      <w:color w:val="auto"/>
                      <w:sz w:val="21"/>
                      <w:szCs w:val="21"/>
                      <w:highlight w:val="none"/>
                      <w:lang w:val="en-US"/>
                    </w:rPr>
                    <w:t>生产</w:t>
                  </w:r>
                </w:p>
              </w:tc>
              <w:tc>
                <w:tcPr>
                  <w:tcW w:w="707" w:type="pct"/>
                  <w:vAlign w:val="center"/>
                </w:tcPr>
                <w:p w14:paraId="67A4EAB0">
                  <w:pPr>
                    <w:adjustRightInd w:val="0"/>
                    <w:snapToGrid w:val="0"/>
                    <w:jc w:val="center"/>
                    <w:rPr>
                      <w:color w:val="auto"/>
                      <w:szCs w:val="21"/>
                      <w:highlight w:val="none"/>
                    </w:rPr>
                  </w:pPr>
                  <w:r>
                    <w:rPr>
                      <w:bCs/>
                      <w:color w:val="auto"/>
                      <w:szCs w:val="21"/>
                      <w:highlight w:val="none"/>
                    </w:rPr>
                    <w:t>其他废物</w:t>
                  </w:r>
                </w:p>
              </w:tc>
              <w:tc>
                <w:tcPr>
                  <w:tcW w:w="554" w:type="pct"/>
                  <w:vAlign w:val="center"/>
                </w:tcPr>
                <w:p w14:paraId="0FDA7A8A">
                  <w:pPr>
                    <w:adjustRightInd w:val="0"/>
                    <w:snapToGrid w:val="0"/>
                    <w:jc w:val="center"/>
                    <w:rPr>
                      <w:color w:val="auto"/>
                      <w:szCs w:val="21"/>
                      <w:highlight w:val="none"/>
                    </w:rPr>
                  </w:pPr>
                  <w:r>
                    <w:rPr>
                      <w:bCs/>
                      <w:color w:val="auto"/>
                      <w:szCs w:val="21"/>
                      <w:highlight w:val="none"/>
                    </w:rPr>
                    <w:t>99</w:t>
                  </w:r>
                </w:p>
              </w:tc>
              <w:tc>
                <w:tcPr>
                  <w:tcW w:w="461" w:type="pct"/>
                  <w:vAlign w:val="center"/>
                </w:tcPr>
                <w:p w14:paraId="3840E3D0">
                  <w:pPr>
                    <w:adjustRightInd w:val="0"/>
                    <w:snapToGrid w:val="0"/>
                    <w:jc w:val="center"/>
                    <w:rPr>
                      <w:color w:val="auto"/>
                      <w:szCs w:val="21"/>
                      <w:highlight w:val="none"/>
                    </w:rPr>
                  </w:pPr>
                  <w:r>
                    <w:rPr>
                      <w:color w:val="auto"/>
                      <w:szCs w:val="21"/>
                      <w:highlight w:val="none"/>
                    </w:rPr>
                    <w:t>0.1</w:t>
                  </w:r>
                </w:p>
              </w:tc>
              <w:tc>
                <w:tcPr>
                  <w:tcW w:w="973" w:type="pct"/>
                  <w:vAlign w:val="center"/>
                </w:tcPr>
                <w:p w14:paraId="5155E01B">
                  <w:pPr>
                    <w:adjustRightInd w:val="0"/>
                    <w:snapToGrid w:val="0"/>
                    <w:jc w:val="center"/>
                    <w:rPr>
                      <w:color w:val="auto"/>
                      <w:szCs w:val="21"/>
                      <w:highlight w:val="none"/>
                    </w:rPr>
                  </w:pPr>
                  <w:r>
                    <w:rPr>
                      <w:snapToGrid w:val="0"/>
                      <w:color w:val="auto"/>
                      <w:kern w:val="0"/>
                      <w:szCs w:val="21"/>
                      <w:highlight w:val="none"/>
                    </w:rPr>
                    <w:t>外售综合利用</w:t>
                  </w:r>
                </w:p>
              </w:tc>
            </w:tr>
            <w:tr w14:paraId="58EB7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73DB0EF5">
                  <w:pPr>
                    <w:adjustRightInd w:val="0"/>
                    <w:snapToGrid w:val="0"/>
                    <w:jc w:val="center"/>
                    <w:rPr>
                      <w:rFonts w:ascii="Times New Roman" w:hAnsi="Times New Roman" w:eastAsia="宋体" w:cs="Times New Roman"/>
                      <w:bCs/>
                      <w:snapToGrid w:val="0"/>
                      <w:color w:val="auto"/>
                      <w:kern w:val="0"/>
                      <w:sz w:val="21"/>
                      <w:szCs w:val="21"/>
                      <w:highlight w:val="none"/>
                      <w:lang w:val="en-US" w:eastAsia="zh-CN" w:bidi="ar-SA"/>
                    </w:rPr>
                  </w:pPr>
                  <w:r>
                    <w:rPr>
                      <w:rFonts w:hint="eastAsia"/>
                      <w:bCs/>
                      <w:snapToGrid w:val="0"/>
                      <w:color w:val="auto"/>
                      <w:kern w:val="0"/>
                      <w:szCs w:val="21"/>
                      <w:highlight w:val="none"/>
                    </w:rPr>
                    <w:t>12</w:t>
                  </w:r>
                </w:p>
              </w:tc>
              <w:tc>
                <w:tcPr>
                  <w:tcW w:w="941" w:type="pct"/>
                  <w:vAlign w:val="center"/>
                </w:tcPr>
                <w:p w14:paraId="081D6D4F">
                  <w:pPr>
                    <w:snapToGrid w:val="0"/>
                    <w:jc w:val="center"/>
                    <w:rPr>
                      <w:snapToGrid w:val="0"/>
                      <w:color w:val="auto"/>
                      <w:szCs w:val="21"/>
                      <w:highlight w:val="none"/>
                    </w:rPr>
                  </w:pPr>
                  <w:r>
                    <w:rPr>
                      <w:color w:val="auto"/>
                      <w:szCs w:val="21"/>
                      <w:highlight w:val="none"/>
                    </w:rPr>
                    <w:t>泥渣</w:t>
                  </w:r>
                </w:p>
              </w:tc>
              <w:tc>
                <w:tcPr>
                  <w:tcW w:w="455" w:type="pct"/>
                  <w:vAlign w:val="center"/>
                </w:tcPr>
                <w:p w14:paraId="05E191DE">
                  <w:pPr>
                    <w:snapToGrid w:val="0"/>
                    <w:jc w:val="center"/>
                    <w:rPr>
                      <w:bCs/>
                      <w:snapToGrid w:val="0"/>
                      <w:color w:val="auto"/>
                      <w:kern w:val="0"/>
                      <w:szCs w:val="21"/>
                      <w:highlight w:val="none"/>
                    </w:rPr>
                  </w:pPr>
                  <w:r>
                    <w:rPr>
                      <w:bCs/>
                      <w:snapToGrid w:val="0"/>
                      <w:color w:val="auto"/>
                      <w:kern w:val="0"/>
                      <w:szCs w:val="21"/>
                      <w:highlight w:val="none"/>
                    </w:rPr>
                    <w:t>一般工业固废</w:t>
                  </w:r>
                </w:p>
              </w:tc>
              <w:tc>
                <w:tcPr>
                  <w:tcW w:w="603" w:type="pct"/>
                  <w:vAlign w:val="center"/>
                </w:tcPr>
                <w:p w14:paraId="018F208F">
                  <w:pPr>
                    <w:pStyle w:val="79"/>
                    <w:spacing w:line="240" w:lineRule="auto"/>
                    <w:rPr>
                      <w:rFonts w:ascii="Times New Roman"/>
                      <w:snapToGrid w:val="0"/>
                      <w:color w:val="auto"/>
                      <w:sz w:val="21"/>
                      <w:szCs w:val="21"/>
                      <w:highlight w:val="none"/>
                      <w:lang w:val="en-US"/>
                    </w:rPr>
                  </w:pPr>
                  <w:r>
                    <w:rPr>
                      <w:rFonts w:ascii="Times New Roman"/>
                      <w:color w:val="auto"/>
                      <w:sz w:val="21"/>
                      <w:szCs w:val="21"/>
                      <w:highlight w:val="none"/>
                    </w:rPr>
                    <w:t>初期雨水</w:t>
                  </w:r>
                </w:p>
              </w:tc>
              <w:tc>
                <w:tcPr>
                  <w:tcW w:w="707" w:type="pct"/>
                  <w:vAlign w:val="center"/>
                </w:tcPr>
                <w:p w14:paraId="46BE98C0">
                  <w:pPr>
                    <w:adjustRightInd w:val="0"/>
                    <w:snapToGrid w:val="0"/>
                    <w:jc w:val="center"/>
                    <w:rPr>
                      <w:bCs/>
                      <w:color w:val="auto"/>
                      <w:szCs w:val="21"/>
                      <w:highlight w:val="none"/>
                    </w:rPr>
                  </w:pPr>
                  <w:r>
                    <w:rPr>
                      <w:bCs/>
                      <w:color w:val="auto"/>
                      <w:szCs w:val="21"/>
                      <w:highlight w:val="none"/>
                    </w:rPr>
                    <w:t>其他废物</w:t>
                  </w:r>
                </w:p>
              </w:tc>
              <w:tc>
                <w:tcPr>
                  <w:tcW w:w="554" w:type="pct"/>
                  <w:vAlign w:val="center"/>
                </w:tcPr>
                <w:p w14:paraId="7E584240">
                  <w:pPr>
                    <w:adjustRightInd w:val="0"/>
                    <w:snapToGrid w:val="0"/>
                    <w:jc w:val="center"/>
                    <w:rPr>
                      <w:bCs/>
                      <w:color w:val="auto"/>
                      <w:szCs w:val="21"/>
                      <w:highlight w:val="none"/>
                    </w:rPr>
                  </w:pPr>
                  <w:r>
                    <w:rPr>
                      <w:bCs/>
                      <w:color w:val="auto"/>
                      <w:szCs w:val="21"/>
                      <w:highlight w:val="none"/>
                    </w:rPr>
                    <w:t>99</w:t>
                  </w:r>
                </w:p>
              </w:tc>
              <w:tc>
                <w:tcPr>
                  <w:tcW w:w="461" w:type="pct"/>
                  <w:vAlign w:val="center"/>
                </w:tcPr>
                <w:p w14:paraId="08520471">
                  <w:pPr>
                    <w:adjustRightInd w:val="0"/>
                    <w:snapToGrid w:val="0"/>
                    <w:jc w:val="center"/>
                    <w:rPr>
                      <w:color w:val="auto"/>
                      <w:szCs w:val="21"/>
                      <w:highlight w:val="none"/>
                    </w:rPr>
                  </w:pPr>
                  <w:r>
                    <w:rPr>
                      <w:color w:val="auto"/>
                      <w:szCs w:val="21"/>
                      <w:highlight w:val="none"/>
                    </w:rPr>
                    <w:t>5</w:t>
                  </w:r>
                </w:p>
              </w:tc>
              <w:tc>
                <w:tcPr>
                  <w:tcW w:w="973" w:type="pct"/>
                  <w:vAlign w:val="center"/>
                </w:tcPr>
                <w:p w14:paraId="4C5E3F12">
                  <w:pPr>
                    <w:adjustRightInd w:val="0"/>
                    <w:snapToGrid w:val="0"/>
                    <w:jc w:val="center"/>
                    <w:rPr>
                      <w:snapToGrid w:val="0"/>
                      <w:color w:val="auto"/>
                      <w:kern w:val="0"/>
                      <w:szCs w:val="21"/>
                      <w:highlight w:val="none"/>
                    </w:rPr>
                  </w:pPr>
                  <w:r>
                    <w:rPr>
                      <w:snapToGrid w:val="0"/>
                      <w:color w:val="auto"/>
                      <w:kern w:val="0"/>
                      <w:szCs w:val="21"/>
                      <w:highlight w:val="none"/>
                    </w:rPr>
                    <w:t>环卫清运</w:t>
                  </w:r>
                </w:p>
              </w:tc>
            </w:tr>
            <w:tr w14:paraId="00A3A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1" w:type="pct"/>
                  <w:vAlign w:val="center"/>
                </w:tcPr>
                <w:p w14:paraId="6C96CE20">
                  <w:pPr>
                    <w:adjustRightInd w:val="0"/>
                    <w:snapToGrid w:val="0"/>
                    <w:jc w:val="center"/>
                    <w:rPr>
                      <w:bCs/>
                      <w:snapToGrid w:val="0"/>
                      <w:color w:val="auto"/>
                      <w:kern w:val="0"/>
                      <w:szCs w:val="21"/>
                      <w:highlight w:val="none"/>
                    </w:rPr>
                  </w:pPr>
                  <w:r>
                    <w:rPr>
                      <w:bCs/>
                      <w:snapToGrid w:val="0"/>
                      <w:color w:val="auto"/>
                      <w:kern w:val="0"/>
                      <w:szCs w:val="21"/>
                      <w:highlight w:val="none"/>
                    </w:rPr>
                    <w:t>13</w:t>
                  </w:r>
                </w:p>
              </w:tc>
              <w:tc>
                <w:tcPr>
                  <w:tcW w:w="941" w:type="pct"/>
                  <w:vAlign w:val="center"/>
                </w:tcPr>
                <w:p w14:paraId="038A19C6">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生活垃圾</w:t>
                  </w:r>
                </w:p>
              </w:tc>
              <w:tc>
                <w:tcPr>
                  <w:tcW w:w="455" w:type="pct"/>
                  <w:vAlign w:val="center"/>
                </w:tcPr>
                <w:p w14:paraId="16DF4A00">
                  <w:pPr>
                    <w:adjustRightInd w:val="0"/>
                    <w:snapToGrid w:val="0"/>
                    <w:jc w:val="center"/>
                    <w:rPr>
                      <w:bCs/>
                      <w:snapToGrid w:val="0"/>
                      <w:color w:val="auto"/>
                      <w:kern w:val="0"/>
                      <w:szCs w:val="21"/>
                      <w:highlight w:val="none"/>
                    </w:rPr>
                  </w:pPr>
                  <w:r>
                    <w:rPr>
                      <w:bCs/>
                      <w:snapToGrid w:val="0"/>
                      <w:color w:val="auto"/>
                      <w:kern w:val="0"/>
                      <w:szCs w:val="21"/>
                      <w:highlight w:val="none"/>
                    </w:rPr>
                    <w:t>一般固废</w:t>
                  </w:r>
                </w:p>
              </w:tc>
              <w:tc>
                <w:tcPr>
                  <w:tcW w:w="603" w:type="pct"/>
                  <w:vAlign w:val="center"/>
                </w:tcPr>
                <w:p w14:paraId="6831BF12">
                  <w:pPr>
                    <w:pStyle w:val="79"/>
                    <w:spacing w:line="240" w:lineRule="auto"/>
                    <w:rPr>
                      <w:rFonts w:ascii="Times New Roman"/>
                      <w:snapToGrid w:val="0"/>
                      <w:color w:val="auto"/>
                      <w:sz w:val="21"/>
                      <w:szCs w:val="21"/>
                      <w:highlight w:val="none"/>
                      <w:lang w:val="en-US"/>
                    </w:rPr>
                  </w:pPr>
                  <w:r>
                    <w:rPr>
                      <w:rFonts w:ascii="Times New Roman"/>
                      <w:snapToGrid w:val="0"/>
                      <w:color w:val="auto"/>
                      <w:sz w:val="21"/>
                      <w:szCs w:val="21"/>
                      <w:highlight w:val="none"/>
                      <w:lang w:val="en-US"/>
                    </w:rPr>
                    <w:t>员工生活</w:t>
                  </w:r>
                </w:p>
              </w:tc>
              <w:tc>
                <w:tcPr>
                  <w:tcW w:w="707" w:type="pct"/>
                  <w:vAlign w:val="center"/>
                </w:tcPr>
                <w:p w14:paraId="505DB509">
                  <w:pPr>
                    <w:adjustRightInd w:val="0"/>
                    <w:snapToGrid w:val="0"/>
                    <w:jc w:val="center"/>
                    <w:rPr>
                      <w:bCs/>
                      <w:color w:val="auto"/>
                      <w:szCs w:val="21"/>
                      <w:highlight w:val="none"/>
                    </w:rPr>
                  </w:pPr>
                  <w:r>
                    <w:rPr>
                      <w:bCs/>
                      <w:color w:val="auto"/>
                      <w:szCs w:val="21"/>
                      <w:highlight w:val="none"/>
                    </w:rPr>
                    <w:t>其他废物</w:t>
                  </w:r>
                </w:p>
              </w:tc>
              <w:tc>
                <w:tcPr>
                  <w:tcW w:w="554" w:type="pct"/>
                  <w:vAlign w:val="center"/>
                </w:tcPr>
                <w:p w14:paraId="4B7B351C">
                  <w:pPr>
                    <w:adjustRightInd w:val="0"/>
                    <w:snapToGrid w:val="0"/>
                    <w:jc w:val="center"/>
                    <w:rPr>
                      <w:bCs/>
                      <w:color w:val="auto"/>
                      <w:szCs w:val="21"/>
                      <w:highlight w:val="none"/>
                    </w:rPr>
                  </w:pPr>
                  <w:r>
                    <w:rPr>
                      <w:bCs/>
                      <w:color w:val="auto"/>
                      <w:szCs w:val="21"/>
                      <w:highlight w:val="none"/>
                    </w:rPr>
                    <w:t>99</w:t>
                  </w:r>
                </w:p>
              </w:tc>
              <w:tc>
                <w:tcPr>
                  <w:tcW w:w="461" w:type="pct"/>
                  <w:vAlign w:val="center"/>
                </w:tcPr>
                <w:p w14:paraId="4E5A4740">
                  <w:pPr>
                    <w:adjustRightInd w:val="0"/>
                    <w:snapToGrid w:val="0"/>
                    <w:jc w:val="center"/>
                    <w:rPr>
                      <w:color w:val="auto"/>
                      <w:szCs w:val="21"/>
                      <w:highlight w:val="none"/>
                    </w:rPr>
                  </w:pPr>
                  <w:r>
                    <w:rPr>
                      <w:rFonts w:hint="eastAsia"/>
                      <w:color w:val="auto"/>
                      <w:szCs w:val="21"/>
                      <w:highlight w:val="none"/>
                    </w:rPr>
                    <w:t>15</w:t>
                  </w:r>
                </w:p>
              </w:tc>
              <w:tc>
                <w:tcPr>
                  <w:tcW w:w="973" w:type="pct"/>
                  <w:vAlign w:val="center"/>
                </w:tcPr>
                <w:p w14:paraId="0A39355D">
                  <w:pPr>
                    <w:adjustRightInd w:val="0"/>
                    <w:snapToGrid w:val="0"/>
                    <w:jc w:val="center"/>
                    <w:rPr>
                      <w:snapToGrid w:val="0"/>
                      <w:color w:val="auto"/>
                      <w:kern w:val="0"/>
                      <w:szCs w:val="21"/>
                      <w:highlight w:val="none"/>
                    </w:rPr>
                  </w:pPr>
                  <w:r>
                    <w:rPr>
                      <w:snapToGrid w:val="0"/>
                      <w:color w:val="auto"/>
                      <w:kern w:val="0"/>
                      <w:szCs w:val="21"/>
                      <w:highlight w:val="none"/>
                    </w:rPr>
                    <w:t>环卫清运</w:t>
                  </w:r>
                </w:p>
              </w:tc>
            </w:tr>
          </w:tbl>
          <w:p w14:paraId="7BEE0261">
            <w:pPr>
              <w:pStyle w:val="22"/>
              <w:adjustRightInd w:val="0"/>
              <w:snapToGrid w:val="0"/>
              <w:spacing w:before="0" w:beforeAutospacing="0" w:after="0" w:afterAutospacing="0" w:line="360" w:lineRule="auto"/>
              <w:ind w:firstLine="480" w:firstLineChars="200"/>
              <w:jc w:val="both"/>
              <w:rPr>
                <w:rFonts w:ascii="Times New Roman" w:hAnsi="Times New Roman"/>
                <w:snapToGrid w:val="0"/>
                <w:color w:val="auto"/>
                <w:szCs w:val="24"/>
                <w:highlight w:val="none"/>
                <w:lang w:val="en-US"/>
              </w:rPr>
            </w:pPr>
            <w:r>
              <w:rPr>
                <w:rFonts w:ascii="Times New Roman"/>
                <w:snapToGrid w:val="0"/>
                <w:color w:val="auto"/>
                <w:szCs w:val="24"/>
                <w:highlight w:val="none"/>
                <w:lang w:val="en-US"/>
              </w:rPr>
              <w:t>从项目采用的固废利用及处置方式来分析，对产生的各类固废按其性质分类分区收集和暂存，并均能得到有效利用或妥善处置。在严格管理下，本项目的固体废物对周围环境不会产生二次污染</w:t>
            </w:r>
            <w:bookmarkEnd w:id="16"/>
            <w:r>
              <w:rPr>
                <w:rFonts w:ascii="Times New Roman"/>
                <w:snapToGrid w:val="0"/>
                <w:color w:val="auto"/>
                <w:szCs w:val="24"/>
                <w:highlight w:val="none"/>
                <w:lang w:val="en-US"/>
              </w:rPr>
              <w:t>。</w:t>
            </w:r>
          </w:p>
          <w:p w14:paraId="14D80942">
            <w:pPr>
              <w:topLinePunct/>
              <w:adjustRightInd w:val="0"/>
              <w:snapToGrid w:val="0"/>
              <w:spacing w:line="360" w:lineRule="auto"/>
              <w:ind w:firstLine="482" w:firstLineChars="200"/>
              <w:outlineLvl w:val="2"/>
              <w:rPr>
                <w:b/>
                <w:snapToGrid w:val="0"/>
                <w:color w:val="auto"/>
                <w:kern w:val="0"/>
                <w:sz w:val="24"/>
                <w:highlight w:val="none"/>
              </w:rPr>
            </w:pPr>
            <w:r>
              <w:rPr>
                <w:rFonts w:hAnsi="宋体"/>
                <w:b/>
                <w:bCs/>
                <w:color w:val="auto"/>
                <w:kern w:val="0"/>
                <w:sz w:val="24"/>
                <w:highlight w:val="none"/>
              </w:rPr>
              <w:t>（</w:t>
            </w:r>
            <w:r>
              <w:rPr>
                <w:b/>
                <w:bCs/>
                <w:color w:val="auto"/>
                <w:kern w:val="0"/>
                <w:sz w:val="24"/>
                <w:highlight w:val="none"/>
              </w:rPr>
              <w:t>3</w:t>
            </w:r>
            <w:r>
              <w:rPr>
                <w:rFonts w:hAnsi="宋体"/>
                <w:b/>
                <w:bCs/>
                <w:color w:val="auto"/>
                <w:kern w:val="0"/>
                <w:sz w:val="24"/>
                <w:highlight w:val="none"/>
              </w:rPr>
              <w:t>）</w:t>
            </w:r>
            <w:bookmarkStart w:id="17" w:name="_Hlk28855071"/>
            <w:r>
              <w:rPr>
                <w:rFonts w:hAnsi="宋体"/>
                <w:b/>
                <w:snapToGrid w:val="0"/>
                <w:color w:val="auto"/>
                <w:kern w:val="0"/>
                <w:sz w:val="24"/>
                <w:highlight w:val="none"/>
              </w:rPr>
              <w:t>固废环境影响分析</w:t>
            </w:r>
            <w:bookmarkEnd w:id="17"/>
          </w:p>
          <w:p w14:paraId="503A158C">
            <w:pPr>
              <w:adjustRightInd w:val="0"/>
              <w:snapToGrid w:val="0"/>
              <w:spacing w:line="360" w:lineRule="auto"/>
              <w:ind w:firstLine="480" w:firstLineChars="200"/>
              <w:rPr>
                <w:color w:val="auto"/>
                <w:sz w:val="24"/>
                <w:highlight w:val="none"/>
              </w:rPr>
            </w:pPr>
            <w:r>
              <w:rPr>
                <w:color w:val="auto"/>
                <w:sz w:val="24"/>
                <w:highlight w:val="none"/>
              </w:rPr>
              <w:t>按照《环境保护图形标志-固体废物贮存（处置）场》（GB155622-1995）及</w:t>
            </w:r>
            <w:r>
              <w:rPr>
                <w:color w:val="auto"/>
                <w:kern w:val="0"/>
                <w:sz w:val="24"/>
                <w:highlight w:val="none"/>
              </w:rPr>
              <w:t>《关于进一步加强危险废物污染防治工作的实施意见》（苏环办[2019]327号）要求</w:t>
            </w:r>
            <w:r>
              <w:rPr>
                <w:color w:val="auto"/>
                <w:sz w:val="24"/>
                <w:highlight w:val="none"/>
              </w:rPr>
              <w:t>设置危险废物标识，具体要求见表</w:t>
            </w:r>
            <w:r>
              <w:rPr>
                <w:rFonts w:hint="eastAsia"/>
                <w:color w:val="auto"/>
                <w:sz w:val="24"/>
                <w:highlight w:val="none"/>
              </w:rPr>
              <w:t>4</w:t>
            </w:r>
            <w:r>
              <w:rPr>
                <w:color w:val="auto"/>
                <w:sz w:val="24"/>
                <w:highlight w:val="none"/>
              </w:rPr>
              <w:t>-</w:t>
            </w:r>
            <w:r>
              <w:rPr>
                <w:rFonts w:hint="eastAsia"/>
                <w:color w:val="auto"/>
                <w:sz w:val="24"/>
                <w:highlight w:val="none"/>
              </w:rPr>
              <w:t>2</w:t>
            </w:r>
            <w:r>
              <w:rPr>
                <w:rFonts w:hint="default"/>
                <w:color w:val="auto"/>
                <w:sz w:val="24"/>
                <w:highlight w:val="none"/>
              </w:rPr>
              <w:t>5</w:t>
            </w:r>
            <w:r>
              <w:rPr>
                <w:color w:val="auto"/>
                <w:sz w:val="24"/>
                <w:highlight w:val="none"/>
              </w:rPr>
              <w:t>。</w:t>
            </w:r>
          </w:p>
          <w:p w14:paraId="657EE0FB">
            <w:pPr>
              <w:tabs>
                <w:tab w:val="center" w:pos="4533"/>
                <w:tab w:val="left" w:pos="7743"/>
              </w:tabs>
              <w:adjustRightInd w:val="0"/>
              <w:snapToGrid w:val="0"/>
              <w:jc w:val="center"/>
              <w:rPr>
                <w:b/>
                <w:bCs/>
                <w:color w:val="auto"/>
                <w:sz w:val="24"/>
                <w:highlight w:val="none"/>
              </w:rPr>
            </w:pPr>
          </w:p>
          <w:p w14:paraId="08D16C09">
            <w:pPr>
              <w:tabs>
                <w:tab w:val="center" w:pos="4533"/>
                <w:tab w:val="left" w:pos="7743"/>
              </w:tabs>
              <w:adjustRightInd w:val="0"/>
              <w:snapToGrid w:val="0"/>
              <w:jc w:val="center"/>
              <w:rPr>
                <w:b/>
                <w:bCs/>
                <w:color w:val="auto"/>
                <w:sz w:val="24"/>
                <w:highlight w:val="none"/>
              </w:rPr>
            </w:pPr>
          </w:p>
          <w:p w14:paraId="6A4D0618">
            <w:pPr>
              <w:tabs>
                <w:tab w:val="center" w:pos="4533"/>
                <w:tab w:val="left" w:pos="7743"/>
              </w:tabs>
              <w:adjustRightInd w:val="0"/>
              <w:snapToGrid w:val="0"/>
              <w:jc w:val="center"/>
              <w:rPr>
                <w:b/>
                <w:bCs/>
                <w:color w:val="auto"/>
                <w:sz w:val="24"/>
                <w:highlight w:val="none"/>
              </w:rPr>
            </w:pPr>
          </w:p>
          <w:p w14:paraId="18EE0794">
            <w:pPr>
              <w:tabs>
                <w:tab w:val="center" w:pos="4533"/>
                <w:tab w:val="left" w:pos="7743"/>
              </w:tabs>
              <w:adjustRightInd w:val="0"/>
              <w:snapToGrid w:val="0"/>
              <w:jc w:val="center"/>
              <w:rPr>
                <w:b/>
                <w:bCs/>
                <w:color w:val="auto"/>
                <w:sz w:val="24"/>
                <w:highlight w:val="none"/>
              </w:rPr>
            </w:pPr>
          </w:p>
          <w:p w14:paraId="6105CACC">
            <w:pPr>
              <w:tabs>
                <w:tab w:val="center" w:pos="4533"/>
                <w:tab w:val="left" w:pos="7743"/>
              </w:tabs>
              <w:adjustRightInd w:val="0"/>
              <w:snapToGrid w:val="0"/>
              <w:jc w:val="center"/>
              <w:rPr>
                <w:b/>
                <w:bCs/>
                <w:color w:val="auto"/>
                <w:sz w:val="24"/>
                <w:highlight w:val="none"/>
              </w:rPr>
            </w:pPr>
          </w:p>
          <w:p w14:paraId="21BC27DE">
            <w:pPr>
              <w:tabs>
                <w:tab w:val="center" w:pos="4533"/>
                <w:tab w:val="left" w:pos="7743"/>
              </w:tabs>
              <w:adjustRightInd w:val="0"/>
              <w:snapToGrid w:val="0"/>
              <w:jc w:val="center"/>
              <w:rPr>
                <w:b/>
                <w:bCs/>
                <w:color w:val="auto"/>
                <w:sz w:val="24"/>
                <w:highlight w:val="none"/>
              </w:rPr>
            </w:pPr>
            <w:r>
              <w:rPr>
                <w:b/>
                <w:bCs/>
                <w:color w:val="auto"/>
                <w:sz w:val="24"/>
                <w:highlight w:val="none"/>
              </w:rPr>
              <w:t>表</w:t>
            </w:r>
            <w:r>
              <w:rPr>
                <w:rFonts w:hint="eastAsia"/>
                <w:b/>
                <w:bCs/>
                <w:color w:val="auto"/>
                <w:sz w:val="24"/>
                <w:highlight w:val="none"/>
              </w:rPr>
              <w:t>4</w:t>
            </w:r>
            <w:r>
              <w:rPr>
                <w:b/>
                <w:bCs/>
                <w:color w:val="auto"/>
                <w:sz w:val="24"/>
                <w:highlight w:val="none"/>
              </w:rPr>
              <w:t>-</w:t>
            </w:r>
            <w:r>
              <w:rPr>
                <w:rFonts w:hint="eastAsia"/>
                <w:b/>
                <w:color w:val="auto"/>
                <w:kern w:val="0"/>
                <w:sz w:val="24"/>
                <w:highlight w:val="none"/>
              </w:rPr>
              <w:t>2</w:t>
            </w:r>
            <w:r>
              <w:rPr>
                <w:rFonts w:hint="default"/>
                <w:b/>
                <w:color w:val="auto"/>
                <w:kern w:val="0"/>
                <w:sz w:val="24"/>
                <w:highlight w:val="none"/>
              </w:rPr>
              <w:t>5</w:t>
            </w:r>
            <w:r>
              <w:rPr>
                <w:b/>
                <w:color w:val="auto"/>
                <w:kern w:val="0"/>
                <w:sz w:val="24"/>
                <w:highlight w:val="none"/>
              </w:rPr>
              <w:t xml:space="preserve"> </w:t>
            </w:r>
            <w:r>
              <w:rPr>
                <w:b/>
                <w:bCs/>
                <w:color w:val="auto"/>
                <w:sz w:val="24"/>
                <w:highlight w:val="none"/>
              </w:rPr>
              <w:t xml:space="preserve"> 固体废物堆放场环境保护图形标志</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98"/>
              <w:gridCol w:w="1881"/>
              <w:gridCol w:w="1342"/>
              <w:gridCol w:w="1344"/>
              <w:gridCol w:w="1491"/>
              <w:gridCol w:w="2201"/>
            </w:tblGrid>
            <w:tr w14:paraId="03FF0D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exact"/>
                <w:jc w:val="center"/>
              </w:trPr>
              <w:tc>
                <w:tcPr>
                  <w:tcW w:w="974" w:type="pct"/>
                  <w:vAlign w:val="center"/>
                </w:tcPr>
                <w:p w14:paraId="77460DBE">
                  <w:pPr>
                    <w:pStyle w:val="67"/>
                    <w:snapToGrid w:val="0"/>
                    <w:jc w:val="center"/>
                    <w:rPr>
                      <w:rFonts w:ascii="Times New Roman" w:cs="楷体_GB2312"/>
                      <w:b/>
                      <w:bCs/>
                      <w:color w:val="auto"/>
                      <w:kern w:val="2"/>
                      <w:sz w:val="21"/>
                      <w:szCs w:val="21"/>
                      <w:highlight w:val="none"/>
                    </w:rPr>
                  </w:pPr>
                  <w:r>
                    <w:rPr>
                      <w:rFonts w:ascii="Times New Roman" w:cs="楷体_GB2312"/>
                      <w:b/>
                      <w:bCs/>
                      <w:color w:val="auto"/>
                      <w:kern w:val="2"/>
                      <w:sz w:val="21"/>
                      <w:szCs w:val="21"/>
                      <w:highlight w:val="none"/>
                    </w:rPr>
                    <w:t>排放口名称</w:t>
                  </w:r>
                </w:p>
              </w:tc>
              <w:tc>
                <w:tcPr>
                  <w:tcW w:w="917" w:type="pct"/>
                  <w:vAlign w:val="center"/>
                </w:tcPr>
                <w:p w14:paraId="34D3A6F5">
                  <w:pPr>
                    <w:pStyle w:val="67"/>
                    <w:snapToGrid w:val="0"/>
                    <w:jc w:val="center"/>
                    <w:rPr>
                      <w:rFonts w:ascii="Times New Roman" w:cs="楷体_GB2312"/>
                      <w:b/>
                      <w:bCs/>
                      <w:color w:val="auto"/>
                      <w:kern w:val="2"/>
                      <w:sz w:val="21"/>
                      <w:szCs w:val="21"/>
                      <w:highlight w:val="none"/>
                    </w:rPr>
                  </w:pPr>
                  <w:r>
                    <w:rPr>
                      <w:rFonts w:ascii="Times New Roman" w:cs="楷体_GB2312"/>
                      <w:b/>
                      <w:bCs/>
                      <w:color w:val="auto"/>
                      <w:kern w:val="2"/>
                      <w:sz w:val="21"/>
                      <w:szCs w:val="21"/>
                      <w:highlight w:val="none"/>
                    </w:rPr>
                    <w:t>图形标志</w:t>
                  </w:r>
                </w:p>
              </w:tc>
              <w:tc>
                <w:tcPr>
                  <w:tcW w:w="654" w:type="pct"/>
                  <w:vAlign w:val="center"/>
                </w:tcPr>
                <w:p w14:paraId="24158F3E">
                  <w:pPr>
                    <w:pStyle w:val="67"/>
                    <w:snapToGrid w:val="0"/>
                    <w:jc w:val="center"/>
                    <w:rPr>
                      <w:rFonts w:ascii="Times New Roman" w:cs="楷体_GB2312"/>
                      <w:b/>
                      <w:bCs/>
                      <w:color w:val="auto"/>
                      <w:kern w:val="2"/>
                      <w:sz w:val="21"/>
                      <w:szCs w:val="21"/>
                      <w:highlight w:val="none"/>
                    </w:rPr>
                  </w:pPr>
                  <w:r>
                    <w:rPr>
                      <w:rFonts w:ascii="Times New Roman" w:cs="楷体_GB2312"/>
                      <w:b/>
                      <w:bCs/>
                      <w:color w:val="auto"/>
                      <w:kern w:val="2"/>
                      <w:sz w:val="21"/>
                      <w:szCs w:val="21"/>
                      <w:highlight w:val="none"/>
                    </w:rPr>
                    <w:t>形状</w:t>
                  </w:r>
                </w:p>
              </w:tc>
              <w:tc>
                <w:tcPr>
                  <w:tcW w:w="655" w:type="pct"/>
                  <w:vAlign w:val="center"/>
                </w:tcPr>
                <w:p w14:paraId="5ED76F68">
                  <w:pPr>
                    <w:pStyle w:val="67"/>
                    <w:snapToGrid w:val="0"/>
                    <w:jc w:val="center"/>
                    <w:rPr>
                      <w:rFonts w:ascii="Times New Roman" w:cs="楷体_GB2312"/>
                      <w:b/>
                      <w:bCs/>
                      <w:color w:val="auto"/>
                      <w:kern w:val="2"/>
                      <w:sz w:val="21"/>
                      <w:szCs w:val="21"/>
                      <w:highlight w:val="none"/>
                    </w:rPr>
                  </w:pPr>
                  <w:r>
                    <w:rPr>
                      <w:rFonts w:ascii="Times New Roman" w:cs="楷体_GB2312"/>
                      <w:b/>
                      <w:bCs/>
                      <w:color w:val="auto"/>
                      <w:kern w:val="2"/>
                      <w:sz w:val="21"/>
                      <w:szCs w:val="21"/>
                      <w:highlight w:val="none"/>
                    </w:rPr>
                    <w:t>背景颜色</w:t>
                  </w:r>
                </w:p>
              </w:tc>
              <w:tc>
                <w:tcPr>
                  <w:tcW w:w="727" w:type="pct"/>
                  <w:vAlign w:val="center"/>
                </w:tcPr>
                <w:p w14:paraId="033B307F">
                  <w:pPr>
                    <w:pStyle w:val="67"/>
                    <w:snapToGrid w:val="0"/>
                    <w:jc w:val="center"/>
                    <w:rPr>
                      <w:rFonts w:ascii="Times New Roman" w:cs="楷体_GB2312"/>
                      <w:b/>
                      <w:bCs/>
                      <w:color w:val="auto"/>
                      <w:kern w:val="2"/>
                      <w:sz w:val="21"/>
                      <w:szCs w:val="21"/>
                      <w:highlight w:val="none"/>
                    </w:rPr>
                  </w:pPr>
                  <w:r>
                    <w:rPr>
                      <w:rFonts w:ascii="Times New Roman" w:cs="楷体_GB2312"/>
                      <w:b/>
                      <w:bCs/>
                      <w:color w:val="auto"/>
                      <w:kern w:val="2"/>
                      <w:sz w:val="21"/>
                      <w:szCs w:val="21"/>
                      <w:highlight w:val="none"/>
                    </w:rPr>
                    <w:t>图形颜色</w:t>
                  </w:r>
                </w:p>
              </w:tc>
              <w:tc>
                <w:tcPr>
                  <w:tcW w:w="1073" w:type="pct"/>
                  <w:vAlign w:val="center"/>
                </w:tcPr>
                <w:p w14:paraId="0E81E70C">
                  <w:pPr>
                    <w:pStyle w:val="67"/>
                    <w:snapToGrid w:val="0"/>
                    <w:jc w:val="center"/>
                    <w:rPr>
                      <w:rFonts w:ascii="Times New Roman" w:cs="楷体_GB2312"/>
                      <w:b/>
                      <w:bCs/>
                      <w:color w:val="auto"/>
                      <w:kern w:val="2"/>
                      <w:sz w:val="21"/>
                      <w:szCs w:val="21"/>
                      <w:highlight w:val="none"/>
                    </w:rPr>
                  </w:pPr>
                  <w:r>
                    <w:rPr>
                      <w:rFonts w:ascii="Times New Roman" w:cs="楷体_GB2312"/>
                      <w:b/>
                      <w:bCs/>
                      <w:color w:val="auto"/>
                      <w:kern w:val="2"/>
                      <w:sz w:val="21"/>
                      <w:szCs w:val="21"/>
                      <w:highlight w:val="none"/>
                    </w:rPr>
                    <w:t>提示图形符号</w:t>
                  </w:r>
                </w:p>
              </w:tc>
            </w:tr>
            <w:tr w14:paraId="09C47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4" w:hRule="exact"/>
                <w:jc w:val="center"/>
              </w:trPr>
              <w:tc>
                <w:tcPr>
                  <w:tcW w:w="974" w:type="pct"/>
                  <w:vAlign w:val="center"/>
                </w:tcPr>
                <w:p w14:paraId="079F77DC">
                  <w:pPr>
                    <w:adjustRightInd w:val="0"/>
                    <w:snapToGrid w:val="0"/>
                    <w:jc w:val="center"/>
                    <w:rPr>
                      <w:color w:val="auto"/>
                      <w:szCs w:val="21"/>
                      <w:highlight w:val="none"/>
                    </w:rPr>
                  </w:pPr>
                  <w:r>
                    <w:rPr>
                      <w:color w:val="auto"/>
                      <w:szCs w:val="21"/>
                      <w:highlight w:val="none"/>
                    </w:rPr>
                    <w:t>一般固废暂存场所</w:t>
                  </w:r>
                </w:p>
              </w:tc>
              <w:tc>
                <w:tcPr>
                  <w:tcW w:w="917" w:type="pct"/>
                  <w:vAlign w:val="center"/>
                </w:tcPr>
                <w:p w14:paraId="0B58AA60">
                  <w:pPr>
                    <w:adjustRightInd w:val="0"/>
                    <w:snapToGrid w:val="0"/>
                    <w:jc w:val="center"/>
                    <w:rPr>
                      <w:color w:val="auto"/>
                      <w:szCs w:val="21"/>
                      <w:highlight w:val="none"/>
                    </w:rPr>
                  </w:pPr>
                  <w:r>
                    <w:rPr>
                      <w:color w:val="auto"/>
                      <w:szCs w:val="21"/>
                      <w:highlight w:val="none"/>
                    </w:rPr>
                    <w:t>提示标志</w:t>
                  </w:r>
                </w:p>
              </w:tc>
              <w:tc>
                <w:tcPr>
                  <w:tcW w:w="654" w:type="pct"/>
                  <w:vAlign w:val="center"/>
                </w:tcPr>
                <w:p w14:paraId="477F5FD4">
                  <w:pPr>
                    <w:adjustRightInd w:val="0"/>
                    <w:snapToGrid w:val="0"/>
                    <w:jc w:val="center"/>
                    <w:rPr>
                      <w:color w:val="auto"/>
                      <w:szCs w:val="21"/>
                      <w:highlight w:val="none"/>
                    </w:rPr>
                  </w:pPr>
                  <w:r>
                    <w:rPr>
                      <w:color w:val="auto"/>
                      <w:szCs w:val="21"/>
                      <w:highlight w:val="none"/>
                    </w:rPr>
                    <w:t>正方形边框</w:t>
                  </w:r>
                </w:p>
              </w:tc>
              <w:tc>
                <w:tcPr>
                  <w:tcW w:w="655" w:type="pct"/>
                  <w:vAlign w:val="center"/>
                </w:tcPr>
                <w:p w14:paraId="58A70E31">
                  <w:pPr>
                    <w:adjustRightInd w:val="0"/>
                    <w:snapToGrid w:val="0"/>
                    <w:jc w:val="center"/>
                    <w:rPr>
                      <w:color w:val="auto"/>
                      <w:szCs w:val="21"/>
                      <w:highlight w:val="none"/>
                    </w:rPr>
                  </w:pPr>
                  <w:r>
                    <w:rPr>
                      <w:color w:val="auto"/>
                      <w:szCs w:val="21"/>
                      <w:highlight w:val="none"/>
                    </w:rPr>
                    <w:t>绿色</w:t>
                  </w:r>
                </w:p>
              </w:tc>
              <w:tc>
                <w:tcPr>
                  <w:tcW w:w="727" w:type="pct"/>
                  <w:vAlign w:val="center"/>
                </w:tcPr>
                <w:p w14:paraId="375D6E77">
                  <w:pPr>
                    <w:adjustRightInd w:val="0"/>
                    <w:snapToGrid w:val="0"/>
                    <w:jc w:val="center"/>
                    <w:rPr>
                      <w:color w:val="auto"/>
                      <w:szCs w:val="21"/>
                      <w:highlight w:val="none"/>
                    </w:rPr>
                  </w:pPr>
                  <w:r>
                    <w:rPr>
                      <w:color w:val="auto"/>
                      <w:szCs w:val="21"/>
                      <w:highlight w:val="none"/>
                    </w:rPr>
                    <w:t>白色</w:t>
                  </w:r>
                </w:p>
              </w:tc>
              <w:tc>
                <w:tcPr>
                  <w:tcW w:w="1073" w:type="pct"/>
                  <w:vAlign w:val="center"/>
                </w:tcPr>
                <w:p w14:paraId="7F479E35">
                  <w:pPr>
                    <w:adjustRightInd w:val="0"/>
                    <w:snapToGrid w:val="0"/>
                    <w:jc w:val="center"/>
                    <w:rPr>
                      <w:color w:val="auto"/>
                      <w:szCs w:val="21"/>
                      <w:highlight w:val="none"/>
                    </w:rPr>
                  </w:pPr>
                  <w:r>
                    <w:rPr>
                      <w:color w:val="auto"/>
                      <w:szCs w:val="21"/>
                      <w:highlight w:val="none"/>
                    </w:rPr>
                    <w:drawing>
                      <wp:inline distT="0" distB="0" distL="0" distR="0">
                        <wp:extent cx="914400" cy="571500"/>
                        <wp:effectExtent l="0" t="0" r="0" b="7620"/>
                        <wp:docPr id="1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14400" cy="571500"/>
                                </a:xfrm>
                                <a:prstGeom prst="rect">
                                  <a:avLst/>
                                </a:prstGeom>
                                <a:noFill/>
                                <a:ln>
                                  <a:noFill/>
                                </a:ln>
                              </pic:spPr>
                            </pic:pic>
                          </a:graphicData>
                        </a:graphic>
                      </wp:inline>
                    </w:drawing>
                  </w:r>
                </w:p>
              </w:tc>
            </w:tr>
            <w:tr w14:paraId="008A1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89" w:hRule="exact"/>
                <w:jc w:val="center"/>
              </w:trPr>
              <w:tc>
                <w:tcPr>
                  <w:tcW w:w="974" w:type="pct"/>
                  <w:vAlign w:val="center"/>
                </w:tcPr>
                <w:p w14:paraId="128029AD">
                  <w:pPr>
                    <w:adjustRightInd w:val="0"/>
                    <w:snapToGrid w:val="0"/>
                    <w:jc w:val="center"/>
                    <w:rPr>
                      <w:color w:val="auto"/>
                      <w:szCs w:val="21"/>
                      <w:highlight w:val="none"/>
                    </w:rPr>
                  </w:pPr>
                  <w:r>
                    <w:rPr>
                      <w:color w:val="auto"/>
                      <w:szCs w:val="21"/>
                      <w:highlight w:val="none"/>
                    </w:rPr>
                    <w:t>厂区门口</w:t>
                  </w:r>
                </w:p>
              </w:tc>
              <w:tc>
                <w:tcPr>
                  <w:tcW w:w="917" w:type="pct"/>
                  <w:vAlign w:val="center"/>
                </w:tcPr>
                <w:p w14:paraId="22DAB578">
                  <w:pPr>
                    <w:adjustRightInd w:val="0"/>
                    <w:snapToGrid w:val="0"/>
                    <w:jc w:val="center"/>
                    <w:rPr>
                      <w:color w:val="auto"/>
                      <w:szCs w:val="21"/>
                      <w:highlight w:val="none"/>
                    </w:rPr>
                  </w:pPr>
                  <w:r>
                    <w:rPr>
                      <w:color w:val="auto"/>
                      <w:szCs w:val="21"/>
                      <w:highlight w:val="none"/>
                    </w:rPr>
                    <w:t>提示标志</w:t>
                  </w:r>
                </w:p>
              </w:tc>
              <w:tc>
                <w:tcPr>
                  <w:tcW w:w="654" w:type="pct"/>
                  <w:vAlign w:val="center"/>
                </w:tcPr>
                <w:p w14:paraId="12091E9E">
                  <w:pPr>
                    <w:adjustRightInd w:val="0"/>
                    <w:snapToGrid w:val="0"/>
                    <w:jc w:val="center"/>
                    <w:rPr>
                      <w:color w:val="auto"/>
                      <w:szCs w:val="21"/>
                      <w:highlight w:val="none"/>
                    </w:rPr>
                  </w:pPr>
                  <w:r>
                    <w:rPr>
                      <w:color w:val="auto"/>
                      <w:szCs w:val="21"/>
                      <w:highlight w:val="none"/>
                    </w:rPr>
                    <w:t>正方形边框</w:t>
                  </w:r>
                </w:p>
              </w:tc>
              <w:tc>
                <w:tcPr>
                  <w:tcW w:w="655" w:type="pct"/>
                  <w:vAlign w:val="center"/>
                </w:tcPr>
                <w:p w14:paraId="76EC7625">
                  <w:pPr>
                    <w:adjustRightInd w:val="0"/>
                    <w:snapToGrid w:val="0"/>
                    <w:jc w:val="center"/>
                    <w:rPr>
                      <w:color w:val="auto"/>
                      <w:szCs w:val="21"/>
                      <w:highlight w:val="none"/>
                    </w:rPr>
                  </w:pPr>
                  <w:r>
                    <w:rPr>
                      <w:color w:val="auto"/>
                      <w:szCs w:val="21"/>
                      <w:highlight w:val="none"/>
                    </w:rPr>
                    <w:t>蓝色</w:t>
                  </w:r>
                </w:p>
              </w:tc>
              <w:tc>
                <w:tcPr>
                  <w:tcW w:w="727" w:type="pct"/>
                  <w:vAlign w:val="center"/>
                </w:tcPr>
                <w:p w14:paraId="0E142C40">
                  <w:pPr>
                    <w:adjustRightInd w:val="0"/>
                    <w:snapToGrid w:val="0"/>
                    <w:jc w:val="center"/>
                    <w:rPr>
                      <w:color w:val="auto"/>
                      <w:szCs w:val="21"/>
                      <w:highlight w:val="none"/>
                    </w:rPr>
                  </w:pPr>
                  <w:r>
                    <w:rPr>
                      <w:color w:val="auto"/>
                      <w:szCs w:val="21"/>
                      <w:highlight w:val="none"/>
                    </w:rPr>
                    <w:t>白色</w:t>
                  </w:r>
                </w:p>
              </w:tc>
              <w:tc>
                <w:tcPr>
                  <w:tcW w:w="1073" w:type="pct"/>
                  <w:vAlign w:val="center"/>
                </w:tcPr>
                <w:p w14:paraId="545DD5C7">
                  <w:pPr>
                    <w:adjustRightInd w:val="0"/>
                    <w:snapToGrid w:val="0"/>
                    <w:jc w:val="center"/>
                    <w:rPr>
                      <w:color w:val="auto"/>
                      <w:szCs w:val="21"/>
                      <w:highlight w:val="none"/>
                    </w:rPr>
                  </w:pPr>
                  <w:r>
                    <w:rPr>
                      <w:color w:val="auto"/>
                      <w:szCs w:val="21"/>
                      <w:highlight w:val="none"/>
                    </w:rPr>
                    <w:drawing>
                      <wp:inline distT="0" distB="0" distL="0" distR="0">
                        <wp:extent cx="853440" cy="563880"/>
                        <wp:effectExtent l="0" t="0" r="0" b="0"/>
                        <wp:docPr id="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53440" cy="563880"/>
                                </a:xfrm>
                                <a:prstGeom prst="rect">
                                  <a:avLst/>
                                </a:prstGeom>
                                <a:noFill/>
                                <a:ln>
                                  <a:noFill/>
                                </a:ln>
                              </pic:spPr>
                            </pic:pic>
                          </a:graphicData>
                        </a:graphic>
                      </wp:inline>
                    </w:drawing>
                  </w:r>
                </w:p>
              </w:tc>
            </w:tr>
            <w:tr w14:paraId="65BC41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1" w:hRule="exact"/>
                <w:jc w:val="center"/>
              </w:trPr>
              <w:tc>
                <w:tcPr>
                  <w:tcW w:w="974" w:type="pct"/>
                  <w:vMerge w:val="restart"/>
                  <w:vAlign w:val="center"/>
                </w:tcPr>
                <w:p w14:paraId="199344FC">
                  <w:pPr>
                    <w:adjustRightInd w:val="0"/>
                    <w:snapToGrid w:val="0"/>
                    <w:jc w:val="center"/>
                    <w:rPr>
                      <w:color w:val="auto"/>
                      <w:szCs w:val="21"/>
                      <w:highlight w:val="none"/>
                    </w:rPr>
                  </w:pPr>
                  <w:r>
                    <w:rPr>
                      <w:color w:val="auto"/>
                      <w:szCs w:val="21"/>
                      <w:highlight w:val="none"/>
                    </w:rPr>
                    <w:t>危险废物暂存场所</w:t>
                  </w:r>
                </w:p>
              </w:tc>
              <w:tc>
                <w:tcPr>
                  <w:tcW w:w="917" w:type="pct"/>
                  <w:vAlign w:val="center"/>
                </w:tcPr>
                <w:p w14:paraId="684919DD">
                  <w:pPr>
                    <w:adjustRightInd w:val="0"/>
                    <w:snapToGrid w:val="0"/>
                    <w:jc w:val="center"/>
                    <w:rPr>
                      <w:color w:val="auto"/>
                      <w:szCs w:val="21"/>
                      <w:highlight w:val="none"/>
                    </w:rPr>
                  </w:pPr>
                  <w:r>
                    <w:rPr>
                      <w:color w:val="auto"/>
                      <w:szCs w:val="21"/>
                      <w:highlight w:val="none"/>
                    </w:rPr>
                    <w:t>警告标示</w:t>
                  </w:r>
                </w:p>
              </w:tc>
              <w:tc>
                <w:tcPr>
                  <w:tcW w:w="654" w:type="pct"/>
                  <w:vAlign w:val="center"/>
                </w:tcPr>
                <w:p w14:paraId="1A5D734F">
                  <w:pPr>
                    <w:adjustRightInd w:val="0"/>
                    <w:snapToGrid w:val="0"/>
                    <w:jc w:val="center"/>
                    <w:rPr>
                      <w:color w:val="auto"/>
                      <w:szCs w:val="21"/>
                      <w:highlight w:val="none"/>
                    </w:rPr>
                  </w:pPr>
                  <w:r>
                    <w:rPr>
                      <w:color w:val="auto"/>
                      <w:szCs w:val="21"/>
                      <w:highlight w:val="none"/>
                    </w:rPr>
                    <w:t>长方形边框</w:t>
                  </w:r>
                </w:p>
              </w:tc>
              <w:tc>
                <w:tcPr>
                  <w:tcW w:w="655" w:type="pct"/>
                  <w:vAlign w:val="center"/>
                </w:tcPr>
                <w:p w14:paraId="1F2FFD47">
                  <w:pPr>
                    <w:adjustRightInd w:val="0"/>
                    <w:snapToGrid w:val="0"/>
                    <w:jc w:val="center"/>
                    <w:rPr>
                      <w:color w:val="auto"/>
                      <w:szCs w:val="21"/>
                      <w:highlight w:val="none"/>
                    </w:rPr>
                  </w:pPr>
                  <w:r>
                    <w:rPr>
                      <w:color w:val="auto"/>
                      <w:szCs w:val="21"/>
                      <w:highlight w:val="none"/>
                    </w:rPr>
                    <w:t>黄色</w:t>
                  </w:r>
                </w:p>
              </w:tc>
              <w:tc>
                <w:tcPr>
                  <w:tcW w:w="727" w:type="pct"/>
                  <w:vAlign w:val="center"/>
                </w:tcPr>
                <w:p w14:paraId="6F624F8A">
                  <w:pPr>
                    <w:adjustRightInd w:val="0"/>
                    <w:snapToGrid w:val="0"/>
                    <w:jc w:val="center"/>
                    <w:rPr>
                      <w:color w:val="auto"/>
                      <w:szCs w:val="21"/>
                      <w:highlight w:val="none"/>
                    </w:rPr>
                  </w:pPr>
                  <w:r>
                    <w:rPr>
                      <w:color w:val="auto"/>
                      <w:szCs w:val="21"/>
                      <w:highlight w:val="none"/>
                    </w:rPr>
                    <w:t>黑色</w:t>
                  </w:r>
                </w:p>
              </w:tc>
              <w:tc>
                <w:tcPr>
                  <w:tcW w:w="1073" w:type="pct"/>
                  <w:vAlign w:val="center"/>
                </w:tcPr>
                <w:p w14:paraId="40858570">
                  <w:pPr>
                    <w:adjustRightInd w:val="0"/>
                    <w:snapToGrid w:val="0"/>
                    <w:jc w:val="center"/>
                    <w:rPr>
                      <w:color w:val="auto"/>
                      <w:szCs w:val="21"/>
                      <w:highlight w:val="none"/>
                    </w:rPr>
                  </w:pPr>
                  <w:r>
                    <w:rPr>
                      <w:color w:val="auto"/>
                      <w:szCs w:val="21"/>
                      <w:highlight w:val="none"/>
                    </w:rPr>
                    <w:drawing>
                      <wp:inline distT="0" distB="0" distL="0" distR="0">
                        <wp:extent cx="563880" cy="662940"/>
                        <wp:effectExtent l="0" t="0" r="0" b="7620"/>
                        <wp:docPr id="1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3880" cy="662940"/>
                                </a:xfrm>
                                <a:prstGeom prst="rect">
                                  <a:avLst/>
                                </a:prstGeom>
                                <a:noFill/>
                                <a:ln>
                                  <a:noFill/>
                                </a:ln>
                              </pic:spPr>
                            </pic:pic>
                          </a:graphicData>
                        </a:graphic>
                      </wp:inline>
                    </w:drawing>
                  </w:r>
                </w:p>
              </w:tc>
            </w:tr>
            <w:tr w14:paraId="2B21EA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92" w:hRule="exact"/>
                <w:jc w:val="center"/>
              </w:trPr>
              <w:tc>
                <w:tcPr>
                  <w:tcW w:w="974" w:type="pct"/>
                  <w:vMerge w:val="continue"/>
                  <w:vAlign w:val="center"/>
                </w:tcPr>
                <w:p w14:paraId="0199960D">
                  <w:pPr>
                    <w:adjustRightInd w:val="0"/>
                    <w:snapToGrid w:val="0"/>
                    <w:jc w:val="center"/>
                    <w:rPr>
                      <w:color w:val="auto"/>
                      <w:szCs w:val="21"/>
                      <w:highlight w:val="none"/>
                    </w:rPr>
                  </w:pPr>
                </w:p>
              </w:tc>
              <w:tc>
                <w:tcPr>
                  <w:tcW w:w="917" w:type="pct"/>
                  <w:vAlign w:val="center"/>
                </w:tcPr>
                <w:p w14:paraId="3FC04161">
                  <w:pPr>
                    <w:adjustRightInd w:val="0"/>
                    <w:snapToGrid w:val="0"/>
                    <w:jc w:val="center"/>
                    <w:rPr>
                      <w:color w:val="auto"/>
                      <w:szCs w:val="21"/>
                      <w:highlight w:val="none"/>
                    </w:rPr>
                  </w:pPr>
                  <w:r>
                    <w:rPr>
                      <w:color w:val="auto"/>
                      <w:szCs w:val="21"/>
                      <w:highlight w:val="none"/>
                    </w:rPr>
                    <w:t>贮存设施内部分区警示标志牌</w:t>
                  </w:r>
                </w:p>
              </w:tc>
              <w:tc>
                <w:tcPr>
                  <w:tcW w:w="654" w:type="pct"/>
                  <w:vAlign w:val="center"/>
                </w:tcPr>
                <w:p w14:paraId="677E08FC">
                  <w:pPr>
                    <w:adjustRightInd w:val="0"/>
                    <w:snapToGrid w:val="0"/>
                    <w:jc w:val="center"/>
                    <w:rPr>
                      <w:color w:val="auto"/>
                      <w:szCs w:val="21"/>
                      <w:highlight w:val="none"/>
                    </w:rPr>
                  </w:pPr>
                  <w:r>
                    <w:rPr>
                      <w:color w:val="auto"/>
                      <w:szCs w:val="21"/>
                      <w:highlight w:val="none"/>
                    </w:rPr>
                    <w:t>长方形边框</w:t>
                  </w:r>
                </w:p>
              </w:tc>
              <w:tc>
                <w:tcPr>
                  <w:tcW w:w="655" w:type="pct"/>
                  <w:vAlign w:val="center"/>
                </w:tcPr>
                <w:p w14:paraId="0A00A62A">
                  <w:pPr>
                    <w:adjustRightInd w:val="0"/>
                    <w:snapToGrid w:val="0"/>
                    <w:jc w:val="center"/>
                    <w:rPr>
                      <w:color w:val="auto"/>
                      <w:szCs w:val="21"/>
                      <w:highlight w:val="none"/>
                    </w:rPr>
                  </w:pPr>
                  <w:r>
                    <w:rPr>
                      <w:color w:val="auto"/>
                      <w:szCs w:val="21"/>
                      <w:highlight w:val="none"/>
                    </w:rPr>
                    <w:t>黄色</w:t>
                  </w:r>
                </w:p>
              </w:tc>
              <w:tc>
                <w:tcPr>
                  <w:tcW w:w="727" w:type="pct"/>
                  <w:vAlign w:val="center"/>
                </w:tcPr>
                <w:p w14:paraId="08945D2A">
                  <w:pPr>
                    <w:adjustRightInd w:val="0"/>
                    <w:snapToGrid w:val="0"/>
                    <w:jc w:val="center"/>
                    <w:rPr>
                      <w:color w:val="auto"/>
                      <w:szCs w:val="21"/>
                      <w:highlight w:val="none"/>
                    </w:rPr>
                  </w:pPr>
                  <w:r>
                    <w:rPr>
                      <w:color w:val="auto"/>
                      <w:szCs w:val="21"/>
                      <w:highlight w:val="none"/>
                    </w:rPr>
                    <w:t>黑色</w:t>
                  </w:r>
                </w:p>
              </w:tc>
              <w:tc>
                <w:tcPr>
                  <w:tcW w:w="1073" w:type="pct"/>
                  <w:vAlign w:val="center"/>
                </w:tcPr>
                <w:p w14:paraId="28733E68">
                  <w:pPr>
                    <w:adjustRightInd w:val="0"/>
                    <w:snapToGrid w:val="0"/>
                    <w:jc w:val="center"/>
                    <w:rPr>
                      <w:color w:val="auto"/>
                      <w:szCs w:val="21"/>
                      <w:highlight w:val="none"/>
                    </w:rPr>
                  </w:pPr>
                  <w:r>
                    <w:rPr>
                      <w:color w:val="auto"/>
                      <w:szCs w:val="21"/>
                      <w:highlight w:val="none"/>
                    </w:rPr>
                    <w:drawing>
                      <wp:inline distT="0" distB="0" distL="0" distR="0">
                        <wp:extent cx="899160" cy="533400"/>
                        <wp:effectExtent l="0" t="0" r="0" b="0"/>
                        <wp:docPr id="1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99160" cy="533400"/>
                                </a:xfrm>
                                <a:prstGeom prst="rect">
                                  <a:avLst/>
                                </a:prstGeom>
                                <a:noFill/>
                                <a:ln>
                                  <a:noFill/>
                                </a:ln>
                              </pic:spPr>
                            </pic:pic>
                          </a:graphicData>
                        </a:graphic>
                      </wp:inline>
                    </w:drawing>
                  </w:r>
                </w:p>
              </w:tc>
            </w:tr>
            <w:tr w14:paraId="4E4472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6" w:hRule="exact"/>
                <w:jc w:val="center"/>
              </w:trPr>
              <w:tc>
                <w:tcPr>
                  <w:tcW w:w="974" w:type="pct"/>
                  <w:vMerge w:val="continue"/>
                  <w:vAlign w:val="center"/>
                </w:tcPr>
                <w:p w14:paraId="6A693E53">
                  <w:pPr>
                    <w:adjustRightInd w:val="0"/>
                    <w:snapToGrid w:val="0"/>
                    <w:jc w:val="center"/>
                    <w:rPr>
                      <w:color w:val="auto"/>
                      <w:szCs w:val="21"/>
                      <w:highlight w:val="none"/>
                    </w:rPr>
                  </w:pPr>
                </w:p>
              </w:tc>
              <w:tc>
                <w:tcPr>
                  <w:tcW w:w="917" w:type="pct"/>
                  <w:vAlign w:val="center"/>
                </w:tcPr>
                <w:p w14:paraId="74F73824">
                  <w:pPr>
                    <w:adjustRightInd w:val="0"/>
                    <w:snapToGrid w:val="0"/>
                    <w:jc w:val="center"/>
                    <w:rPr>
                      <w:color w:val="auto"/>
                      <w:szCs w:val="21"/>
                      <w:highlight w:val="none"/>
                    </w:rPr>
                  </w:pPr>
                  <w:r>
                    <w:rPr>
                      <w:color w:val="auto"/>
                      <w:szCs w:val="21"/>
                      <w:highlight w:val="none"/>
                    </w:rPr>
                    <w:t>包装识别标签</w:t>
                  </w:r>
                </w:p>
              </w:tc>
              <w:tc>
                <w:tcPr>
                  <w:tcW w:w="654" w:type="pct"/>
                  <w:vAlign w:val="center"/>
                </w:tcPr>
                <w:p w14:paraId="16B17A33">
                  <w:pPr>
                    <w:adjustRightInd w:val="0"/>
                    <w:snapToGrid w:val="0"/>
                    <w:jc w:val="center"/>
                    <w:rPr>
                      <w:color w:val="auto"/>
                      <w:szCs w:val="21"/>
                      <w:highlight w:val="none"/>
                    </w:rPr>
                  </w:pPr>
                  <w:r>
                    <w:rPr>
                      <w:color w:val="auto"/>
                      <w:szCs w:val="21"/>
                      <w:highlight w:val="none"/>
                    </w:rPr>
                    <w:t>/</w:t>
                  </w:r>
                </w:p>
              </w:tc>
              <w:tc>
                <w:tcPr>
                  <w:tcW w:w="655" w:type="pct"/>
                  <w:vAlign w:val="center"/>
                </w:tcPr>
                <w:p w14:paraId="1053BB5B">
                  <w:pPr>
                    <w:adjustRightInd w:val="0"/>
                    <w:snapToGrid w:val="0"/>
                    <w:jc w:val="center"/>
                    <w:rPr>
                      <w:color w:val="auto"/>
                      <w:szCs w:val="21"/>
                      <w:highlight w:val="none"/>
                    </w:rPr>
                  </w:pPr>
                  <w:r>
                    <w:rPr>
                      <w:color w:val="auto"/>
                      <w:szCs w:val="21"/>
                      <w:highlight w:val="none"/>
                    </w:rPr>
                    <w:t>桔黄色</w:t>
                  </w:r>
                </w:p>
              </w:tc>
              <w:tc>
                <w:tcPr>
                  <w:tcW w:w="727" w:type="pct"/>
                  <w:vAlign w:val="center"/>
                </w:tcPr>
                <w:p w14:paraId="31354592">
                  <w:pPr>
                    <w:adjustRightInd w:val="0"/>
                    <w:snapToGrid w:val="0"/>
                    <w:jc w:val="center"/>
                    <w:rPr>
                      <w:color w:val="auto"/>
                      <w:szCs w:val="21"/>
                      <w:highlight w:val="none"/>
                    </w:rPr>
                  </w:pPr>
                  <w:r>
                    <w:rPr>
                      <w:color w:val="auto"/>
                      <w:szCs w:val="21"/>
                      <w:highlight w:val="none"/>
                    </w:rPr>
                    <w:t>黑色</w:t>
                  </w:r>
                </w:p>
              </w:tc>
              <w:tc>
                <w:tcPr>
                  <w:tcW w:w="1073" w:type="pct"/>
                  <w:vAlign w:val="center"/>
                </w:tcPr>
                <w:p w14:paraId="4932618A">
                  <w:pPr>
                    <w:adjustRightInd w:val="0"/>
                    <w:snapToGrid w:val="0"/>
                    <w:jc w:val="center"/>
                    <w:rPr>
                      <w:color w:val="auto"/>
                      <w:szCs w:val="21"/>
                      <w:highlight w:val="none"/>
                    </w:rPr>
                  </w:pPr>
                  <w:r>
                    <w:rPr>
                      <w:color w:val="auto"/>
                      <w:szCs w:val="21"/>
                      <w:highlight w:val="none"/>
                    </w:rPr>
                    <w:drawing>
                      <wp:inline distT="0" distB="0" distL="0" distR="0">
                        <wp:extent cx="632460" cy="617220"/>
                        <wp:effectExtent l="0" t="0" r="7620" b="7620"/>
                        <wp:docPr id="1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32460" cy="617220"/>
                                </a:xfrm>
                                <a:prstGeom prst="rect">
                                  <a:avLst/>
                                </a:prstGeom>
                                <a:noFill/>
                                <a:ln>
                                  <a:noFill/>
                                </a:ln>
                              </pic:spPr>
                            </pic:pic>
                          </a:graphicData>
                        </a:graphic>
                      </wp:inline>
                    </w:drawing>
                  </w:r>
                </w:p>
              </w:tc>
            </w:tr>
          </w:tbl>
          <w:p w14:paraId="75AC5754">
            <w:pPr>
              <w:adjustRightInd w:val="0"/>
              <w:snapToGrid w:val="0"/>
              <w:ind w:firstLine="200" w:firstLineChars="200"/>
              <w:rPr>
                <w:color w:val="auto"/>
                <w:sz w:val="10"/>
                <w:szCs w:val="10"/>
                <w:highlight w:val="none"/>
              </w:rPr>
            </w:pPr>
          </w:p>
          <w:p w14:paraId="737BE0CC">
            <w:pPr>
              <w:tabs>
                <w:tab w:val="left" w:pos="120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根据《中华人民共和国固体废物污染环境防治法》、《一般工业固体废物贮存和填埋污染控制标准》</w:t>
            </w:r>
            <w:r>
              <w:rPr>
                <w:color w:val="auto"/>
                <w:sz w:val="24"/>
                <w:highlight w:val="none"/>
              </w:rPr>
              <w:t>（GB18599-2020）</w:t>
            </w:r>
            <w:r>
              <w:rPr>
                <w:rFonts w:ascii="宋体" w:hAnsi="宋体"/>
                <w:color w:val="auto"/>
                <w:kern w:val="0"/>
                <w:sz w:val="24"/>
                <w:highlight w:val="none"/>
              </w:rPr>
              <w:t>及</w:t>
            </w:r>
            <w:r>
              <w:rPr>
                <w:rFonts w:ascii="宋体" w:hAnsi="宋体"/>
                <w:snapToGrid w:val="0"/>
                <w:color w:val="auto"/>
                <w:kern w:val="0"/>
                <w:sz w:val="24"/>
                <w:highlight w:val="none"/>
              </w:rPr>
              <w:t>《危险废物贮存污染控制标准》</w:t>
            </w:r>
            <w:r>
              <w:rPr>
                <w:snapToGrid w:val="0"/>
                <w:color w:val="auto"/>
                <w:kern w:val="0"/>
                <w:sz w:val="24"/>
                <w:highlight w:val="none"/>
              </w:rPr>
              <w:t>（GB18597-2001）</w:t>
            </w:r>
            <w:r>
              <w:rPr>
                <w:rFonts w:ascii="宋体" w:hAnsi="宋体"/>
                <w:color w:val="auto"/>
                <w:sz w:val="24"/>
                <w:highlight w:val="none"/>
              </w:rPr>
              <w:t>的相关规定，建设单位拟建立规范化的固废暂存库，并制定相关管理制度，严格按照制度进行管理。</w:t>
            </w:r>
          </w:p>
          <w:p w14:paraId="12E8FA00">
            <w:pPr>
              <w:spacing w:line="360" w:lineRule="auto"/>
              <w:ind w:firstLine="482" w:firstLineChars="200"/>
              <w:rPr>
                <w:rFonts w:ascii="宋体" w:hAnsi="宋体"/>
                <w:b/>
                <w:color w:val="auto"/>
                <w:kern w:val="0"/>
                <w:sz w:val="24"/>
                <w:highlight w:val="none"/>
              </w:rPr>
            </w:pPr>
            <w:r>
              <w:rPr>
                <w:b/>
                <w:snapToGrid w:val="0"/>
                <w:color w:val="auto"/>
                <w:kern w:val="0"/>
                <w:sz w:val="24"/>
                <w:highlight w:val="none"/>
              </w:rPr>
              <w:t>1）</w:t>
            </w:r>
            <w:r>
              <w:rPr>
                <w:rFonts w:ascii="宋体" w:hAnsi="宋体"/>
                <w:b/>
                <w:color w:val="auto"/>
                <w:kern w:val="0"/>
                <w:sz w:val="24"/>
                <w:highlight w:val="none"/>
              </w:rPr>
              <w:t>一般固废</w:t>
            </w:r>
            <w:r>
              <w:rPr>
                <w:rFonts w:hint="eastAsia" w:ascii="宋体" w:hAnsi="宋体"/>
                <w:b/>
                <w:color w:val="auto"/>
                <w:kern w:val="0"/>
                <w:sz w:val="24"/>
                <w:highlight w:val="none"/>
                <w:lang w:eastAsia="zh-Hans"/>
              </w:rPr>
              <w:t>暂存场所</w:t>
            </w:r>
            <w:r>
              <w:rPr>
                <w:rFonts w:ascii="宋体" w:hAnsi="宋体"/>
                <w:b/>
                <w:color w:val="auto"/>
                <w:kern w:val="0"/>
                <w:sz w:val="24"/>
                <w:highlight w:val="none"/>
              </w:rPr>
              <w:t>要求：</w:t>
            </w:r>
          </w:p>
          <w:p w14:paraId="4D2D5C13">
            <w:pPr>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一般工业固废的暂存场所应按照</w:t>
            </w:r>
            <w:r>
              <w:rPr>
                <w:rFonts w:hAnsi="宋体"/>
                <w:snapToGrid w:val="0"/>
                <w:color w:val="auto"/>
                <w:kern w:val="0"/>
                <w:sz w:val="24"/>
                <w:highlight w:val="none"/>
              </w:rPr>
              <w:t>《一般工业固体废物贮存和填埋污染控制标准》（GB18599-2020）</w:t>
            </w:r>
            <w:r>
              <w:rPr>
                <w:rFonts w:ascii="宋体" w:hAnsi="宋体"/>
                <w:color w:val="auto"/>
                <w:kern w:val="0"/>
                <w:sz w:val="24"/>
                <w:highlight w:val="none"/>
              </w:rPr>
              <w:t>要求建设。</w:t>
            </w:r>
          </w:p>
          <w:p w14:paraId="7B1B0CC5">
            <w:pPr>
              <w:spacing w:line="360" w:lineRule="auto"/>
              <w:ind w:firstLine="480" w:firstLineChars="200"/>
              <w:rPr>
                <w:rFonts w:ascii="宋体" w:hAnsi="宋体"/>
                <w:color w:val="auto"/>
                <w:kern w:val="0"/>
                <w:sz w:val="24"/>
                <w:highlight w:val="none"/>
              </w:rPr>
            </w:pPr>
            <w:r>
              <w:rPr>
                <w:rFonts w:hint="eastAsia" w:ascii="宋体" w:hAnsi="宋体" w:cs="宋体"/>
                <w:color w:val="auto"/>
                <w:kern w:val="0"/>
                <w:sz w:val="24"/>
                <w:highlight w:val="none"/>
              </w:rPr>
              <w:t>①</w:t>
            </w:r>
            <w:r>
              <w:rPr>
                <w:rFonts w:ascii="宋体" w:hAnsi="宋体"/>
                <w:color w:val="auto"/>
                <w:kern w:val="0"/>
                <w:sz w:val="24"/>
                <w:highlight w:val="none"/>
              </w:rPr>
              <w:t>贮存、处置场的建设类型，必须与将要堆放的一般工业固体废物的类别相一致；</w:t>
            </w:r>
          </w:p>
          <w:p w14:paraId="23CE6526">
            <w:pPr>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②贮存、处置场应采取防止粉尘污染的措施；</w:t>
            </w:r>
          </w:p>
          <w:p w14:paraId="06F0B2DE">
            <w:pPr>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③为加强监督管理，贮存、处置场应按</w:t>
            </w:r>
            <w:r>
              <w:rPr>
                <w:color w:val="auto"/>
                <w:kern w:val="0"/>
                <w:sz w:val="24"/>
                <w:highlight w:val="none"/>
              </w:rPr>
              <w:t>GB15562.2</w:t>
            </w:r>
            <w:r>
              <w:rPr>
                <w:rFonts w:ascii="宋体" w:hAnsi="宋体"/>
                <w:color w:val="auto"/>
                <w:kern w:val="0"/>
                <w:sz w:val="24"/>
                <w:highlight w:val="none"/>
              </w:rPr>
              <w:t>设置环境保护图形标志；</w:t>
            </w:r>
          </w:p>
          <w:p w14:paraId="72B21EE3">
            <w:pPr>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④一般工业固体废物贮存、处置场禁止危险废物和生活垃圾混入；</w:t>
            </w:r>
          </w:p>
          <w:p w14:paraId="01EE6BFD">
            <w:pPr>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⑤贮存、处置场的使用单位，应建立档案制度。应将入场的一般工业固体废物的种类和数量等资料详细记录在案，长期保存，供随时查阅。</w:t>
            </w:r>
          </w:p>
          <w:p w14:paraId="564388DD">
            <w:pPr>
              <w:spacing w:line="360" w:lineRule="auto"/>
              <w:ind w:firstLine="482" w:firstLineChars="200"/>
              <w:rPr>
                <w:rFonts w:ascii="宋体" w:hAnsi="宋体"/>
                <w:b/>
                <w:color w:val="auto"/>
                <w:kern w:val="0"/>
                <w:sz w:val="24"/>
                <w:highlight w:val="none"/>
              </w:rPr>
            </w:pPr>
            <w:r>
              <w:rPr>
                <w:b/>
                <w:snapToGrid w:val="0"/>
                <w:color w:val="auto"/>
                <w:kern w:val="0"/>
                <w:sz w:val="24"/>
                <w:highlight w:val="none"/>
              </w:rPr>
              <w:t>2）</w:t>
            </w:r>
            <w:r>
              <w:rPr>
                <w:rFonts w:ascii="宋体" w:hAnsi="宋体"/>
                <w:b/>
                <w:color w:val="auto"/>
                <w:kern w:val="0"/>
                <w:sz w:val="24"/>
                <w:highlight w:val="none"/>
              </w:rPr>
              <w:t>危险废物</w:t>
            </w:r>
            <w:r>
              <w:rPr>
                <w:rFonts w:hint="eastAsia" w:ascii="宋体" w:hAnsi="宋体"/>
                <w:b/>
                <w:color w:val="auto"/>
                <w:kern w:val="0"/>
                <w:sz w:val="24"/>
                <w:highlight w:val="none"/>
                <w:lang w:eastAsia="zh-Hans"/>
              </w:rPr>
              <w:t>暂存场所</w:t>
            </w:r>
            <w:r>
              <w:rPr>
                <w:rFonts w:ascii="宋体" w:hAnsi="宋体"/>
                <w:b/>
                <w:color w:val="auto"/>
                <w:kern w:val="0"/>
                <w:sz w:val="24"/>
                <w:highlight w:val="none"/>
              </w:rPr>
              <w:t>要求：</w:t>
            </w:r>
          </w:p>
          <w:p w14:paraId="5467D5B1">
            <w:pPr>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危险废物暂存场地的设置应按《危险废物贮存污染控制标准》</w:t>
            </w:r>
            <w:r>
              <w:rPr>
                <w:color w:val="auto"/>
                <w:kern w:val="0"/>
                <w:sz w:val="24"/>
                <w:highlight w:val="none"/>
              </w:rPr>
              <w:t>（GB18597-2001）</w:t>
            </w:r>
            <w:r>
              <w:rPr>
                <w:rFonts w:ascii="宋体" w:hAnsi="宋体"/>
                <w:color w:val="auto"/>
                <w:kern w:val="0"/>
                <w:sz w:val="24"/>
                <w:highlight w:val="none"/>
              </w:rPr>
              <w:t>及修改单</w:t>
            </w:r>
            <w:r>
              <w:rPr>
                <w:rFonts w:hAnsi="宋体"/>
                <w:color w:val="auto"/>
                <w:kern w:val="0"/>
                <w:sz w:val="24"/>
                <w:highlight w:val="none"/>
              </w:rPr>
              <w:t>《省生态环境厅关于进一步加强危险废物污染防治工作的实施意见》（苏环办</w:t>
            </w:r>
            <w:r>
              <w:rPr>
                <w:color w:val="auto"/>
                <w:kern w:val="0"/>
                <w:sz w:val="24"/>
                <w:highlight w:val="none"/>
              </w:rPr>
              <w:t>[2019]327</w:t>
            </w:r>
            <w:r>
              <w:rPr>
                <w:rFonts w:hAnsi="宋体"/>
                <w:color w:val="auto"/>
                <w:kern w:val="0"/>
                <w:sz w:val="24"/>
                <w:highlight w:val="none"/>
              </w:rPr>
              <w:t>号）要求设置，要求做到以下几点</w:t>
            </w:r>
            <w:r>
              <w:rPr>
                <w:rFonts w:ascii="宋体" w:hAnsi="宋体"/>
                <w:color w:val="auto"/>
                <w:kern w:val="0"/>
                <w:sz w:val="24"/>
                <w:highlight w:val="none"/>
              </w:rPr>
              <w:t>：</w:t>
            </w:r>
          </w:p>
          <w:p w14:paraId="35695D0B">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①废物贮存设施必须按《环境保护图形标志</w:t>
            </w:r>
            <w:r>
              <w:rPr>
                <w:color w:val="auto"/>
                <w:kern w:val="0"/>
                <w:sz w:val="24"/>
                <w:highlight w:val="none"/>
              </w:rPr>
              <w:t>(GB15562</w:t>
            </w:r>
            <w:r>
              <w:rPr>
                <w:rFonts w:hAnsi="宋体"/>
                <w:color w:val="auto"/>
                <w:kern w:val="0"/>
                <w:sz w:val="24"/>
                <w:highlight w:val="none"/>
              </w:rPr>
              <w:t>－</w:t>
            </w:r>
            <w:r>
              <w:rPr>
                <w:color w:val="auto"/>
                <w:kern w:val="0"/>
                <w:sz w:val="24"/>
                <w:highlight w:val="none"/>
              </w:rPr>
              <w:t>1995)</w:t>
            </w:r>
            <w:r>
              <w:rPr>
                <w:rFonts w:hAnsi="宋体"/>
                <w:color w:val="auto"/>
                <w:kern w:val="0"/>
                <w:sz w:val="24"/>
                <w:highlight w:val="none"/>
              </w:rPr>
              <w:t>》和《省生态环境厅关于印发江苏省危险废物贮存规范化管理专项整治行动方案的通知》（苏环办〔</w:t>
            </w:r>
            <w:r>
              <w:rPr>
                <w:color w:val="auto"/>
                <w:kern w:val="0"/>
                <w:sz w:val="24"/>
                <w:highlight w:val="none"/>
              </w:rPr>
              <w:t>2019</w:t>
            </w:r>
            <w:r>
              <w:rPr>
                <w:rFonts w:hAnsi="宋体"/>
                <w:color w:val="auto"/>
                <w:kern w:val="0"/>
                <w:sz w:val="24"/>
                <w:highlight w:val="none"/>
              </w:rPr>
              <w:t>〕</w:t>
            </w:r>
            <w:r>
              <w:rPr>
                <w:color w:val="auto"/>
                <w:kern w:val="0"/>
                <w:sz w:val="24"/>
                <w:highlight w:val="none"/>
              </w:rPr>
              <w:t>149</w:t>
            </w:r>
            <w:r>
              <w:rPr>
                <w:rFonts w:hAnsi="宋体"/>
                <w:color w:val="auto"/>
                <w:kern w:val="0"/>
                <w:sz w:val="24"/>
                <w:highlight w:val="none"/>
              </w:rPr>
              <w:t>号）的规定设置警示标志，落实信息公开制度；</w:t>
            </w:r>
          </w:p>
          <w:p w14:paraId="11DD7525">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②废物贮存设施周围应设置雨棚、围堰或围墙，禁止无关人员进入；</w:t>
            </w:r>
          </w:p>
          <w:p w14:paraId="0D8A2713">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③废物贮存设施应配备照明设施、应急防护工具，在关键位置设置在线视频监控，装载危险废物的容器完好无损；</w:t>
            </w:r>
          </w:p>
          <w:p w14:paraId="77448D3D">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④贮存场所地面硬化及防渗处理，设置废水导排渠道及泄露液体收集槽，地面冲洗废水纳入企业废水处理设施处理或危险废物管理；</w:t>
            </w:r>
          </w:p>
          <w:p w14:paraId="3DEFF469">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⑤废物贮存设施内需分类分区储存，设置明显间隔；</w:t>
            </w:r>
          </w:p>
          <w:p w14:paraId="58A5B286">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⑥建设单位收集危险废物后，放置在厂内的固废暂存库同时作好危险废物情况的记录，记录上注明危险废物的名称、数量及接收单位名称；</w:t>
            </w:r>
          </w:p>
          <w:p w14:paraId="37DC6E21">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⑦强化危险废物申报登记，建设单位应做好危废转移申报、转移联单等相关手续，需满足《关于加强危险废物交换和转移管理工作的通知》要求。加强对固体废弃物管理，做好跟踪管理，建立管理台帐，如实记载危险废物的种类、数量、性质、产生环节、流向、贮存、利用处置等信息；</w:t>
            </w:r>
          </w:p>
          <w:p w14:paraId="75CAD3E6">
            <w:pPr>
              <w:autoSpaceDE w:val="0"/>
              <w:autoSpaceDN w:val="0"/>
              <w:adjustRightInd w:val="0"/>
              <w:snapToGrid w:val="0"/>
              <w:spacing w:line="360" w:lineRule="auto"/>
              <w:ind w:firstLine="480" w:firstLineChars="200"/>
              <w:jc w:val="left"/>
              <w:rPr>
                <w:color w:val="auto"/>
                <w:kern w:val="0"/>
                <w:sz w:val="24"/>
                <w:highlight w:val="none"/>
              </w:rPr>
            </w:pPr>
            <w:r>
              <w:rPr>
                <w:rFonts w:hAnsi="宋体"/>
                <w:color w:val="auto"/>
                <w:kern w:val="0"/>
                <w:sz w:val="24"/>
                <w:highlight w:val="none"/>
              </w:rPr>
              <w:t>⑧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p>
          <w:p w14:paraId="3378AB37">
            <w:pPr>
              <w:spacing w:line="360" w:lineRule="auto"/>
              <w:ind w:firstLine="480" w:firstLineChars="200"/>
              <w:rPr>
                <w:b/>
                <w:bCs/>
                <w:color w:val="auto"/>
                <w:sz w:val="24"/>
                <w:highlight w:val="none"/>
              </w:rPr>
            </w:pPr>
            <w:r>
              <w:rPr>
                <w:rFonts w:hAnsi="宋体"/>
                <w:color w:val="auto"/>
                <w:kern w:val="0"/>
                <w:sz w:val="24"/>
                <w:highlight w:val="none"/>
              </w:rPr>
              <w:t>⑨危险废物委托处置单位应具备相应的资质，运输车辆须经主管单位检查，并持有有关单位签发的许可证，承载危险废物的车辆须有明显的标志</w:t>
            </w:r>
            <w:r>
              <w:rPr>
                <w:rFonts w:ascii="宋体" w:hAnsi="宋体"/>
                <w:color w:val="auto"/>
                <w:kern w:val="0"/>
                <w:sz w:val="24"/>
                <w:highlight w:val="none"/>
              </w:rPr>
              <w:t>。</w:t>
            </w:r>
          </w:p>
          <w:p w14:paraId="475BCCDF">
            <w:pPr>
              <w:adjustRightInd w:val="0"/>
              <w:snapToGrid w:val="0"/>
              <w:ind w:firstLine="482" w:firstLineChars="200"/>
              <w:jc w:val="center"/>
              <w:rPr>
                <w:b/>
                <w:bCs/>
                <w:color w:val="auto"/>
                <w:sz w:val="24"/>
                <w:highlight w:val="none"/>
              </w:rPr>
            </w:pPr>
            <w:r>
              <w:rPr>
                <w:b/>
                <w:bCs/>
                <w:color w:val="auto"/>
                <w:sz w:val="24"/>
                <w:highlight w:val="none"/>
              </w:rPr>
              <w:t>表4-</w:t>
            </w:r>
            <w:r>
              <w:rPr>
                <w:rFonts w:hint="eastAsia"/>
                <w:b/>
                <w:bCs/>
                <w:color w:val="auto"/>
                <w:sz w:val="24"/>
                <w:highlight w:val="none"/>
              </w:rPr>
              <w:t>2</w:t>
            </w:r>
            <w:r>
              <w:rPr>
                <w:rFonts w:hint="default"/>
                <w:b/>
                <w:bCs/>
                <w:color w:val="auto"/>
                <w:sz w:val="24"/>
                <w:highlight w:val="none"/>
              </w:rPr>
              <w:t xml:space="preserve">6 </w:t>
            </w:r>
            <w:r>
              <w:rPr>
                <w:rFonts w:hint="eastAsia"/>
                <w:b/>
                <w:bCs/>
                <w:color w:val="auto"/>
                <w:sz w:val="24"/>
                <w:highlight w:val="none"/>
                <w:lang w:val="en-US" w:eastAsia="zh-Hans"/>
              </w:rPr>
              <w:t>全厂</w:t>
            </w:r>
            <w:r>
              <w:rPr>
                <w:b/>
                <w:bCs/>
                <w:color w:val="auto"/>
                <w:sz w:val="24"/>
                <w:highlight w:val="none"/>
              </w:rPr>
              <w:t>危险废物贮存场所（设施）基本情况</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429"/>
              <w:gridCol w:w="1079"/>
              <w:gridCol w:w="1043"/>
              <w:gridCol w:w="901"/>
              <w:gridCol w:w="1143"/>
              <w:gridCol w:w="659"/>
              <w:gridCol w:w="653"/>
              <w:gridCol w:w="956"/>
              <w:gridCol w:w="1381"/>
              <w:gridCol w:w="1151"/>
              <w:gridCol w:w="856"/>
            </w:tblGrid>
            <w:tr w14:paraId="171BE0B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6B9B3ACF">
                  <w:pPr>
                    <w:jc w:val="center"/>
                    <w:rPr>
                      <w:rFonts w:ascii="宋体" w:hAnsi="宋体"/>
                      <w:b/>
                      <w:bCs/>
                      <w:color w:val="auto"/>
                      <w:szCs w:val="21"/>
                      <w:highlight w:val="none"/>
                    </w:rPr>
                  </w:pPr>
                  <w:r>
                    <w:rPr>
                      <w:rFonts w:ascii="宋体" w:hAnsi="宋体"/>
                      <w:b/>
                      <w:bCs/>
                      <w:color w:val="auto"/>
                      <w:szCs w:val="21"/>
                      <w:highlight w:val="none"/>
                    </w:rPr>
                    <w:t>序号</w:t>
                  </w:r>
                </w:p>
              </w:tc>
              <w:tc>
                <w:tcPr>
                  <w:tcW w:w="526" w:type="pct"/>
                  <w:tcBorders>
                    <w:tl2br w:val="nil"/>
                    <w:tr2bl w:val="nil"/>
                  </w:tcBorders>
                  <w:vAlign w:val="center"/>
                </w:tcPr>
                <w:p w14:paraId="4C539116">
                  <w:pPr>
                    <w:jc w:val="center"/>
                    <w:rPr>
                      <w:rFonts w:ascii="宋体" w:hAnsi="宋体"/>
                      <w:b/>
                      <w:bCs/>
                      <w:color w:val="auto"/>
                      <w:szCs w:val="21"/>
                      <w:highlight w:val="none"/>
                    </w:rPr>
                  </w:pPr>
                  <w:r>
                    <w:rPr>
                      <w:rFonts w:ascii="宋体" w:hAnsi="宋体"/>
                      <w:b/>
                      <w:bCs/>
                      <w:color w:val="auto"/>
                      <w:szCs w:val="21"/>
                      <w:highlight w:val="none"/>
                    </w:rPr>
                    <w:t>储存场所名称</w:t>
                  </w:r>
                </w:p>
              </w:tc>
              <w:tc>
                <w:tcPr>
                  <w:tcW w:w="508" w:type="pct"/>
                  <w:tcBorders>
                    <w:tl2br w:val="nil"/>
                    <w:tr2bl w:val="nil"/>
                  </w:tcBorders>
                  <w:vAlign w:val="center"/>
                </w:tcPr>
                <w:p w14:paraId="0CA511F5">
                  <w:pPr>
                    <w:jc w:val="center"/>
                    <w:rPr>
                      <w:rFonts w:ascii="宋体" w:hAnsi="宋体"/>
                      <w:b/>
                      <w:bCs/>
                      <w:color w:val="auto"/>
                      <w:szCs w:val="21"/>
                      <w:highlight w:val="none"/>
                    </w:rPr>
                  </w:pPr>
                  <w:r>
                    <w:rPr>
                      <w:rFonts w:ascii="宋体" w:hAnsi="宋体"/>
                      <w:b/>
                      <w:bCs/>
                      <w:color w:val="auto"/>
                      <w:szCs w:val="21"/>
                      <w:highlight w:val="none"/>
                    </w:rPr>
                    <w:t>危险废物名称</w:t>
                  </w:r>
                </w:p>
              </w:tc>
              <w:tc>
                <w:tcPr>
                  <w:tcW w:w="439" w:type="pct"/>
                  <w:tcBorders>
                    <w:tl2br w:val="nil"/>
                    <w:tr2bl w:val="nil"/>
                  </w:tcBorders>
                  <w:vAlign w:val="center"/>
                </w:tcPr>
                <w:p w14:paraId="79F45F61">
                  <w:pPr>
                    <w:jc w:val="center"/>
                    <w:rPr>
                      <w:rFonts w:ascii="宋体" w:hAnsi="宋体"/>
                      <w:b/>
                      <w:bCs/>
                      <w:color w:val="auto"/>
                      <w:szCs w:val="21"/>
                      <w:highlight w:val="none"/>
                    </w:rPr>
                  </w:pPr>
                  <w:r>
                    <w:rPr>
                      <w:rFonts w:ascii="宋体" w:hAnsi="宋体"/>
                      <w:b/>
                      <w:bCs/>
                      <w:color w:val="auto"/>
                      <w:szCs w:val="21"/>
                      <w:highlight w:val="none"/>
                    </w:rPr>
                    <w:t>危险废物类别</w:t>
                  </w:r>
                </w:p>
              </w:tc>
              <w:tc>
                <w:tcPr>
                  <w:tcW w:w="557" w:type="pct"/>
                  <w:tcBorders>
                    <w:tl2br w:val="nil"/>
                    <w:tr2bl w:val="nil"/>
                  </w:tcBorders>
                  <w:vAlign w:val="center"/>
                </w:tcPr>
                <w:p w14:paraId="52C218EA">
                  <w:pPr>
                    <w:jc w:val="center"/>
                    <w:rPr>
                      <w:rFonts w:ascii="宋体" w:hAnsi="宋体"/>
                      <w:b/>
                      <w:bCs/>
                      <w:color w:val="auto"/>
                      <w:szCs w:val="21"/>
                      <w:highlight w:val="none"/>
                    </w:rPr>
                  </w:pPr>
                  <w:r>
                    <w:rPr>
                      <w:rFonts w:ascii="宋体" w:hAnsi="宋体"/>
                      <w:b/>
                      <w:bCs/>
                      <w:color w:val="auto"/>
                      <w:szCs w:val="21"/>
                      <w:highlight w:val="none"/>
                    </w:rPr>
                    <w:t>危险废物代码</w:t>
                  </w:r>
                </w:p>
              </w:tc>
              <w:tc>
                <w:tcPr>
                  <w:tcW w:w="321" w:type="pct"/>
                  <w:tcBorders>
                    <w:tl2br w:val="nil"/>
                    <w:tr2bl w:val="nil"/>
                  </w:tcBorders>
                  <w:vAlign w:val="center"/>
                </w:tcPr>
                <w:p w14:paraId="42817D6C">
                  <w:pPr>
                    <w:jc w:val="center"/>
                    <w:rPr>
                      <w:rFonts w:hint="default" w:ascii="Times New Roman Regular" w:hAnsi="Times New Roman Regular" w:eastAsia="宋体" w:cs="Times New Roman Regular"/>
                      <w:b/>
                      <w:bCs w:val="0"/>
                      <w:color w:val="auto"/>
                      <w:szCs w:val="21"/>
                      <w:highlight w:val="none"/>
                      <w:lang w:val="en-US" w:eastAsia="zh-Hans"/>
                    </w:rPr>
                  </w:pPr>
                  <w:r>
                    <w:rPr>
                      <w:rFonts w:hint="default" w:ascii="Times New Roman Regular" w:hAnsi="Times New Roman Regular" w:cs="Times New Roman Regular"/>
                      <w:b/>
                      <w:bCs w:val="0"/>
                      <w:color w:val="auto"/>
                      <w:szCs w:val="21"/>
                      <w:highlight w:val="none"/>
                      <w:lang w:val="en-US" w:eastAsia="zh-Hans"/>
                    </w:rPr>
                    <w:t>产生量（t/a）</w:t>
                  </w:r>
                </w:p>
              </w:tc>
              <w:tc>
                <w:tcPr>
                  <w:tcW w:w="318" w:type="pct"/>
                  <w:tcBorders>
                    <w:tl2br w:val="nil"/>
                    <w:tr2bl w:val="nil"/>
                  </w:tcBorders>
                  <w:vAlign w:val="center"/>
                </w:tcPr>
                <w:p w14:paraId="7E6F136E">
                  <w:pPr>
                    <w:jc w:val="center"/>
                    <w:rPr>
                      <w:rFonts w:hint="default" w:ascii="Times New Roman Regular" w:hAnsi="Times New Roman Regular" w:cs="Times New Roman Regular"/>
                      <w:b/>
                      <w:bCs w:val="0"/>
                      <w:color w:val="auto"/>
                      <w:szCs w:val="21"/>
                      <w:highlight w:val="none"/>
                    </w:rPr>
                  </w:pPr>
                  <w:r>
                    <w:rPr>
                      <w:rFonts w:hint="default" w:ascii="Times New Roman Regular" w:hAnsi="Times New Roman Regular" w:cs="Times New Roman Regular"/>
                      <w:b/>
                      <w:bCs w:val="0"/>
                      <w:color w:val="auto"/>
                      <w:szCs w:val="21"/>
                      <w:highlight w:val="none"/>
                    </w:rPr>
                    <w:t>位置</w:t>
                  </w:r>
                </w:p>
              </w:tc>
              <w:tc>
                <w:tcPr>
                  <w:tcW w:w="466" w:type="pct"/>
                  <w:tcBorders>
                    <w:tl2br w:val="nil"/>
                    <w:tr2bl w:val="nil"/>
                  </w:tcBorders>
                  <w:vAlign w:val="center"/>
                </w:tcPr>
                <w:p w14:paraId="52F66C7B">
                  <w:pPr>
                    <w:jc w:val="center"/>
                    <w:rPr>
                      <w:rFonts w:ascii="宋体" w:hAnsi="宋体"/>
                      <w:b/>
                      <w:bCs/>
                      <w:color w:val="auto"/>
                      <w:szCs w:val="21"/>
                      <w:highlight w:val="none"/>
                    </w:rPr>
                  </w:pPr>
                  <w:r>
                    <w:rPr>
                      <w:rFonts w:ascii="宋体" w:hAnsi="宋体"/>
                      <w:b/>
                      <w:bCs/>
                      <w:color w:val="auto"/>
                      <w:szCs w:val="21"/>
                      <w:highlight w:val="none"/>
                    </w:rPr>
                    <w:t>占地面积</w:t>
                  </w:r>
                  <w:r>
                    <w:rPr>
                      <w:b/>
                      <w:color w:val="auto"/>
                      <w:szCs w:val="21"/>
                      <w:highlight w:val="none"/>
                    </w:rPr>
                    <w:t>（m</w:t>
                  </w:r>
                  <w:r>
                    <w:rPr>
                      <w:b/>
                      <w:color w:val="auto"/>
                      <w:szCs w:val="21"/>
                      <w:highlight w:val="none"/>
                      <w:vertAlign w:val="superscript"/>
                    </w:rPr>
                    <w:t>2</w:t>
                  </w:r>
                  <w:r>
                    <w:rPr>
                      <w:b/>
                      <w:color w:val="auto"/>
                      <w:szCs w:val="21"/>
                      <w:highlight w:val="none"/>
                    </w:rPr>
                    <w:t>）</w:t>
                  </w:r>
                </w:p>
              </w:tc>
              <w:tc>
                <w:tcPr>
                  <w:tcW w:w="673" w:type="pct"/>
                  <w:tcBorders>
                    <w:tl2br w:val="nil"/>
                    <w:tr2bl w:val="nil"/>
                  </w:tcBorders>
                  <w:vAlign w:val="center"/>
                </w:tcPr>
                <w:p w14:paraId="7610DFC9">
                  <w:pPr>
                    <w:jc w:val="center"/>
                    <w:rPr>
                      <w:rFonts w:ascii="宋体" w:hAnsi="宋体"/>
                      <w:b/>
                      <w:bCs/>
                      <w:color w:val="auto"/>
                      <w:szCs w:val="21"/>
                      <w:highlight w:val="none"/>
                    </w:rPr>
                  </w:pPr>
                  <w:r>
                    <w:rPr>
                      <w:rFonts w:ascii="宋体" w:hAnsi="宋体"/>
                      <w:b/>
                      <w:bCs/>
                      <w:color w:val="auto"/>
                      <w:szCs w:val="21"/>
                      <w:highlight w:val="none"/>
                    </w:rPr>
                    <w:t>储存方式</w:t>
                  </w:r>
                </w:p>
              </w:tc>
              <w:tc>
                <w:tcPr>
                  <w:tcW w:w="561" w:type="pct"/>
                  <w:tcBorders>
                    <w:tl2br w:val="nil"/>
                    <w:tr2bl w:val="nil"/>
                  </w:tcBorders>
                  <w:vAlign w:val="center"/>
                </w:tcPr>
                <w:p w14:paraId="4E5D690E">
                  <w:pPr>
                    <w:topLinePunct/>
                    <w:adjustRightInd w:val="0"/>
                    <w:snapToGrid w:val="0"/>
                    <w:ind w:right="-105" w:rightChars="-50"/>
                    <w:jc w:val="both"/>
                    <w:rPr>
                      <w:rFonts w:ascii="宋体" w:hAnsi="宋体"/>
                      <w:b/>
                      <w:bCs/>
                      <w:color w:val="auto"/>
                      <w:szCs w:val="21"/>
                      <w:highlight w:val="none"/>
                    </w:rPr>
                  </w:pPr>
                  <w:r>
                    <w:rPr>
                      <w:rFonts w:hint="default" w:ascii="Times New Roman" w:hAnsi="Times New Roman" w:eastAsia="宋体" w:cs="Times New Roman"/>
                      <w:b/>
                      <w:color w:val="auto"/>
                      <w:kern w:val="0"/>
                      <w:szCs w:val="21"/>
                      <w:highlight w:val="none"/>
                    </w:rPr>
                    <w:t>贮存能力</w:t>
                  </w:r>
                  <w:r>
                    <w:rPr>
                      <w:rFonts w:hint="eastAsia" w:eastAsia="宋体" w:cs="Times New Roman"/>
                      <w:b/>
                      <w:color w:val="auto"/>
                      <w:kern w:val="0"/>
                      <w:szCs w:val="21"/>
                      <w:highlight w:val="none"/>
                      <w:lang w:eastAsia="zh-Hans"/>
                    </w:rPr>
                    <w:t>（</w:t>
                  </w:r>
                  <w:r>
                    <w:rPr>
                      <w:rFonts w:hint="eastAsia" w:eastAsia="宋体" w:cs="Times New Roman"/>
                      <w:b/>
                      <w:color w:val="auto"/>
                      <w:kern w:val="0"/>
                      <w:szCs w:val="21"/>
                      <w:highlight w:val="none"/>
                      <w:lang w:val="en-US" w:eastAsia="zh-Hans"/>
                    </w:rPr>
                    <w:t>t</w:t>
                  </w:r>
                  <w:r>
                    <w:rPr>
                      <w:rFonts w:hint="eastAsia" w:eastAsia="宋体" w:cs="Times New Roman"/>
                      <w:b/>
                      <w:color w:val="auto"/>
                      <w:kern w:val="0"/>
                      <w:szCs w:val="21"/>
                      <w:highlight w:val="none"/>
                      <w:lang w:eastAsia="zh-Hans"/>
                    </w:rPr>
                    <w:t>）</w:t>
                  </w:r>
                </w:p>
              </w:tc>
              <w:tc>
                <w:tcPr>
                  <w:tcW w:w="417" w:type="pct"/>
                  <w:tcBorders>
                    <w:tl2br w:val="nil"/>
                    <w:tr2bl w:val="nil"/>
                  </w:tcBorders>
                  <w:vAlign w:val="center"/>
                </w:tcPr>
                <w:p w14:paraId="06143074">
                  <w:pPr>
                    <w:jc w:val="center"/>
                    <w:rPr>
                      <w:rFonts w:ascii="宋体" w:hAnsi="宋体"/>
                      <w:b/>
                      <w:bCs/>
                      <w:color w:val="auto"/>
                      <w:szCs w:val="21"/>
                      <w:highlight w:val="none"/>
                    </w:rPr>
                  </w:pPr>
                  <w:r>
                    <w:rPr>
                      <w:rFonts w:ascii="宋体" w:hAnsi="宋体"/>
                      <w:b/>
                      <w:bCs/>
                      <w:color w:val="auto"/>
                      <w:szCs w:val="21"/>
                      <w:highlight w:val="none"/>
                    </w:rPr>
                    <w:t>储存周期</w:t>
                  </w:r>
                </w:p>
              </w:tc>
            </w:tr>
            <w:tr w14:paraId="4B81611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698153AF">
                  <w:pPr>
                    <w:jc w:val="center"/>
                    <w:rPr>
                      <w:color w:val="auto"/>
                      <w:szCs w:val="21"/>
                      <w:highlight w:val="none"/>
                    </w:rPr>
                  </w:pPr>
                  <w:r>
                    <w:rPr>
                      <w:color w:val="auto"/>
                      <w:szCs w:val="21"/>
                      <w:highlight w:val="none"/>
                    </w:rPr>
                    <w:t>1</w:t>
                  </w:r>
                </w:p>
              </w:tc>
              <w:tc>
                <w:tcPr>
                  <w:tcW w:w="526" w:type="pct"/>
                  <w:vMerge w:val="restart"/>
                  <w:tcBorders>
                    <w:tl2br w:val="nil"/>
                    <w:tr2bl w:val="nil"/>
                  </w:tcBorders>
                  <w:vAlign w:val="center"/>
                </w:tcPr>
                <w:p w14:paraId="32AE1FF6">
                  <w:pPr>
                    <w:jc w:val="center"/>
                    <w:rPr>
                      <w:rFonts w:ascii="宋体" w:hAnsi="宋体"/>
                      <w:color w:val="auto"/>
                      <w:szCs w:val="21"/>
                      <w:highlight w:val="none"/>
                    </w:rPr>
                  </w:pPr>
                  <w:r>
                    <w:rPr>
                      <w:rFonts w:ascii="宋体" w:hAnsi="宋体"/>
                      <w:color w:val="auto"/>
                      <w:szCs w:val="21"/>
                      <w:highlight w:val="none"/>
                    </w:rPr>
                    <w:t>危废仓库</w:t>
                  </w:r>
                </w:p>
              </w:tc>
              <w:tc>
                <w:tcPr>
                  <w:tcW w:w="508" w:type="pct"/>
                  <w:tcBorders>
                    <w:tl2br w:val="nil"/>
                    <w:tr2bl w:val="nil"/>
                  </w:tcBorders>
                  <w:vAlign w:val="center"/>
                </w:tcPr>
                <w:p w14:paraId="2ABDE3AE">
                  <w:pPr>
                    <w:pStyle w:val="79"/>
                    <w:spacing w:line="240" w:lineRule="auto"/>
                    <w:rPr>
                      <w:rFonts w:hAnsi="宋体"/>
                      <w:color w:val="auto"/>
                      <w:sz w:val="21"/>
                      <w:szCs w:val="21"/>
                      <w:highlight w:val="none"/>
                    </w:rPr>
                  </w:pPr>
                  <w:r>
                    <w:rPr>
                      <w:rFonts w:hint="eastAsia"/>
                      <w:color w:val="auto"/>
                      <w:kern w:val="24"/>
                      <w:sz w:val="21"/>
                      <w:szCs w:val="21"/>
                      <w:highlight w:val="none"/>
                      <w:lang w:val="en-US"/>
                    </w:rPr>
                    <w:t>废胶</w:t>
                  </w:r>
                </w:p>
              </w:tc>
              <w:tc>
                <w:tcPr>
                  <w:tcW w:w="439" w:type="pct"/>
                  <w:tcBorders>
                    <w:tl2br w:val="nil"/>
                    <w:tr2bl w:val="nil"/>
                  </w:tcBorders>
                  <w:vAlign w:val="center"/>
                </w:tcPr>
                <w:p w14:paraId="10A4C69C">
                  <w:pPr>
                    <w:adjustRightInd w:val="0"/>
                    <w:snapToGrid w:val="0"/>
                    <w:jc w:val="center"/>
                    <w:rPr>
                      <w:color w:val="auto"/>
                      <w:szCs w:val="21"/>
                      <w:highlight w:val="none"/>
                    </w:rPr>
                  </w:pPr>
                  <w:r>
                    <w:rPr>
                      <w:rFonts w:hint="eastAsia"/>
                      <w:bCs/>
                      <w:color w:val="auto"/>
                      <w:szCs w:val="21"/>
                      <w:highlight w:val="none"/>
                    </w:rPr>
                    <w:t>HW13</w:t>
                  </w:r>
                </w:p>
              </w:tc>
              <w:tc>
                <w:tcPr>
                  <w:tcW w:w="557" w:type="pct"/>
                  <w:tcBorders>
                    <w:tl2br w:val="nil"/>
                    <w:tr2bl w:val="nil"/>
                  </w:tcBorders>
                  <w:vAlign w:val="center"/>
                </w:tcPr>
                <w:p w14:paraId="38AEFD14">
                  <w:pPr>
                    <w:adjustRightInd w:val="0"/>
                    <w:snapToGrid w:val="0"/>
                    <w:jc w:val="center"/>
                    <w:rPr>
                      <w:color w:val="auto"/>
                      <w:szCs w:val="21"/>
                      <w:highlight w:val="none"/>
                    </w:rPr>
                  </w:pPr>
                  <w:r>
                    <w:rPr>
                      <w:rFonts w:hint="eastAsia"/>
                      <w:bCs/>
                      <w:color w:val="auto"/>
                      <w:szCs w:val="21"/>
                      <w:highlight w:val="none"/>
                    </w:rPr>
                    <w:t>900-014-13</w:t>
                  </w:r>
                </w:p>
              </w:tc>
              <w:tc>
                <w:tcPr>
                  <w:tcW w:w="321" w:type="pct"/>
                  <w:tcBorders>
                    <w:tl2br w:val="nil"/>
                    <w:tr2bl w:val="nil"/>
                  </w:tcBorders>
                  <w:vAlign w:val="center"/>
                </w:tcPr>
                <w:p w14:paraId="58B76A42">
                  <w:pPr>
                    <w:adjustRightInd w:val="0"/>
                    <w:snapToGrid w:val="0"/>
                    <w:jc w:val="center"/>
                    <w:rPr>
                      <w:rFonts w:hint="eastAsia"/>
                      <w:bCs/>
                      <w:color w:val="auto"/>
                      <w:szCs w:val="21"/>
                      <w:highlight w:val="none"/>
                      <w:lang w:eastAsia="zh-Hans"/>
                    </w:rPr>
                  </w:pPr>
                  <w:r>
                    <w:rPr>
                      <w:rFonts w:hint="eastAsia"/>
                      <w:bCs/>
                      <w:color w:val="auto"/>
                      <w:szCs w:val="21"/>
                      <w:highlight w:val="none"/>
                      <w:lang w:eastAsia="zh-Hans"/>
                    </w:rPr>
                    <w:t>1.21</w:t>
                  </w:r>
                </w:p>
              </w:tc>
              <w:tc>
                <w:tcPr>
                  <w:tcW w:w="318" w:type="pct"/>
                  <w:vMerge w:val="restart"/>
                  <w:tcBorders>
                    <w:tl2br w:val="nil"/>
                    <w:tr2bl w:val="nil"/>
                  </w:tcBorders>
                  <w:vAlign w:val="center"/>
                </w:tcPr>
                <w:p w14:paraId="3CE5C6D8">
                  <w:pPr>
                    <w:jc w:val="center"/>
                    <w:rPr>
                      <w:rFonts w:ascii="宋体" w:hAnsi="宋体"/>
                      <w:color w:val="auto"/>
                      <w:szCs w:val="21"/>
                      <w:highlight w:val="none"/>
                    </w:rPr>
                  </w:pPr>
                  <w:r>
                    <w:rPr>
                      <w:rFonts w:ascii="宋体" w:hAnsi="宋体"/>
                      <w:color w:val="auto"/>
                      <w:szCs w:val="21"/>
                      <w:highlight w:val="none"/>
                    </w:rPr>
                    <w:t>厂区</w:t>
                  </w:r>
                  <w:r>
                    <w:rPr>
                      <w:rFonts w:hint="eastAsia" w:ascii="宋体" w:hAnsi="宋体"/>
                      <w:color w:val="auto"/>
                      <w:szCs w:val="21"/>
                      <w:highlight w:val="none"/>
                    </w:rPr>
                    <w:t>东</w:t>
                  </w:r>
                  <w:r>
                    <w:rPr>
                      <w:rFonts w:ascii="宋体" w:hAnsi="宋体"/>
                      <w:color w:val="auto"/>
                      <w:szCs w:val="21"/>
                      <w:highlight w:val="none"/>
                    </w:rPr>
                    <w:t>侧</w:t>
                  </w:r>
                </w:p>
              </w:tc>
              <w:tc>
                <w:tcPr>
                  <w:tcW w:w="466" w:type="pct"/>
                  <w:vMerge w:val="restart"/>
                  <w:tcBorders>
                    <w:tl2br w:val="nil"/>
                    <w:tr2bl w:val="nil"/>
                  </w:tcBorders>
                  <w:vAlign w:val="center"/>
                </w:tcPr>
                <w:p w14:paraId="74117ED0">
                  <w:pPr>
                    <w:jc w:val="center"/>
                    <w:rPr>
                      <w:color w:val="auto"/>
                      <w:szCs w:val="21"/>
                      <w:highlight w:val="none"/>
                    </w:rPr>
                  </w:pPr>
                  <w:r>
                    <w:rPr>
                      <w:rFonts w:hint="eastAsia"/>
                      <w:color w:val="auto"/>
                      <w:szCs w:val="21"/>
                      <w:highlight w:val="none"/>
                    </w:rPr>
                    <w:t>30</w:t>
                  </w:r>
                </w:p>
              </w:tc>
              <w:tc>
                <w:tcPr>
                  <w:tcW w:w="673" w:type="pct"/>
                  <w:tcBorders>
                    <w:tl2br w:val="nil"/>
                    <w:tr2bl w:val="nil"/>
                  </w:tcBorders>
                  <w:vAlign w:val="center"/>
                </w:tcPr>
                <w:p w14:paraId="73A4C7C8">
                  <w:pPr>
                    <w:jc w:val="center"/>
                    <w:rPr>
                      <w:color w:val="auto"/>
                      <w:szCs w:val="21"/>
                      <w:highlight w:val="none"/>
                    </w:rPr>
                  </w:pPr>
                  <w:r>
                    <w:rPr>
                      <w:rFonts w:hint="eastAsia"/>
                      <w:color w:val="auto"/>
                      <w:szCs w:val="21"/>
                      <w:highlight w:val="none"/>
                    </w:rPr>
                    <w:t>密闭容器储存</w:t>
                  </w:r>
                </w:p>
              </w:tc>
              <w:tc>
                <w:tcPr>
                  <w:tcW w:w="561" w:type="pct"/>
                  <w:vMerge w:val="restart"/>
                  <w:tcBorders>
                    <w:tl2br w:val="nil"/>
                    <w:tr2bl w:val="nil"/>
                  </w:tcBorders>
                  <w:vAlign w:val="center"/>
                </w:tcPr>
                <w:p w14:paraId="193079D8">
                  <w:pPr>
                    <w:jc w:val="center"/>
                    <w:rPr>
                      <w:color w:val="auto"/>
                      <w:szCs w:val="21"/>
                      <w:highlight w:val="none"/>
                    </w:rPr>
                  </w:pPr>
                  <w:r>
                    <w:rPr>
                      <w:color w:val="auto"/>
                      <w:szCs w:val="21"/>
                      <w:highlight w:val="none"/>
                    </w:rPr>
                    <w:t>30</w:t>
                  </w:r>
                </w:p>
              </w:tc>
              <w:tc>
                <w:tcPr>
                  <w:tcW w:w="417" w:type="pct"/>
                  <w:tcBorders>
                    <w:tl2br w:val="nil"/>
                    <w:tr2bl w:val="nil"/>
                  </w:tcBorders>
                  <w:vAlign w:val="center"/>
                </w:tcPr>
                <w:p w14:paraId="728E0DA6">
                  <w:pPr>
                    <w:jc w:val="center"/>
                    <w:rPr>
                      <w:color w:val="auto"/>
                      <w:szCs w:val="21"/>
                      <w:highlight w:val="none"/>
                    </w:rPr>
                  </w:pPr>
                  <w:r>
                    <w:rPr>
                      <w:rFonts w:hint="eastAsia"/>
                      <w:color w:val="auto"/>
                      <w:szCs w:val="21"/>
                      <w:highlight w:val="none"/>
                    </w:rPr>
                    <w:t>6个月</w:t>
                  </w:r>
                </w:p>
              </w:tc>
            </w:tr>
            <w:tr w14:paraId="3C3FD0D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6128F17F">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p>
              </w:tc>
              <w:tc>
                <w:tcPr>
                  <w:tcW w:w="526" w:type="pct"/>
                  <w:vMerge w:val="continue"/>
                  <w:tcBorders>
                    <w:tl2br w:val="nil"/>
                    <w:tr2bl w:val="nil"/>
                  </w:tcBorders>
                  <w:vAlign w:val="center"/>
                </w:tcPr>
                <w:p w14:paraId="0D324C5D">
                  <w:pPr>
                    <w:jc w:val="center"/>
                    <w:rPr>
                      <w:rFonts w:ascii="宋体" w:hAnsi="宋体"/>
                      <w:color w:val="auto"/>
                      <w:szCs w:val="21"/>
                      <w:highlight w:val="none"/>
                    </w:rPr>
                  </w:pPr>
                </w:p>
              </w:tc>
              <w:tc>
                <w:tcPr>
                  <w:tcW w:w="508" w:type="pct"/>
                  <w:tcBorders>
                    <w:tl2br w:val="nil"/>
                    <w:tr2bl w:val="nil"/>
                  </w:tcBorders>
                  <w:vAlign w:val="center"/>
                </w:tcPr>
                <w:p w14:paraId="6933795E">
                  <w:pPr>
                    <w:pStyle w:val="79"/>
                    <w:spacing w:line="240" w:lineRule="auto"/>
                    <w:rPr>
                      <w:rFonts w:hint="eastAsia" w:eastAsia="宋体"/>
                      <w:color w:val="auto"/>
                      <w:kern w:val="24"/>
                      <w:sz w:val="21"/>
                      <w:szCs w:val="21"/>
                      <w:highlight w:val="none"/>
                      <w:lang w:val="en-US" w:eastAsia="zh-Hans"/>
                    </w:rPr>
                  </w:pPr>
                  <w:r>
                    <w:rPr>
                      <w:rFonts w:hint="eastAsia"/>
                      <w:color w:val="auto"/>
                      <w:kern w:val="24"/>
                      <w:sz w:val="21"/>
                      <w:szCs w:val="21"/>
                      <w:highlight w:val="none"/>
                      <w:lang w:val="en-US" w:eastAsia="zh-Hans"/>
                    </w:rPr>
                    <w:t>废粉</w:t>
                  </w:r>
                </w:p>
              </w:tc>
              <w:tc>
                <w:tcPr>
                  <w:tcW w:w="901" w:type="dxa"/>
                  <w:tcBorders>
                    <w:tl2br w:val="nil"/>
                    <w:tr2bl w:val="nil"/>
                  </w:tcBorders>
                  <w:vAlign w:val="center"/>
                </w:tcPr>
                <w:p w14:paraId="10B0AA21">
                  <w:pPr>
                    <w:adjustRightInd w:val="0"/>
                    <w:snapToGrid w:val="0"/>
                    <w:jc w:val="center"/>
                    <w:rPr>
                      <w:rFonts w:hint="eastAsia"/>
                      <w:bCs/>
                      <w:color w:val="auto"/>
                      <w:szCs w:val="21"/>
                      <w:highlight w:val="none"/>
                    </w:rPr>
                  </w:pPr>
                  <w:r>
                    <w:rPr>
                      <w:rFonts w:hint="eastAsia"/>
                      <w:bCs/>
                      <w:color w:val="auto"/>
                      <w:szCs w:val="21"/>
                      <w:highlight w:val="none"/>
                    </w:rPr>
                    <w:t>HW13</w:t>
                  </w:r>
                </w:p>
              </w:tc>
              <w:tc>
                <w:tcPr>
                  <w:tcW w:w="1143" w:type="dxa"/>
                  <w:tcBorders>
                    <w:tl2br w:val="nil"/>
                    <w:tr2bl w:val="nil"/>
                  </w:tcBorders>
                  <w:vAlign w:val="center"/>
                </w:tcPr>
                <w:p w14:paraId="4E9FA3E6">
                  <w:pPr>
                    <w:adjustRightInd w:val="0"/>
                    <w:snapToGrid w:val="0"/>
                    <w:jc w:val="center"/>
                    <w:rPr>
                      <w:rFonts w:hint="eastAsia"/>
                      <w:bCs/>
                      <w:color w:val="auto"/>
                      <w:szCs w:val="21"/>
                      <w:highlight w:val="none"/>
                    </w:rPr>
                  </w:pPr>
                  <w:r>
                    <w:rPr>
                      <w:rFonts w:hint="eastAsia"/>
                      <w:bCs/>
                      <w:color w:val="auto"/>
                      <w:szCs w:val="21"/>
                      <w:highlight w:val="none"/>
                    </w:rPr>
                    <w:t>900-014-13</w:t>
                  </w:r>
                </w:p>
              </w:tc>
              <w:tc>
                <w:tcPr>
                  <w:tcW w:w="321" w:type="pct"/>
                  <w:tcBorders>
                    <w:tl2br w:val="nil"/>
                    <w:tr2bl w:val="nil"/>
                  </w:tcBorders>
                  <w:vAlign w:val="center"/>
                </w:tcPr>
                <w:p w14:paraId="5F779951">
                  <w:pPr>
                    <w:adjustRightInd w:val="0"/>
                    <w:snapToGrid w:val="0"/>
                    <w:jc w:val="center"/>
                    <w:rPr>
                      <w:rFonts w:hint="eastAsia"/>
                      <w:bCs/>
                      <w:color w:val="auto"/>
                      <w:szCs w:val="21"/>
                      <w:highlight w:val="none"/>
                      <w:lang w:eastAsia="zh-Hans"/>
                    </w:rPr>
                  </w:pPr>
                  <w:r>
                    <w:rPr>
                      <w:rFonts w:hint="default"/>
                      <w:bCs/>
                      <w:color w:val="auto"/>
                      <w:szCs w:val="21"/>
                      <w:highlight w:val="none"/>
                      <w:lang w:eastAsia="zh-Hans"/>
                    </w:rPr>
                    <w:t>2.139</w:t>
                  </w:r>
                </w:p>
              </w:tc>
              <w:tc>
                <w:tcPr>
                  <w:tcW w:w="318" w:type="pct"/>
                  <w:vMerge w:val="continue"/>
                  <w:tcBorders>
                    <w:tl2br w:val="nil"/>
                    <w:tr2bl w:val="nil"/>
                  </w:tcBorders>
                  <w:vAlign w:val="center"/>
                </w:tcPr>
                <w:p w14:paraId="43175681">
                  <w:pPr>
                    <w:jc w:val="center"/>
                    <w:rPr>
                      <w:rFonts w:ascii="宋体" w:hAnsi="宋体"/>
                      <w:color w:val="auto"/>
                      <w:szCs w:val="21"/>
                      <w:highlight w:val="none"/>
                    </w:rPr>
                  </w:pPr>
                </w:p>
              </w:tc>
              <w:tc>
                <w:tcPr>
                  <w:tcW w:w="466" w:type="pct"/>
                  <w:vMerge w:val="continue"/>
                  <w:tcBorders>
                    <w:tl2br w:val="nil"/>
                    <w:tr2bl w:val="nil"/>
                  </w:tcBorders>
                  <w:vAlign w:val="center"/>
                </w:tcPr>
                <w:p w14:paraId="1AC53077">
                  <w:pPr>
                    <w:jc w:val="center"/>
                    <w:rPr>
                      <w:rFonts w:hint="eastAsia"/>
                      <w:color w:val="auto"/>
                      <w:szCs w:val="21"/>
                      <w:highlight w:val="none"/>
                    </w:rPr>
                  </w:pPr>
                </w:p>
              </w:tc>
              <w:tc>
                <w:tcPr>
                  <w:tcW w:w="673" w:type="pct"/>
                  <w:tcBorders>
                    <w:tl2br w:val="nil"/>
                    <w:tr2bl w:val="nil"/>
                  </w:tcBorders>
                  <w:vAlign w:val="center"/>
                </w:tcPr>
                <w:p w14:paraId="54AC09D8">
                  <w:pPr>
                    <w:jc w:val="center"/>
                    <w:rPr>
                      <w:rFonts w:hint="eastAsia"/>
                      <w:color w:val="auto"/>
                      <w:szCs w:val="21"/>
                      <w:highlight w:val="none"/>
                    </w:rPr>
                  </w:pPr>
                  <w:r>
                    <w:rPr>
                      <w:rFonts w:hint="eastAsia"/>
                      <w:color w:val="auto"/>
                      <w:szCs w:val="21"/>
                      <w:highlight w:val="none"/>
                    </w:rPr>
                    <w:t>密闭容器储存</w:t>
                  </w:r>
                </w:p>
              </w:tc>
              <w:tc>
                <w:tcPr>
                  <w:tcW w:w="561" w:type="pct"/>
                  <w:vMerge w:val="continue"/>
                  <w:tcBorders>
                    <w:tl2br w:val="nil"/>
                    <w:tr2bl w:val="nil"/>
                  </w:tcBorders>
                  <w:vAlign w:val="center"/>
                </w:tcPr>
                <w:p w14:paraId="1AAA2EAE">
                  <w:pPr>
                    <w:jc w:val="center"/>
                    <w:rPr>
                      <w:color w:val="auto"/>
                      <w:szCs w:val="21"/>
                      <w:highlight w:val="none"/>
                    </w:rPr>
                  </w:pPr>
                </w:p>
              </w:tc>
              <w:tc>
                <w:tcPr>
                  <w:tcW w:w="417" w:type="pct"/>
                  <w:tcBorders>
                    <w:tl2br w:val="nil"/>
                    <w:tr2bl w:val="nil"/>
                  </w:tcBorders>
                  <w:vAlign w:val="center"/>
                </w:tcPr>
                <w:p w14:paraId="56664ADE">
                  <w:pPr>
                    <w:jc w:val="center"/>
                    <w:rPr>
                      <w:rFonts w:hint="eastAsia"/>
                      <w:color w:val="auto"/>
                      <w:szCs w:val="21"/>
                      <w:highlight w:val="none"/>
                    </w:rPr>
                  </w:pPr>
                  <w:r>
                    <w:rPr>
                      <w:rFonts w:hint="default"/>
                      <w:color w:val="auto"/>
                      <w:szCs w:val="21"/>
                      <w:highlight w:val="none"/>
                    </w:rPr>
                    <w:t>6</w:t>
                  </w:r>
                  <w:r>
                    <w:rPr>
                      <w:rFonts w:hint="eastAsia"/>
                      <w:color w:val="auto"/>
                      <w:szCs w:val="21"/>
                      <w:highlight w:val="none"/>
                      <w:lang w:val="en-US" w:eastAsia="zh-Hans"/>
                    </w:rPr>
                    <w:t>个月</w:t>
                  </w:r>
                </w:p>
              </w:tc>
            </w:tr>
            <w:tr w14:paraId="2900DD9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472B35A5">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p>
              </w:tc>
              <w:tc>
                <w:tcPr>
                  <w:tcW w:w="526" w:type="pct"/>
                  <w:vMerge w:val="continue"/>
                  <w:tcBorders>
                    <w:tl2br w:val="nil"/>
                    <w:tr2bl w:val="nil"/>
                  </w:tcBorders>
                  <w:vAlign w:val="center"/>
                </w:tcPr>
                <w:p w14:paraId="6E67E196">
                  <w:pPr>
                    <w:jc w:val="center"/>
                    <w:rPr>
                      <w:rFonts w:ascii="宋体" w:hAnsi="宋体"/>
                      <w:color w:val="auto"/>
                      <w:szCs w:val="21"/>
                      <w:highlight w:val="none"/>
                    </w:rPr>
                  </w:pPr>
                </w:p>
              </w:tc>
              <w:tc>
                <w:tcPr>
                  <w:tcW w:w="508" w:type="pct"/>
                  <w:tcBorders>
                    <w:tl2br w:val="nil"/>
                    <w:tr2bl w:val="nil"/>
                  </w:tcBorders>
                  <w:vAlign w:val="center"/>
                </w:tcPr>
                <w:p w14:paraId="27081086">
                  <w:pPr>
                    <w:pStyle w:val="79"/>
                    <w:spacing w:line="240" w:lineRule="auto"/>
                    <w:rPr>
                      <w:rFonts w:hAnsi="宋体"/>
                      <w:color w:val="auto"/>
                      <w:kern w:val="24"/>
                      <w:sz w:val="21"/>
                      <w:szCs w:val="21"/>
                      <w:highlight w:val="none"/>
                    </w:rPr>
                  </w:pPr>
                  <w:r>
                    <w:rPr>
                      <w:rFonts w:ascii="Times New Roman"/>
                      <w:color w:val="auto"/>
                      <w:kern w:val="24"/>
                      <w:sz w:val="21"/>
                      <w:szCs w:val="21"/>
                      <w:highlight w:val="none"/>
                      <w:lang w:val="en-US"/>
                    </w:rPr>
                    <w:t>废</w:t>
                  </w:r>
                  <w:r>
                    <w:rPr>
                      <w:rFonts w:hint="eastAsia" w:ascii="Times New Roman"/>
                      <w:color w:val="auto"/>
                      <w:kern w:val="24"/>
                      <w:sz w:val="21"/>
                      <w:szCs w:val="21"/>
                      <w:highlight w:val="none"/>
                      <w:lang w:val="en-US"/>
                    </w:rPr>
                    <w:t>包装桶</w:t>
                  </w:r>
                </w:p>
              </w:tc>
              <w:tc>
                <w:tcPr>
                  <w:tcW w:w="439" w:type="pct"/>
                  <w:tcBorders>
                    <w:tl2br w:val="nil"/>
                    <w:tr2bl w:val="nil"/>
                  </w:tcBorders>
                  <w:vAlign w:val="center"/>
                </w:tcPr>
                <w:p w14:paraId="1720ACC9">
                  <w:pPr>
                    <w:adjustRightInd w:val="0"/>
                    <w:snapToGrid w:val="0"/>
                    <w:jc w:val="center"/>
                    <w:rPr>
                      <w:bCs/>
                      <w:color w:val="auto"/>
                      <w:szCs w:val="21"/>
                      <w:highlight w:val="none"/>
                    </w:rPr>
                  </w:pPr>
                  <w:r>
                    <w:rPr>
                      <w:rFonts w:hint="eastAsia"/>
                      <w:bCs/>
                      <w:color w:val="auto"/>
                      <w:szCs w:val="21"/>
                      <w:highlight w:val="none"/>
                    </w:rPr>
                    <w:t>HW49</w:t>
                  </w:r>
                </w:p>
              </w:tc>
              <w:tc>
                <w:tcPr>
                  <w:tcW w:w="557" w:type="pct"/>
                  <w:tcBorders>
                    <w:tl2br w:val="nil"/>
                    <w:tr2bl w:val="nil"/>
                  </w:tcBorders>
                  <w:vAlign w:val="center"/>
                </w:tcPr>
                <w:p w14:paraId="5383B6BD">
                  <w:pPr>
                    <w:adjustRightInd w:val="0"/>
                    <w:snapToGrid w:val="0"/>
                    <w:jc w:val="center"/>
                    <w:rPr>
                      <w:bCs/>
                      <w:color w:val="auto"/>
                      <w:szCs w:val="21"/>
                      <w:highlight w:val="none"/>
                    </w:rPr>
                  </w:pPr>
                  <w:r>
                    <w:rPr>
                      <w:rFonts w:hint="eastAsia"/>
                      <w:bCs/>
                      <w:color w:val="auto"/>
                      <w:szCs w:val="21"/>
                      <w:highlight w:val="none"/>
                    </w:rPr>
                    <w:t>900-041-49</w:t>
                  </w:r>
                </w:p>
              </w:tc>
              <w:tc>
                <w:tcPr>
                  <w:tcW w:w="321" w:type="pct"/>
                  <w:tcBorders>
                    <w:tl2br w:val="nil"/>
                    <w:tr2bl w:val="nil"/>
                  </w:tcBorders>
                  <w:vAlign w:val="center"/>
                </w:tcPr>
                <w:p w14:paraId="7DCD0DBA">
                  <w:pPr>
                    <w:adjustRightInd w:val="0"/>
                    <w:snapToGrid w:val="0"/>
                    <w:jc w:val="center"/>
                    <w:rPr>
                      <w:rFonts w:hint="eastAsia"/>
                      <w:bCs/>
                      <w:color w:val="auto"/>
                      <w:szCs w:val="21"/>
                      <w:highlight w:val="none"/>
                      <w:lang w:eastAsia="zh-Hans"/>
                    </w:rPr>
                  </w:pPr>
                  <w:r>
                    <w:rPr>
                      <w:rFonts w:hint="eastAsia"/>
                      <w:bCs/>
                      <w:color w:val="auto"/>
                      <w:szCs w:val="21"/>
                      <w:highlight w:val="none"/>
                      <w:lang w:eastAsia="zh-Hans"/>
                    </w:rPr>
                    <w:t>0.545</w:t>
                  </w:r>
                </w:p>
              </w:tc>
              <w:tc>
                <w:tcPr>
                  <w:tcW w:w="318" w:type="pct"/>
                  <w:vMerge w:val="continue"/>
                  <w:tcBorders>
                    <w:tl2br w:val="nil"/>
                    <w:tr2bl w:val="nil"/>
                  </w:tcBorders>
                  <w:vAlign w:val="center"/>
                </w:tcPr>
                <w:p w14:paraId="78A43765">
                  <w:pPr>
                    <w:jc w:val="center"/>
                    <w:rPr>
                      <w:rFonts w:ascii="宋体" w:hAnsi="宋体"/>
                      <w:color w:val="auto"/>
                      <w:szCs w:val="21"/>
                      <w:highlight w:val="none"/>
                    </w:rPr>
                  </w:pPr>
                </w:p>
              </w:tc>
              <w:tc>
                <w:tcPr>
                  <w:tcW w:w="466" w:type="pct"/>
                  <w:vMerge w:val="continue"/>
                  <w:tcBorders>
                    <w:tl2br w:val="nil"/>
                    <w:tr2bl w:val="nil"/>
                  </w:tcBorders>
                  <w:vAlign w:val="center"/>
                </w:tcPr>
                <w:p w14:paraId="736E8F45">
                  <w:pPr>
                    <w:jc w:val="center"/>
                    <w:rPr>
                      <w:color w:val="auto"/>
                      <w:szCs w:val="21"/>
                      <w:highlight w:val="none"/>
                    </w:rPr>
                  </w:pPr>
                </w:p>
              </w:tc>
              <w:tc>
                <w:tcPr>
                  <w:tcW w:w="673" w:type="pct"/>
                  <w:tcBorders>
                    <w:tl2br w:val="nil"/>
                    <w:tr2bl w:val="nil"/>
                  </w:tcBorders>
                  <w:vAlign w:val="center"/>
                </w:tcPr>
                <w:p w14:paraId="07BD6A18">
                  <w:pPr>
                    <w:jc w:val="center"/>
                    <w:rPr>
                      <w:rFonts w:ascii="宋体" w:hAnsi="宋体"/>
                      <w:color w:val="auto"/>
                      <w:szCs w:val="21"/>
                      <w:highlight w:val="none"/>
                    </w:rPr>
                  </w:pPr>
                  <w:r>
                    <w:rPr>
                      <w:rFonts w:hint="eastAsia"/>
                      <w:color w:val="auto"/>
                      <w:szCs w:val="21"/>
                      <w:highlight w:val="none"/>
                    </w:rPr>
                    <w:t>密闭储存</w:t>
                  </w:r>
                </w:p>
              </w:tc>
              <w:tc>
                <w:tcPr>
                  <w:tcW w:w="561" w:type="pct"/>
                  <w:vMerge w:val="continue"/>
                  <w:tcBorders>
                    <w:tl2br w:val="nil"/>
                    <w:tr2bl w:val="nil"/>
                  </w:tcBorders>
                  <w:vAlign w:val="center"/>
                </w:tcPr>
                <w:p w14:paraId="65835C38">
                  <w:pPr>
                    <w:jc w:val="center"/>
                    <w:rPr>
                      <w:color w:val="auto"/>
                      <w:szCs w:val="21"/>
                      <w:highlight w:val="none"/>
                    </w:rPr>
                  </w:pPr>
                </w:p>
              </w:tc>
              <w:tc>
                <w:tcPr>
                  <w:tcW w:w="417" w:type="pct"/>
                  <w:tcBorders>
                    <w:tl2br w:val="nil"/>
                    <w:tr2bl w:val="nil"/>
                  </w:tcBorders>
                  <w:vAlign w:val="center"/>
                </w:tcPr>
                <w:p w14:paraId="40C5C742">
                  <w:pPr>
                    <w:jc w:val="center"/>
                    <w:rPr>
                      <w:color w:val="auto"/>
                      <w:szCs w:val="21"/>
                      <w:highlight w:val="none"/>
                    </w:rPr>
                  </w:pPr>
                  <w:r>
                    <w:rPr>
                      <w:rFonts w:hint="eastAsia"/>
                      <w:color w:val="auto"/>
                      <w:szCs w:val="21"/>
                      <w:highlight w:val="none"/>
                    </w:rPr>
                    <w:t>6个月</w:t>
                  </w:r>
                </w:p>
              </w:tc>
            </w:tr>
            <w:tr w14:paraId="22C1548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393D226C">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4</w:t>
                  </w:r>
                </w:p>
              </w:tc>
              <w:tc>
                <w:tcPr>
                  <w:tcW w:w="526" w:type="pct"/>
                  <w:vMerge w:val="continue"/>
                  <w:tcBorders>
                    <w:tl2br w:val="nil"/>
                    <w:tr2bl w:val="nil"/>
                  </w:tcBorders>
                  <w:vAlign w:val="center"/>
                </w:tcPr>
                <w:p w14:paraId="078C5EBC">
                  <w:pPr>
                    <w:jc w:val="center"/>
                    <w:rPr>
                      <w:rFonts w:ascii="宋体" w:hAnsi="宋体"/>
                      <w:color w:val="auto"/>
                      <w:szCs w:val="21"/>
                      <w:highlight w:val="none"/>
                    </w:rPr>
                  </w:pPr>
                </w:p>
              </w:tc>
              <w:tc>
                <w:tcPr>
                  <w:tcW w:w="508" w:type="pct"/>
                  <w:tcBorders>
                    <w:tl2br w:val="nil"/>
                    <w:tr2bl w:val="nil"/>
                  </w:tcBorders>
                  <w:vAlign w:val="center"/>
                </w:tcPr>
                <w:p w14:paraId="6AE77B94">
                  <w:pPr>
                    <w:pStyle w:val="79"/>
                    <w:spacing w:line="240" w:lineRule="auto"/>
                    <w:rPr>
                      <w:rFonts w:hAnsi="宋体"/>
                      <w:color w:val="auto"/>
                      <w:kern w:val="24"/>
                      <w:sz w:val="21"/>
                      <w:szCs w:val="21"/>
                      <w:highlight w:val="none"/>
                    </w:rPr>
                  </w:pPr>
                  <w:r>
                    <w:rPr>
                      <w:rFonts w:ascii="Times New Roman"/>
                      <w:bCs/>
                      <w:snapToGrid w:val="0"/>
                      <w:color w:val="auto"/>
                      <w:sz w:val="21"/>
                      <w:szCs w:val="21"/>
                      <w:highlight w:val="none"/>
                      <w:lang w:val="en-US"/>
                    </w:rPr>
                    <w:t>废</w:t>
                  </w:r>
                  <w:r>
                    <w:rPr>
                      <w:rFonts w:hint="eastAsia" w:ascii="Times New Roman"/>
                      <w:bCs/>
                      <w:snapToGrid w:val="0"/>
                      <w:color w:val="auto"/>
                      <w:sz w:val="21"/>
                      <w:szCs w:val="21"/>
                      <w:highlight w:val="none"/>
                      <w:lang w:val="en-US"/>
                    </w:rPr>
                    <w:t>活性炭</w:t>
                  </w:r>
                </w:p>
              </w:tc>
              <w:tc>
                <w:tcPr>
                  <w:tcW w:w="439" w:type="pct"/>
                  <w:tcBorders>
                    <w:tl2br w:val="nil"/>
                    <w:tr2bl w:val="nil"/>
                  </w:tcBorders>
                  <w:vAlign w:val="center"/>
                </w:tcPr>
                <w:p w14:paraId="3DBC3B21">
                  <w:pPr>
                    <w:adjustRightInd w:val="0"/>
                    <w:snapToGrid w:val="0"/>
                    <w:jc w:val="center"/>
                    <w:rPr>
                      <w:bCs/>
                      <w:color w:val="auto"/>
                      <w:szCs w:val="21"/>
                      <w:highlight w:val="none"/>
                    </w:rPr>
                  </w:pPr>
                  <w:r>
                    <w:rPr>
                      <w:bCs/>
                      <w:color w:val="auto"/>
                      <w:szCs w:val="21"/>
                      <w:highlight w:val="none"/>
                    </w:rPr>
                    <w:t>HW49</w:t>
                  </w:r>
                </w:p>
              </w:tc>
              <w:tc>
                <w:tcPr>
                  <w:tcW w:w="557" w:type="pct"/>
                  <w:tcBorders>
                    <w:tl2br w:val="nil"/>
                    <w:tr2bl w:val="nil"/>
                  </w:tcBorders>
                  <w:vAlign w:val="center"/>
                </w:tcPr>
                <w:p w14:paraId="22F110FF">
                  <w:pPr>
                    <w:adjustRightInd w:val="0"/>
                    <w:snapToGrid w:val="0"/>
                    <w:jc w:val="center"/>
                    <w:rPr>
                      <w:bCs/>
                      <w:color w:val="auto"/>
                      <w:szCs w:val="21"/>
                      <w:highlight w:val="none"/>
                    </w:rPr>
                  </w:pPr>
                  <w:r>
                    <w:rPr>
                      <w:bCs/>
                      <w:color w:val="auto"/>
                      <w:szCs w:val="21"/>
                      <w:highlight w:val="none"/>
                    </w:rPr>
                    <w:t>900-039-49</w:t>
                  </w:r>
                </w:p>
              </w:tc>
              <w:tc>
                <w:tcPr>
                  <w:tcW w:w="321" w:type="pct"/>
                  <w:tcBorders>
                    <w:tl2br w:val="nil"/>
                    <w:tr2bl w:val="nil"/>
                  </w:tcBorders>
                  <w:vAlign w:val="center"/>
                </w:tcPr>
                <w:p w14:paraId="11D79A5B">
                  <w:pPr>
                    <w:adjustRightInd w:val="0"/>
                    <w:snapToGrid w:val="0"/>
                    <w:jc w:val="center"/>
                    <w:rPr>
                      <w:rFonts w:hint="eastAsia"/>
                      <w:bCs/>
                      <w:color w:val="auto"/>
                      <w:szCs w:val="21"/>
                      <w:highlight w:val="none"/>
                      <w:lang w:eastAsia="zh-Hans"/>
                    </w:rPr>
                  </w:pPr>
                  <w:r>
                    <w:rPr>
                      <w:rFonts w:hint="default"/>
                      <w:bCs/>
                      <w:color w:val="auto"/>
                      <w:szCs w:val="21"/>
                      <w:highlight w:val="none"/>
                      <w:lang w:eastAsia="zh-Hans"/>
                    </w:rPr>
                    <w:t>44.0901</w:t>
                  </w:r>
                </w:p>
              </w:tc>
              <w:tc>
                <w:tcPr>
                  <w:tcW w:w="318" w:type="pct"/>
                  <w:vMerge w:val="continue"/>
                  <w:tcBorders>
                    <w:tl2br w:val="nil"/>
                    <w:tr2bl w:val="nil"/>
                  </w:tcBorders>
                  <w:vAlign w:val="center"/>
                </w:tcPr>
                <w:p w14:paraId="7028FC67">
                  <w:pPr>
                    <w:jc w:val="center"/>
                    <w:rPr>
                      <w:rFonts w:ascii="宋体" w:hAnsi="宋体"/>
                      <w:color w:val="auto"/>
                      <w:szCs w:val="21"/>
                      <w:highlight w:val="none"/>
                    </w:rPr>
                  </w:pPr>
                </w:p>
              </w:tc>
              <w:tc>
                <w:tcPr>
                  <w:tcW w:w="466" w:type="pct"/>
                  <w:vMerge w:val="continue"/>
                  <w:tcBorders>
                    <w:tl2br w:val="nil"/>
                    <w:tr2bl w:val="nil"/>
                  </w:tcBorders>
                  <w:vAlign w:val="center"/>
                </w:tcPr>
                <w:p w14:paraId="1EF39E45">
                  <w:pPr>
                    <w:jc w:val="center"/>
                    <w:rPr>
                      <w:color w:val="auto"/>
                      <w:szCs w:val="21"/>
                      <w:highlight w:val="none"/>
                    </w:rPr>
                  </w:pPr>
                </w:p>
              </w:tc>
              <w:tc>
                <w:tcPr>
                  <w:tcW w:w="673" w:type="pct"/>
                  <w:tcBorders>
                    <w:tl2br w:val="nil"/>
                    <w:tr2bl w:val="nil"/>
                  </w:tcBorders>
                  <w:vAlign w:val="center"/>
                </w:tcPr>
                <w:p w14:paraId="41739425">
                  <w:pPr>
                    <w:jc w:val="center"/>
                    <w:rPr>
                      <w:rFonts w:ascii="宋体" w:hAnsi="宋体"/>
                      <w:color w:val="auto"/>
                      <w:szCs w:val="21"/>
                      <w:highlight w:val="none"/>
                    </w:rPr>
                  </w:pPr>
                  <w:r>
                    <w:rPr>
                      <w:rFonts w:hint="eastAsia"/>
                      <w:color w:val="auto"/>
                      <w:szCs w:val="21"/>
                      <w:highlight w:val="none"/>
                    </w:rPr>
                    <w:t>密闭容器储存</w:t>
                  </w:r>
                </w:p>
              </w:tc>
              <w:tc>
                <w:tcPr>
                  <w:tcW w:w="561" w:type="pct"/>
                  <w:vMerge w:val="continue"/>
                  <w:tcBorders>
                    <w:tl2br w:val="nil"/>
                    <w:tr2bl w:val="nil"/>
                  </w:tcBorders>
                  <w:vAlign w:val="center"/>
                </w:tcPr>
                <w:p w14:paraId="0D7A1513">
                  <w:pPr>
                    <w:jc w:val="center"/>
                    <w:rPr>
                      <w:color w:val="auto"/>
                      <w:szCs w:val="21"/>
                      <w:highlight w:val="none"/>
                    </w:rPr>
                  </w:pPr>
                </w:p>
              </w:tc>
              <w:tc>
                <w:tcPr>
                  <w:tcW w:w="417" w:type="pct"/>
                  <w:tcBorders>
                    <w:tl2br w:val="nil"/>
                    <w:tr2bl w:val="nil"/>
                  </w:tcBorders>
                  <w:vAlign w:val="center"/>
                </w:tcPr>
                <w:p w14:paraId="02815CA7">
                  <w:pPr>
                    <w:jc w:val="center"/>
                    <w:rPr>
                      <w:color w:val="auto"/>
                      <w:szCs w:val="21"/>
                      <w:highlight w:val="none"/>
                    </w:rPr>
                  </w:pPr>
                  <w:r>
                    <w:rPr>
                      <w:rFonts w:hint="default"/>
                      <w:color w:val="auto"/>
                      <w:szCs w:val="21"/>
                      <w:highlight w:val="none"/>
                    </w:rPr>
                    <w:t>4</w:t>
                  </w:r>
                  <w:r>
                    <w:rPr>
                      <w:rFonts w:hint="eastAsia"/>
                      <w:color w:val="auto"/>
                      <w:szCs w:val="21"/>
                      <w:highlight w:val="none"/>
                    </w:rPr>
                    <w:t>个月</w:t>
                  </w:r>
                </w:p>
              </w:tc>
            </w:tr>
            <w:tr w14:paraId="3B24D3D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62379036">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5</w:t>
                  </w:r>
                </w:p>
              </w:tc>
              <w:tc>
                <w:tcPr>
                  <w:tcW w:w="526" w:type="pct"/>
                  <w:vMerge w:val="continue"/>
                  <w:tcBorders>
                    <w:tl2br w:val="nil"/>
                    <w:tr2bl w:val="nil"/>
                  </w:tcBorders>
                  <w:vAlign w:val="center"/>
                </w:tcPr>
                <w:p w14:paraId="4E8145BD">
                  <w:pPr>
                    <w:jc w:val="center"/>
                    <w:rPr>
                      <w:rFonts w:ascii="宋体" w:hAnsi="宋体"/>
                      <w:color w:val="auto"/>
                      <w:szCs w:val="21"/>
                      <w:highlight w:val="none"/>
                    </w:rPr>
                  </w:pPr>
                </w:p>
              </w:tc>
              <w:tc>
                <w:tcPr>
                  <w:tcW w:w="508" w:type="pct"/>
                  <w:tcBorders>
                    <w:tl2br w:val="nil"/>
                    <w:tr2bl w:val="nil"/>
                  </w:tcBorders>
                  <w:vAlign w:val="center"/>
                </w:tcPr>
                <w:p w14:paraId="04E1E757">
                  <w:pPr>
                    <w:pStyle w:val="79"/>
                    <w:spacing w:line="240" w:lineRule="auto"/>
                    <w:rPr>
                      <w:rFonts w:ascii="Times New Roman"/>
                      <w:bCs/>
                      <w:snapToGrid w:val="0"/>
                      <w:color w:val="auto"/>
                      <w:sz w:val="21"/>
                      <w:szCs w:val="21"/>
                      <w:highlight w:val="none"/>
                      <w:lang w:val="en-US"/>
                    </w:rPr>
                  </w:pPr>
                  <w:r>
                    <w:rPr>
                      <w:rFonts w:hint="eastAsia" w:ascii="Times New Roman"/>
                      <w:bCs/>
                      <w:snapToGrid w:val="0"/>
                      <w:color w:val="auto"/>
                      <w:sz w:val="21"/>
                      <w:szCs w:val="21"/>
                      <w:highlight w:val="none"/>
                      <w:lang w:val="en-US"/>
                    </w:rPr>
                    <w:t>废手套</w:t>
                  </w:r>
                </w:p>
              </w:tc>
              <w:tc>
                <w:tcPr>
                  <w:tcW w:w="439" w:type="pct"/>
                  <w:tcBorders>
                    <w:tl2br w:val="nil"/>
                    <w:tr2bl w:val="nil"/>
                  </w:tcBorders>
                  <w:vAlign w:val="center"/>
                </w:tcPr>
                <w:p w14:paraId="579A989D">
                  <w:pPr>
                    <w:adjustRightInd w:val="0"/>
                    <w:snapToGrid w:val="0"/>
                    <w:jc w:val="center"/>
                    <w:rPr>
                      <w:bCs/>
                      <w:color w:val="auto"/>
                      <w:szCs w:val="21"/>
                      <w:highlight w:val="none"/>
                    </w:rPr>
                  </w:pPr>
                  <w:r>
                    <w:rPr>
                      <w:rFonts w:hint="eastAsia"/>
                      <w:bCs/>
                      <w:color w:val="auto"/>
                      <w:szCs w:val="21"/>
                      <w:highlight w:val="none"/>
                    </w:rPr>
                    <w:t>HW49</w:t>
                  </w:r>
                </w:p>
              </w:tc>
              <w:tc>
                <w:tcPr>
                  <w:tcW w:w="557" w:type="pct"/>
                  <w:tcBorders>
                    <w:tl2br w:val="nil"/>
                    <w:tr2bl w:val="nil"/>
                  </w:tcBorders>
                  <w:vAlign w:val="center"/>
                </w:tcPr>
                <w:p w14:paraId="4AC5C200">
                  <w:pPr>
                    <w:adjustRightInd w:val="0"/>
                    <w:snapToGrid w:val="0"/>
                    <w:jc w:val="center"/>
                    <w:rPr>
                      <w:bCs/>
                      <w:color w:val="auto"/>
                      <w:szCs w:val="21"/>
                      <w:highlight w:val="none"/>
                    </w:rPr>
                  </w:pPr>
                  <w:r>
                    <w:rPr>
                      <w:rFonts w:hint="eastAsia"/>
                      <w:bCs/>
                      <w:color w:val="auto"/>
                      <w:szCs w:val="21"/>
                      <w:highlight w:val="none"/>
                    </w:rPr>
                    <w:t>900-041-49</w:t>
                  </w:r>
                </w:p>
              </w:tc>
              <w:tc>
                <w:tcPr>
                  <w:tcW w:w="321" w:type="pct"/>
                  <w:tcBorders>
                    <w:tl2br w:val="nil"/>
                    <w:tr2bl w:val="nil"/>
                  </w:tcBorders>
                  <w:vAlign w:val="center"/>
                </w:tcPr>
                <w:p w14:paraId="17F81E01">
                  <w:pPr>
                    <w:adjustRightInd w:val="0"/>
                    <w:snapToGrid w:val="0"/>
                    <w:jc w:val="center"/>
                    <w:rPr>
                      <w:rFonts w:hint="eastAsia"/>
                      <w:bCs/>
                      <w:color w:val="auto"/>
                      <w:szCs w:val="21"/>
                      <w:highlight w:val="none"/>
                      <w:lang w:eastAsia="zh-Hans"/>
                    </w:rPr>
                  </w:pPr>
                  <w:r>
                    <w:rPr>
                      <w:rFonts w:hint="eastAsia"/>
                      <w:bCs/>
                      <w:color w:val="auto"/>
                      <w:szCs w:val="21"/>
                      <w:highlight w:val="none"/>
                      <w:lang w:eastAsia="zh-Hans"/>
                    </w:rPr>
                    <w:t>0.02</w:t>
                  </w:r>
                </w:p>
              </w:tc>
              <w:tc>
                <w:tcPr>
                  <w:tcW w:w="318" w:type="pct"/>
                  <w:vMerge w:val="continue"/>
                  <w:tcBorders>
                    <w:tl2br w:val="nil"/>
                    <w:tr2bl w:val="nil"/>
                  </w:tcBorders>
                  <w:vAlign w:val="center"/>
                </w:tcPr>
                <w:p w14:paraId="38ECA7E3">
                  <w:pPr>
                    <w:jc w:val="center"/>
                    <w:rPr>
                      <w:rFonts w:ascii="宋体" w:hAnsi="宋体"/>
                      <w:color w:val="auto"/>
                      <w:szCs w:val="21"/>
                      <w:highlight w:val="none"/>
                    </w:rPr>
                  </w:pPr>
                </w:p>
              </w:tc>
              <w:tc>
                <w:tcPr>
                  <w:tcW w:w="466" w:type="pct"/>
                  <w:vMerge w:val="continue"/>
                  <w:tcBorders>
                    <w:tl2br w:val="nil"/>
                    <w:tr2bl w:val="nil"/>
                  </w:tcBorders>
                  <w:vAlign w:val="center"/>
                </w:tcPr>
                <w:p w14:paraId="141EE0CC">
                  <w:pPr>
                    <w:jc w:val="center"/>
                    <w:rPr>
                      <w:color w:val="auto"/>
                      <w:szCs w:val="21"/>
                      <w:highlight w:val="none"/>
                    </w:rPr>
                  </w:pPr>
                </w:p>
              </w:tc>
              <w:tc>
                <w:tcPr>
                  <w:tcW w:w="673" w:type="pct"/>
                  <w:tcBorders>
                    <w:tl2br w:val="nil"/>
                    <w:tr2bl w:val="nil"/>
                  </w:tcBorders>
                  <w:vAlign w:val="center"/>
                </w:tcPr>
                <w:p w14:paraId="08CD1270">
                  <w:pPr>
                    <w:jc w:val="center"/>
                    <w:rPr>
                      <w:color w:val="auto"/>
                      <w:szCs w:val="21"/>
                      <w:highlight w:val="none"/>
                    </w:rPr>
                  </w:pPr>
                  <w:r>
                    <w:rPr>
                      <w:rFonts w:hint="eastAsia"/>
                      <w:color w:val="auto"/>
                      <w:szCs w:val="21"/>
                      <w:highlight w:val="none"/>
                    </w:rPr>
                    <w:t>密闭容器储存</w:t>
                  </w:r>
                </w:p>
              </w:tc>
              <w:tc>
                <w:tcPr>
                  <w:tcW w:w="561" w:type="pct"/>
                  <w:vMerge w:val="continue"/>
                  <w:tcBorders>
                    <w:tl2br w:val="nil"/>
                    <w:tr2bl w:val="nil"/>
                  </w:tcBorders>
                  <w:vAlign w:val="center"/>
                </w:tcPr>
                <w:p w14:paraId="4F8526C7">
                  <w:pPr>
                    <w:jc w:val="center"/>
                    <w:rPr>
                      <w:color w:val="auto"/>
                      <w:szCs w:val="21"/>
                      <w:highlight w:val="none"/>
                    </w:rPr>
                  </w:pPr>
                </w:p>
              </w:tc>
              <w:tc>
                <w:tcPr>
                  <w:tcW w:w="417" w:type="pct"/>
                  <w:tcBorders>
                    <w:tl2br w:val="nil"/>
                    <w:tr2bl w:val="nil"/>
                  </w:tcBorders>
                  <w:vAlign w:val="center"/>
                </w:tcPr>
                <w:p w14:paraId="5F29642C">
                  <w:pPr>
                    <w:jc w:val="center"/>
                    <w:rPr>
                      <w:color w:val="auto"/>
                      <w:szCs w:val="21"/>
                      <w:highlight w:val="none"/>
                    </w:rPr>
                  </w:pPr>
                  <w:r>
                    <w:rPr>
                      <w:rFonts w:hint="eastAsia"/>
                      <w:color w:val="auto"/>
                      <w:szCs w:val="21"/>
                      <w:highlight w:val="none"/>
                    </w:rPr>
                    <w:t>6个月</w:t>
                  </w:r>
                </w:p>
              </w:tc>
            </w:tr>
            <w:tr w14:paraId="210CC2B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2993D516">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6</w:t>
                  </w:r>
                </w:p>
              </w:tc>
              <w:tc>
                <w:tcPr>
                  <w:tcW w:w="526" w:type="pct"/>
                  <w:vMerge w:val="continue"/>
                  <w:tcBorders>
                    <w:tl2br w:val="nil"/>
                    <w:tr2bl w:val="nil"/>
                  </w:tcBorders>
                  <w:vAlign w:val="center"/>
                </w:tcPr>
                <w:p w14:paraId="021DB8F2">
                  <w:pPr>
                    <w:jc w:val="center"/>
                    <w:rPr>
                      <w:rFonts w:ascii="宋体" w:hAnsi="宋体"/>
                      <w:color w:val="auto"/>
                      <w:szCs w:val="21"/>
                      <w:highlight w:val="none"/>
                    </w:rPr>
                  </w:pPr>
                </w:p>
              </w:tc>
              <w:tc>
                <w:tcPr>
                  <w:tcW w:w="508" w:type="pct"/>
                  <w:tcBorders>
                    <w:tl2br w:val="nil"/>
                    <w:tr2bl w:val="nil"/>
                  </w:tcBorders>
                  <w:vAlign w:val="center"/>
                </w:tcPr>
                <w:p w14:paraId="2E037D71">
                  <w:pPr>
                    <w:pStyle w:val="79"/>
                    <w:spacing w:line="240" w:lineRule="auto"/>
                    <w:rPr>
                      <w:rFonts w:ascii="Times New Roman"/>
                      <w:bCs/>
                      <w:snapToGrid w:val="0"/>
                      <w:color w:val="auto"/>
                      <w:sz w:val="21"/>
                      <w:szCs w:val="21"/>
                      <w:highlight w:val="none"/>
                      <w:lang w:val="en-US" w:eastAsia="zh-Hans"/>
                    </w:rPr>
                  </w:pPr>
                  <w:r>
                    <w:rPr>
                      <w:rFonts w:hint="eastAsia" w:ascii="Times New Roman"/>
                      <w:bCs/>
                      <w:snapToGrid w:val="0"/>
                      <w:color w:val="auto"/>
                      <w:sz w:val="21"/>
                      <w:szCs w:val="21"/>
                      <w:highlight w:val="none"/>
                      <w:lang w:val="en-US" w:eastAsia="zh-Hans"/>
                    </w:rPr>
                    <w:t>废UV灯管</w:t>
                  </w:r>
                </w:p>
              </w:tc>
              <w:tc>
                <w:tcPr>
                  <w:tcW w:w="439" w:type="pct"/>
                  <w:tcBorders>
                    <w:tl2br w:val="nil"/>
                    <w:tr2bl w:val="nil"/>
                  </w:tcBorders>
                  <w:vAlign w:val="center"/>
                </w:tcPr>
                <w:p w14:paraId="4081E243">
                  <w:pPr>
                    <w:adjustRightInd w:val="0"/>
                    <w:snapToGrid w:val="0"/>
                    <w:jc w:val="center"/>
                    <w:rPr>
                      <w:bCs/>
                      <w:color w:val="auto"/>
                      <w:szCs w:val="21"/>
                      <w:highlight w:val="none"/>
                      <w:lang w:eastAsia="zh-Hans"/>
                    </w:rPr>
                  </w:pPr>
                  <w:r>
                    <w:rPr>
                      <w:rFonts w:hint="eastAsia"/>
                      <w:bCs/>
                      <w:color w:val="auto"/>
                      <w:szCs w:val="21"/>
                      <w:highlight w:val="none"/>
                      <w:lang w:eastAsia="zh-Hans"/>
                    </w:rPr>
                    <w:t>HW</w:t>
                  </w:r>
                  <w:r>
                    <w:rPr>
                      <w:bCs/>
                      <w:color w:val="auto"/>
                      <w:szCs w:val="21"/>
                      <w:highlight w:val="none"/>
                      <w:lang w:eastAsia="zh-Hans"/>
                    </w:rPr>
                    <w:t>29</w:t>
                  </w:r>
                </w:p>
              </w:tc>
              <w:tc>
                <w:tcPr>
                  <w:tcW w:w="557" w:type="pct"/>
                  <w:tcBorders>
                    <w:tl2br w:val="nil"/>
                    <w:tr2bl w:val="nil"/>
                  </w:tcBorders>
                  <w:vAlign w:val="center"/>
                </w:tcPr>
                <w:p w14:paraId="5A136DF7">
                  <w:pPr>
                    <w:adjustRightInd w:val="0"/>
                    <w:snapToGrid w:val="0"/>
                    <w:jc w:val="center"/>
                    <w:rPr>
                      <w:bCs/>
                      <w:color w:val="auto"/>
                      <w:szCs w:val="21"/>
                      <w:highlight w:val="none"/>
                    </w:rPr>
                  </w:pPr>
                  <w:r>
                    <w:rPr>
                      <w:bCs/>
                      <w:color w:val="auto"/>
                      <w:szCs w:val="21"/>
                      <w:highlight w:val="none"/>
                    </w:rPr>
                    <w:t>900-023-29</w:t>
                  </w:r>
                </w:p>
              </w:tc>
              <w:tc>
                <w:tcPr>
                  <w:tcW w:w="321" w:type="pct"/>
                  <w:tcBorders>
                    <w:tl2br w:val="nil"/>
                    <w:tr2bl w:val="nil"/>
                  </w:tcBorders>
                  <w:vAlign w:val="center"/>
                </w:tcPr>
                <w:p w14:paraId="2C74CBB5">
                  <w:pPr>
                    <w:adjustRightInd w:val="0"/>
                    <w:snapToGrid w:val="0"/>
                    <w:jc w:val="center"/>
                    <w:rPr>
                      <w:rFonts w:hint="eastAsia"/>
                      <w:bCs/>
                      <w:color w:val="auto"/>
                      <w:szCs w:val="21"/>
                      <w:highlight w:val="none"/>
                      <w:lang w:eastAsia="zh-Hans"/>
                    </w:rPr>
                  </w:pPr>
                  <w:r>
                    <w:rPr>
                      <w:rFonts w:hint="eastAsia"/>
                      <w:bCs/>
                      <w:color w:val="auto"/>
                      <w:szCs w:val="21"/>
                      <w:highlight w:val="none"/>
                      <w:lang w:eastAsia="zh-Hans"/>
                    </w:rPr>
                    <w:t>0.1</w:t>
                  </w:r>
                </w:p>
              </w:tc>
              <w:tc>
                <w:tcPr>
                  <w:tcW w:w="318" w:type="pct"/>
                  <w:vMerge w:val="continue"/>
                  <w:tcBorders>
                    <w:tl2br w:val="nil"/>
                    <w:tr2bl w:val="nil"/>
                  </w:tcBorders>
                  <w:vAlign w:val="center"/>
                </w:tcPr>
                <w:p w14:paraId="24AB28E1">
                  <w:pPr>
                    <w:jc w:val="center"/>
                    <w:rPr>
                      <w:rFonts w:ascii="宋体" w:hAnsi="宋体"/>
                      <w:color w:val="auto"/>
                      <w:szCs w:val="21"/>
                      <w:highlight w:val="none"/>
                    </w:rPr>
                  </w:pPr>
                </w:p>
              </w:tc>
              <w:tc>
                <w:tcPr>
                  <w:tcW w:w="466" w:type="pct"/>
                  <w:vMerge w:val="continue"/>
                  <w:tcBorders>
                    <w:tl2br w:val="nil"/>
                    <w:tr2bl w:val="nil"/>
                  </w:tcBorders>
                  <w:vAlign w:val="center"/>
                </w:tcPr>
                <w:p w14:paraId="4767923A">
                  <w:pPr>
                    <w:jc w:val="center"/>
                    <w:rPr>
                      <w:color w:val="auto"/>
                      <w:szCs w:val="21"/>
                      <w:highlight w:val="none"/>
                    </w:rPr>
                  </w:pPr>
                </w:p>
              </w:tc>
              <w:tc>
                <w:tcPr>
                  <w:tcW w:w="673" w:type="pct"/>
                  <w:tcBorders>
                    <w:tl2br w:val="nil"/>
                    <w:tr2bl w:val="nil"/>
                  </w:tcBorders>
                  <w:vAlign w:val="center"/>
                </w:tcPr>
                <w:p w14:paraId="44B0DD2A">
                  <w:pPr>
                    <w:jc w:val="center"/>
                    <w:rPr>
                      <w:color w:val="auto"/>
                      <w:szCs w:val="21"/>
                      <w:highlight w:val="none"/>
                      <w:lang w:eastAsia="zh-Hans"/>
                    </w:rPr>
                  </w:pPr>
                  <w:r>
                    <w:rPr>
                      <w:rFonts w:hint="eastAsia"/>
                      <w:color w:val="auto"/>
                      <w:szCs w:val="21"/>
                      <w:highlight w:val="none"/>
                      <w:lang w:eastAsia="zh-Hans"/>
                    </w:rPr>
                    <w:t>密闭储存</w:t>
                  </w:r>
                </w:p>
              </w:tc>
              <w:tc>
                <w:tcPr>
                  <w:tcW w:w="561" w:type="pct"/>
                  <w:vMerge w:val="continue"/>
                  <w:tcBorders>
                    <w:tl2br w:val="nil"/>
                    <w:tr2bl w:val="nil"/>
                  </w:tcBorders>
                  <w:vAlign w:val="center"/>
                </w:tcPr>
                <w:p w14:paraId="2A2CF041">
                  <w:pPr>
                    <w:jc w:val="center"/>
                    <w:rPr>
                      <w:color w:val="auto"/>
                      <w:szCs w:val="21"/>
                      <w:highlight w:val="none"/>
                    </w:rPr>
                  </w:pPr>
                </w:p>
              </w:tc>
              <w:tc>
                <w:tcPr>
                  <w:tcW w:w="417" w:type="pct"/>
                  <w:tcBorders>
                    <w:tl2br w:val="nil"/>
                    <w:tr2bl w:val="nil"/>
                  </w:tcBorders>
                  <w:vAlign w:val="center"/>
                </w:tcPr>
                <w:p w14:paraId="4B051A7C">
                  <w:pPr>
                    <w:jc w:val="center"/>
                    <w:rPr>
                      <w:color w:val="auto"/>
                      <w:szCs w:val="21"/>
                      <w:highlight w:val="none"/>
                    </w:rPr>
                  </w:pPr>
                  <w:r>
                    <w:rPr>
                      <w:color w:val="auto"/>
                      <w:szCs w:val="21"/>
                      <w:highlight w:val="none"/>
                    </w:rPr>
                    <w:t>6</w:t>
                  </w:r>
                  <w:r>
                    <w:rPr>
                      <w:rFonts w:hint="eastAsia"/>
                      <w:color w:val="auto"/>
                      <w:szCs w:val="21"/>
                      <w:highlight w:val="none"/>
                      <w:lang w:eastAsia="zh-Hans"/>
                    </w:rPr>
                    <w:t>个月</w:t>
                  </w:r>
                </w:p>
              </w:tc>
            </w:tr>
            <w:tr w14:paraId="3D7C713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cantSplit/>
                <w:trHeight w:val="397" w:hRule="atLeast"/>
                <w:jc w:val="center"/>
              </w:trPr>
              <w:tc>
                <w:tcPr>
                  <w:tcW w:w="209" w:type="pct"/>
                  <w:tcBorders>
                    <w:tl2br w:val="nil"/>
                    <w:tr2bl w:val="nil"/>
                  </w:tcBorders>
                  <w:vAlign w:val="center"/>
                </w:tcPr>
                <w:p w14:paraId="24F93890">
                  <w:pPr>
                    <w:jc w:val="center"/>
                    <w:rPr>
                      <w:color w:val="auto"/>
                      <w:szCs w:val="21"/>
                      <w:highlight w:val="none"/>
                    </w:rPr>
                  </w:pPr>
                  <w:r>
                    <w:rPr>
                      <w:color w:val="auto"/>
                      <w:szCs w:val="21"/>
                      <w:highlight w:val="none"/>
                    </w:rPr>
                    <w:t>7</w:t>
                  </w:r>
                </w:p>
              </w:tc>
              <w:tc>
                <w:tcPr>
                  <w:tcW w:w="526" w:type="pct"/>
                  <w:vMerge w:val="continue"/>
                  <w:tcBorders>
                    <w:tl2br w:val="nil"/>
                    <w:tr2bl w:val="nil"/>
                  </w:tcBorders>
                  <w:vAlign w:val="center"/>
                </w:tcPr>
                <w:p w14:paraId="3B00F679">
                  <w:pPr>
                    <w:jc w:val="center"/>
                    <w:rPr>
                      <w:rFonts w:ascii="宋体" w:hAnsi="宋体"/>
                      <w:color w:val="auto"/>
                      <w:szCs w:val="21"/>
                      <w:highlight w:val="none"/>
                    </w:rPr>
                  </w:pPr>
                </w:p>
              </w:tc>
              <w:tc>
                <w:tcPr>
                  <w:tcW w:w="508" w:type="pct"/>
                  <w:tcBorders>
                    <w:tl2br w:val="nil"/>
                    <w:tr2bl w:val="nil"/>
                  </w:tcBorders>
                  <w:vAlign w:val="center"/>
                </w:tcPr>
                <w:p w14:paraId="111011E9">
                  <w:pPr>
                    <w:pStyle w:val="79"/>
                    <w:spacing w:line="240" w:lineRule="auto"/>
                    <w:rPr>
                      <w:rFonts w:hint="eastAsia" w:ascii="Times New Roman"/>
                      <w:bCs/>
                      <w:snapToGrid w:val="0"/>
                      <w:color w:val="auto"/>
                      <w:sz w:val="21"/>
                      <w:szCs w:val="21"/>
                      <w:highlight w:val="none"/>
                      <w:lang w:val="en-US" w:eastAsia="zh-Hans"/>
                    </w:rPr>
                  </w:pPr>
                  <w:r>
                    <w:rPr>
                      <w:rFonts w:hint="eastAsia" w:ascii="Times New Roman"/>
                      <w:bCs/>
                      <w:snapToGrid w:val="0"/>
                      <w:color w:val="auto"/>
                      <w:sz w:val="21"/>
                      <w:szCs w:val="21"/>
                      <w:highlight w:val="none"/>
                      <w:lang w:val="en-US" w:eastAsia="zh-Hans"/>
                    </w:rPr>
                    <w:t>废润滑油</w:t>
                  </w:r>
                </w:p>
              </w:tc>
              <w:tc>
                <w:tcPr>
                  <w:tcW w:w="439" w:type="pct"/>
                  <w:tcBorders>
                    <w:tl2br w:val="nil"/>
                    <w:tr2bl w:val="nil"/>
                  </w:tcBorders>
                  <w:vAlign w:val="center"/>
                </w:tcPr>
                <w:p w14:paraId="7A0B30F8">
                  <w:pPr>
                    <w:pStyle w:val="60"/>
                    <w:spacing w:beforeLines="0" w:afterLines="0" w:line="240" w:lineRule="auto"/>
                    <w:rPr>
                      <w:rFonts w:hint="eastAsia"/>
                      <w:bCs/>
                      <w:color w:val="auto"/>
                      <w:szCs w:val="21"/>
                      <w:highlight w:val="none"/>
                      <w:lang w:eastAsia="zh-Hans"/>
                    </w:rPr>
                  </w:pPr>
                  <w:r>
                    <w:rPr>
                      <w:rFonts w:hint="eastAsia" w:ascii="Times New Roman"/>
                      <w:color w:val="auto"/>
                      <w:szCs w:val="21"/>
                      <w:lang w:val="en-US" w:eastAsia="zh-Hans"/>
                    </w:rPr>
                    <w:t>HW</w:t>
                  </w:r>
                  <w:r>
                    <w:rPr>
                      <w:rFonts w:ascii="Times New Roman"/>
                      <w:color w:val="auto"/>
                      <w:szCs w:val="21"/>
                      <w:lang w:val="en-US" w:eastAsia="zh-Hans"/>
                    </w:rPr>
                    <w:t>08</w:t>
                  </w:r>
                </w:p>
              </w:tc>
              <w:tc>
                <w:tcPr>
                  <w:tcW w:w="557" w:type="pct"/>
                  <w:tcBorders>
                    <w:tl2br w:val="nil"/>
                    <w:tr2bl w:val="nil"/>
                  </w:tcBorders>
                  <w:vAlign w:val="center"/>
                </w:tcPr>
                <w:p w14:paraId="26F58BBD">
                  <w:pPr>
                    <w:adjustRightInd w:val="0"/>
                    <w:snapToGrid w:val="0"/>
                    <w:jc w:val="center"/>
                    <w:rPr>
                      <w:bCs/>
                      <w:color w:val="auto"/>
                      <w:szCs w:val="21"/>
                      <w:highlight w:val="none"/>
                    </w:rPr>
                  </w:pPr>
                  <w:r>
                    <w:rPr>
                      <w:color w:val="auto"/>
                      <w:szCs w:val="21"/>
                    </w:rPr>
                    <w:t>900-249-08</w:t>
                  </w:r>
                </w:p>
              </w:tc>
              <w:tc>
                <w:tcPr>
                  <w:tcW w:w="321" w:type="pct"/>
                  <w:tcBorders>
                    <w:tl2br w:val="nil"/>
                    <w:tr2bl w:val="nil"/>
                  </w:tcBorders>
                  <w:vAlign w:val="center"/>
                </w:tcPr>
                <w:p w14:paraId="014E9846">
                  <w:pPr>
                    <w:adjustRightInd w:val="0"/>
                    <w:snapToGrid w:val="0"/>
                    <w:jc w:val="center"/>
                    <w:rPr>
                      <w:rFonts w:hint="eastAsia"/>
                      <w:bCs/>
                      <w:color w:val="auto"/>
                      <w:szCs w:val="21"/>
                      <w:highlight w:val="none"/>
                      <w:lang w:eastAsia="zh-Hans"/>
                    </w:rPr>
                  </w:pPr>
                  <w:r>
                    <w:rPr>
                      <w:rFonts w:hint="default"/>
                      <w:bCs/>
                      <w:color w:val="auto"/>
                      <w:szCs w:val="21"/>
                      <w:highlight w:val="none"/>
                      <w:lang w:eastAsia="zh-Hans"/>
                    </w:rPr>
                    <w:t>0.0868</w:t>
                  </w:r>
                </w:p>
              </w:tc>
              <w:tc>
                <w:tcPr>
                  <w:tcW w:w="318" w:type="pct"/>
                  <w:vMerge w:val="continue"/>
                  <w:tcBorders>
                    <w:tl2br w:val="nil"/>
                    <w:tr2bl w:val="nil"/>
                  </w:tcBorders>
                  <w:vAlign w:val="center"/>
                </w:tcPr>
                <w:p w14:paraId="7A350FB1">
                  <w:pPr>
                    <w:jc w:val="center"/>
                    <w:rPr>
                      <w:rFonts w:ascii="宋体" w:hAnsi="宋体"/>
                      <w:color w:val="auto"/>
                      <w:szCs w:val="21"/>
                      <w:highlight w:val="none"/>
                    </w:rPr>
                  </w:pPr>
                </w:p>
              </w:tc>
              <w:tc>
                <w:tcPr>
                  <w:tcW w:w="466" w:type="pct"/>
                  <w:vMerge w:val="continue"/>
                  <w:tcBorders>
                    <w:tl2br w:val="nil"/>
                    <w:tr2bl w:val="nil"/>
                  </w:tcBorders>
                  <w:vAlign w:val="center"/>
                </w:tcPr>
                <w:p w14:paraId="5D098662">
                  <w:pPr>
                    <w:jc w:val="center"/>
                    <w:rPr>
                      <w:color w:val="auto"/>
                      <w:szCs w:val="21"/>
                      <w:highlight w:val="none"/>
                    </w:rPr>
                  </w:pPr>
                </w:p>
              </w:tc>
              <w:tc>
                <w:tcPr>
                  <w:tcW w:w="673" w:type="pct"/>
                  <w:tcBorders>
                    <w:tl2br w:val="nil"/>
                    <w:tr2bl w:val="nil"/>
                  </w:tcBorders>
                  <w:vAlign w:val="center"/>
                </w:tcPr>
                <w:p w14:paraId="381C3305">
                  <w:pPr>
                    <w:jc w:val="center"/>
                    <w:rPr>
                      <w:rFonts w:hint="eastAsia"/>
                      <w:color w:val="auto"/>
                      <w:szCs w:val="21"/>
                      <w:highlight w:val="none"/>
                      <w:lang w:val="en-US" w:eastAsia="zh-Hans"/>
                    </w:rPr>
                  </w:pPr>
                  <w:r>
                    <w:rPr>
                      <w:rFonts w:hint="eastAsia"/>
                      <w:color w:val="auto"/>
                      <w:szCs w:val="21"/>
                      <w:highlight w:val="none"/>
                      <w:lang w:val="en-US" w:eastAsia="zh-Hans"/>
                    </w:rPr>
                    <w:t>密闭容器储存</w:t>
                  </w:r>
                </w:p>
              </w:tc>
              <w:tc>
                <w:tcPr>
                  <w:tcW w:w="561" w:type="pct"/>
                  <w:vMerge w:val="continue"/>
                  <w:tcBorders>
                    <w:tl2br w:val="nil"/>
                    <w:tr2bl w:val="nil"/>
                  </w:tcBorders>
                  <w:vAlign w:val="center"/>
                </w:tcPr>
                <w:p w14:paraId="49AC7F1F">
                  <w:pPr>
                    <w:jc w:val="center"/>
                    <w:rPr>
                      <w:color w:val="auto"/>
                      <w:szCs w:val="21"/>
                      <w:highlight w:val="none"/>
                    </w:rPr>
                  </w:pPr>
                </w:p>
              </w:tc>
              <w:tc>
                <w:tcPr>
                  <w:tcW w:w="417" w:type="pct"/>
                  <w:tcBorders>
                    <w:tl2br w:val="nil"/>
                    <w:tr2bl w:val="nil"/>
                  </w:tcBorders>
                  <w:vAlign w:val="center"/>
                </w:tcPr>
                <w:p w14:paraId="09DA845B">
                  <w:pPr>
                    <w:jc w:val="center"/>
                    <w:rPr>
                      <w:color w:val="auto"/>
                      <w:szCs w:val="21"/>
                      <w:highlight w:val="none"/>
                    </w:rPr>
                  </w:pPr>
                  <w:r>
                    <w:rPr>
                      <w:color w:val="auto"/>
                      <w:szCs w:val="21"/>
                      <w:highlight w:val="none"/>
                    </w:rPr>
                    <w:t>1</w:t>
                  </w:r>
                  <w:r>
                    <w:rPr>
                      <w:rFonts w:hint="eastAsia"/>
                      <w:color w:val="auto"/>
                      <w:szCs w:val="21"/>
                      <w:highlight w:val="none"/>
                      <w:lang w:val="en-US" w:eastAsia="zh-Hans"/>
                    </w:rPr>
                    <w:t>年</w:t>
                  </w:r>
                </w:p>
              </w:tc>
            </w:tr>
          </w:tbl>
          <w:p w14:paraId="44F5CB78">
            <w:pPr>
              <w:ind w:firstLine="201" w:firstLineChars="200"/>
              <w:rPr>
                <w:b/>
                <w:bCs/>
                <w:color w:val="auto"/>
                <w:sz w:val="10"/>
                <w:szCs w:val="10"/>
                <w:highlight w:val="none"/>
              </w:rPr>
            </w:pPr>
          </w:p>
          <w:p w14:paraId="55DC51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b/>
                <w:snapToGrid w:val="0"/>
                <w:color w:val="auto"/>
                <w:kern w:val="0"/>
                <w:sz w:val="24"/>
                <w:highlight w:val="none"/>
              </w:rPr>
            </w:pPr>
            <w:r>
              <w:rPr>
                <w:rFonts w:hint="eastAsia" w:cs="Times New Roman"/>
                <w:color w:val="auto"/>
                <w:sz w:val="24"/>
                <w:szCs w:val="24"/>
                <w:highlight w:val="none"/>
                <w:lang w:val="en-US" w:eastAsia="zh-Hans"/>
              </w:rPr>
              <w:t>改建项目</w:t>
            </w:r>
            <w:r>
              <w:rPr>
                <w:rFonts w:hint="default" w:ascii="Times New Roman" w:hAnsi="Times New Roman" w:cs="Times New Roman"/>
                <w:color w:val="auto"/>
                <w:sz w:val="24"/>
                <w:szCs w:val="24"/>
                <w:highlight w:val="none"/>
              </w:rPr>
              <w:t>完成后全厂</w:t>
            </w:r>
            <w:r>
              <w:rPr>
                <w:rFonts w:hint="eastAsia" w:cs="Times New Roman"/>
                <w:color w:val="auto"/>
                <w:sz w:val="24"/>
                <w:szCs w:val="24"/>
                <w:highlight w:val="none"/>
                <w:lang w:val="en-US" w:eastAsia="zh-Hans"/>
              </w:rPr>
              <w:t>废胶、废包装桶、废活性炭、废手套、废UV灯管</w:t>
            </w:r>
            <w:r>
              <w:rPr>
                <w:rFonts w:hint="default" w:ascii="Times New Roman" w:hAnsi="Times New Roman" w:cs="Times New Roman"/>
                <w:color w:val="auto"/>
                <w:sz w:val="24"/>
                <w:szCs w:val="24"/>
                <w:highlight w:val="none"/>
              </w:rPr>
              <w:t>，最大储存量为</w:t>
            </w:r>
            <w:r>
              <w:rPr>
                <w:rFonts w:hint="default" w:cs="Times New Roman"/>
                <w:color w:val="auto"/>
                <w:sz w:val="24"/>
                <w:szCs w:val="24"/>
                <w:highlight w:val="none"/>
              </w:rPr>
              <w:t>16.7905</w:t>
            </w:r>
            <w:r>
              <w:rPr>
                <w:rFonts w:hint="default" w:ascii="Times New Roman" w:hAnsi="Times New Roman" w:cs="Times New Roman"/>
                <w:color w:val="auto"/>
                <w:sz w:val="24"/>
                <w:szCs w:val="24"/>
                <w:highlight w:val="none"/>
              </w:rPr>
              <w:t>t，综合密度按0.8t/m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，则危废所需储存体积约</w:t>
            </w:r>
            <w:r>
              <w:rPr>
                <w:rFonts w:hint="default" w:cs="Times New Roman"/>
                <w:color w:val="auto"/>
                <w:sz w:val="24"/>
                <w:szCs w:val="24"/>
                <w:highlight w:val="none"/>
              </w:rPr>
              <w:t>21</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，危险固废堆场面积为30m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，堆放高度按1m计，可以满足储存要求，能够满足存储要求。</w:t>
            </w:r>
          </w:p>
          <w:p w14:paraId="1696FB7F">
            <w:pPr>
              <w:spacing w:line="360" w:lineRule="auto"/>
              <w:ind w:firstLine="482" w:firstLineChars="200"/>
              <w:rPr>
                <w:rFonts w:ascii="宋体" w:hAnsi="宋体"/>
                <w:b/>
                <w:color w:val="auto"/>
                <w:sz w:val="24"/>
                <w:highlight w:val="none"/>
              </w:rPr>
            </w:pPr>
            <w:r>
              <w:rPr>
                <w:b/>
                <w:snapToGrid w:val="0"/>
                <w:color w:val="auto"/>
                <w:kern w:val="0"/>
                <w:sz w:val="24"/>
                <w:highlight w:val="none"/>
              </w:rPr>
              <w:t>3）</w:t>
            </w:r>
            <w:r>
              <w:rPr>
                <w:rFonts w:ascii="宋体" w:hAnsi="宋体"/>
                <w:b/>
                <w:color w:val="auto"/>
                <w:sz w:val="24"/>
                <w:highlight w:val="none"/>
              </w:rPr>
              <w:t>环境影响分析：</w:t>
            </w:r>
          </w:p>
          <w:p w14:paraId="4537F1CB">
            <w:pPr>
              <w:spacing w:line="360" w:lineRule="auto"/>
              <w:ind w:firstLine="480" w:firstLineChars="200"/>
              <w:rPr>
                <w:rFonts w:ascii="宋体" w:hAnsi="宋体"/>
                <w:color w:val="auto"/>
                <w:sz w:val="24"/>
                <w:highlight w:val="none"/>
              </w:rPr>
            </w:pPr>
            <w:r>
              <w:rPr>
                <w:rFonts w:ascii="宋体" w:hAnsi="宋体"/>
                <w:color w:val="auto"/>
                <w:sz w:val="24"/>
                <w:highlight w:val="none"/>
              </w:rPr>
              <w:t>依据固体废物的种类、产生量及其管理的全过程可能造成环境影响进行分析：</w:t>
            </w:r>
          </w:p>
          <w:p w14:paraId="62BE6003">
            <w:pPr>
              <w:spacing w:line="360" w:lineRule="auto"/>
              <w:ind w:firstLine="480" w:firstLineChars="200"/>
              <w:rPr>
                <w:rFonts w:ascii="宋体" w:hAnsi="宋体"/>
                <w:color w:val="auto"/>
                <w:sz w:val="24"/>
                <w:highlight w:val="none"/>
              </w:rPr>
            </w:pPr>
            <w:r>
              <w:rPr>
                <w:rFonts w:ascii="宋体" w:hAnsi="宋体"/>
                <w:color w:val="auto"/>
                <w:kern w:val="0"/>
                <w:sz w:val="24"/>
                <w:highlight w:val="none"/>
              </w:rPr>
              <w:t>①</w:t>
            </w:r>
            <w:r>
              <w:rPr>
                <w:rFonts w:ascii="宋体" w:hAnsi="宋体"/>
                <w:color w:val="auto"/>
                <w:sz w:val="24"/>
                <w:highlight w:val="none"/>
              </w:rPr>
              <w:t xml:space="preserve">固废分类收集与贮存，不混放，固废相互间不影响。 </w:t>
            </w:r>
          </w:p>
          <w:p w14:paraId="368FD632">
            <w:pPr>
              <w:spacing w:line="360" w:lineRule="auto"/>
              <w:ind w:firstLine="480" w:firstLineChars="200"/>
              <w:rPr>
                <w:rFonts w:ascii="宋体" w:hAnsi="宋体"/>
                <w:color w:val="auto"/>
                <w:sz w:val="24"/>
                <w:highlight w:val="none"/>
              </w:rPr>
            </w:pPr>
            <w:r>
              <w:rPr>
                <w:rFonts w:ascii="宋体" w:hAnsi="宋体"/>
                <w:color w:val="auto"/>
                <w:kern w:val="0"/>
                <w:sz w:val="24"/>
                <w:highlight w:val="none"/>
              </w:rPr>
              <w:t>②</w:t>
            </w:r>
            <w:r>
              <w:rPr>
                <w:rFonts w:ascii="宋体" w:hAnsi="宋体"/>
                <w:color w:val="auto"/>
                <w:sz w:val="24"/>
                <w:highlight w:val="none"/>
              </w:rPr>
              <w:t>固废运输由专业的运输单位负责，在运输过程中采用封闭运输，运输过程中不易散落和泄漏的，对环境影响较小。</w:t>
            </w:r>
          </w:p>
          <w:p w14:paraId="0A735459">
            <w:pPr>
              <w:spacing w:line="360" w:lineRule="auto"/>
              <w:ind w:firstLine="480" w:firstLineChars="200"/>
              <w:rPr>
                <w:rFonts w:ascii="宋体" w:hAnsi="宋体"/>
                <w:color w:val="auto"/>
                <w:sz w:val="24"/>
                <w:highlight w:val="none"/>
              </w:rPr>
            </w:pPr>
            <w:r>
              <w:rPr>
                <w:rFonts w:ascii="宋体" w:hAnsi="宋体"/>
                <w:color w:val="auto"/>
                <w:kern w:val="0"/>
                <w:sz w:val="24"/>
                <w:highlight w:val="none"/>
              </w:rPr>
              <w:t>③</w:t>
            </w:r>
            <w:r>
              <w:rPr>
                <w:rFonts w:ascii="宋体" w:hAnsi="宋体"/>
                <w:color w:val="auto"/>
                <w:sz w:val="24"/>
                <w:highlight w:val="none"/>
              </w:rPr>
              <w:t>固废的贮存场所地面采用防渗地面，发生渗漏等事故可能性较小或甚微，对土壤、地下水产生的影响较小。</w:t>
            </w:r>
          </w:p>
          <w:p w14:paraId="67BF441D">
            <w:pPr>
              <w:spacing w:line="360" w:lineRule="auto"/>
              <w:ind w:firstLine="480" w:firstLineChars="200"/>
              <w:rPr>
                <w:rFonts w:ascii="宋体" w:hAnsi="宋体"/>
                <w:color w:val="auto"/>
                <w:sz w:val="24"/>
                <w:highlight w:val="none"/>
              </w:rPr>
            </w:pPr>
            <w:r>
              <w:rPr>
                <w:rFonts w:ascii="宋体" w:hAnsi="宋体"/>
                <w:color w:val="auto"/>
                <w:kern w:val="0"/>
                <w:sz w:val="24"/>
                <w:highlight w:val="none"/>
              </w:rPr>
              <w:t>④</w:t>
            </w:r>
            <w:r>
              <w:rPr>
                <w:rFonts w:ascii="宋体" w:hAnsi="宋体"/>
                <w:color w:val="auto"/>
                <w:sz w:val="24"/>
                <w:highlight w:val="none"/>
              </w:rPr>
              <w:t>固废通过环卫清运、回用于生产、委托有资质单位处置方式处置或利用，均不在厂内自行建设施处理，对大气、水体、土壤环境基本不产生影响。</w:t>
            </w:r>
          </w:p>
          <w:p w14:paraId="7C8F734D">
            <w:pPr>
              <w:pStyle w:val="22"/>
              <w:adjustRightInd w:val="0"/>
              <w:snapToGrid w:val="0"/>
              <w:spacing w:before="0" w:beforeAutospacing="0" w:after="0" w:afterAutospacing="0" w:line="360" w:lineRule="auto"/>
              <w:ind w:firstLine="482" w:firstLineChars="200"/>
              <w:rPr>
                <w:b/>
                <w:snapToGrid w:val="0"/>
                <w:color w:val="auto"/>
                <w:szCs w:val="24"/>
                <w:highlight w:val="none"/>
                <w:lang w:val="en-US"/>
              </w:rPr>
            </w:pPr>
            <w:r>
              <w:rPr>
                <w:rFonts w:ascii="Times New Roman" w:hAnsi="Times New Roman"/>
                <w:b/>
                <w:snapToGrid w:val="0"/>
                <w:color w:val="auto"/>
                <w:szCs w:val="24"/>
                <w:highlight w:val="none"/>
              </w:rPr>
              <w:t>4）</w:t>
            </w:r>
            <w:r>
              <w:rPr>
                <w:b/>
                <w:snapToGrid w:val="0"/>
                <w:color w:val="auto"/>
                <w:szCs w:val="24"/>
                <w:highlight w:val="none"/>
                <w:lang w:val="en-US"/>
              </w:rPr>
              <w:t>环境管理</w:t>
            </w:r>
          </w:p>
          <w:p w14:paraId="449CD644">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针对本项目正常运行阶段所产生的危险废物的日常管理提出要求：</w:t>
            </w:r>
          </w:p>
          <w:p w14:paraId="09D54DC1">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①履行申报登记制度；</w:t>
            </w:r>
          </w:p>
          <w:p w14:paraId="1AACF292">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②建立台账管理制度，企业须做好危险废物情况的记录，记录上需注明危险废物的名称、来源、数量、特性和包装容器的类别；</w:t>
            </w:r>
          </w:p>
          <w:p w14:paraId="60A73EE1">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③委托处置应执行报批和转移联单等制度；</w:t>
            </w:r>
          </w:p>
          <w:p w14:paraId="3C3C8AF6">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④定期对暂存的危险废物包装容器及贮存设施进行检查，及早发现破损，及时采取措施清理更换；</w:t>
            </w:r>
          </w:p>
          <w:p w14:paraId="1A138FA5">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⑤直接从事收集、贮存、运输、利用、处置危险废物的人员，应当接受专业培训，经考核合格，方可从事该项工作。</w:t>
            </w:r>
          </w:p>
          <w:p w14:paraId="76CEBF84">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⑥固废贮存（处置）场所规范化设置，固体废物贮存(处置)场所应在醒目处设置标志牌。</w:t>
            </w:r>
          </w:p>
          <w:p w14:paraId="5A2901FE">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⑦危废应根据其化学特性选择合适的容器和存放地点，通过密闭容器存放，不可混合贮存，容器标签必须标明废物种类、贮存时间，定期处理。</w:t>
            </w:r>
          </w:p>
          <w:p w14:paraId="32BA77B4">
            <w:pPr>
              <w:autoSpaceDE w:val="0"/>
              <w:autoSpaceDN w:val="0"/>
              <w:adjustRightInd w:val="0"/>
              <w:snapToGrid w:val="0"/>
              <w:spacing w:line="360" w:lineRule="auto"/>
              <w:ind w:firstLine="480" w:firstLineChars="200"/>
              <w:rPr>
                <w:rFonts w:ascii="宋体" w:hAnsi="宋体"/>
                <w:snapToGrid w:val="0"/>
                <w:color w:val="auto"/>
                <w:kern w:val="0"/>
                <w:sz w:val="24"/>
                <w:highlight w:val="none"/>
              </w:rPr>
            </w:pPr>
            <w:r>
              <w:rPr>
                <w:rFonts w:ascii="宋体" w:hAnsi="宋体"/>
                <w:snapToGrid w:val="0"/>
                <w:color w:val="auto"/>
                <w:kern w:val="0"/>
                <w:sz w:val="24"/>
                <w:highlight w:val="none"/>
              </w:rPr>
              <w:t>⑧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0092870C">
            <w:pPr>
              <w:pStyle w:val="22"/>
              <w:adjustRightInd w:val="0"/>
              <w:snapToGrid w:val="0"/>
              <w:spacing w:before="0" w:beforeAutospacing="0" w:after="0" w:afterAutospacing="0" w:line="360" w:lineRule="auto"/>
              <w:ind w:firstLine="482" w:firstLineChars="200"/>
              <w:rPr>
                <w:rFonts w:ascii="Times New Roman" w:hAnsi="Times New Roman"/>
                <w:b/>
                <w:snapToGrid w:val="0"/>
                <w:color w:val="auto"/>
                <w:szCs w:val="24"/>
                <w:highlight w:val="none"/>
                <w:lang w:val="en-US"/>
              </w:rPr>
            </w:pPr>
            <w:r>
              <w:rPr>
                <w:rFonts w:ascii="Times New Roman" w:hAnsi="Times New Roman"/>
                <w:b/>
                <w:snapToGrid w:val="0"/>
                <w:color w:val="auto"/>
                <w:szCs w:val="24"/>
                <w:highlight w:val="none"/>
              </w:rPr>
              <w:t>5）</w:t>
            </w:r>
            <w:r>
              <w:rPr>
                <w:b/>
                <w:snapToGrid w:val="0"/>
                <w:color w:val="auto"/>
                <w:szCs w:val="24"/>
                <w:highlight w:val="none"/>
                <w:lang w:val="en-US"/>
              </w:rPr>
              <w:t>与苏环办</w:t>
            </w:r>
            <w:r>
              <w:rPr>
                <w:rFonts w:ascii="Times New Roman" w:hAnsi="Times New Roman"/>
                <w:b/>
                <w:snapToGrid w:val="0"/>
                <w:color w:val="auto"/>
                <w:szCs w:val="24"/>
                <w:highlight w:val="none"/>
                <w:lang w:val="en-US"/>
              </w:rPr>
              <w:t>[2019]327号文相符</w:t>
            </w:r>
          </w:p>
          <w:p w14:paraId="36475B44">
            <w:pPr>
              <w:tabs>
                <w:tab w:val="center" w:pos="4779"/>
                <w:tab w:val="left" w:pos="7680"/>
              </w:tabs>
              <w:adjustRightInd w:val="0"/>
              <w:snapToGrid w:val="0"/>
              <w:jc w:val="center"/>
              <w:rPr>
                <w:b/>
                <w:bCs/>
                <w:snapToGrid w:val="0"/>
                <w:color w:val="auto"/>
                <w:kern w:val="0"/>
                <w:sz w:val="24"/>
                <w:highlight w:val="none"/>
              </w:rPr>
            </w:pPr>
          </w:p>
          <w:p w14:paraId="561BB46B">
            <w:pPr>
              <w:tabs>
                <w:tab w:val="center" w:pos="4779"/>
                <w:tab w:val="left" w:pos="7680"/>
              </w:tabs>
              <w:adjustRightInd w:val="0"/>
              <w:snapToGrid w:val="0"/>
              <w:jc w:val="center"/>
              <w:rPr>
                <w:b/>
                <w:bCs/>
                <w:snapToGrid w:val="0"/>
                <w:color w:val="auto"/>
                <w:kern w:val="0"/>
                <w:sz w:val="24"/>
                <w:highlight w:val="none"/>
              </w:rPr>
            </w:pPr>
          </w:p>
          <w:p w14:paraId="5F267564">
            <w:pPr>
              <w:tabs>
                <w:tab w:val="center" w:pos="4779"/>
                <w:tab w:val="left" w:pos="7680"/>
              </w:tabs>
              <w:adjustRightInd w:val="0"/>
              <w:snapToGrid w:val="0"/>
              <w:jc w:val="center"/>
              <w:rPr>
                <w:b/>
                <w:bCs/>
                <w:snapToGrid w:val="0"/>
                <w:color w:val="auto"/>
                <w:kern w:val="0"/>
                <w:sz w:val="24"/>
                <w:highlight w:val="none"/>
              </w:rPr>
            </w:pPr>
          </w:p>
          <w:p w14:paraId="1D1F5BE1">
            <w:pPr>
              <w:tabs>
                <w:tab w:val="center" w:pos="4779"/>
                <w:tab w:val="left" w:pos="7680"/>
              </w:tabs>
              <w:adjustRightInd w:val="0"/>
              <w:snapToGrid w:val="0"/>
              <w:jc w:val="center"/>
              <w:rPr>
                <w:b/>
                <w:bCs/>
                <w:snapToGrid w:val="0"/>
                <w:color w:val="auto"/>
                <w:kern w:val="0"/>
                <w:sz w:val="24"/>
                <w:highlight w:val="none"/>
              </w:rPr>
            </w:pPr>
          </w:p>
          <w:p w14:paraId="02722CD7">
            <w:pPr>
              <w:tabs>
                <w:tab w:val="center" w:pos="4779"/>
                <w:tab w:val="left" w:pos="7680"/>
              </w:tabs>
              <w:adjustRightInd w:val="0"/>
              <w:snapToGrid w:val="0"/>
              <w:jc w:val="center"/>
              <w:rPr>
                <w:b/>
                <w:bCs/>
                <w:snapToGrid w:val="0"/>
                <w:color w:val="auto"/>
                <w:kern w:val="0"/>
                <w:sz w:val="24"/>
                <w:highlight w:val="none"/>
              </w:rPr>
            </w:pPr>
            <w:r>
              <w:rPr>
                <w:b/>
                <w:bCs/>
                <w:snapToGrid w:val="0"/>
                <w:color w:val="auto"/>
                <w:kern w:val="0"/>
                <w:sz w:val="24"/>
                <w:highlight w:val="none"/>
              </w:rPr>
              <w:t>表4-</w:t>
            </w:r>
            <w:r>
              <w:rPr>
                <w:rFonts w:hint="eastAsia"/>
                <w:b/>
                <w:bCs/>
                <w:snapToGrid w:val="0"/>
                <w:color w:val="auto"/>
                <w:kern w:val="0"/>
                <w:sz w:val="24"/>
                <w:highlight w:val="none"/>
              </w:rPr>
              <w:t>2</w:t>
            </w:r>
            <w:r>
              <w:rPr>
                <w:rFonts w:hint="default"/>
                <w:b/>
                <w:bCs/>
                <w:snapToGrid w:val="0"/>
                <w:color w:val="auto"/>
                <w:kern w:val="0"/>
                <w:sz w:val="24"/>
                <w:highlight w:val="none"/>
              </w:rPr>
              <w:t>7</w:t>
            </w:r>
            <w:r>
              <w:rPr>
                <w:rFonts w:hint="eastAsia"/>
                <w:b/>
                <w:bCs/>
                <w:snapToGrid w:val="0"/>
                <w:color w:val="auto"/>
                <w:kern w:val="0"/>
                <w:sz w:val="24"/>
                <w:highlight w:val="none"/>
              </w:rPr>
              <w:t xml:space="preserve"> </w:t>
            </w:r>
            <w:r>
              <w:rPr>
                <w:b/>
                <w:bCs/>
                <w:snapToGrid w:val="0"/>
                <w:color w:val="auto"/>
                <w:kern w:val="0"/>
                <w:sz w:val="24"/>
                <w:highlight w:val="none"/>
              </w:rPr>
              <w:t>与苏环办[</w:t>
            </w:r>
            <w:r>
              <w:rPr>
                <w:b/>
                <w:color w:val="auto"/>
                <w:sz w:val="24"/>
                <w:highlight w:val="none"/>
              </w:rPr>
              <w:t>2019]327号相符性分析</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4392"/>
              <w:gridCol w:w="4416"/>
              <w:gridCol w:w="835"/>
            </w:tblGrid>
            <w:tr w14:paraId="324E8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191B5FD4">
                  <w:pPr>
                    <w:pStyle w:val="60"/>
                    <w:spacing w:before="24" w:after="24"/>
                    <w:rPr>
                      <w:rFonts w:hAnsi="宋体"/>
                      <w:b/>
                      <w:color w:val="auto"/>
                      <w:szCs w:val="21"/>
                      <w:highlight w:val="none"/>
                      <w:lang w:val="en-US"/>
                    </w:rPr>
                  </w:pPr>
                  <w:r>
                    <w:rPr>
                      <w:rFonts w:hAnsi="宋体"/>
                      <w:b/>
                      <w:color w:val="auto"/>
                      <w:szCs w:val="21"/>
                      <w:highlight w:val="none"/>
                      <w:lang w:val="en-US"/>
                    </w:rPr>
                    <w:t>序号</w:t>
                  </w:r>
                </w:p>
              </w:tc>
              <w:tc>
                <w:tcPr>
                  <w:tcW w:w="2140" w:type="pct"/>
                  <w:tcMar>
                    <w:top w:w="0" w:type="dxa"/>
                    <w:left w:w="51" w:type="dxa"/>
                    <w:bottom w:w="0" w:type="dxa"/>
                    <w:right w:w="51" w:type="dxa"/>
                  </w:tcMar>
                  <w:vAlign w:val="center"/>
                </w:tcPr>
                <w:p w14:paraId="0037E377">
                  <w:pPr>
                    <w:pStyle w:val="60"/>
                    <w:spacing w:before="24" w:after="24"/>
                    <w:rPr>
                      <w:rFonts w:hAnsi="宋体"/>
                      <w:b/>
                      <w:color w:val="auto"/>
                      <w:szCs w:val="21"/>
                      <w:highlight w:val="none"/>
                      <w:lang w:val="en-US"/>
                    </w:rPr>
                  </w:pPr>
                  <w:r>
                    <w:rPr>
                      <w:rFonts w:hAnsi="宋体"/>
                      <w:b/>
                      <w:color w:val="auto"/>
                      <w:szCs w:val="21"/>
                      <w:highlight w:val="none"/>
                      <w:lang w:val="en-US"/>
                    </w:rPr>
                    <w:t>文件规定</w:t>
                  </w:r>
                </w:p>
              </w:tc>
              <w:tc>
                <w:tcPr>
                  <w:tcW w:w="2152" w:type="pct"/>
                  <w:tcMar>
                    <w:top w:w="0" w:type="dxa"/>
                    <w:left w:w="51" w:type="dxa"/>
                    <w:bottom w:w="0" w:type="dxa"/>
                    <w:right w:w="51" w:type="dxa"/>
                  </w:tcMar>
                  <w:vAlign w:val="center"/>
                </w:tcPr>
                <w:p w14:paraId="43BB8B14">
                  <w:pPr>
                    <w:pStyle w:val="60"/>
                    <w:spacing w:before="24" w:after="24"/>
                    <w:rPr>
                      <w:rFonts w:hAnsi="宋体"/>
                      <w:b/>
                      <w:color w:val="auto"/>
                      <w:szCs w:val="21"/>
                      <w:highlight w:val="none"/>
                      <w:lang w:val="en-US"/>
                    </w:rPr>
                  </w:pPr>
                  <w:r>
                    <w:rPr>
                      <w:rFonts w:hAnsi="宋体"/>
                      <w:b/>
                      <w:color w:val="auto"/>
                      <w:szCs w:val="21"/>
                      <w:highlight w:val="none"/>
                      <w:lang w:val="en-US"/>
                    </w:rPr>
                    <w:t>拟实施情况</w:t>
                  </w:r>
                </w:p>
              </w:tc>
              <w:tc>
                <w:tcPr>
                  <w:tcW w:w="407" w:type="pct"/>
                  <w:tcMar>
                    <w:top w:w="0" w:type="dxa"/>
                    <w:left w:w="51" w:type="dxa"/>
                    <w:bottom w:w="0" w:type="dxa"/>
                    <w:right w:w="51" w:type="dxa"/>
                  </w:tcMar>
                  <w:vAlign w:val="center"/>
                </w:tcPr>
                <w:p w14:paraId="3EE44151">
                  <w:pPr>
                    <w:pStyle w:val="60"/>
                    <w:spacing w:before="24" w:after="24"/>
                    <w:rPr>
                      <w:rFonts w:hAnsi="宋体"/>
                      <w:b/>
                      <w:color w:val="auto"/>
                      <w:szCs w:val="21"/>
                      <w:highlight w:val="none"/>
                      <w:lang w:val="en-US"/>
                    </w:rPr>
                  </w:pPr>
                  <w:r>
                    <w:rPr>
                      <w:rFonts w:hAnsi="宋体"/>
                      <w:b/>
                      <w:color w:val="auto"/>
                      <w:szCs w:val="21"/>
                      <w:highlight w:val="none"/>
                      <w:lang w:val="en-US"/>
                    </w:rPr>
                    <w:t>备注</w:t>
                  </w:r>
                </w:p>
              </w:tc>
            </w:tr>
            <w:tr w14:paraId="1EC3C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5B8AA8D1">
                  <w:pPr>
                    <w:pStyle w:val="60"/>
                    <w:spacing w:before="24" w:after="24"/>
                    <w:rPr>
                      <w:rFonts w:ascii="Times New Roman"/>
                      <w:b/>
                      <w:color w:val="auto"/>
                      <w:szCs w:val="21"/>
                      <w:highlight w:val="none"/>
                      <w:lang w:val="en-US"/>
                    </w:rPr>
                  </w:pPr>
                  <w:r>
                    <w:rPr>
                      <w:rFonts w:ascii="Times New Roman"/>
                      <w:color w:val="auto"/>
                      <w:szCs w:val="21"/>
                      <w:highlight w:val="none"/>
                      <w:lang w:val="en-US"/>
                    </w:rPr>
                    <w:t>1</w:t>
                  </w:r>
                </w:p>
              </w:tc>
              <w:tc>
                <w:tcPr>
                  <w:tcW w:w="2140" w:type="pct"/>
                  <w:tcMar>
                    <w:top w:w="0" w:type="dxa"/>
                    <w:left w:w="51" w:type="dxa"/>
                    <w:bottom w:w="0" w:type="dxa"/>
                    <w:right w:w="51" w:type="dxa"/>
                  </w:tcMar>
                  <w:vAlign w:val="center"/>
                </w:tcPr>
                <w:p w14:paraId="16CD019A">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对建设项目危险废物种类、数量、属性、贮存设施、利用或处置方式进行科学分析</w:t>
                  </w:r>
                </w:p>
              </w:tc>
              <w:tc>
                <w:tcPr>
                  <w:tcW w:w="2152" w:type="pct"/>
                  <w:tcMar>
                    <w:top w:w="0" w:type="dxa"/>
                    <w:left w:w="51" w:type="dxa"/>
                    <w:bottom w:w="0" w:type="dxa"/>
                    <w:right w:w="51" w:type="dxa"/>
                  </w:tcMar>
                  <w:vAlign w:val="center"/>
                </w:tcPr>
                <w:p w14:paraId="3DD31BF7">
                  <w:pPr>
                    <w:autoSpaceDE w:val="0"/>
                    <w:autoSpaceDN w:val="0"/>
                    <w:adjustRightInd w:val="0"/>
                    <w:rPr>
                      <w:rFonts w:ascii="宋体" w:hAnsi="宋体"/>
                      <w:b/>
                      <w:color w:val="auto"/>
                      <w:szCs w:val="21"/>
                      <w:highlight w:val="none"/>
                    </w:rPr>
                  </w:pPr>
                  <w:r>
                    <w:rPr>
                      <w:rFonts w:ascii="宋体" w:hAnsi="宋体"/>
                      <w:color w:val="auto"/>
                      <w:kern w:val="0"/>
                      <w:szCs w:val="21"/>
                      <w:highlight w:val="none"/>
                    </w:rPr>
                    <w:t>本项目产生的危</w:t>
                  </w:r>
                  <w:r>
                    <w:rPr>
                      <w:color w:val="auto"/>
                      <w:kern w:val="0"/>
                      <w:szCs w:val="21"/>
                      <w:highlight w:val="none"/>
                    </w:rPr>
                    <w:t>险废物为废胶（900-014-13）</w:t>
                  </w:r>
                  <w:r>
                    <w:rPr>
                      <w:rFonts w:hint="eastAsia"/>
                      <w:color w:val="auto"/>
                      <w:kern w:val="0"/>
                      <w:szCs w:val="21"/>
                      <w:highlight w:val="none"/>
                      <w:lang w:eastAsia="zh-Hans"/>
                    </w:rPr>
                    <w:t>、</w:t>
                  </w:r>
                  <w:r>
                    <w:rPr>
                      <w:color w:val="auto"/>
                      <w:kern w:val="0"/>
                      <w:szCs w:val="21"/>
                      <w:highlight w:val="none"/>
                    </w:rPr>
                    <w:t>废</w:t>
                  </w:r>
                  <w:r>
                    <w:rPr>
                      <w:rFonts w:hint="eastAsia"/>
                      <w:color w:val="auto"/>
                      <w:kern w:val="0"/>
                      <w:szCs w:val="21"/>
                      <w:highlight w:val="none"/>
                      <w:lang w:val="en-US" w:eastAsia="zh-Hans"/>
                    </w:rPr>
                    <w:t>粉</w:t>
                  </w:r>
                  <w:r>
                    <w:rPr>
                      <w:color w:val="auto"/>
                      <w:kern w:val="0"/>
                      <w:szCs w:val="21"/>
                      <w:highlight w:val="none"/>
                    </w:rPr>
                    <w:t>（900-014-13）、废活性炭（900-039-49）、废包装桶（900-041-49）</w:t>
                  </w:r>
                  <w:r>
                    <w:rPr>
                      <w:rFonts w:hint="eastAsia"/>
                      <w:color w:val="auto"/>
                      <w:kern w:val="0"/>
                      <w:szCs w:val="21"/>
                      <w:highlight w:val="none"/>
                    </w:rPr>
                    <w:t>、</w:t>
                  </w:r>
                  <w:r>
                    <w:rPr>
                      <w:rFonts w:hint="eastAsia"/>
                      <w:color w:val="auto"/>
                      <w:szCs w:val="21"/>
                      <w:highlight w:val="none"/>
                    </w:rPr>
                    <w:t>废手套（</w:t>
                  </w:r>
                  <w:r>
                    <w:rPr>
                      <w:color w:val="auto"/>
                      <w:szCs w:val="21"/>
                      <w:highlight w:val="none"/>
                    </w:rPr>
                    <w:t>900-041-49</w:t>
                  </w:r>
                  <w:r>
                    <w:rPr>
                      <w:rFonts w:hint="eastAsia"/>
                      <w:color w:val="auto"/>
                      <w:szCs w:val="21"/>
                      <w:highlight w:val="none"/>
                    </w:rPr>
                    <w:t>）</w:t>
                  </w:r>
                  <w:r>
                    <w:rPr>
                      <w:rFonts w:hint="eastAsia"/>
                      <w:color w:val="auto"/>
                      <w:szCs w:val="21"/>
                      <w:highlight w:val="none"/>
                      <w:lang w:eastAsia="zh-Hans"/>
                    </w:rPr>
                    <w:t>、</w:t>
                  </w:r>
                  <w:r>
                    <w:rPr>
                      <w:rFonts w:hint="eastAsia"/>
                      <w:color w:val="auto"/>
                      <w:szCs w:val="21"/>
                      <w:highlight w:val="none"/>
                      <w:lang w:val="en-US" w:eastAsia="zh-Hans"/>
                    </w:rPr>
                    <w:t>废润滑油（</w:t>
                  </w:r>
                  <w:r>
                    <w:rPr>
                      <w:rFonts w:hint="default"/>
                      <w:color w:val="auto"/>
                      <w:szCs w:val="21"/>
                      <w:highlight w:val="none"/>
                      <w:lang w:eastAsia="zh-Hans"/>
                    </w:rPr>
                    <w:t>900-249-08</w:t>
                  </w:r>
                  <w:r>
                    <w:rPr>
                      <w:rFonts w:hint="eastAsia"/>
                      <w:color w:val="auto"/>
                      <w:szCs w:val="21"/>
                      <w:highlight w:val="none"/>
                      <w:lang w:val="en-US" w:eastAsia="zh-Hans"/>
                    </w:rPr>
                    <w:t>）</w:t>
                  </w:r>
                  <w:r>
                    <w:rPr>
                      <w:rFonts w:ascii="宋体" w:hAnsi="宋体"/>
                      <w:color w:val="auto"/>
                      <w:kern w:val="0"/>
                      <w:szCs w:val="21"/>
                      <w:highlight w:val="none"/>
                    </w:rPr>
                    <w:t>，密封储存，储存在危废暂存间内，定期委托有资质单位处置</w:t>
                  </w:r>
                </w:p>
              </w:tc>
              <w:tc>
                <w:tcPr>
                  <w:tcW w:w="407" w:type="pct"/>
                  <w:tcMar>
                    <w:top w:w="0" w:type="dxa"/>
                    <w:left w:w="51" w:type="dxa"/>
                    <w:bottom w:w="0" w:type="dxa"/>
                    <w:right w:w="51" w:type="dxa"/>
                  </w:tcMar>
                  <w:vAlign w:val="center"/>
                </w:tcPr>
                <w:p w14:paraId="6FED6FA7">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09326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29EE1619">
                  <w:pPr>
                    <w:pStyle w:val="60"/>
                    <w:spacing w:before="24" w:after="24"/>
                    <w:rPr>
                      <w:rFonts w:ascii="Times New Roman"/>
                      <w:b/>
                      <w:color w:val="auto"/>
                      <w:szCs w:val="21"/>
                      <w:highlight w:val="none"/>
                      <w:lang w:val="en-US"/>
                    </w:rPr>
                  </w:pPr>
                  <w:r>
                    <w:rPr>
                      <w:rFonts w:ascii="Times New Roman"/>
                      <w:color w:val="auto"/>
                      <w:szCs w:val="21"/>
                      <w:highlight w:val="none"/>
                      <w:lang w:val="en-US"/>
                    </w:rPr>
                    <w:t>2</w:t>
                  </w:r>
                </w:p>
              </w:tc>
              <w:tc>
                <w:tcPr>
                  <w:tcW w:w="2140" w:type="pct"/>
                  <w:tcMar>
                    <w:top w:w="0" w:type="dxa"/>
                    <w:left w:w="51" w:type="dxa"/>
                    <w:bottom w:w="0" w:type="dxa"/>
                    <w:right w:w="51" w:type="dxa"/>
                  </w:tcMar>
                  <w:vAlign w:val="center"/>
                </w:tcPr>
                <w:p w14:paraId="1FEA3919">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对建设项目环境影响以及环境风险评价，并提出切实可行的污染防治对策措施</w:t>
                  </w:r>
                </w:p>
              </w:tc>
              <w:tc>
                <w:tcPr>
                  <w:tcW w:w="2152" w:type="pct"/>
                  <w:tcMar>
                    <w:top w:w="0" w:type="dxa"/>
                    <w:left w:w="51" w:type="dxa"/>
                    <w:bottom w:w="0" w:type="dxa"/>
                    <w:right w:w="51" w:type="dxa"/>
                  </w:tcMar>
                  <w:vAlign w:val="center"/>
                </w:tcPr>
                <w:p w14:paraId="28116284">
                  <w:pPr>
                    <w:pStyle w:val="60"/>
                    <w:spacing w:before="24" w:after="24"/>
                    <w:jc w:val="both"/>
                    <w:rPr>
                      <w:rFonts w:hAnsi="宋体"/>
                      <w:b/>
                      <w:color w:val="auto"/>
                      <w:szCs w:val="21"/>
                      <w:highlight w:val="none"/>
                      <w:lang w:val="en-US"/>
                    </w:rPr>
                  </w:pPr>
                  <w:r>
                    <w:rPr>
                      <w:rFonts w:hAnsi="宋体"/>
                      <w:color w:val="auto"/>
                      <w:szCs w:val="21"/>
                      <w:highlight w:val="none"/>
                      <w:lang w:val="en-US"/>
                    </w:rPr>
                    <w:t>本项目产生的危险废物为</w:t>
                  </w:r>
                  <w:r>
                    <w:rPr>
                      <w:rFonts w:ascii="Times New Roman"/>
                      <w:color w:val="auto"/>
                      <w:szCs w:val="21"/>
                      <w:highlight w:val="none"/>
                      <w:lang w:val="en-US"/>
                    </w:rPr>
                    <w:t>废胶（900-014-13）</w:t>
                  </w:r>
                  <w:r>
                    <w:rPr>
                      <w:rFonts w:hint="eastAsia" w:ascii="Times New Roman"/>
                      <w:color w:val="auto"/>
                      <w:szCs w:val="21"/>
                      <w:highlight w:val="none"/>
                      <w:lang w:val="en-US"/>
                    </w:rPr>
                    <w:t>、废粉（900-014-13）</w:t>
                  </w:r>
                  <w:r>
                    <w:rPr>
                      <w:rFonts w:ascii="Times New Roman"/>
                      <w:color w:val="auto"/>
                      <w:szCs w:val="21"/>
                      <w:highlight w:val="none"/>
                      <w:lang w:val="en-US"/>
                    </w:rPr>
                    <w:t>、</w:t>
                  </w:r>
                  <w:r>
                    <w:rPr>
                      <w:rFonts w:ascii="Times New Roman"/>
                      <w:color w:val="auto"/>
                      <w:szCs w:val="21"/>
                      <w:highlight w:val="none"/>
                    </w:rPr>
                    <w:t>废活性炭（900-039-49）、</w:t>
                  </w:r>
                  <w:r>
                    <w:rPr>
                      <w:rFonts w:ascii="Times New Roman"/>
                      <w:color w:val="auto"/>
                      <w:szCs w:val="21"/>
                      <w:highlight w:val="none"/>
                      <w:lang w:val="en-US"/>
                    </w:rPr>
                    <w:t>废包装桶（900-041-49）</w:t>
                  </w:r>
                  <w:r>
                    <w:rPr>
                      <w:rFonts w:hint="eastAsia" w:ascii="Times New Roman"/>
                      <w:color w:val="auto"/>
                      <w:szCs w:val="21"/>
                      <w:highlight w:val="none"/>
                      <w:lang w:val="en-US"/>
                    </w:rPr>
                    <w:t>、废手套（</w:t>
                  </w:r>
                  <w:r>
                    <w:rPr>
                      <w:rFonts w:ascii="Times New Roman"/>
                      <w:color w:val="auto"/>
                      <w:szCs w:val="21"/>
                      <w:highlight w:val="none"/>
                      <w:lang w:val="en-US"/>
                    </w:rPr>
                    <w:t>900-041-49</w:t>
                  </w:r>
                  <w:r>
                    <w:rPr>
                      <w:rFonts w:hint="eastAsia" w:ascii="Times New Roman"/>
                      <w:color w:val="auto"/>
                      <w:szCs w:val="21"/>
                      <w:highlight w:val="none"/>
                      <w:lang w:val="en-US"/>
                    </w:rPr>
                    <w:t>）</w:t>
                  </w:r>
                  <w:r>
                    <w:rPr>
                      <w:rFonts w:hint="eastAsia"/>
                      <w:color w:val="auto"/>
                      <w:szCs w:val="21"/>
                      <w:highlight w:val="none"/>
                      <w:lang w:eastAsia="zh-Hans"/>
                    </w:rPr>
                    <w:t>、</w:t>
                  </w:r>
                  <w:r>
                    <w:rPr>
                      <w:rFonts w:hint="eastAsia"/>
                      <w:color w:val="auto"/>
                      <w:szCs w:val="21"/>
                      <w:highlight w:val="none"/>
                      <w:lang w:val="en-US" w:eastAsia="zh-Hans"/>
                    </w:rPr>
                    <w:t>废润滑油（</w:t>
                  </w:r>
                  <w:r>
                    <w:rPr>
                      <w:rFonts w:hint="default"/>
                      <w:color w:val="auto"/>
                      <w:szCs w:val="21"/>
                      <w:highlight w:val="none"/>
                      <w:lang w:eastAsia="zh-Hans"/>
                    </w:rPr>
                    <w:t>900-249-08</w:t>
                  </w:r>
                  <w:r>
                    <w:rPr>
                      <w:rFonts w:hint="eastAsia"/>
                      <w:color w:val="auto"/>
                      <w:szCs w:val="21"/>
                      <w:highlight w:val="none"/>
                      <w:lang w:val="en-US" w:eastAsia="zh-Hans"/>
                    </w:rPr>
                    <w:t>）</w:t>
                  </w:r>
                  <w:r>
                    <w:rPr>
                      <w:rFonts w:hAnsi="宋体"/>
                      <w:color w:val="auto"/>
                      <w:szCs w:val="21"/>
                      <w:highlight w:val="none"/>
                      <w:lang w:val="en-US"/>
                    </w:rPr>
                    <w:t>，危废暂存间地面采取防渗措施</w:t>
                  </w:r>
                </w:p>
              </w:tc>
              <w:tc>
                <w:tcPr>
                  <w:tcW w:w="407" w:type="pct"/>
                  <w:tcMar>
                    <w:top w:w="0" w:type="dxa"/>
                    <w:left w:w="51" w:type="dxa"/>
                    <w:bottom w:w="0" w:type="dxa"/>
                    <w:right w:w="51" w:type="dxa"/>
                  </w:tcMar>
                  <w:vAlign w:val="center"/>
                </w:tcPr>
                <w:p w14:paraId="5DAB95FF">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24D00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5CD690D6">
                  <w:pPr>
                    <w:pStyle w:val="60"/>
                    <w:spacing w:before="24" w:after="24"/>
                    <w:rPr>
                      <w:rFonts w:ascii="Times New Roman"/>
                      <w:b/>
                      <w:color w:val="auto"/>
                      <w:szCs w:val="21"/>
                      <w:highlight w:val="none"/>
                      <w:lang w:val="en-US"/>
                    </w:rPr>
                  </w:pPr>
                  <w:r>
                    <w:rPr>
                      <w:rFonts w:ascii="Times New Roman"/>
                      <w:color w:val="auto"/>
                      <w:szCs w:val="21"/>
                      <w:highlight w:val="none"/>
                      <w:lang w:val="en-US"/>
                    </w:rPr>
                    <w:t>3</w:t>
                  </w:r>
                </w:p>
              </w:tc>
              <w:tc>
                <w:tcPr>
                  <w:tcW w:w="2140" w:type="pct"/>
                  <w:tcMar>
                    <w:top w:w="0" w:type="dxa"/>
                    <w:left w:w="51" w:type="dxa"/>
                    <w:bottom w:w="0" w:type="dxa"/>
                    <w:right w:w="51" w:type="dxa"/>
                  </w:tcMar>
                  <w:vAlign w:val="center"/>
                </w:tcPr>
                <w:p w14:paraId="46EE7DFF">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企业应根据危险废物的种类和特性进行分区、分类贮存</w:t>
                  </w:r>
                </w:p>
              </w:tc>
              <w:tc>
                <w:tcPr>
                  <w:tcW w:w="2152" w:type="pct"/>
                  <w:tcMar>
                    <w:top w:w="0" w:type="dxa"/>
                    <w:left w:w="51" w:type="dxa"/>
                    <w:bottom w:w="0" w:type="dxa"/>
                    <w:right w:w="51" w:type="dxa"/>
                  </w:tcMar>
                  <w:vAlign w:val="center"/>
                </w:tcPr>
                <w:p w14:paraId="1AA2133D">
                  <w:pPr>
                    <w:pStyle w:val="60"/>
                    <w:spacing w:before="24" w:after="24"/>
                    <w:jc w:val="left"/>
                    <w:rPr>
                      <w:rFonts w:hAnsi="宋体"/>
                      <w:b/>
                      <w:color w:val="auto"/>
                      <w:szCs w:val="21"/>
                      <w:highlight w:val="none"/>
                      <w:lang w:val="en-US"/>
                    </w:rPr>
                  </w:pPr>
                  <w:r>
                    <w:rPr>
                      <w:rFonts w:hAnsi="宋体"/>
                      <w:color w:val="auto"/>
                      <w:szCs w:val="21"/>
                      <w:highlight w:val="none"/>
                      <w:lang w:val="en-US"/>
                    </w:rPr>
                    <w:t>本项目产生的危险废物</w:t>
                  </w:r>
                  <w:r>
                    <w:rPr>
                      <w:rFonts w:hint="eastAsia" w:hAnsi="宋体"/>
                      <w:color w:val="auto"/>
                      <w:szCs w:val="21"/>
                      <w:highlight w:val="none"/>
                      <w:lang w:val="en-US"/>
                    </w:rPr>
                    <w:t>为</w:t>
                  </w:r>
                  <w:r>
                    <w:rPr>
                      <w:rFonts w:hAnsi="宋体"/>
                      <w:color w:val="auto"/>
                      <w:szCs w:val="21"/>
                      <w:highlight w:val="none"/>
                      <w:lang w:val="en-US"/>
                    </w:rPr>
                    <w:t>废胶</w:t>
                  </w:r>
                  <w:r>
                    <w:rPr>
                      <w:rFonts w:hint="eastAsia" w:hAnsi="宋体"/>
                      <w:color w:val="auto"/>
                      <w:szCs w:val="21"/>
                      <w:highlight w:val="none"/>
                      <w:lang w:val="en-US" w:eastAsia="zh-Hans"/>
                    </w:rPr>
                    <w:t>、废粉</w:t>
                  </w:r>
                  <w:r>
                    <w:rPr>
                      <w:rFonts w:hAnsi="宋体"/>
                      <w:color w:val="auto"/>
                      <w:szCs w:val="21"/>
                      <w:highlight w:val="none"/>
                      <w:lang w:val="en-US"/>
                    </w:rPr>
                    <w:t>、废活性炭、废包装桶</w:t>
                  </w:r>
                  <w:r>
                    <w:rPr>
                      <w:rFonts w:hint="eastAsia" w:hAnsi="宋体"/>
                      <w:color w:val="auto"/>
                      <w:szCs w:val="21"/>
                      <w:highlight w:val="none"/>
                      <w:lang w:val="en-US"/>
                    </w:rPr>
                    <w:t>，</w:t>
                  </w:r>
                  <w:r>
                    <w:rPr>
                      <w:rFonts w:hAnsi="宋体"/>
                      <w:color w:val="auto"/>
                      <w:szCs w:val="21"/>
                      <w:highlight w:val="none"/>
                    </w:rPr>
                    <w:t>分类贮存</w:t>
                  </w:r>
                </w:p>
              </w:tc>
              <w:tc>
                <w:tcPr>
                  <w:tcW w:w="407" w:type="pct"/>
                  <w:tcMar>
                    <w:top w:w="0" w:type="dxa"/>
                    <w:left w:w="51" w:type="dxa"/>
                    <w:bottom w:w="0" w:type="dxa"/>
                    <w:right w:w="51" w:type="dxa"/>
                  </w:tcMar>
                  <w:vAlign w:val="center"/>
                </w:tcPr>
                <w:p w14:paraId="5276968B">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6E010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762A56D2">
                  <w:pPr>
                    <w:pStyle w:val="60"/>
                    <w:spacing w:before="24" w:after="24"/>
                    <w:rPr>
                      <w:rFonts w:ascii="Times New Roman"/>
                      <w:b/>
                      <w:color w:val="auto"/>
                      <w:szCs w:val="21"/>
                      <w:highlight w:val="none"/>
                      <w:lang w:val="en-US"/>
                    </w:rPr>
                  </w:pPr>
                  <w:r>
                    <w:rPr>
                      <w:rFonts w:ascii="Times New Roman"/>
                      <w:color w:val="auto"/>
                      <w:szCs w:val="21"/>
                      <w:highlight w:val="none"/>
                      <w:lang w:val="en-US"/>
                    </w:rPr>
                    <w:t>4</w:t>
                  </w:r>
                </w:p>
              </w:tc>
              <w:tc>
                <w:tcPr>
                  <w:tcW w:w="2140" w:type="pct"/>
                  <w:tcMar>
                    <w:top w:w="0" w:type="dxa"/>
                    <w:left w:w="51" w:type="dxa"/>
                    <w:bottom w:w="0" w:type="dxa"/>
                    <w:right w:w="51" w:type="dxa"/>
                  </w:tcMar>
                  <w:vAlign w:val="center"/>
                </w:tcPr>
                <w:p w14:paraId="0D57FDC1">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危险废物贮存设置防雨、防火、防雷、防扬散、防渗漏装置及泄漏液体收集装置</w:t>
                  </w:r>
                </w:p>
              </w:tc>
              <w:tc>
                <w:tcPr>
                  <w:tcW w:w="2152" w:type="pct"/>
                  <w:tcMar>
                    <w:top w:w="0" w:type="dxa"/>
                    <w:left w:w="51" w:type="dxa"/>
                    <w:bottom w:w="0" w:type="dxa"/>
                    <w:right w:w="51" w:type="dxa"/>
                  </w:tcMar>
                  <w:vAlign w:val="center"/>
                </w:tcPr>
                <w:p w14:paraId="5F26633E">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危废仓库设置防雷装置，仓库密闭，地面防渗处理，四周设围堰，仓库内设禁火标志，配置灭火器材（如黄沙、灭火器等）</w:t>
                  </w:r>
                </w:p>
              </w:tc>
              <w:tc>
                <w:tcPr>
                  <w:tcW w:w="407" w:type="pct"/>
                  <w:tcMar>
                    <w:top w:w="0" w:type="dxa"/>
                    <w:left w:w="51" w:type="dxa"/>
                    <w:bottom w:w="0" w:type="dxa"/>
                    <w:right w:w="51" w:type="dxa"/>
                  </w:tcMar>
                  <w:vAlign w:val="center"/>
                </w:tcPr>
                <w:p w14:paraId="35FE5F0C">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28AF4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45946520">
                  <w:pPr>
                    <w:pStyle w:val="60"/>
                    <w:spacing w:before="24" w:after="24"/>
                    <w:rPr>
                      <w:rFonts w:ascii="Times New Roman"/>
                      <w:b/>
                      <w:color w:val="auto"/>
                      <w:szCs w:val="21"/>
                      <w:highlight w:val="none"/>
                      <w:lang w:val="en-US"/>
                    </w:rPr>
                  </w:pPr>
                  <w:r>
                    <w:rPr>
                      <w:rFonts w:ascii="Times New Roman"/>
                      <w:color w:val="auto"/>
                      <w:szCs w:val="21"/>
                      <w:highlight w:val="none"/>
                      <w:lang w:val="en-US"/>
                    </w:rPr>
                    <w:t>5</w:t>
                  </w:r>
                </w:p>
              </w:tc>
              <w:tc>
                <w:tcPr>
                  <w:tcW w:w="2140" w:type="pct"/>
                  <w:tcMar>
                    <w:top w:w="0" w:type="dxa"/>
                    <w:left w:w="51" w:type="dxa"/>
                    <w:bottom w:w="0" w:type="dxa"/>
                    <w:right w:w="51" w:type="dxa"/>
                  </w:tcMar>
                  <w:vAlign w:val="center"/>
                </w:tcPr>
                <w:p w14:paraId="182E25EE">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对易爆、易燃及排出有毒气体的危险废物进行预处理，稳定后贮存</w:t>
                  </w:r>
                </w:p>
              </w:tc>
              <w:tc>
                <w:tcPr>
                  <w:tcW w:w="2152" w:type="pct"/>
                  <w:tcMar>
                    <w:top w:w="0" w:type="dxa"/>
                    <w:left w:w="51" w:type="dxa"/>
                    <w:bottom w:w="0" w:type="dxa"/>
                    <w:right w:w="51" w:type="dxa"/>
                  </w:tcMar>
                  <w:vAlign w:val="center"/>
                </w:tcPr>
                <w:p w14:paraId="399CECFF">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企业不涉及易燃、易爆以及排出有毒气体的危险废物</w:t>
                  </w:r>
                </w:p>
              </w:tc>
              <w:tc>
                <w:tcPr>
                  <w:tcW w:w="407" w:type="pct"/>
                  <w:tcMar>
                    <w:top w:w="0" w:type="dxa"/>
                    <w:left w:w="51" w:type="dxa"/>
                    <w:bottom w:w="0" w:type="dxa"/>
                    <w:right w:w="51" w:type="dxa"/>
                  </w:tcMar>
                  <w:vAlign w:val="center"/>
                </w:tcPr>
                <w:p w14:paraId="3FF9887B">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5BC1C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14E644AB">
                  <w:pPr>
                    <w:pStyle w:val="60"/>
                    <w:spacing w:before="24" w:after="24"/>
                    <w:rPr>
                      <w:rFonts w:ascii="Times New Roman"/>
                      <w:b/>
                      <w:color w:val="auto"/>
                      <w:szCs w:val="21"/>
                      <w:highlight w:val="none"/>
                      <w:lang w:val="en-US"/>
                    </w:rPr>
                  </w:pPr>
                  <w:r>
                    <w:rPr>
                      <w:rFonts w:ascii="Times New Roman"/>
                      <w:color w:val="auto"/>
                      <w:szCs w:val="21"/>
                      <w:highlight w:val="none"/>
                      <w:lang w:val="en-US"/>
                    </w:rPr>
                    <w:t>6</w:t>
                  </w:r>
                </w:p>
              </w:tc>
              <w:tc>
                <w:tcPr>
                  <w:tcW w:w="2140" w:type="pct"/>
                  <w:tcMar>
                    <w:top w:w="0" w:type="dxa"/>
                    <w:left w:w="51" w:type="dxa"/>
                    <w:bottom w:w="0" w:type="dxa"/>
                    <w:right w:w="51" w:type="dxa"/>
                  </w:tcMar>
                  <w:vAlign w:val="center"/>
                </w:tcPr>
                <w:p w14:paraId="64D13A5C">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贮存废弃剧毒化学品的，应按照公安机关要求落实治安防范措施</w:t>
                  </w:r>
                </w:p>
              </w:tc>
              <w:tc>
                <w:tcPr>
                  <w:tcW w:w="2152" w:type="pct"/>
                  <w:tcMar>
                    <w:top w:w="0" w:type="dxa"/>
                    <w:left w:w="51" w:type="dxa"/>
                    <w:bottom w:w="0" w:type="dxa"/>
                    <w:right w:w="51" w:type="dxa"/>
                  </w:tcMar>
                  <w:vAlign w:val="center"/>
                </w:tcPr>
                <w:p w14:paraId="03D273FF">
                  <w:pPr>
                    <w:autoSpaceDN w:val="0"/>
                    <w:adjustRightInd w:val="0"/>
                    <w:snapToGrid w:val="0"/>
                    <w:jc w:val="left"/>
                    <w:textAlignment w:val="center"/>
                    <w:rPr>
                      <w:rFonts w:ascii="宋体" w:hAnsi="宋体"/>
                      <w:b/>
                      <w:color w:val="auto"/>
                      <w:szCs w:val="21"/>
                      <w:highlight w:val="none"/>
                    </w:rPr>
                  </w:pPr>
                  <w:r>
                    <w:rPr>
                      <w:rFonts w:ascii="宋体" w:hAnsi="宋体"/>
                      <w:color w:val="auto"/>
                      <w:kern w:val="0"/>
                      <w:szCs w:val="21"/>
                      <w:highlight w:val="none"/>
                    </w:rPr>
                    <w:t>企业危废不涉及废弃剧毒化学品</w:t>
                  </w:r>
                </w:p>
              </w:tc>
              <w:tc>
                <w:tcPr>
                  <w:tcW w:w="407" w:type="pct"/>
                  <w:tcMar>
                    <w:top w:w="0" w:type="dxa"/>
                    <w:left w:w="51" w:type="dxa"/>
                    <w:bottom w:w="0" w:type="dxa"/>
                    <w:right w:w="51" w:type="dxa"/>
                  </w:tcMar>
                  <w:vAlign w:val="center"/>
                </w:tcPr>
                <w:p w14:paraId="6B63F3FB">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2BF95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67E5BD0F">
                  <w:pPr>
                    <w:pStyle w:val="60"/>
                    <w:spacing w:before="24" w:after="24"/>
                    <w:rPr>
                      <w:rFonts w:ascii="Times New Roman"/>
                      <w:b/>
                      <w:color w:val="auto"/>
                      <w:szCs w:val="21"/>
                      <w:highlight w:val="none"/>
                      <w:lang w:val="en-US"/>
                    </w:rPr>
                  </w:pPr>
                  <w:r>
                    <w:rPr>
                      <w:rFonts w:ascii="Times New Roman"/>
                      <w:color w:val="auto"/>
                      <w:szCs w:val="21"/>
                      <w:highlight w:val="none"/>
                      <w:lang w:val="en-US"/>
                    </w:rPr>
                    <w:t>7</w:t>
                  </w:r>
                </w:p>
              </w:tc>
              <w:tc>
                <w:tcPr>
                  <w:tcW w:w="2140" w:type="pct"/>
                  <w:tcMar>
                    <w:top w:w="0" w:type="dxa"/>
                    <w:left w:w="51" w:type="dxa"/>
                    <w:bottom w:w="0" w:type="dxa"/>
                    <w:right w:w="51" w:type="dxa"/>
                  </w:tcMar>
                  <w:vAlign w:val="center"/>
                </w:tcPr>
                <w:p w14:paraId="462B0130">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企业严格执行《省生态环境厅关于印发江苏省危险废物贮存规范化管理专项整治行动方案的通知》（苏环办</w:t>
                  </w:r>
                  <w:r>
                    <w:rPr>
                      <w:color w:val="auto"/>
                      <w:kern w:val="0"/>
                      <w:szCs w:val="21"/>
                      <w:highlight w:val="none"/>
                    </w:rPr>
                    <w:t>〔2019〕149</w:t>
                  </w:r>
                  <w:r>
                    <w:rPr>
                      <w:rFonts w:ascii="宋体" w:hAnsi="宋体"/>
                      <w:color w:val="auto"/>
                      <w:kern w:val="0"/>
                      <w:szCs w:val="21"/>
                      <w:highlight w:val="none"/>
                    </w:rPr>
                    <w:t xml:space="preserve"> 号）要求，按照《环境保护图形标志固体废物贮存（处置）场》</w:t>
                  </w:r>
                  <w:r>
                    <w:rPr>
                      <w:color w:val="auto"/>
                      <w:kern w:val="0"/>
                      <w:szCs w:val="21"/>
                      <w:highlight w:val="none"/>
                    </w:rPr>
                    <w:t>（GB15562.2-1995）</w:t>
                  </w:r>
                  <w:r>
                    <w:rPr>
                      <w:rFonts w:ascii="宋体" w:hAnsi="宋体"/>
                      <w:color w:val="auto"/>
                      <w:kern w:val="0"/>
                      <w:szCs w:val="21"/>
                      <w:highlight w:val="none"/>
                    </w:rPr>
                    <w:t>和危险废物识别标识设置规范设置标志（具体要求必须符合苏环办</w:t>
                  </w:r>
                  <w:r>
                    <w:rPr>
                      <w:color w:val="auto"/>
                      <w:kern w:val="0"/>
                      <w:szCs w:val="21"/>
                      <w:highlight w:val="none"/>
                    </w:rPr>
                    <w:t>[2019]327</w:t>
                  </w:r>
                  <w:r>
                    <w:rPr>
                      <w:rFonts w:ascii="宋体" w:hAnsi="宋体"/>
                      <w:color w:val="auto"/>
                      <w:kern w:val="0"/>
                      <w:szCs w:val="21"/>
                      <w:highlight w:val="none"/>
                    </w:rPr>
                    <w:t xml:space="preserve"> 号附件</w:t>
                  </w:r>
                  <w:r>
                    <w:rPr>
                      <w:color w:val="auto"/>
                      <w:kern w:val="0"/>
                      <w:szCs w:val="21"/>
                      <w:highlight w:val="none"/>
                    </w:rPr>
                    <w:t>1</w:t>
                  </w:r>
                  <w:r>
                    <w:rPr>
                      <w:rFonts w:ascii="宋体" w:hAnsi="宋体"/>
                      <w:color w:val="auto"/>
                      <w:kern w:val="0"/>
                      <w:szCs w:val="21"/>
                      <w:highlight w:val="none"/>
                    </w:rPr>
                    <w:t>“危险废物识别标识规范化设置要求”的规定）</w:t>
                  </w:r>
                </w:p>
              </w:tc>
              <w:tc>
                <w:tcPr>
                  <w:tcW w:w="2152" w:type="pct"/>
                  <w:tcMar>
                    <w:top w:w="0" w:type="dxa"/>
                    <w:left w:w="51" w:type="dxa"/>
                    <w:bottom w:w="0" w:type="dxa"/>
                    <w:right w:w="51" w:type="dxa"/>
                  </w:tcMar>
                  <w:vAlign w:val="center"/>
                </w:tcPr>
                <w:p w14:paraId="1941DEF3">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厂区门口设置危废信息公开栏，危废仓库外墙及各类危废贮存处墙面设置贮存设施警示标志牌</w:t>
                  </w:r>
                </w:p>
              </w:tc>
              <w:tc>
                <w:tcPr>
                  <w:tcW w:w="407" w:type="pct"/>
                  <w:tcMar>
                    <w:top w:w="0" w:type="dxa"/>
                    <w:left w:w="51" w:type="dxa"/>
                    <w:bottom w:w="0" w:type="dxa"/>
                    <w:right w:w="51" w:type="dxa"/>
                  </w:tcMar>
                  <w:vAlign w:val="center"/>
                </w:tcPr>
                <w:p w14:paraId="78C8DAAC">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4AA4D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6539B32E">
                  <w:pPr>
                    <w:pStyle w:val="60"/>
                    <w:spacing w:before="24" w:after="24"/>
                    <w:rPr>
                      <w:rFonts w:ascii="Times New Roman"/>
                      <w:b/>
                      <w:color w:val="auto"/>
                      <w:szCs w:val="21"/>
                      <w:highlight w:val="none"/>
                      <w:lang w:val="en-US"/>
                    </w:rPr>
                  </w:pPr>
                  <w:r>
                    <w:rPr>
                      <w:rFonts w:ascii="Times New Roman"/>
                      <w:color w:val="auto"/>
                      <w:szCs w:val="21"/>
                      <w:highlight w:val="none"/>
                      <w:lang w:val="en-US"/>
                    </w:rPr>
                    <w:t>8</w:t>
                  </w:r>
                </w:p>
              </w:tc>
              <w:tc>
                <w:tcPr>
                  <w:tcW w:w="2140" w:type="pct"/>
                  <w:tcMar>
                    <w:top w:w="0" w:type="dxa"/>
                    <w:left w:w="51" w:type="dxa"/>
                    <w:bottom w:w="0" w:type="dxa"/>
                    <w:right w:w="51" w:type="dxa"/>
                  </w:tcMar>
                  <w:vAlign w:val="center"/>
                </w:tcPr>
                <w:p w14:paraId="3CA8AE37">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危废仓库须配备通讯设备、照明设施和消防设施</w:t>
                  </w:r>
                </w:p>
              </w:tc>
              <w:tc>
                <w:tcPr>
                  <w:tcW w:w="2152" w:type="pct"/>
                  <w:tcMar>
                    <w:top w:w="0" w:type="dxa"/>
                    <w:left w:w="51" w:type="dxa"/>
                    <w:bottom w:w="0" w:type="dxa"/>
                    <w:right w:w="51" w:type="dxa"/>
                  </w:tcMar>
                  <w:vAlign w:val="center"/>
                </w:tcPr>
                <w:p w14:paraId="0F54391D">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危废仓库内配备通讯设备、防爆灯、禁火标志、灭火器（如黄沙）等</w:t>
                  </w:r>
                </w:p>
              </w:tc>
              <w:tc>
                <w:tcPr>
                  <w:tcW w:w="407" w:type="pct"/>
                  <w:tcMar>
                    <w:top w:w="0" w:type="dxa"/>
                    <w:left w:w="51" w:type="dxa"/>
                    <w:bottom w:w="0" w:type="dxa"/>
                    <w:right w:w="51" w:type="dxa"/>
                  </w:tcMar>
                  <w:vAlign w:val="center"/>
                </w:tcPr>
                <w:p w14:paraId="4B47FA67">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7ED6E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6E6693B8">
                  <w:pPr>
                    <w:pStyle w:val="60"/>
                    <w:spacing w:before="24" w:after="24"/>
                    <w:rPr>
                      <w:rFonts w:ascii="Times New Roman"/>
                      <w:b/>
                      <w:color w:val="auto"/>
                      <w:szCs w:val="21"/>
                      <w:highlight w:val="none"/>
                      <w:lang w:val="en-US"/>
                    </w:rPr>
                  </w:pPr>
                  <w:r>
                    <w:rPr>
                      <w:rFonts w:ascii="Times New Roman"/>
                      <w:color w:val="auto"/>
                      <w:szCs w:val="21"/>
                      <w:highlight w:val="none"/>
                      <w:lang w:val="en-US"/>
                    </w:rPr>
                    <w:t>9</w:t>
                  </w:r>
                </w:p>
              </w:tc>
              <w:tc>
                <w:tcPr>
                  <w:tcW w:w="2140" w:type="pct"/>
                  <w:tcMar>
                    <w:top w:w="0" w:type="dxa"/>
                    <w:left w:w="51" w:type="dxa"/>
                    <w:bottom w:w="0" w:type="dxa"/>
                    <w:right w:w="51" w:type="dxa"/>
                  </w:tcMar>
                  <w:vAlign w:val="center"/>
                </w:tcPr>
                <w:p w14:paraId="0BDD9B4D">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危险废物仓库须设置气体导出口及气体净化装置，确保废气达标排放</w:t>
                  </w:r>
                </w:p>
              </w:tc>
              <w:tc>
                <w:tcPr>
                  <w:tcW w:w="2152" w:type="pct"/>
                  <w:tcMar>
                    <w:top w:w="0" w:type="dxa"/>
                    <w:left w:w="51" w:type="dxa"/>
                    <w:bottom w:w="0" w:type="dxa"/>
                    <w:right w:w="51" w:type="dxa"/>
                  </w:tcMar>
                  <w:vAlign w:val="center"/>
                </w:tcPr>
                <w:p w14:paraId="611A1A2E">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本项目</w:t>
                  </w:r>
                  <w:r>
                    <w:rPr>
                      <w:rFonts w:hint="eastAsia"/>
                      <w:color w:val="auto"/>
                      <w:szCs w:val="21"/>
                      <w:highlight w:val="none"/>
                    </w:rPr>
                    <w:t>废胶</w:t>
                  </w:r>
                  <w:r>
                    <w:rPr>
                      <w:rFonts w:hint="eastAsia"/>
                      <w:color w:val="auto"/>
                      <w:szCs w:val="21"/>
                      <w:highlight w:val="none"/>
                      <w:lang w:eastAsia="zh-Hans"/>
                    </w:rPr>
                    <w:t>、</w:t>
                  </w:r>
                  <w:r>
                    <w:rPr>
                      <w:rFonts w:hint="eastAsia"/>
                      <w:color w:val="auto"/>
                      <w:szCs w:val="21"/>
                      <w:highlight w:val="none"/>
                      <w:lang w:val="en-US" w:eastAsia="zh-Hans"/>
                    </w:rPr>
                    <w:t>废粉</w:t>
                  </w:r>
                  <w:r>
                    <w:rPr>
                      <w:rFonts w:hint="eastAsia"/>
                      <w:color w:val="auto"/>
                      <w:szCs w:val="21"/>
                      <w:highlight w:val="none"/>
                    </w:rPr>
                    <w:t>、</w:t>
                  </w:r>
                  <w:r>
                    <w:rPr>
                      <w:rFonts w:hAnsi="宋体"/>
                      <w:color w:val="auto"/>
                      <w:szCs w:val="21"/>
                      <w:highlight w:val="none"/>
                    </w:rPr>
                    <w:t>废活性炭、废包装桶</w:t>
                  </w:r>
                  <w:r>
                    <w:rPr>
                      <w:rFonts w:hint="eastAsia" w:hAnsi="宋体"/>
                      <w:color w:val="auto"/>
                      <w:szCs w:val="21"/>
                      <w:highlight w:val="none"/>
                      <w:lang w:eastAsia="zh-Hans"/>
                    </w:rPr>
                    <w:t>、</w:t>
                  </w:r>
                  <w:r>
                    <w:rPr>
                      <w:rFonts w:hint="eastAsia" w:hAnsi="宋体"/>
                      <w:color w:val="auto"/>
                      <w:szCs w:val="21"/>
                      <w:highlight w:val="none"/>
                      <w:lang w:val="en-US" w:eastAsia="zh-Hans"/>
                    </w:rPr>
                    <w:t>废润滑油</w:t>
                  </w:r>
                  <w:r>
                    <w:rPr>
                      <w:rFonts w:ascii="宋体" w:hAnsi="宋体"/>
                      <w:color w:val="auto"/>
                      <w:kern w:val="0"/>
                      <w:szCs w:val="21"/>
                      <w:highlight w:val="none"/>
                    </w:rPr>
                    <w:t>密闭储存，由有资质单位及时清运，无需设置气体净化装置</w:t>
                  </w:r>
                </w:p>
              </w:tc>
              <w:tc>
                <w:tcPr>
                  <w:tcW w:w="407" w:type="pct"/>
                  <w:tcMar>
                    <w:top w:w="0" w:type="dxa"/>
                    <w:left w:w="51" w:type="dxa"/>
                    <w:bottom w:w="0" w:type="dxa"/>
                    <w:right w:w="51" w:type="dxa"/>
                  </w:tcMar>
                  <w:vAlign w:val="center"/>
                </w:tcPr>
                <w:p w14:paraId="5D5FA9C0">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4B585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18ABE52F">
                  <w:pPr>
                    <w:pStyle w:val="60"/>
                    <w:spacing w:before="24" w:after="24"/>
                    <w:rPr>
                      <w:rFonts w:ascii="Times New Roman"/>
                      <w:b/>
                      <w:color w:val="auto"/>
                      <w:szCs w:val="21"/>
                      <w:highlight w:val="none"/>
                      <w:lang w:val="en-US"/>
                    </w:rPr>
                  </w:pPr>
                  <w:r>
                    <w:rPr>
                      <w:rFonts w:ascii="Times New Roman"/>
                      <w:color w:val="auto"/>
                      <w:szCs w:val="21"/>
                      <w:highlight w:val="none"/>
                      <w:lang w:val="en-US"/>
                    </w:rPr>
                    <w:t>10</w:t>
                  </w:r>
                </w:p>
              </w:tc>
              <w:tc>
                <w:tcPr>
                  <w:tcW w:w="2140" w:type="pct"/>
                  <w:tcMar>
                    <w:top w:w="0" w:type="dxa"/>
                    <w:left w:w="51" w:type="dxa"/>
                    <w:bottom w:w="0" w:type="dxa"/>
                    <w:right w:w="51" w:type="dxa"/>
                  </w:tcMar>
                  <w:vAlign w:val="center"/>
                </w:tcPr>
                <w:p w14:paraId="33AF84D6">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在危险废物仓库出入口、设施内部、危险废物运输车辆通道等关键位置按照危险废物贮存设施视频监控布设要求设置视频监控，并与中控室联网（具体要求必须符合苏环办</w:t>
                  </w:r>
                  <w:r>
                    <w:rPr>
                      <w:color w:val="auto"/>
                      <w:kern w:val="0"/>
                      <w:szCs w:val="21"/>
                      <w:highlight w:val="none"/>
                    </w:rPr>
                    <w:t xml:space="preserve">[2019]327 </w:t>
                  </w:r>
                  <w:r>
                    <w:rPr>
                      <w:rFonts w:ascii="宋体" w:hAnsi="宋体"/>
                      <w:color w:val="auto"/>
                      <w:kern w:val="0"/>
                      <w:szCs w:val="21"/>
                      <w:highlight w:val="none"/>
                    </w:rPr>
                    <w:t>号附件</w:t>
                  </w:r>
                  <w:r>
                    <w:rPr>
                      <w:color w:val="auto"/>
                      <w:kern w:val="0"/>
                      <w:szCs w:val="21"/>
                      <w:highlight w:val="none"/>
                    </w:rPr>
                    <w:t>2</w:t>
                  </w:r>
                  <w:r>
                    <w:rPr>
                      <w:rFonts w:ascii="宋体" w:hAnsi="宋体"/>
                      <w:color w:val="auto"/>
                      <w:kern w:val="0"/>
                      <w:szCs w:val="21"/>
                      <w:highlight w:val="none"/>
                    </w:rPr>
                    <w:t>“危险废物贮存设施视频监控布设要求”的规定）</w:t>
                  </w:r>
                </w:p>
              </w:tc>
              <w:tc>
                <w:tcPr>
                  <w:tcW w:w="2152" w:type="pct"/>
                  <w:tcMar>
                    <w:top w:w="0" w:type="dxa"/>
                    <w:left w:w="51" w:type="dxa"/>
                    <w:bottom w:w="0" w:type="dxa"/>
                    <w:right w:w="51" w:type="dxa"/>
                  </w:tcMar>
                  <w:vAlign w:val="center"/>
                </w:tcPr>
                <w:p w14:paraId="356EC4DE">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本项目拟在仓库出入口、仓库内、厂门口等关键位置安装视频监控设施，进行实时监控，并与中控室联网</w:t>
                  </w:r>
                </w:p>
              </w:tc>
              <w:tc>
                <w:tcPr>
                  <w:tcW w:w="407" w:type="pct"/>
                  <w:tcMar>
                    <w:top w:w="0" w:type="dxa"/>
                    <w:left w:w="51" w:type="dxa"/>
                    <w:bottom w:w="0" w:type="dxa"/>
                    <w:right w:w="51" w:type="dxa"/>
                  </w:tcMar>
                  <w:vAlign w:val="center"/>
                </w:tcPr>
                <w:p w14:paraId="3254D4F9">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5FE1C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1FB5A7B4">
                  <w:pPr>
                    <w:pStyle w:val="60"/>
                    <w:spacing w:before="24" w:after="24"/>
                    <w:rPr>
                      <w:rFonts w:ascii="Times New Roman"/>
                      <w:b/>
                      <w:color w:val="auto"/>
                      <w:szCs w:val="21"/>
                      <w:highlight w:val="none"/>
                      <w:lang w:val="en-US"/>
                    </w:rPr>
                  </w:pPr>
                  <w:r>
                    <w:rPr>
                      <w:rFonts w:ascii="Times New Roman"/>
                      <w:color w:val="auto"/>
                      <w:szCs w:val="21"/>
                      <w:highlight w:val="none"/>
                      <w:lang w:val="en-US"/>
                    </w:rPr>
                    <w:t>11</w:t>
                  </w:r>
                </w:p>
              </w:tc>
              <w:tc>
                <w:tcPr>
                  <w:tcW w:w="2140" w:type="pct"/>
                  <w:tcMar>
                    <w:top w:w="0" w:type="dxa"/>
                    <w:left w:w="51" w:type="dxa"/>
                    <w:bottom w:w="0" w:type="dxa"/>
                    <w:right w:w="51" w:type="dxa"/>
                  </w:tcMar>
                  <w:vAlign w:val="center"/>
                </w:tcPr>
                <w:p w14:paraId="132F3D5C">
                  <w:pPr>
                    <w:autoSpaceDE w:val="0"/>
                    <w:autoSpaceDN w:val="0"/>
                    <w:adjustRightInd w:val="0"/>
                    <w:jc w:val="left"/>
                    <w:rPr>
                      <w:rFonts w:ascii="宋体" w:hAnsi="宋体"/>
                      <w:color w:val="auto"/>
                      <w:kern w:val="0"/>
                      <w:szCs w:val="21"/>
                      <w:highlight w:val="none"/>
                    </w:rPr>
                  </w:pPr>
                  <w:r>
                    <w:rPr>
                      <w:rFonts w:ascii="宋体" w:hAnsi="宋体"/>
                      <w:color w:val="auto"/>
                      <w:kern w:val="0"/>
                      <w:szCs w:val="21"/>
                      <w:highlight w:val="none"/>
                    </w:rPr>
                    <w:t>环评文件中涉及有副产品内容的，应严格对照《固体废物</w:t>
                  </w:r>
                </w:p>
                <w:p w14:paraId="174A4F0D">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鉴别标准通则》（</w:t>
                  </w:r>
                  <w:r>
                    <w:rPr>
                      <w:color w:val="auto"/>
                      <w:kern w:val="0"/>
                      <w:szCs w:val="21"/>
                      <w:highlight w:val="none"/>
                    </w:rPr>
                    <w:t>GB34330-2017</w:t>
                  </w:r>
                  <w:r>
                    <w:rPr>
                      <w:rFonts w:ascii="宋体" w:hAnsi="宋体"/>
                      <w:color w:val="auto"/>
                      <w:kern w:val="0"/>
                      <w:szCs w:val="21"/>
                      <w:highlight w:val="none"/>
                    </w:rPr>
                    <w:t>），依据其产生来源、利用和处置过程等进行鉴别，禁止以副产品的名义逃避监管</w:t>
                  </w:r>
                </w:p>
              </w:tc>
              <w:tc>
                <w:tcPr>
                  <w:tcW w:w="2152" w:type="pct"/>
                  <w:tcMar>
                    <w:top w:w="0" w:type="dxa"/>
                    <w:left w:w="51" w:type="dxa"/>
                    <w:bottom w:w="0" w:type="dxa"/>
                    <w:right w:w="51" w:type="dxa"/>
                  </w:tcMar>
                  <w:vAlign w:val="center"/>
                </w:tcPr>
                <w:p w14:paraId="74E82CAF">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本项目产生的固体废物均已对照《固体废物鉴别标准通则》（</w:t>
                  </w:r>
                  <w:r>
                    <w:rPr>
                      <w:color w:val="auto"/>
                      <w:kern w:val="0"/>
                      <w:szCs w:val="21"/>
                      <w:highlight w:val="none"/>
                    </w:rPr>
                    <w:t>GB34330-2017</w:t>
                  </w:r>
                  <w:r>
                    <w:rPr>
                      <w:rFonts w:ascii="宋体" w:hAnsi="宋体"/>
                      <w:color w:val="auto"/>
                      <w:kern w:val="0"/>
                      <w:szCs w:val="21"/>
                      <w:highlight w:val="none"/>
                    </w:rPr>
                    <w:t>）进行分析，定位为固体废物，不属于副产品</w:t>
                  </w:r>
                </w:p>
              </w:tc>
              <w:tc>
                <w:tcPr>
                  <w:tcW w:w="407" w:type="pct"/>
                  <w:tcMar>
                    <w:top w:w="0" w:type="dxa"/>
                    <w:left w:w="51" w:type="dxa"/>
                    <w:bottom w:w="0" w:type="dxa"/>
                    <w:right w:w="51" w:type="dxa"/>
                  </w:tcMar>
                  <w:vAlign w:val="center"/>
                </w:tcPr>
                <w:p w14:paraId="339598B0">
                  <w:pPr>
                    <w:pStyle w:val="60"/>
                    <w:spacing w:before="24" w:after="24"/>
                    <w:rPr>
                      <w:rFonts w:hAnsi="宋体"/>
                      <w:b/>
                      <w:color w:val="auto"/>
                      <w:szCs w:val="21"/>
                      <w:highlight w:val="none"/>
                      <w:lang w:val="en-US"/>
                    </w:rPr>
                  </w:pPr>
                  <w:r>
                    <w:rPr>
                      <w:rFonts w:hAnsi="宋体"/>
                      <w:color w:val="auto"/>
                      <w:szCs w:val="21"/>
                      <w:highlight w:val="none"/>
                      <w:lang w:val="en-US"/>
                    </w:rPr>
                    <w:t>符合</w:t>
                  </w:r>
                </w:p>
              </w:tc>
            </w:tr>
            <w:tr w14:paraId="685CC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9" w:type="pct"/>
                  <w:tcMar>
                    <w:top w:w="0" w:type="dxa"/>
                    <w:left w:w="51" w:type="dxa"/>
                    <w:bottom w:w="0" w:type="dxa"/>
                    <w:right w:w="51" w:type="dxa"/>
                  </w:tcMar>
                  <w:vAlign w:val="center"/>
                </w:tcPr>
                <w:p w14:paraId="18A2B63B">
                  <w:pPr>
                    <w:pStyle w:val="60"/>
                    <w:spacing w:before="24" w:after="24"/>
                    <w:rPr>
                      <w:rFonts w:ascii="Times New Roman"/>
                      <w:b/>
                      <w:color w:val="auto"/>
                      <w:szCs w:val="21"/>
                      <w:highlight w:val="none"/>
                      <w:lang w:val="en-US"/>
                    </w:rPr>
                  </w:pPr>
                  <w:r>
                    <w:rPr>
                      <w:rFonts w:ascii="Times New Roman"/>
                      <w:color w:val="auto"/>
                      <w:szCs w:val="21"/>
                      <w:highlight w:val="none"/>
                      <w:lang w:val="en-US"/>
                    </w:rPr>
                    <w:t>12</w:t>
                  </w:r>
                </w:p>
              </w:tc>
              <w:tc>
                <w:tcPr>
                  <w:tcW w:w="2140" w:type="pct"/>
                  <w:tcMar>
                    <w:top w:w="0" w:type="dxa"/>
                    <w:left w:w="51" w:type="dxa"/>
                    <w:bottom w:w="0" w:type="dxa"/>
                    <w:right w:w="51" w:type="dxa"/>
                  </w:tcMar>
                  <w:vAlign w:val="center"/>
                </w:tcPr>
                <w:p w14:paraId="1D805486">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贮存易爆、易燃及排出有毒气体的危险废物贮存设施应按照应急管理、消防、规划建设等相关职能部门的要求办理相关手续</w:t>
                  </w:r>
                </w:p>
              </w:tc>
              <w:tc>
                <w:tcPr>
                  <w:tcW w:w="2152" w:type="pct"/>
                  <w:tcMar>
                    <w:top w:w="0" w:type="dxa"/>
                    <w:left w:w="51" w:type="dxa"/>
                    <w:bottom w:w="0" w:type="dxa"/>
                    <w:right w:w="51" w:type="dxa"/>
                  </w:tcMar>
                  <w:vAlign w:val="center"/>
                </w:tcPr>
                <w:p w14:paraId="321DB456">
                  <w:pPr>
                    <w:autoSpaceDE w:val="0"/>
                    <w:autoSpaceDN w:val="0"/>
                    <w:adjustRightInd w:val="0"/>
                    <w:jc w:val="left"/>
                    <w:rPr>
                      <w:rFonts w:ascii="宋体" w:hAnsi="宋体"/>
                      <w:b/>
                      <w:color w:val="auto"/>
                      <w:szCs w:val="21"/>
                      <w:highlight w:val="none"/>
                    </w:rPr>
                  </w:pPr>
                  <w:r>
                    <w:rPr>
                      <w:rFonts w:ascii="宋体" w:hAnsi="宋体"/>
                      <w:color w:val="auto"/>
                      <w:kern w:val="0"/>
                      <w:szCs w:val="21"/>
                      <w:highlight w:val="none"/>
                    </w:rPr>
                    <w:t>企业不涉及易燃、易爆以及排出有毒气体的危险废物</w:t>
                  </w:r>
                </w:p>
              </w:tc>
              <w:tc>
                <w:tcPr>
                  <w:tcW w:w="407" w:type="pct"/>
                  <w:tcMar>
                    <w:top w:w="0" w:type="dxa"/>
                    <w:left w:w="51" w:type="dxa"/>
                    <w:bottom w:w="0" w:type="dxa"/>
                    <w:right w:w="51" w:type="dxa"/>
                  </w:tcMar>
                  <w:vAlign w:val="center"/>
                </w:tcPr>
                <w:p w14:paraId="1F6E64D8">
                  <w:pPr>
                    <w:pStyle w:val="60"/>
                    <w:spacing w:before="24" w:after="24"/>
                    <w:rPr>
                      <w:rFonts w:hAnsi="宋体"/>
                      <w:b/>
                      <w:color w:val="auto"/>
                      <w:szCs w:val="21"/>
                      <w:highlight w:val="none"/>
                      <w:lang w:val="en-US"/>
                    </w:rPr>
                  </w:pPr>
                  <w:r>
                    <w:rPr>
                      <w:rFonts w:hAnsi="宋体"/>
                      <w:color w:val="auto"/>
                      <w:szCs w:val="21"/>
                      <w:highlight w:val="none"/>
                      <w:lang w:val="en-US"/>
                    </w:rPr>
                    <w:t>符合</w:t>
                  </w:r>
                </w:p>
              </w:tc>
            </w:tr>
          </w:tbl>
          <w:p w14:paraId="3B56FDC5">
            <w:pPr>
              <w:tabs>
                <w:tab w:val="left" w:pos="1200"/>
              </w:tabs>
              <w:adjustRightInd w:val="0"/>
              <w:snapToGrid w:val="0"/>
              <w:ind w:firstLine="200" w:firstLineChars="200"/>
              <w:rPr>
                <w:rFonts w:hAnsi="宋体"/>
                <w:snapToGrid w:val="0"/>
                <w:color w:val="auto"/>
                <w:kern w:val="0"/>
                <w:sz w:val="10"/>
                <w:szCs w:val="10"/>
                <w:highlight w:val="none"/>
              </w:rPr>
            </w:pPr>
          </w:p>
          <w:p w14:paraId="674DB3BC">
            <w:pPr>
              <w:tabs>
                <w:tab w:val="left" w:pos="1200"/>
              </w:tabs>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综上所述，建设项目产生的固废经上述措施均可得到有效处置，不会造成二次污染，对周边环境影响较小，固废处理措施是可行的。</w:t>
            </w:r>
          </w:p>
          <w:p w14:paraId="273A0DD5">
            <w:pPr>
              <w:numPr>
                <w:ilvl w:val="0"/>
                <w:numId w:val="12"/>
              </w:numPr>
              <w:adjustRightInd w:val="0"/>
              <w:snapToGrid w:val="0"/>
              <w:spacing w:line="360" w:lineRule="auto"/>
              <w:rPr>
                <w:b/>
                <w:color w:val="auto"/>
                <w:kern w:val="0"/>
                <w:sz w:val="24"/>
                <w:highlight w:val="none"/>
              </w:rPr>
            </w:pPr>
            <w:r>
              <w:rPr>
                <w:rFonts w:hint="eastAsia"/>
                <w:b/>
                <w:color w:val="auto"/>
                <w:kern w:val="0"/>
                <w:sz w:val="24"/>
                <w:highlight w:val="none"/>
              </w:rPr>
              <w:t>地下水、土壤分区防渗措施</w:t>
            </w:r>
          </w:p>
          <w:p w14:paraId="2365D254">
            <w:pPr>
              <w:tabs>
                <w:tab w:val="left" w:pos="1200"/>
              </w:tabs>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防渗处理是防止地下水污染的重要环保保护措施，也是杜绝地下水污染的最后一道防线，依据项目区域水文地质情况及项目特点，提出如下污染防治措施及防渗要求。</w:t>
            </w:r>
          </w:p>
          <w:p w14:paraId="3ABF8D8B">
            <w:pPr>
              <w:tabs>
                <w:tab w:val="left" w:pos="1200"/>
              </w:tabs>
              <w:adjustRightInd w:val="0"/>
              <w:snapToGrid w:val="0"/>
              <w:spacing w:line="360" w:lineRule="auto"/>
              <w:ind w:firstLine="480" w:firstLineChars="200"/>
              <w:rPr>
                <w:rFonts w:hAnsi="宋体"/>
                <w:snapToGrid w:val="0"/>
                <w:color w:val="auto"/>
                <w:kern w:val="0"/>
                <w:sz w:val="24"/>
                <w:highlight w:val="none"/>
              </w:rPr>
            </w:pPr>
            <w:r>
              <w:rPr>
                <w:rFonts w:hAnsi="宋体"/>
                <w:snapToGrid w:val="0"/>
                <w:color w:val="auto"/>
                <w:kern w:val="0"/>
                <w:sz w:val="24"/>
                <w:highlight w:val="none"/>
              </w:rPr>
              <w:t>本项目依托现有厂区，所在厂区已划分为重点防渗区</w:t>
            </w:r>
            <w:r>
              <w:rPr>
                <w:rFonts w:hint="eastAsia" w:hAnsi="宋体"/>
                <w:snapToGrid w:val="0"/>
                <w:color w:val="auto"/>
                <w:kern w:val="0"/>
                <w:sz w:val="24"/>
                <w:highlight w:val="none"/>
              </w:rPr>
              <w:t>、</w:t>
            </w:r>
            <w:r>
              <w:rPr>
                <w:rFonts w:hAnsi="宋体"/>
                <w:snapToGrid w:val="0"/>
                <w:color w:val="auto"/>
                <w:kern w:val="0"/>
                <w:sz w:val="24"/>
                <w:highlight w:val="none"/>
              </w:rPr>
              <w:t>一般防渗区</w:t>
            </w:r>
            <w:r>
              <w:rPr>
                <w:rFonts w:hint="eastAsia" w:hAnsi="宋体"/>
                <w:snapToGrid w:val="0"/>
                <w:color w:val="auto"/>
                <w:kern w:val="0"/>
                <w:sz w:val="24"/>
                <w:highlight w:val="none"/>
              </w:rPr>
              <w:t>和简单防渗区</w:t>
            </w:r>
            <w:r>
              <w:rPr>
                <w:rFonts w:hAnsi="宋体"/>
                <w:snapToGrid w:val="0"/>
                <w:color w:val="auto"/>
                <w:kern w:val="0"/>
                <w:sz w:val="24"/>
                <w:highlight w:val="none"/>
              </w:rPr>
              <w:t>，不同的污染物区，采取不同等级的防渗措施，以确保其可靠性和有效性。一般污染区的防渗设计满足</w:t>
            </w:r>
            <w:r>
              <w:rPr>
                <w:rFonts w:hint="eastAsia" w:hAnsi="宋体"/>
                <w:snapToGrid w:val="0"/>
                <w:color w:val="auto"/>
                <w:kern w:val="0"/>
                <w:sz w:val="24"/>
                <w:highlight w:val="none"/>
              </w:rPr>
              <w:t>《</w:t>
            </w:r>
            <w:r>
              <w:rPr>
                <w:rFonts w:hAnsi="宋体"/>
                <w:snapToGrid w:val="0"/>
                <w:color w:val="auto"/>
                <w:kern w:val="0"/>
                <w:sz w:val="24"/>
                <w:highlight w:val="none"/>
              </w:rPr>
              <w:t>一般工业固体废物贮存和填埋污染控制标准》（GB18599-2020），重点及特殊污染区的防渗设计满足《危险废物填埋污染控制标准》(GB18598-2001)。</w:t>
            </w:r>
          </w:p>
          <w:p w14:paraId="6E503D4D">
            <w:pPr>
              <w:tabs>
                <w:tab w:val="left" w:pos="1200"/>
              </w:tabs>
              <w:adjustRightInd w:val="0"/>
              <w:snapToGrid w:val="0"/>
              <w:spacing w:line="360" w:lineRule="auto"/>
              <w:ind w:firstLine="480" w:firstLineChars="200"/>
              <w:rPr>
                <w:b/>
                <w:bCs/>
                <w:snapToGrid w:val="0"/>
                <w:color w:val="auto"/>
                <w:kern w:val="0"/>
                <w:sz w:val="24"/>
                <w:highlight w:val="none"/>
              </w:rPr>
            </w:pPr>
            <w:r>
              <w:rPr>
                <w:rFonts w:hAnsi="宋体"/>
                <w:snapToGrid w:val="0"/>
                <w:color w:val="auto"/>
                <w:kern w:val="0"/>
                <w:sz w:val="24"/>
                <w:highlight w:val="none"/>
              </w:rPr>
              <w:t>建设项目所在厂区防渗分区划分及防渗技术要求见表4-28，已采取的各项防渗措施具体见表4-</w:t>
            </w:r>
            <w:r>
              <w:rPr>
                <w:rFonts w:hint="eastAsia" w:hAnsi="宋体"/>
                <w:snapToGrid w:val="0"/>
                <w:color w:val="auto"/>
                <w:kern w:val="0"/>
                <w:sz w:val="24"/>
                <w:highlight w:val="none"/>
              </w:rPr>
              <w:t>2</w:t>
            </w:r>
            <w:r>
              <w:rPr>
                <w:rFonts w:hint="default" w:hAnsi="宋体"/>
                <w:snapToGrid w:val="0"/>
                <w:color w:val="auto"/>
                <w:kern w:val="0"/>
                <w:sz w:val="24"/>
                <w:highlight w:val="none"/>
              </w:rPr>
              <w:t>9</w:t>
            </w:r>
            <w:r>
              <w:rPr>
                <w:rFonts w:hAnsi="宋体"/>
                <w:snapToGrid w:val="0"/>
                <w:color w:val="auto"/>
                <w:kern w:val="0"/>
                <w:sz w:val="24"/>
                <w:highlight w:val="none"/>
              </w:rPr>
              <w:t>。</w:t>
            </w:r>
          </w:p>
          <w:p w14:paraId="654961C2">
            <w:pPr>
              <w:tabs>
                <w:tab w:val="center" w:pos="4779"/>
                <w:tab w:val="left" w:pos="7680"/>
              </w:tabs>
              <w:adjustRightInd w:val="0"/>
              <w:snapToGrid w:val="0"/>
              <w:jc w:val="center"/>
              <w:rPr>
                <w:b/>
                <w:bCs/>
                <w:snapToGrid w:val="0"/>
                <w:color w:val="auto"/>
                <w:kern w:val="0"/>
                <w:sz w:val="24"/>
                <w:highlight w:val="none"/>
              </w:rPr>
            </w:pPr>
            <w:r>
              <w:rPr>
                <w:rFonts w:hint="eastAsia"/>
                <w:b/>
                <w:bCs/>
                <w:snapToGrid w:val="0"/>
                <w:color w:val="auto"/>
                <w:kern w:val="0"/>
                <w:sz w:val="24"/>
                <w:highlight w:val="none"/>
              </w:rPr>
              <w:t>表4-2</w:t>
            </w:r>
            <w:r>
              <w:rPr>
                <w:rFonts w:hint="default"/>
                <w:b/>
                <w:bCs/>
                <w:snapToGrid w:val="0"/>
                <w:color w:val="auto"/>
                <w:kern w:val="0"/>
                <w:sz w:val="24"/>
                <w:highlight w:val="none"/>
              </w:rPr>
              <w:t>8</w:t>
            </w:r>
            <w:r>
              <w:rPr>
                <w:rFonts w:hint="eastAsia"/>
                <w:b/>
                <w:bCs/>
                <w:snapToGrid w:val="0"/>
                <w:color w:val="auto"/>
                <w:kern w:val="0"/>
                <w:sz w:val="24"/>
                <w:highlight w:val="none"/>
              </w:rPr>
              <w:t xml:space="preserve"> 污染区划分及防渗要求一览表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55"/>
              <w:gridCol w:w="866"/>
              <w:gridCol w:w="839"/>
              <w:gridCol w:w="893"/>
              <w:gridCol w:w="1301"/>
              <w:gridCol w:w="1163"/>
              <w:gridCol w:w="2128"/>
            </w:tblGrid>
            <w:tr w14:paraId="62D20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93" w:type="pct"/>
                  <w:tcBorders>
                    <w:tl2br w:val="nil"/>
                    <w:tr2bl w:val="nil"/>
                  </w:tcBorders>
                  <w:tcMar>
                    <w:top w:w="0" w:type="dxa"/>
                    <w:left w:w="0" w:type="dxa"/>
                    <w:bottom w:w="0" w:type="dxa"/>
                    <w:right w:w="0" w:type="dxa"/>
                  </w:tcMar>
                  <w:vAlign w:val="center"/>
                </w:tcPr>
                <w:p w14:paraId="38219162">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防渗分区</w:t>
                  </w:r>
                </w:p>
              </w:tc>
              <w:tc>
                <w:tcPr>
                  <w:tcW w:w="1099" w:type="pct"/>
                  <w:tcBorders>
                    <w:tl2br w:val="nil"/>
                    <w:tr2bl w:val="nil"/>
                  </w:tcBorders>
                  <w:tcMar>
                    <w:top w:w="0" w:type="dxa"/>
                    <w:left w:w="0" w:type="dxa"/>
                    <w:bottom w:w="0" w:type="dxa"/>
                    <w:right w:w="0" w:type="dxa"/>
                  </w:tcMar>
                  <w:vAlign w:val="center"/>
                </w:tcPr>
                <w:p w14:paraId="49B01076">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定义</w:t>
                  </w:r>
                </w:p>
              </w:tc>
              <w:tc>
                <w:tcPr>
                  <w:tcW w:w="422" w:type="pct"/>
                  <w:tcBorders>
                    <w:tl2br w:val="nil"/>
                    <w:tr2bl w:val="nil"/>
                  </w:tcBorders>
                  <w:tcMar>
                    <w:top w:w="0" w:type="dxa"/>
                    <w:left w:w="0" w:type="dxa"/>
                    <w:bottom w:w="0" w:type="dxa"/>
                    <w:right w:w="0" w:type="dxa"/>
                  </w:tcMar>
                  <w:vAlign w:val="center"/>
                </w:tcPr>
                <w:p w14:paraId="5390A077">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包气带防污性能</w:t>
                  </w:r>
                </w:p>
              </w:tc>
              <w:tc>
                <w:tcPr>
                  <w:tcW w:w="409" w:type="pct"/>
                  <w:tcBorders>
                    <w:tl2br w:val="nil"/>
                    <w:tr2bl w:val="nil"/>
                  </w:tcBorders>
                  <w:tcMar>
                    <w:top w:w="0" w:type="dxa"/>
                    <w:left w:w="0" w:type="dxa"/>
                    <w:bottom w:w="0" w:type="dxa"/>
                    <w:right w:w="0" w:type="dxa"/>
                  </w:tcMar>
                  <w:vAlign w:val="center"/>
                </w:tcPr>
                <w:p w14:paraId="4695E2BF">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污染控制难易程度</w:t>
                  </w:r>
                </w:p>
              </w:tc>
              <w:tc>
                <w:tcPr>
                  <w:tcW w:w="435" w:type="pct"/>
                  <w:tcBorders>
                    <w:tl2br w:val="nil"/>
                    <w:tr2bl w:val="nil"/>
                  </w:tcBorders>
                  <w:tcMar>
                    <w:top w:w="0" w:type="dxa"/>
                    <w:left w:w="0" w:type="dxa"/>
                    <w:bottom w:w="0" w:type="dxa"/>
                    <w:right w:w="0" w:type="dxa"/>
                  </w:tcMar>
                  <w:vAlign w:val="center"/>
                </w:tcPr>
                <w:p w14:paraId="32A8CAB4">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污染物类型</w:t>
                  </w:r>
                </w:p>
              </w:tc>
              <w:tc>
                <w:tcPr>
                  <w:tcW w:w="634" w:type="pct"/>
                  <w:tcBorders>
                    <w:tl2br w:val="nil"/>
                    <w:tr2bl w:val="nil"/>
                  </w:tcBorders>
                  <w:tcMar>
                    <w:top w:w="0" w:type="dxa"/>
                    <w:left w:w="0" w:type="dxa"/>
                    <w:bottom w:w="0" w:type="dxa"/>
                    <w:right w:w="0" w:type="dxa"/>
                  </w:tcMar>
                  <w:vAlign w:val="center"/>
                </w:tcPr>
                <w:p w14:paraId="43918C98">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厂内分区</w:t>
                  </w:r>
                </w:p>
              </w:tc>
              <w:tc>
                <w:tcPr>
                  <w:tcW w:w="567" w:type="pct"/>
                  <w:tcBorders>
                    <w:tl2br w:val="nil"/>
                    <w:tr2bl w:val="nil"/>
                  </w:tcBorders>
                  <w:tcMar>
                    <w:top w:w="0" w:type="dxa"/>
                    <w:left w:w="0" w:type="dxa"/>
                    <w:bottom w:w="0" w:type="dxa"/>
                    <w:right w:w="0" w:type="dxa"/>
                  </w:tcMar>
                  <w:vAlign w:val="center"/>
                </w:tcPr>
                <w:p w14:paraId="7DEBFA82">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企业实际防渗措施</w:t>
                  </w:r>
                </w:p>
              </w:tc>
              <w:tc>
                <w:tcPr>
                  <w:tcW w:w="1037" w:type="pct"/>
                  <w:tcBorders>
                    <w:tl2br w:val="nil"/>
                    <w:tr2bl w:val="nil"/>
                  </w:tcBorders>
                  <w:tcMar>
                    <w:top w:w="0" w:type="dxa"/>
                    <w:left w:w="0" w:type="dxa"/>
                    <w:bottom w:w="0" w:type="dxa"/>
                    <w:right w:w="0" w:type="dxa"/>
                  </w:tcMar>
                  <w:vAlign w:val="center"/>
                </w:tcPr>
                <w:p w14:paraId="26B24D7B">
                  <w:pPr>
                    <w:pStyle w:val="60"/>
                    <w:spacing w:before="24" w:after="24"/>
                    <w:rPr>
                      <w:rFonts w:ascii="Times New Roman"/>
                      <w:b/>
                      <w:bCs/>
                      <w:color w:val="auto"/>
                      <w:szCs w:val="21"/>
                      <w:highlight w:val="none"/>
                      <w:lang w:val="en-US"/>
                    </w:rPr>
                  </w:pPr>
                  <w:r>
                    <w:rPr>
                      <w:rFonts w:hint="eastAsia" w:ascii="Times New Roman"/>
                      <w:b/>
                      <w:bCs/>
                      <w:color w:val="auto"/>
                      <w:szCs w:val="21"/>
                      <w:highlight w:val="none"/>
                      <w:lang w:val="en-US"/>
                    </w:rPr>
                    <w:t>防渗技术要求</w:t>
                  </w:r>
                </w:p>
              </w:tc>
            </w:tr>
            <w:tr w14:paraId="3EC6D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l2br w:val="nil"/>
                    <w:tr2bl w:val="nil"/>
                  </w:tcBorders>
                  <w:tcMar>
                    <w:top w:w="0" w:type="dxa"/>
                    <w:left w:w="0" w:type="dxa"/>
                    <w:bottom w:w="0" w:type="dxa"/>
                    <w:right w:w="0" w:type="dxa"/>
                  </w:tcMar>
                  <w:vAlign w:val="center"/>
                </w:tcPr>
                <w:p w14:paraId="192DEA38">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重点防渗区</w:t>
                  </w:r>
                </w:p>
              </w:tc>
              <w:tc>
                <w:tcPr>
                  <w:tcW w:w="1099" w:type="pct"/>
                  <w:tcBorders>
                    <w:tl2br w:val="nil"/>
                    <w:tr2bl w:val="nil"/>
                  </w:tcBorders>
                  <w:tcMar>
                    <w:top w:w="0" w:type="dxa"/>
                    <w:left w:w="0" w:type="dxa"/>
                    <w:bottom w:w="0" w:type="dxa"/>
                    <w:right w:w="0" w:type="dxa"/>
                  </w:tcMar>
                  <w:vAlign w:val="center"/>
                </w:tcPr>
                <w:p w14:paraId="32E2FFFE">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危害性大、毒性较大的生产装置区、物料储罐区、化学品库、汽车液体产品装卸区,循环冷却水池等</w:t>
                  </w:r>
                </w:p>
              </w:tc>
              <w:tc>
                <w:tcPr>
                  <w:tcW w:w="422" w:type="pct"/>
                  <w:tcBorders>
                    <w:tl2br w:val="nil"/>
                    <w:tr2bl w:val="nil"/>
                  </w:tcBorders>
                  <w:tcMar>
                    <w:top w:w="0" w:type="dxa"/>
                    <w:left w:w="0" w:type="dxa"/>
                    <w:bottom w:w="0" w:type="dxa"/>
                    <w:right w:w="0" w:type="dxa"/>
                  </w:tcMar>
                  <w:vAlign w:val="center"/>
                </w:tcPr>
                <w:p w14:paraId="4D42A441">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弱</w:t>
                  </w:r>
                </w:p>
              </w:tc>
              <w:tc>
                <w:tcPr>
                  <w:tcW w:w="409" w:type="pct"/>
                  <w:tcBorders>
                    <w:tl2br w:val="nil"/>
                    <w:tr2bl w:val="nil"/>
                  </w:tcBorders>
                  <w:tcMar>
                    <w:top w:w="0" w:type="dxa"/>
                    <w:left w:w="0" w:type="dxa"/>
                    <w:bottom w:w="0" w:type="dxa"/>
                    <w:right w:w="0" w:type="dxa"/>
                  </w:tcMar>
                  <w:vAlign w:val="center"/>
                </w:tcPr>
                <w:p w14:paraId="7BAE32C8">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难</w:t>
                  </w:r>
                </w:p>
              </w:tc>
              <w:tc>
                <w:tcPr>
                  <w:tcW w:w="435" w:type="pct"/>
                  <w:tcBorders>
                    <w:tl2br w:val="nil"/>
                    <w:tr2bl w:val="nil"/>
                  </w:tcBorders>
                  <w:tcMar>
                    <w:top w:w="0" w:type="dxa"/>
                    <w:left w:w="0" w:type="dxa"/>
                    <w:bottom w:w="0" w:type="dxa"/>
                    <w:right w:w="0" w:type="dxa"/>
                  </w:tcMar>
                  <w:vAlign w:val="center"/>
                </w:tcPr>
                <w:p w14:paraId="5916A9E0">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持久性有机物污染物</w:t>
                  </w:r>
                </w:p>
              </w:tc>
              <w:tc>
                <w:tcPr>
                  <w:tcW w:w="634" w:type="pct"/>
                  <w:tcBorders>
                    <w:tl2br w:val="nil"/>
                    <w:tr2bl w:val="nil"/>
                  </w:tcBorders>
                  <w:tcMar>
                    <w:top w:w="0" w:type="dxa"/>
                    <w:left w:w="0" w:type="dxa"/>
                    <w:bottom w:w="0" w:type="dxa"/>
                    <w:right w:w="0" w:type="dxa"/>
                  </w:tcMar>
                  <w:vAlign w:val="center"/>
                </w:tcPr>
                <w:p w14:paraId="1B440418">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危废仓库</w:t>
                  </w:r>
                </w:p>
              </w:tc>
              <w:tc>
                <w:tcPr>
                  <w:tcW w:w="567" w:type="pct"/>
                  <w:tcBorders>
                    <w:tl2br w:val="nil"/>
                    <w:tr2bl w:val="nil"/>
                  </w:tcBorders>
                  <w:tcMar>
                    <w:top w:w="0" w:type="dxa"/>
                    <w:left w:w="0" w:type="dxa"/>
                    <w:bottom w:w="0" w:type="dxa"/>
                    <w:right w:w="0" w:type="dxa"/>
                  </w:tcMar>
                  <w:vAlign w:val="center"/>
                </w:tcPr>
                <w:p w14:paraId="2EB0BC3C">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环氧地坪+防渗漏托盘</w:t>
                  </w:r>
                </w:p>
              </w:tc>
              <w:tc>
                <w:tcPr>
                  <w:tcW w:w="1037" w:type="pct"/>
                  <w:tcBorders>
                    <w:tl2br w:val="nil"/>
                    <w:tr2bl w:val="nil"/>
                  </w:tcBorders>
                  <w:tcMar>
                    <w:top w:w="0" w:type="dxa"/>
                    <w:left w:w="0" w:type="dxa"/>
                    <w:bottom w:w="0" w:type="dxa"/>
                    <w:right w:w="0" w:type="dxa"/>
                  </w:tcMar>
                  <w:vAlign w:val="center"/>
                </w:tcPr>
                <w:p w14:paraId="119285A1">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等效黏土防渗层Mb≥6.0m</w:t>
                  </w:r>
                  <w:r>
                    <w:rPr>
                      <w:rFonts w:hint="eastAsia" w:ascii="Times New Roman"/>
                      <w:color w:val="auto"/>
                      <w:szCs w:val="21"/>
                      <w:highlight w:val="none"/>
                      <w:lang w:val="en-US"/>
                    </w:rPr>
                    <w:t>，</w:t>
                  </w:r>
                  <w:r>
                    <w:rPr>
                      <w:rFonts w:ascii="Times New Roman"/>
                      <w:color w:val="auto"/>
                      <w:szCs w:val="21"/>
                      <w:highlight w:val="none"/>
                      <w:lang w:val="en-US"/>
                    </w:rPr>
                    <w:t>K&lt;1×10</w:t>
                  </w:r>
                  <w:r>
                    <w:rPr>
                      <w:rFonts w:hint="eastAsia" w:ascii="Times New Roman"/>
                      <w:color w:val="auto"/>
                      <w:szCs w:val="21"/>
                      <w:highlight w:val="none"/>
                      <w:vertAlign w:val="superscript"/>
                      <w:lang w:val="en-US"/>
                    </w:rPr>
                    <w:t>-</w:t>
                  </w:r>
                  <w:r>
                    <w:rPr>
                      <w:rFonts w:ascii="Times New Roman"/>
                      <w:color w:val="auto"/>
                      <w:szCs w:val="21"/>
                      <w:highlight w:val="none"/>
                      <w:vertAlign w:val="superscript"/>
                      <w:lang w:val="en-US"/>
                    </w:rPr>
                    <w:t>7</w:t>
                  </w:r>
                  <w:r>
                    <w:rPr>
                      <w:rFonts w:ascii="Times New Roman"/>
                      <w:color w:val="auto"/>
                      <w:szCs w:val="21"/>
                      <w:highlight w:val="none"/>
                      <w:lang w:val="en-US"/>
                    </w:rPr>
                    <w:t>cm/s</w:t>
                  </w:r>
                  <w:r>
                    <w:rPr>
                      <w:rFonts w:hint="eastAsia" w:ascii="Times New Roman"/>
                      <w:color w:val="auto"/>
                      <w:szCs w:val="21"/>
                      <w:highlight w:val="none"/>
                      <w:lang w:val="en-US"/>
                    </w:rPr>
                    <w:t>；</w:t>
                  </w:r>
                  <w:r>
                    <w:rPr>
                      <w:rFonts w:ascii="Times New Roman"/>
                      <w:color w:val="auto"/>
                      <w:szCs w:val="21"/>
                      <w:highlight w:val="none"/>
                      <w:lang w:val="en-US"/>
                    </w:rPr>
                    <w:t>或参照GB18598执行</w:t>
                  </w:r>
                </w:p>
              </w:tc>
            </w:tr>
            <w:tr w14:paraId="53477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l2br w:val="nil"/>
                    <w:tr2bl w:val="nil"/>
                  </w:tcBorders>
                  <w:tcMar>
                    <w:top w:w="0" w:type="dxa"/>
                    <w:left w:w="0" w:type="dxa"/>
                    <w:bottom w:w="0" w:type="dxa"/>
                    <w:right w:w="0" w:type="dxa"/>
                  </w:tcMar>
                  <w:vAlign w:val="center"/>
                </w:tcPr>
                <w:p w14:paraId="4630EEDB">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一般防渗区</w:t>
                  </w:r>
                </w:p>
              </w:tc>
              <w:tc>
                <w:tcPr>
                  <w:tcW w:w="1099" w:type="pct"/>
                  <w:tcBorders>
                    <w:tl2br w:val="nil"/>
                    <w:tr2bl w:val="nil"/>
                  </w:tcBorders>
                  <w:tcMar>
                    <w:top w:w="0" w:type="dxa"/>
                    <w:left w:w="0" w:type="dxa"/>
                    <w:bottom w:w="0" w:type="dxa"/>
                    <w:right w:w="0" w:type="dxa"/>
                  </w:tcMar>
                  <w:vAlign w:val="center"/>
                </w:tcPr>
                <w:p w14:paraId="4CB8305B">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无毒性或毒性小的生产装置区、装置区外管廊区</w:t>
                  </w:r>
                </w:p>
              </w:tc>
              <w:tc>
                <w:tcPr>
                  <w:tcW w:w="422" w:type="pct"/>
                  <w:tcBorders>
                    <w:tl2br w:val="nil"/>
                    <w:tr2bl w:val="nil"/>
                  </w:tcBorders>
                  <w:tcMar>
                    <w:top w:w="0" w:type="dxa"/>
                    <w:left w:w="0" w:type="dxa"/>
                    <w:bottom w:w="0" w:type="dxa"/>
                    <w:right w:w="0" w:type="dxa"/>
                  </w:tcMar>
                  <w:vAlign w:val="center"/>
                </w:tcPr>
                <w:p w14:paraId="37272CDB">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弱</w:t>
                  </w:r>
                </w:p>
              </w:tc>
              <w:tc>
                <w:tcPr>
                  <w:tcW w:w="409" w:type="pct"/>
                  <w:tcBorders>
                    <w:tl2br w:val="nil"/>
                    <w:tr2bl w:val="nil"/>
                  </w:tcBorders>
                  <w:tcMar>
                    <w:top w:w="0" w:type="dxa"/>
                    <w:left w:w="0" w:type="dxa"/>
                    <w:bottom w:w="0" w:type="dxa"/>
                    <w:right w:w="0" w:type="dxa"/>
                  </w:tcMar>
                  <w:vAlign w:val="center"/>
                </w:tcPr>
                <w:p w14:paraId="6CA14C7D">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易</w:t>
                  </w:r>
                </w:p>
              </w:tc>
              <w:tc>
                <w:tcPr>
                  <w:tcW w:w="435" w:type="pct"/>
                  <w:tcBorders>
                    <w:tl2br w:val="nil"/>
                    <w:tr2bl w:val="nil"/>
                  </w:tcBorders>
                  <w:tcMar>
                    <w:top w:w="0" w:type="dxa"/>
                    <w:left w:w="0" w:type="dxa"/>
                    <w:bottom w:w="0" w:type="dxa"/>
                    <w:right w:w="0" w:type="dxa"/>
                  </w:tcMar>
                  <w:vAlign w:val="center"/>
                </w:tcPr>
                <w:p w14:paraId="0647347D">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其他类型</w:t>
                  </w:r>
                </w:p>
              </w:tc>
              <w:tc>
                <w:tcPr>
                  <w:tcW w:w="634" w:type="pct"/>
                  <w:tcBorders>
                    <w:tl2br w:val="nil"/>
                    <w:tr2bl w:val="nil"/>
                  </w:tcBorders>
                  <w:tcMar>
                    <w:top w:w="0" w:type="dxa"/>
                    <w:left w:w="0" w:type="dxa"/>
                    <w:bottom w:w="0" w:type="dxa"/>
                    <w:right w:w="0" w:type="dxa"/>
                  </w:tcMar>
                  <w:vAlign w:val="center"/>
                </w:tcPr>
                <w:p w14:paraId="53312D77">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原料仓库、化学品仓库、一般固废堆场、生产车间</w:t>
                  </w:r>
                </w:p>
              </w:tc>
              <w:tc>
                <w:tcPr>
                  <w:tcW w:w="567" w:type="pct"/>
                  <w:tcBorders>
                    <w:tl2br w:val="nil"/>
                    <w:tr2bl w:val="nil"/>
                  </w:tcBorders>
                  <w:tcMar>
                    <w:top w:w="0" w:type="dxa"/>
                    <w:left w:w="0" w:type="dxa"/>
                    <w:bottom w:w="0" w:type="dxa"/>
                    <w:right w:w="0" w:type="dxa"/>
                  </w:tcMar>
                  <w:vAlign w:val="center"/>
                </w:tcPr>
                <w:p w14:paraId="46DF2E0C">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环氧地坪+防渗漏托盘</w:t>
                  </w:r>
                </w:p>
              </w:tc>
              <w:tc>
                <w:tcPr>
                  <w:tcW w:w="1037" w:type="pct"/>
                  <w:tcBorders>
                    <w:tl2br w:val="nil"/>
                    <w:tr2bl w:val="nil"/>
                  </w:tcBorders>
                  <w:tcMar>
                    <w:top w:w="0" w:type="dxa"/>
                    <w:left w:w="0" w:type="dxa"/>
                    <w:bottom w:w="0" w:type="dxa"/>
                    <w:right w:w="0" w:type="dxa"/>
                  </w:tcMar>
                  <w:vAlign w:val="center"/>
                </w:tcPr>
                <w:p w14:paraId="0094494E">
                  <w:pPr>
                    <w:pStyle w:val="60"/>
                    <w:spacing w:beforeLines="0" w:afterLines="0" w:line="240" w:lineRule="auto"/>
                    <w:rPr>
                      <w:rFonts w:ascii="Times New Roman"/>
                      <w:color w:val="auto"/>
                      <w:szCs w:val="21"/>
                      <w:highlight w:val="none"/>
                      <w:lang w:val="en-US"/>
                    </w:rPr>
                  </w:pPr>
                  <w:r>
                    <w:rPr>
                      <w:rFonts w:ascii="Times New Roman"/>
                      <w:color w:val="auto"/>
                      <w:szCs w:val="21"/>
                      <w:highlight w:val="none"/>
                      <w:lang w:val="en-US"/>
                    </w:rPr>
                    <w:t>等效黏土防渗层Mb≥1.5m</w:t>
                  </w:r>
                  <w:r>
                    <w:rPr>
                      <w:rFonts w:hint="eastAsia" w:ascii="Times New Roman"/>
                      <w:color w:val="auto"/>
                      <w:szCs w:val="21"/>
                      <w:highlight w:val="none"/>
                      <w:lang w:val="en-US"/>
                    </w:rPr>
                    <w:t>，</w:t>
                  </w:r>
                  <w:r>
                    <w:rPr>
                      <w:rFonts w:ascii="Times New Roman"/>
                      <w:color w:val="auto"/>
                      <w:szCs w:val="21"/>
                      <w:highlight w:val="none"/>
                      <w:lang w:val="en-US"/>
                    </w:rPr>
                    <w:t>K&lt;1×10</w:t>
                  </w:r>
                  <w:r>
                    <w:rPr>
                      <w:rFonts w:ascii="Times New Roman"/>
                      <w:color w:val="auto"/>
                      <w:szCs w:val="21"/>
                      <w:highlight w:val="none"/>
                      <w:vertAlign w:val="superscript"/>
                      <w:lang w:val="en-US"/>
                    </w:rPr>
                    <w:t>-7</w:t>
                  </w:r>
                  <w:r>
                    <w:rPr>
                      <w:rFonts w:ascii="Times New Roman"/>
                      <w:color w:val="auto"/>
                      <w:szCs w:val="21"/>
                      <w:highlight w:val="none"/>
                      <w:lang w:val="en-US"/>
                    </w:rPr>
                    <w:t>cm/s</w:t>
                  </w:r>
                  <w:r>
                    <w:rPr>
                      <w:rFonts w:hint="eastAsia" w:ascii="Times New Roman"/>
                      <w:color w:val="auto"/>
                      <w:szCs w:val="21"/>
                      <w:highlight w:val="none"/>
                      <w:lang w:val="en-US"/>
                    </w:rPr>
                    <w:t>；</w:t>
                  </w:r>
                  <w:r>
                    <w:rPr>
                      <w:rFonts w:ascii="Times New Roman"/>
                      <w:color w:val="auto"/>
                      <w:szCs w:val="21"/>
                      <w:highlight w:val="none"/>
                      <w:lang w:val="en-US"/>
                    </w:rPr>
                    <w:t>或参照K&lt;1×10</w:t>
                  </w:r>
                  <w:r>
                    <w:rPr>
                      <w:rFonts w:ascii="Times New Roman"/>
                      <w:color w:val="auto"/>
                      <w:szCs w:val="21"/>
                      <w:highlight w:val="none"/>
                      <w:vertAlign w:val="superscript"/>
                      <w:lang w:val="en-US"/>
                    </w:rPr>
                    <w:t>-7</w:t>
                  </w:r>
                  <w:r>
                    <w:rPr>
                      <w:rFonts w:ascii="Times New Roman"/>
                      <w:color w:val="auto"/>
                      <w:szCs w:val="21"/>
                      <w:highlight w:val="none"/>
                      <w:lang w:val="en-US"/>
                    </w:rPr>
                    <w:t>cm/s</w:t>
                  </w:r>
                  <w:r>
                    <w:rPr>
                      <w:rFonts w:hint="eastAsia" w:ascii="Times New Roman"/>
                      <w:color w:val="auto"/>
                      <w:szCs w:val="21"/>
                      <w:highlight w:val="none"/>
                      <w:lang w:val="en-US"/>
                    </w:rPr>
                    <w:t>；</w:t>
                  </w:r>
                  <w:r>
                    <w:rPr>
                      <w:rFonts w:ascii="Times New Roman"/>
                      <w:color w:val="auto"/>
                      <w:szCs w:val="21"/>
                      <w:highlight w:val="none"/>
                      <w:lang w:val="en-US"/>
                    </w:rPr>
                    <w:t>或参照</w:t>
                  </w:r>
                </w:p>
              </w:tc>
            </w:tr>
            <w:tr w14:paraId="74AA3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l2br w:val="nil"/>
                    <w:tr2bl w:val="nil"/>
                  </w:tcBorders>
                  <w:tcMar>
                    <w:top w:w="0" w:type="dxa"/>
                    <w:left w:w="0" w:type="dxa"/>
                    <w:bottom w:w="0" w:type="dxa"/>
                    <w:right w:w="0" w:type="dxa"/>
                  </w:tcMar>
                  <w:vAlign w:val="center"/>
                </w:tcPr>
                <w:p w14:paraId="16A5192D">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简单防渗区</w:t>
                  </w:r>
                </w:p>
              </w:tc>
              <w:tc>
                <w:tcPr>
                  <w:tcW w:w="1099" w:type="pct"/>
                  <w:tcBorders>
                    <w:tl2br w:val="nil"/>
                    <w:tr2bl w:val="nil"/>
                  </w:tcBorders>
                  <w:tcMar>
                    <w:top w:w="0" w:type="dxa"/>
                    <w:left w:w="0" w:type="dxa"/>
                    <w:bottom w:w="0" w:type="dxa"/>
                    <w:right w:w="0" w:type="dxa"/>
                  </w:tcMar>
                  <w:vAlign w:val="center"/>
                </w:tcPr>
                <w:p w14:paraId="5A5306CE">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无毒性的办公区域</w:t>
                  </w:r>
                </w:p>
              </w:tc>
              <w:tc>
                <w:tcPr>
                  <w:tcW w:w="422" w:type="pct"/>
                  <w:tcBorders>
                    <w:tl2br w:val="nil"/>
                    <w:tr2bl w:val="nil"/>
                  </w:tcBorders>
                  <w:tcMar>
                    <w:top w:w="0" w:type="dxa"/>
                    <w:left w:w="0" w:type="dxa"/>
                    <w:bottom w:w="0" w:type="dxa"/>
                    <w:right w:w="0" w:type="dxa"/>
                  </w:tcMar>
                  <w:vAlign w:val="center"/>
                </w:tcPr>
                <w:p w14:paraId="7B1142BD">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弱</w:t>
                  </w:r>
                </w:p>
              </w:tc>
              <w:tc>
                <w:tcPr>
                  <w:tcW w:w="409" w:type="pct"/>
                  <w:tcBorders>
                    <w:tl2br w:val="nil"/>
                    <w:tr2bl w:val="nil"/>
                  </w:tcBorders>
                  <w:tcMar>
                    <w:top w:w="0" w:type="dxa"/>
                    <w:left w:w="0" w:type="dxa"/>
                    <w:bottom w:w="0" w:type="dxa"/>
                    <w:right w:w="0" w:type="dxa"/>
                  </w:tcMar>
                  <w:vAlign w:val="center"/>
                </w:tcPr>
                <w:p w14:paraId="133EA8E0">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易</w:t>
                  </w:r>
                </w:p>
              </w:tc>
              <w:tc>
                <w:tcPr>
                  <w:tcW w:w="435" w:type="pct"/>
                  <w:tcBorders>
                    <w:tl2br w:val="nil"/>
                    <w:tr2bl w:val="nil"/>
                  </w:tcBorders>
                  <w:tcMar>
                    <w:top w:w="0" w:type="dxa"/>
                    <w:left w:w="0" w:type="dxa"/>
                    <w:bottom w:w="0" w:type="dxa"/>
                    <w:right w:w="0" w:type="dxa"/>
                  </w:tcMar>
                  <w:vAlign w:val="center"/>
                </w:tcPr>
                <w:p w14:paraId="2060BEF2">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其他类型</w:t>
                  </w:r>
                </w:p>
              </w:tc>
              <w:tc>
                <w:tcPr>
                  <w:tcW w:w="634" w:type="pct"/>
                  <w:tcBorders>
                    <w:tl2br w:val="nil"/>
                    <w:tr2bl w:val="nil"/>
                  </w:tcBorders>
                  <w:tcMar>
                    <w:top w:w="0" w:type="dxa"/>
                    <w:left w:w="0" w:type="dxa"/>
                    <w:bottom w:w="0" w:type="dxa"/>
                    <w:right w:w="0" w:type="dxa"/>
                  </w:tcMar>
                  <w:vAlign w:val="center"/>
                </w:tcPr>
                <w:p w14:paraId="4870D768">
                  <w:pPr>
                    <w:pStyle w:val="60"/>
                    <w:spacing w:beforeLines="0" w:afterLines="0" w:line="240" w:lineRule="auto"/>
                    <w:rPr>
                      <w:rFonts w:ascii="Times New Roman"/>
                      <w:color w:val="auto"/>
                      <w:szCs w:val="21"/>
                      <w:highlight w:val="none"/>
                      <w:lang w:val="en-US"/>
                    </w:rPr>
                  </w:pPr>
                  <w:r>
                    <w:rPr>
                      <w:rFonts w:hint="eastAsia" w:ascii="Times New Roman"/>
                      <w:color w:val="auto"/>
                      <w:szCs w:val="21"/>
                      <w:highlight w:val="none"/>
                      <w:lang w:val="en-US"/>
                    </w:rPr>
                    <w:t>办公区</w:t>
                  </w:r>
                </w:p>
              </w:tc>
              <w:tc>
                <w:tcPr>
                  <w:tcW w:w="567" w:type="pct"/>
                  <w:tcBorders>
                    <w:tl2br w:val="nil"/>
                    <w:tr2bl w:val="nil"/>
                  </w:tcBorders>
                  <w:tcMar>
                    <w:top w:w="0" w:type="dxa"/>
                    <w:left w:w="0" w:type="dxa"/>
                    <w:bottom w:w="0" w:type="dxa"/>
                    <w:right w:w="0" w:type="dxa"/>
                  </w:tcMar>
                  <w:vAlign w:val="center"/>
                </w:tcPr>
                <w:p w14:paraId="7944BEEF">
                  <w:pPr>
                    <w:pStyle w:val="60"/>
                    <w:spacing w:beforeLines="0" w:afterLines="0" w:line="240" w:lineRule="auto"/>
                    <w:rPr>
                      <w:rFonts w:hAnsi="宋体" w:cs="宋体"/>
                      <w:color w:val="auto"/>
                      <w:szCs w:val="21"/>
                      <w:highlight w:val="none"/>
                    </w:rPr>
                  </w:pPr>
                  <w:r>
                    <w:rPr>
                      <w:rFonts w:hint="eastAsia" w:hAnsi="宋体" w:cs="宋体"/>
                      <w:color w:val="auto"/>
                      <w:szCs w:val="21"/>
                      <w:highlight w:val="none"/>
                      <w:lang w:val="en-US"/>
                    </w:rPr>
                    <w:t>水泥硬化+表面铺设PVC地板</w:t>
                  </w:r>
                </w:p>
              </w:tc>
              <w:tc>
                <w:tcPr>
                  <w:tcW w:w="1037" w:type="pct"/>
                  <w:tcBorders>
                    <w:tl2br w:val="nil"/>
                    <w:tr2bl w:val="nil"/>
                  </w:tcBorders>
                  <w:tcMar>
                    <w:top w:w="0" w:type="dxa"/>
                    <w:left w:w="0" w:type="dxa"/>
                    <w:bottom w:w="0" w:type="dxa"/>
                    <w:right w:w="0" w:type="dxa"/>
                  </w:tcMar>
                  <w:vAlign w:val="center"/>
                </w:tcPr>
                <w:p w14:paraId="534B56BA">
                  <w:pPr>
                    <w:pStyle w:val="60"/>
                    <w:spacing w:beforeLines="0" w:afterLines="0" w:line="240" w:lineRule="auto"/>
                    <w:rPr>
                      <w:rFonts w:ascii="Times New Roman"/>
                      <w:color w:val="auto"/>
                      <w:szCs w:val="21"/>
                      <w:highlight w:val="none"/>
                      <w:lang w:val="en-US"/>
                    </w:rPr>
                  </w:pPr>
                  <w:r>
                    <w:rPr>
                      <w:rFonts w:hAnsi="宋体" w:cs="宋体"/>
                      <w:color w:val="auto"/>
                      <w:szCs w:val="21"/>
                      <w:highlight w:val="none"/>
                    </w:rPr>
                    <w:t>一般地面硬化、池体水泥硬化</w:t>
                  </w:r>
                </w:p>
              </w:tc>
            </w:tr>
          </w:tbl>
          <w:p w14:paraId="40D6EB9C">
            <w:pPr>
              <w:tabs>
                <w:tab w:val="center" w:pos="4779"/>
                <w:tab w:val="left" w:pos="7680"/>
              </w:tabs>
              <w:adjustRightInd w:val="0"/>
              <w:snapToGrid w:val="0"/>
              <w:jc w:val="center"/>
              <w:rPr>
                <w:b/>
                <w:bCs/>
                <w:snapToGrid w:val="0"/>
                <w:color w:val="auto"/>
                <w:kern w:val="0"/>
                <w:sz w:val="24"/>
                <w:highlight w:val="none"/>
              </w:rPr>
            </w:pPr>
            <w:r>
              <w:rPr>
                <w:rFonts w:hint="eastAsia"/>
                <w:b/>
                <w:bCs/>
                <w:snapToGrid w:val="0"/>
                <w:color w:val="auto"/>
                <w:kern w:val="0"/>
                <w:sz w:val="24"/>
                <w:highlight w:val="none"/>
              </w:rPr>
              <w:t>表4-2</w:t>
            </w:r>
            <w:r>
              <w:rPr>
                <w:rFonts w:hint="default"/>
                <w:b/>
                <w:bCs/>
                <w:snapToGrid w:val="0"/>
                <w:color w:val="auto"/>
                <w:kern w:val="0"/>
                <w:sz w:val="24"/>
                <w:highlight w:val="none"/>
              </w:rPr>
              <w:t xml:space="preserve">9 </w:t>
            </w:r>
            <w:r>
              <w:rPr>
                <w:rFonts w:hint="eastAsia"/>
                <w:b/>
                <w:bCs/>
                <w:snapToGrid w:val="0"/>
                <w:color w:val="auto"/>
                <w:kern w:val="0"/>
                <w:sz w:val="24"/>
                <w:highlight w:val="none"/>
              </w:rPr>
              <w:t xml:space="preserve"> 建设项目分区防渗方案及防渗措施一览表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04"/>
              <w:gridCol w:w="7899"/>
            </w:tblGrid>
            <w:tr w14:paraId="1DFC2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65" w:type="pct"/>
                  <w:tcBorders>
                    <w:tl2br w:val="nil"/>
                    <w:tr2bl w:val="nil"/>
                  </w:tcBorders>
                  <w:vAlign w:val="center"/>
                </w:tcPr>
                <w:p w14:paraId="4DCBB381">
                  <w:pPr>
                    <w:pStyle w:val="60"/>
                    <w:spacing w:beforeLines="0" w:afterLines="0" w:line="240" w:lineRule="auto"/>
                    <w:rPr>
                      <w:rFonts w:ascii="Times New Roman"/>
                      <w:b/>
                      <w:bCs/>
                      <w:color w:val="auto"/>
                      <w:szCs w:val="21"/>
                      <w:highlight w:val="none"/>
                      <w:lang w:val="en-US"/>
                    </w:rPr>
                  </w:pPr>
                  <w:r>
                    <w:rPr>
                      <w:rFonts w:hint="eastAsia" w:ascii="Times New Roman"/>
                      <w:b/>
                      <w:bCs/>
                      <w:color w:val="auto"/>
                      <w:szCs w:val="21"/>
                      <w:highlight w:val="none"/>
                      <w:lang w:val="en-US"/>
                    </w:rPr>
                    <w:t>序号</w:t>
                  </w:r>
                </w:p>
              </w:tc>
              <w:tc>
                <w:tcPr>
                  <w:tcW w:w="782" w:type="pct"/>
                  <w:tcBorders>
                    <w:tl2br w:val="nil"/>
                    <w:tr2bl w:val="nil"/>
                  </w:tcBorders>
                  <w:vAlign w:val="center"/>
                </w:tcPr>
                <w:p w14:paraId="709C75B8">
                  <w:pPr>
                    <w:pStyle w:val="60"/>
                    <w:spacing w:beforeLines="0" w:afterLines="0" w:line="240" w:lineRule="auto"/>
                    <w:rPr>
                      <w:rFonts w:ascii="Times New Roman"/>
                      <w:b/>
                      <w:bCs/>
                      <w:color w:val="auto"/>
                      <w:szCs w:val="21"/>
                      <w:highlight w:val="none"/>
                      <w:lang w:val="en-US"/>
                    </w:rPr>
                  </w:pPr>
                  <w:r>
                    <w:rPr>
                      <w:rFonts w:hint="eastAsia" w:ascii="Times New Roman"/>
                      <w:b/>
                      <w:bCs/>
                      <w:color w:val="auto"/>
                      <w:szCs w:val="21"/>
                      <w:highlight w:val="none"/>
                      <w:lang w:val="en-US"/>
                    </w:rPr>
                    <w:t>名称</w:t>
                  </w:r>
                </w:p>
              </w:tc>
              <w:tc>
                <w:tcPr>
                  <w:tcW w:w="3852" w:type="pct"/>
                  <w:tcBorders>
                    <w:tl2br w:val="nil"/>
                    <w:tr2bl w:val="nil"/>
                  </w:tcBorders>
                  <w:vAlign w:val="center"/>
                </w:tcPr>
                <w:p w14:paraId="79FAC1CD">
                  <w:pPr>
                    <w:pStyle w:val="60"/>
                    <w:spacing w:beforeLines="0" w:afterLines="0" w:line="240" w:lineRule="auto"/>
                    <w:rPr>
                      <w:rFonts w:ascii="Times New Roman"/>
                      <w:b/>
                      <w:bCs/>
                      <w:color w:val="auto"/>
                      <w:szCs w:val="21"/>
                      <w:highlight w:val="none"/>
                      <w:lang w:val="en-US"/>
                    </w:rPr>
                  </w:pPr>
                  <w:r>
                    <w:rPr>
                      <w:rFonts w:hint="eastAsia" w:ascii="Times New Roman"/>
                      <w:b/>
                      <w:bCs/>
                      <w:color w:val="auto"/>
                      <w:szCs w:val="21"/>
                      <w:highlight w:val="none"/>
                      <w:lang w:val="en-US"/>
                    </w:rPr>
                    <w:t>防腐、防渗措施</w:t>
                  </w:r>
                </w:p>
              </w:tc>
            </w:tr>
            <w:tr w14:paraId="7144F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Borders>
                    <w:tl2br w:val="nil"/>
                    <w:tr2bl w:val="nil"/>
                  </w:tcBorders>
                  <w:vAlign w:val="center"/>
                </w:tcPr>
                <w:p w14:paraId="17880C97">
                  <w:pPr>
                    <w:pStyle w:val="60"/>
                    <w:spacing w:before="24" w:after="24"/>
                    <w:rPr>
                      <w:rFonts w:ascii="Times New Roman"/>
                      <w:color w:val="auto"/>
                      <w:szCs w:val="21"/>
                      <w:highlight w:val="none"/>
                      <w:lang w:val="en-US"/>
                    </w:rPr>
                  </w:pPr>
                  <w:r>
                    <w:rPr>
                      <w:rFonts w:hint="eastAsia" w:ascii="Times New Roman"/>
                      <w:color w:val="auto"/>
                      <w:szCs w:val="21"/>
                      <w:highlight w:val="none"/>
                      <w:lang w:val="en-US"/>
                    </w:rPr>
                    <w:t>1</w:t>
                  </w:r>
                </w:p>
              </w:tc>
              <w:tc>
                <w:tcPr>
                  <w:tcW w:w="782" w:type="pct"/>
                  <w:tcBorders>
                    <w:tl2br w:val="nil"/>
                    <w:tr2bl w:val="nil"/>
                  </w:tcBorders>
                  <w:vAlign w:val="center"/>
                </w:tcPr>
                <w:p w14:paraId="7055EF24">
                  <w:pPr>
                    <w:pStyle w:val="60"/>
                    <w:spacing w:before="24" w:after="24"/>
                    <w:rPr>
                      <w:rFonts w:ascii="Times New Roman"/>
                      <w:color w:val="auto"/>
                      <w:szCs w:val="21"/>
                      <w:highlight w:val="none"/>
                      <w:lang w:val="en-US"/>
                    </w:rPr>
                  </w:pPr>
                  <w:r>
                    <w:rPr>
                      <w:rFonts w:hint="eastAsia" w:ascii="Times New Roman"/>
                      <w:color w:val="auto"/>
                      <w:szCs w:val="21"/>
                      <w:highlight w:val="none"/>
                      <w:lang w:val="en-US"/>
                    </w:rPr>
                    <w:t>危废仓库</w:t>
                  </w:r>
                </w:p>
              </w:tc>
              <w:tc>
                <w:tcPr>
                  <w:tcW w:w="3852" w:type="pct"/>
                  <w:tcBorders>
                    <w:tl2br w:val="nil"/>
                    <w:tr2bl w:val="nil"/>
                  </w:tcBorders>
                  <w:vAlign w:val="center"/>
                </w:tcPr>
                <w:p w14:paraId="48E94A39">
                  <w:pPr>
                    <w:pStyle w:val="60"/>
                    <w:spacing w:before="24" w:after="24"/>
                    <w:rPr>
                      <w:rFonts w:ascii="Times New Roman"/>
                      <w:color w:val="auto"/>
                      <w:szCs w:val="21"/>
                      <w:highlight w:val="none"/>
                      <w:lang w:val="en-US"/>
                    </w:rPr>
                  </w:pPr>
                  <w:r>
                    <w:rPr>
                      <w:rFonts w:ascii="Times New Roman"/>
                      <w:color w:val="auto"/>
                      <w:szCs w:val="21"/>
                      <w:highlight w:val="none"/>
                      <w:lang w:val="en-US"/>
                    </w:rPr>
                    <w:t>①对各环节(包括生产车间、集水管线、排水管线、废物临时存放点等)已进行特殊防渗处理。借鉴国家《危险废物填埋污染控制标准》(GB18598-</w:t>
                  </w:r>
                  <w:r>
                    <w:rPr>
                      <w:rFonts w:hint="eastAsia" w:ascii="Times New Roman"/>
                      <w:color w:val="auto"/>
                      <w:szCs w:val="21"/>
                      <w:highlight w:val="none"/>
                      <w:lang w:val="en-US"/>
                    </w:rPr>
                    <w:t>2019</w:t>
                  </w:r>
                  <w:r>
                    <w:rPr>
                      <w:rFonts w:ascii="Times New Roman"/>
                      <w:color w:val="auto"/>
                      <w:szCs w:val="21"/>
                      <w:highlight w:val="none"/>
                      <w:lang w:val="en-US"/>
                    </w:rPr>
                    <w:t>）中防渗设计要求，进行天然基础层、复合衬层或双人工衬层设计建设，采取高标准的防渗处理措施。②污水收集池等池体采用高标号的防水混凝土，并按照水压计算，严格按照建筑防渗波计规范，已采用足够厚度的钢筋混凝土结构</w:t>
                  </w:r>
                  <w:r>
                    <w:rPr>
                      <w:rFonts w:hint="eastAsia" w:ascii="Times New Roman"/>
                      <w:color w:val="auto"/>
                      <w:szCs w:val="21"/>
                      <w:highlight w:val="none"/>
                      <w:lang w:val="en-US"/>
                    </w:rPr>
                    <w:t>；</w:t>
                  </w:r>
                  <w:r>
                    <w:rPr>
                      <w:rFonts w:ascii="Times New Roman"/>
                      <w:color w:val="auto"/>
                      <w:szCs w:val="21"/>
                      <w:highlight w:val="none"/>
                      <w:lang w:val="en-US"/>
                    </w:rPr>
                    <w:t>对池体内壁作防渗处理</w:t>
                  </w:r>
                  <w:r>
                    <w:rPr>
                      <w:rFonts w:hint="eastAsia" w:ascii="Times New Roman"/>
                      <w:color w:val="auto"/>
                      <w:szCs w:val="21"/>
                      <w:highlight w:val="none"/>
                      <w:lang w:val="en-US"/>
                    </w:rPr>
                    <w:t>；</w:t>
                  </w:r>
                  <w:r>
                    <w:rPr>
                      <w:rFonts w:ascii="Times New Roman"/>
                      <w:color w:val="auto"/>
                      <w:szCs w:val="21"/>
                      <w:highlight w:val="none"/>
                      <w:lang w:val="en-US"/>
                    </w:rPr>
                    <w:t>③严格按照施工规范施工，保证施工质量，保证无废水渗漏</w:t>
                  </w:r>
                </w:p>
              </w:tc>
            </w:tr>
            <w:tr w14:paraId="25ED5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Borders>
                    <w:tl2br w:val="nil"/>
                    <w:tr2bl w:val="nil"/>
                  </w:tcBorders>
                  <w:vAlign w:val="center"/>
                </w:tcPr>
                <w:p w14:paraId="1B57E440">
                  <w:pPr>
                    <w:pStyle w:val="60"/>
                    <w:spacing w:before="24" w:after="24"/>
                    <w:rPr>
                      <w:rFonts w:ascii="Times New Roman"/>
                      <w:color w:val="auto"/>
                      <w:szCs w:val="21"/>
                      <w:highlight w:val="none"/>
                      <w:lang w:val="en-US"/>
                    </w:rPr>
                  </w:pPr>
                  <w:r>
                    <w:rPr>
                      <w:rFonts w:hint="eastAsia" w:ascii="Times New Roman"/>
                      <w:color w:val="auto"/>
                      <w:szCs w:val="21"/>
                      <w:highlight w:val="none"/>
                      <w:lang w:val="en-US"/>
                    </w:rPr>
                    <w:t>2</w:t>
                  </w:r>
                </w:p>
              </w:tc>
              <w:tc>
                <w:tcPr>
                  <w:tcW w:w="782" w:type="pct"/>
                  <w:tcBorders>
                    <w:tl2br w:val="nil"/>
                    <w:tr2bl w:val="nil"/>
                  </w:tcBorders>
                  <w:vAlign w:val="center"/>
                </w:tcPr>
                <w:p w14:paraId="649E47DE">
                  <w:pPr>
                    <w:pStyle w:val="60"/>
                    <w:spacing w:before="24" w:after="24"/>
                    <w:rPr>
                      <w:rFonts w:ascii="Times New Roman"/>
                      <w:color w:val="auto"/>
                      <w:szCs w:val="21"/>
                      <w:highlight w:val="none"/>
                      <w:lang w:val="en-US"/>
                    </w:rPr>
                  </w:pPr>
                  <w:r>
                    <w:rPr>
                      <w:rFonts w:hint="eastAsia" w:ascii="Times New Roman"/>
                      <w:color w:val="auto"/>
                      <w:szCs w:val="21"/>
                      <w:highlight w:val="none"/>
                      <w:lang w:val="en-US"/>
                    </w:rPr>
                    <w:t>原料仓库、化学品仓库、一般固废堆场、生产车间</w:t>
                  </w:r>
                </w:p>
              </w:tc>
              <w:tc>
                <w:tcPr>
                  <w:tcW w:w="3852" w:type="pct"/>
                  <w:tcBorders>
                    <w:tl2br w:val="nil"/>
                    <w:tr2bl w:val="nil"/>
                  </w:tcBorders>
                  <w:vAlign w:val="center"/>
                </w:tcPr>
                <w:p w14:paraId="5B5665E0">
                  <w:pPr>
                    <w:pStyle w:val="60"/>
                    <w:spacing w:before="24" w:after="24"/>
                    <w:rPr>
                      <w:rFonts w:ascii="Times New Roman"/>
                      <w:color w:val="auto"/>
                      <w:szCs w:val="21"/>
                      <w:highlight w:val="none"/>
                      <w:lang w:val="en-US"/>
                    </w:rPr>
                  </w:pPr>
                  <w:r>
                    <w:rPr>
                      <w:rFonts w:ascii="Times New Roman"/>
                      <w:color w:val="auto"/>
                      <w:szCs w:val="21"/>
                      <w:highlight w:val="none"/>
                      <w:lang w:val="en-US"/>
                    </w:rPr>
                    <w:t>自上而下采用人工大理石+水泥防渗结构，路面全部进行粘土夯实、混凝硬化</w:t>
                  </w:r>
                  <w:r>
                    <w:rPr>
                      <w:rFonts w:hint="eastAsia" w:ascii="Times New Roman"/>
                      <w:color w:val="auto"/>
                      <w:szCs w:val="21"/>
                      <w:highlight w:val="none"/>
                      <w:lang w:val="en-US"/>
                    </w:rPr>
                    <w:t>；</w:t>
                  </w:r>
                  <w:r>
                    <w:rPr>
                      <w:rFonts w:ascii="Times New Roman"/>
                      <w:color w:val="auto"/>
                      <w:szCs w:val="21"/>
                      <w:highlight w:val="none"/>
                      <w:lang w:val="en-US"/>
                    </w:rPr>
                    <w:t>生产车间已严格按照建筑防渗设计规范，采高标号的防水混凝土，装置区集中做防渗地坪</w:t>
                  </w:r>
                </w:p>
              </w:tc>
            </w:tr>
          </w:tbl>
          <w:p w14:paraId="18D0B973">
            <w:pPr>
              <w:adjustRightInd w:val="0"/>
              <w:snapToGrid w:val="0"/>
              <w:spacing w:line="360" w:lineRule="auto"/>
              <w:rPr>
                <w:b/>
                <w:color w:val="auto"/>
                <w:kern w:val="0"/>
                <w:sz w:val="24"/>
                <w:highlight w:val="none"/>
              </w:rPr>
            </w:pPr>
            <w:r>
              <w:rPr>
                <w:rFonts w:hint="eastAsia"/>
                <w:b/>
                <w:color w:val="auto"/>
                <w:kern w:val="0"/>
                <w:sz w:val="24"/>
                <w:highlight w:val="none"/>
              </w:rPr>
              <w:t>6</w:t>
            </w:r>
            <w:r>
              <w:rPr>
                <w:b/>
                <w:color w:val="auto"/>
                <w:kern w:val="0"/>
                <w:sz w:val="24"/>
                <w:highlight w:val="none"/>
              </w:rPr>
              <w:t>.</w:t>
            </w:r>
            <w:r>
              <w:rPr>
                <w:rFonts w:hAnsi="宋体"/>
                <w:b/>
                <w:color w:val="auto"/>
                <w:kern w:val="0"/>
                <w:sz w:val="24"/>
                <w:highlight w:val="none"/>
              </w:rPr>
              <w:t>环境风险</w:t>
            </w:r>
          </w:p>
          <w:p w14:paraId="2318194D">
            <w:pPr>
              <w:pStyle w:val="48"/>
              <w:spacing w:line="360" w:lineRule="auto"/>
              <w:ind w:firstLine="482"/>
              <w:rPr>
                <w:rFonts w:ascii="Times New Roman" w:eastAsia="宋体"/>
                <w:b/>
                <w:snapToGrid w:val="0"/>
                <w:color w:val="auto"/>
                <w:kern w:val="0"/>
                <w:sz w:val="24"/>
                <w:szCs w:val="24"/>
                <w:highlight w:val="none"/>
                <w:lang w:val="en-US"/>
              </w:rPr>
            </w:pPr>
            <w:r>
              <w:rPr>
                <w:rFonts w:ascii="Times New Roman" w:hAnsi="宋体" w:eastAsia="宋体"/>
                <w:b/>
                <w:snapToGrid w:val="0"/>
                <w:color w:val="auto"/>
                <w:kern w:val="0"/>
                <w:sz w:val="24"/>
                <w:szCs w:val="24"/>
                <w:highlight w:val="none"/>
                <w:lang w:val="en-US"/>
              </w:rPr>
              <w:t>（</w:t>
            </w:r>
            <w:r>
              <w:rPr>
                <w:rFonts w:ascii="Times New Roman" w:eastAsia="宋体"/>
                <w:b/>
                <w:snapToGrid w:val="0"/>
                <w:color w:val="auto"/>
                <w:kern w:val="0"/>
                <w:sz w:val="24"/>
                <w:szCs w:val="24"/>
                <w:highlight w:val="none"/>
                <w:lang w:val="en-US"/>
              </w:rPr>
              <w:t>1</w:t>
            </w:r>
            <w:r>
              <w:rPr>
                <w:rFonts w:ascii="Times New Roman" w:hAnsi="宋体" w:eastAsia="宋体"/>
                <w:b/>
                <w:snapToGrid w:val="0"/>
                <w:color w:val="auto"/>
                <w:kern w:val="0"/>
                <w:sz w:val="24"/>
                <w:szCs w:val="24"/>
                <w:highlight w:val="none"/>
                <w:lang w:val="en-US"/>
              </w:rPr>
              <w:t>）环境风险潜势初判</w:t>
            </w:r>
          </w:p>
          <w:p w14:paraId="419BCA94">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根据《建设项目环境风险评价技术导则》（</w:t>
            </w:r>
            <w:r>
              <w:rPr>
                <w:snapToGrid w:val="0"/>
                <w:color w:val="auto"/>
                <w:kern w:val="0"/>
                <w:sz w:val="24"/>
                <w:highlight w:val="none"/>
              </w:rPr>
              <w:t>HJ169-2018</w:t>
            </w:r>
            <w:r>
              <w:rPr>
                <w:rFonts w:hAnsi="宋体"/>
                <w:snapToGrid w:val="0"/>
                <w:color w:val="auto"/>
                <w:kern w:val="0"/>
                <w:sz w:val="24"/>
                <w:highlight w:val="none"/>
              </w:rPr>
              <w:t>）附录</w:t>
            </w:r>
            <w:r>
              <w:rPr>
                <w:snapToGrid w:val="0"/>
                <w:color w:val="auto"/>
                <w:kern w:val="0"/>
                <w:sz w:val="24"/>
                <w:highlight w:val="none"/>
              </w:rPr>
              <w:t>C</w:t>
            </w:r>
            <w:r>
              <w:rPr>
                <w:rFonts w:hAnsi="宋体"/>
                <w:snapToGrid w:val="0"/>
                <w:color w:val="auto"/>
                <w:kern w:val="0"/>
                <w:sz w:val="24"/>
                <w:highlight w:val="none"/>
              </w:rPr>
              <w:t>中</w:t>
            </w:r>
            <w:r>
              <w:rPr>
                <w:snapToGrid w:val="0"/>
                <w:color w:val="auto"/>
                <w:kern w:val="0"/>
                <w:sz w:val="24"/>
                <w:highlight w:val="none"/>
              </w:rPr>
              <w:t>“C.1.1</w:t>
            </w:r>
            <w:r>
              <w:rPr>
                <w:rFonts w:hAnsi="宋体"/>
                <w:snapToGrid w:val="0"/>
                <w:color w:val="auto"/>
                <w:kern w:val="0"/>
                <w:sz w:val="24"/>
                <w:highlight w:val="none"/>
              </w:rPr>
              <w:t>计算所涉及的每种危险物质在厂界内的最大存在总量与其附录</w:t>
            </w:r>
            <w:r>
              <w:rPr>
                <w:snapToGrid w:val="0"/>
                <w:color w:val="auto"/>
                <w:kern w:val="0"/>
                <w:sz w:val="24"/>
                <w:highlight w:val="none"/>
              </w:rPr>
              <w:t>B</w:t>
            </w:r>
            <w:r>
              <w:rPr>
                <w:rFonts w:hAnsi="宋体"/>
                <w:snapToGrid w:val="0"/>
                <w:color w:val="auto"/>
                <w:kern w:val="0"/>
                <w:sz w:val="24"/>
                <w:highlight w:val="none"/>
              </w:rPr>
              <w:t>中对应临界量的比值</w:t>
            </w:r>
            <w:r>
              <w:rPr>
                <w:snapToGrid w:val="0"/>
                <w:color w:val="auto"/>
                <w:kern w:val="0"/>
                <w:sz w:val="24"/>
                <w:highlight w:val="none"/>
              </w:rPr>
              <w:t>Q</w:t>
            </w:r>
            <w:r>
              <w:rPr>
                <w:rFonts w:hAnsi="宋体"/>
                <w:snapToGrid w:val="0"/>
                <w:color w:val="auto"/>
                <w:kern w:val="0"/>
                <w:sz w:val="24"/>
                <w:highlight w:val="none"/>
              </w:rPr>
              <w:t>。</w:t>
            </w:r>
          </w:p>
          <w:p w14:paraId="37FEC92A">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当只涉及一种危险物质时，计算该物质的总量与其临界量比值，即为</w:t>
            </w:r>
            <w:r>
              <w:rPr>
                <w:snapToGrid w:val="0"/>
                <w:color w:val="auto"/>
                <w:kern w:val="0"/>
                <w:sz w:val="24"/>
                <w:highlight w:val="none"/>
              </w:rPr>
              <w:t>Q</w:t>
            </w:r>
            <w:r>
              <w:rPr>
                <w:rFonts w:hAnsi="宋体"/>
                <w:snapToGrid w:val="0"/>
                <w:color w:val="auto"/>
                <w:kern w:val="0"/>
                <w:sz w:val="24"/>
                <w:highlight w:val="none"/>
              </w:rPr>
              <w:t>；</w:t>
            </w:r>
          </w:p>
          <w:p w14:paraId="470737AF">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当存在多种危险物质时，则按下式计算物质总量与其临界量比值</w:t>
            </w:r>
            <w:r>
              <w:rPr>
                <w:snapToGrid w:val="0"/>
                <w:color w:val="auto"/>
                <w:kern w:val="0"/>
                <w:sz w:val="24"/>
                <w:highlight w:val="none"/>
              </w:rPr>
              <w:t>Q</w:t>
            </w:r>
            <w:r>
              <w:rPr>
                <w:rFonts w:hAnsi="宋体"/>
                <w:snapToGrid w:val="0"/>
                <w:color w:val="auto"/>
                <w:kern w:val="0"/>
                <w:sz w:val="24"/>
                <w:highlight w:val="none"/>
              </w:rPr>
              <w:t>：</w:t>
            </w:r>
          </w:p>
          <w:p w14:paraId="471583D6">
            <w:pPr>
              <w:adjustRightInd w:val="0"/>
              <w:snapToGrid w:val="0"/>
              <w:spacing w:line="360" w:lineRule="auto"/>
              <w:jc w:val="center"/>
              <w:rPr>
                <w:snapToGrid w:val="0"/>
                <w:color w:val="auto"/>
                <w:kern w:val="0"/>
                <w:sz w:val="24"/>
                <w:highlight w:val="none"/>
              </w:rPr>
            </w:pPr>
            <w:r>
              <w:rPr>
                <w:snapToGrid w:val="0"/>
                <w:color w:val="auto"/>
                <w:kern w:val="0"/>
                <w:sz w:val="24"/>
                <w:highlight w:val="none"/>
              </w:rPr>
              <w:t>Q=q1/Q1+q2/Q2+q3/Q3+……+qn/Qn</w:t>
            </w:r>
          </w:p>
          <w:p w14:paraId="00796222">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式中</w:t>
            </w:r>
            <w:r>
              <w:rPr>
                <w:snapToGrid w:val="0"/>
                <w:color w:val="auto"/>
                <w:kern w:val="0"/>
                <w:sz w:val="24"/>
                <w:highlight w:val="none"/>
              </w:rPr>
              <w:t>q1</w:t>
            </w:r>
            <w:r>
              <w:rPr>
                <w:rFonts w:hAnsi="宋体"/>
                <w:snapToGrid w:val="0"/>
                <w:color w:val="auto"/>
                <w:kern w:val="0"/>
                <w:sz w:val="24"/>
                <w:highlight w:val="none"/>
              </w:rPr>
              <w:t>，</w:t>
            </w:r>
            <w:r>
              <w:rPr>
                <w:snapToGrid w:val="0"/>
                <w:color w:val="auto"/>
                <w:kern w:val="0"/>
                <w:sz w:val="24"/>
                <w:highlight w:val="none"/>
              </w:rPr>
              <w:t>q2</w:t>
            </w:r>
            <w:r>
              <w:rPr>
                <w:rFonts w:hAnsi="宋体"/>
                <w:snapToGrid w:val="0"/>
                <w:color w:val="auto"/>
                <w:kern w:val="0"/>
                <w:sz w:val="24"/>
                <w:highlight w:val="none"/>
              </w:rPr>
              <w:t>，</w:t>
            </w:r>
            <w:r>
              <w:rPr>
                <w:snapToGrid w:val="0"/>
                <w:color w:val="auto"/>
                <w:kern w:val="0"/>
                <w:sz w:val="24"/>
                <w:highlight w:val="none"/>
              </w:rPr>
              <w:t>q3……</w:t>
            </w:r>
            <w:r>
              <w:rPr>
                <w:rFonts w:hAnsi="宋体"/>
                <w:snapToGrid w:val="0"/>
                <w:color w:val="auto"/>
                <w:kern w:val="0"/>
                <w:sz w:val="24"/>
                <w:highlight w:val="none"/>
              </w:rPr>
              <w:t>，</w:t>
            </w:r>
            <w:r>
              <w:rPr>
                <w:snapToGrid w:val="0"/>
                <w:color w:val="auto"/>
                <w:kern w:val="0"/>
                <w:sz w:val="24"/>
                <w:highlight w:val="none"/>
              </w:rPr>
              <w:t>qn—</w:t>
            </w:r>
            <w:r>
              <w:rPr>
                <w:rFonts w:hAnsi="宋体"/>
                <w:snapToGrid w:val="0"/>
                <w:color w:val="auto"/>
                <w:kern w:val="0"/>
                <w:sz w:val="24"/>
                <w:highlight w:val="none"/>
              </w:rPr>
              <w:t>每种危险物质最大存在总量，</w:t>
            </w:r>
            <w:r>
              <w:rPr>
                <w:snapToGrid w:val="0"/>
                <w:color w:val="auto"/>
                <w:kern w:val="0"/>
                <w:sz w:val="24"/>
                <w:highlight w:val="none"/>
              </w:rPr>
              <w:t>t</w:t>
            </w:r>
            <w:r>
              <w:rPr>
                <w:rFonts w:hAnsi="宋体"/>
                <w:snapToGrid w:val="0"/>
                <w:color w:val="auto"/>
                <w:kern w:val="0"/>
                <w:sz w:val="24"/>
                <w:highlight w:val="none"/>
              </w:rPr>
              <w:t>；</w:t>
            </w:r>
          </w:p>
          <w:p w14:paraId="6D074330">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Q1</w:t>
            </w:r>
            <w:r>
              <w:rPr>
                <w:rFonts w:hAnsi="宋体"/>
                <w:snapToGrid w:val="0"/>
                <w:color w:val="auto"/>
                <w:kern w:val="0"/>
                <w:sz w:val="24"/>
                <w:highlight w:val="none"/>
              </w:rPr>
              <w:t>，</w:t>
            </w:r>
            <w:r>
              <w:rPr>
                <w:snapToGrid w:val="0"/>
                <w:color w:val="auto"/>
                <w:kern w:val="0"/>
                <w:sz w:val="24"/>
                <w:highlight w:val="none"/>
              </w:rPr>
              <w:t>Q2</w:t>
            </w:r>
            <w:r>
              <w:rPr>
                <w:rFonts w:hAnsi="宋体"/>
                <w:snapToGrid w:val="0"/>
                <w:color w:val="auto"/>
                <w:kern w:val="0"/>
                <w:sz w:val="24"/>
                <w:highlight w:val="none"/>
              </w:rPr>
              <w:t>，</w:t>
            </w:r>
            <w:r>
              <w:rPr>
                <w:snapToGrid w:val="0"/>
                <w:color w:val="auto"/>
                <w:kern w:val="0"/>
                <w:sz w:val="24"/>
                <w:highlight w:val="none"/>
              </w:rPr>
              <w:t>Q3……</w:t>
            </w:r>
            <w:r>
              <w:rPr>
                <w:rFonts w:hAnsi="宋体"/>
                <w:snapToGrid w:val="0"/>
                <w:color w:val="auto"/>
                <w:kern w:val="0"/>
                <w:sz w:val="24"/>
                <w:highlight w:val="none"/>
              </w:rPr>
              <w:t>，</w:t>
            </w:r>
            <w:r>
              <w:rPr>
                <w:snapToGrid w:val="0"/>
                <w:color w:val="auto"/>
                <w:kern w:val="0"/>
                <w:sz w:val="24"/>
                <w:highlight w:val="none"/>
              </w:rPr>
              <w:t>Qn—</w:t>
            </w:r>
            <w:r>
              <w:rPr>
                <w:rFonts w:hAnsi="宋体"/>
                <w:snapToGrid w:val="0"/>
                <w:color w:val="auto"/>
                <w:kern w:val="0"/>
                <w:sz w:val="24"/>
                <w:highlight w:val="none"/>
              </w:rPr>
              <w:t>每种危险物质的临界量，</w:t>
            </w:r>
            <w:r>
              <w:rPr>
                <w:snapToGrid w:val="0"/>
                <w:color w:val="auto"/>
                <w:kern w:val="0"/>
                <w:sz w:val="24"/>
                <w:highlight w:val="none"/>
              </w:rPr>
              <w:t>t</w:t>
            </w:r>
            <w:r>
              <w:rPr>
                <w:rFonts w:hAnsi="宋体"/>
                <w:snapToGrid w:val="0"/>
                <w:color w:val="auto"/>
                <w:kern w:val="0"/>
                <w:sz w:val="24"/>
                <w:highlight w:val="none"/>
              </w:rPr>
              <w:t>。</w:t>
            </w:r>
          </w:p>
          <w:p w14:paraId="73CB7416">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当</w:t>
            </w:r>
            <w:r>
              <w:rPr>
                <w:snapToGrid w:val="0"/>
                <w:color w:val="auto"/>
                <w:kern w:val="0"/>
                <w:sz w:val="24"/>
                <w:highlight w:val="none"/>
              </w:rPr>
              <w:t>Q</w:t>
            </w:r>
            <w:r>
              <w:rPr>
                <w:rFonts w:hAnsi="宋体"/>
                <w:snapToGrid w:val="0"/>
                <w:color w:val="auto"/>
                <w:kern w:val="0"/>
                <w:sz w:val="24"/>
                <w:highlight w:val="none"/>
              </w:rPr>
              <w:t>＜</w:t>
            </w:r>
            <w:r>
              <w:rPr>
                <w:snapToGrid w:val="0"/>
                <w:color w:val="auto"/>
                <w:kern w:val="0"/>
                <w:sz w:val="24"/>
                <w:highlight w:val="none"/>
              </w:rPr>
              <w:t>1</w:t>
            </w:r>
            <w:r>
              <w:rPr>
                <w:rFonts w:hAnsi="宋体"/>
                <w:snapToGrid w:val="0"/>
                <w:color w:val="auto"/>
                <w:kern w:val="0"/>
                <w:sz w:val="24"/>
                <w:highlight w:val="none"/>
              </w:rPr>
              <w:t>时，该项目环境风险潜势为</w:t>
            </w:r>
            <w:r>
              <w:rPr>
                <w:snapToGrid w:val="0"/>
                <w:color w:val="auto"/>
                <w:kern w:val="0"/>
                <w:sz w:val="24"/>
                <w:highlight w:val="none"/>
              </w:rPr>
              <w:t>1</w:t>
            </w:r>
            <w:r>
              <w:rPr>
                <w:rFonts w:hAnsi="宋体"/>
                <w:snapToGrid w:val="0"/>
                <w:color w:val="auto"/>
                <w:kern w:val="0"/>
                <w:sz w:val="24"/>
                <w:highlight w:val="none"/>
              </w:rPr>
              <w:t>。</w:t>
            </w:r>
          </w:p>
          <w:p w14:paraId="6AFAE2A4">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当</w:t>
            </w:r>
            <w:r>
              <w:rPr>
                <w:snapToGrid w:val="0"/>
                <w:color w:val="auto"/>
                <w:kern w:val="0"/>
                <w:sz w:val="24"/>
                <w:highlight w:val="none"/>
              </w:rPr>
              <w:t>Q≥1</w:t>
            </w:r>
            <w:r>
              <w:rPr>
                <w:rFonts w:hAnsi="宋体"/>
                <w:snapToGrid w:val="0"/>
                <w:color w:val="auto"/>
                <w:kern w:val="0"/>
                <w:sz w:val="24"/>
                <w:highlight w:val="none"/>
              </w:rPr>
              <w:t>时，将</w:t>
            </w:r>
            <w:r>
              <w:rPr>
                <w:snapToGrid w:val="0"/>
                <w:color w:val="auto"/>
                <w:kern w:val="0"/>
                <w:sz w:val="24"/>
                <w:highlight w:val="none"/>
              </w:rPr>
              <w:t>Q</w:t>
            </w:r>
            <w:r>
              <w:rPr>
                <w:rFonts w:hAnsi="宋体"/>
                <w:snapToGrid w:val="0"/>
                <w:color w:val="auto"/>
                <w:kern w:val="0"/>
                <w:sz w:val="24"/>
                <w:highlight w:val="none"/>
              </w:rPr>
              <w:t>值划分为：（</w:t>
            </w:r>
            <w:r>
              <w:rPr>
                <w:snapToGrid w:val="0"/>
                <w:color w:val="auto"/>
                <w:kern w:val="0"/>
                <w:sz w:val="24"/>
                <w:highlight w:val="none"/>
              </w:rPr>
              <w:t>1</w:t>
            </w:r>
            <w:r>
              <w:rPr>
                <w:rFonts w:hAnsi="宋体"/>
                <w:snapToGrid w:val="0"/>
                <w:color w:val="auto"/>
                <w:kern w:val="0"/>
                <w:sz w:val="24"/>
                <w:highlight w:val="none"/>
              </w:rPr>
              <w:t>）</w:t>
            </w:r>
            <w:r>
              <w:rPr>
                <w:snapToGrid w:val="0"/>
                <w:color w:val="auto"/>
                <w:kern w:val="0"/>
                <w:sz w:val="24"/>
                <w:highlight w:val="none"/>
              </w:rPr>
              <w:t>1≤Q</w:t>
            </w:r>
            <w:r>
              <w:rPr>
                <w:rFonts w:hAnsi="宋体"/>
                <w:snapToGrid w:val="0"/>
                <w:color w:val="auto"/>
                <w:kern w:val="0"/>
                <w:sz w:val="24"/>
                <w:highlight w:val="none"/>
              </w:rPr>
              <w:t>＜</w:t>
            </w:r>
            <w:r>
              <w:rPr>
                <w:snapToGrid w:val="0"/>
                <w:color w:val="auto"/>
                <w:kern w:val="0"/>
                <w:sz w:val="24"/>
                <w:highlight w:val="none"/>
              </w:rPr>
              <w:t>10</w:t>
            </w:r>
            <w:r>
              <w:rPr>
                <w:rFonts w:hAnsi="宋体"/>
                <w:snapToGrid w:val="0"/>
                <w:color w:val="auto"/>
                <w:kern w:val="0"/>
                <w:sz w:val="24"/>
                <w:highlight w:val="none"/>
              </w:rPr>
              <w:t>；（</w:t>
            </w:r>
            <w:r>
              <w:rPr>
                <w:snapToGrid w:val="0"/>
                <w:color w:val="auto"/>
                <w:kern w:val="0"/>
                <w:sz w:val="24"/>
                <w:highlight w:val="none"/>
              </w:rPr>
              <w:t>2</w:t>
            </w:r>
            <w:r>
              <w:rPr>
                <w:rFonts w:hAnsi="宋体"/>
                <w:snapToGrid w:val="0"/>
                <w:color w:val="auto"/>
                <w:kern w:val="0"/>
                <w:sz w:val="24"/>
                <w:highlight w:val="none"/>
              </w:rPr>
              <w:t>）</w:t>
            </w:r>
            <w:r>
              <w:rPr>
                <w:snapToGrid w:val="0"/>
                <w:color w:val="auto"/>
                <w:kern w:val="0"/>
                <w:sz w:val="24"/>
                <w:highlight w:val="none"/>
              </w:rPr>
              <w:t>10≤Q</w:t>
            </w:r>
            <w:r>
              <w:rPr>
                <w:rFonts w:hAnsi="宋体"/>
                <w:snapToGrid w:val="0"/>
                <w:color w:val="auto"/>
                <w:kern w:val="0"/>
                <w:sz w:val="24"/>
                <w:highlight w:val="none"/>
              </w:rPr>
              <w:t>＜</w:t>
            </w:r>
            <w:r>
              <w:rPr>
                <w:snapToGrid w:val="0"/>
                <w:color w:val="auto"/>
                <w:kern w:val="0"/>
                <w:sz w:val="24"/>
                <w:highlight w:val="none"/>
              </w:rPr>
              <w:t>100</w:t>
            </w:r>
            <w:r>
              <w:rPr>
                <w:rFonts w:hAnsi="宋体"/>
                <w:snapToGrid w:val="0"/>
                <w:color w:val="auto"/>
                <w:kern w:val="0"/>
                <w:sz w:val="24"/>
                <w:highlight w:val="none"/>
              </w:rPr>
              <w:t>；（</w:t>
            </w:r>
            <w:r>
              <w:rPr>
                <w:snapToGrid w:val="0"/>
                <w:color w:val="auto"/>
                <w:kern w:val="0"/>
                <w:sz w:val="24"/>
                <w:highlight w:val="none"/>
              </w:rPr>
              <w:t>3</w:t>
            </w:r>
            <w:r>
              <w:rPr>
                <w:rFonts w:hAnsi="宋体"/>
                <w:snapToGrid w:val="0"/>
                <w:color w:val="auto"/>
                <w:kern w:val="0"/>
                <w:sz w:val="24"/>
                <w:highlight w:val="none"/>
              </w:rPr>
              <w:t>）</w:t>
            </w:r>
            <w:r>
              <w:rPr>
                <w:snapToGrid w:val="0"/>
                <w:color w:val="auto"/>
                <w:kern w:val="0"/>
                <w:sz w:val="24"/>
                <w:highlight w:val="none"/>
              </w:rPr>
              <w:t>Q≥100</w:t>
            </w:r>
            <w:r>
              <w:rPr>
                <w:rFonts w:hAnsi="宋体"/>
                <w:snapToGrid w:val="0"/>
                <w:color w:val="auto"/>
                <w:kern w:val="0"/>
                <w:sz w:val="24"/>
                <w:highlight w:val="none"/>
              </w:rPr>
              <w:t>。</w:t>
            </w:r>
            <w:r>
              <w:rPr>
                <w:snapToGrid w:val="0"/>
                <w:color w:val="auto"/>
                <w:kern w:val="0"/>
                <w:sz w:val="24"/>
                <w:highlight w:val="none"/>
              </w:rPr>
              <w:t>”</w:t>
            </w:r>
          </w:p>
          <w:p w14:paraId="01E87914">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对照《建设项目环境风险评价技术导则》（</w:t>
            </w:r>
            <w:r>
              <w:rPr>
                <w:snapToGrid w:val="0"/>
                <w:color w:val="auto"/>
                <w:kern w:val="0"/>
                <w:sz w:val="24"/>
                <w:highlight w:val="none"/>
              </w:rPr>
              <w:t>HJ169-2018</w:t>
            </w:r>
            <w:r>
              <w:rPr>
                <w:rFonts w:hAnsi="宋体"/>
                <w:snapToGrid w:val="0"/>
                <w:color w:val="auto"/>
                <w:kern w:val="0"/>
                <w:sz w:val="24"/>
                <w:highlight w:val="none"/>
              </w:rPr>
              <w:t>）附录</w:t>
            </w:r>
            <w:r>
              <w:rPr>
                <w:snapToGrid w:val="0"/>
                <w:color w:val="auto"/>
                <w:kern w:val="0"/>
                <w:sz w:val="24"/>
                <w:highlight w:val="none"/>
              </w:rPr>
              <w:t>B</w:t>
            </w:r>
            <w:r>
              <w:rPr>
                <w:rFonts w:hAnsi="宋体"/>
                <w:snapToGrid w:val="0"/>
                <w:color w:val="auto"/>
                <w:kern w:val="0"/>
                <w:sz w:val="24"/>
                <w:highlight w:val="none"/>
              </w:rPr>
              <w:t>，本项目涉及的风险物质临界量见表</w:t>
            </w:r>
            <w:r>
              <w:rPr>
                <w:snapToGrid w:val="0"/>
                <w:color w:val="auto"/>
                <w:kern w:val="0"/>
                <w:sz w:val="24"/>
                <w:highlight w:val="none"/>
              </w:rPr>
              <w:t>4-</w:t>
            </w:r>
            <w:r>
              <w:rPr>
                <w:rFonts w:hint="default"/>
                <w:snapToGrid w:val="0"/>
                <w:color w:val="auto"/>
                <w:kern w:val="0"/>
                <w:sz w:val="24"/>
                <w:highlight w:val="none"/>
              </w:rPr>
              <w:t>30</w:t>
            </w:r>
            <w:r>
              <w:rPr>
                <w:rFonts w:hAnsi="宋体"/>
                <w:snapToGrid w:val="0"/>
                <w:color w:val="auto"/>
                <w:kern w:val="0"/>
                <w:sz w:val="24"/>
                <w:highlight w:val="none"/>
              </w:rPr>
              <w:t>。</w:t>
            </w:r>
          </w:p>
          <w:p w14:paraId="179FDDA6">
            <w:pPr>
              <w:adjustRightInd w:val="0"/>
              <w:snapToGrid w:val="0"/>
              <w:jc w:val="center"/>
              <w:rPr>
                <w:b/>
                <w:snapToGrid w:val="0"/>
                <w:color w:val="auto"/>
                <w:kern w:val="0"/>
                <w:sz w:val="24"/>
                <w:highlight w:val="none"/>
              </w:rPr>
            </w:pPr>
            <w:r>
              <w:rPr>
                <w:rFonts w:hAnsi="宋体"/>
                <w:b/>
                <w:bCs/>
                <w:snapToGrid w:val="0"/>
                <w:color w:val="auto"/>
                <w:kern w:val="0"/>
                <w:sz w:val="24"/>
                <w:highlight w:val="none"/>
              </w:rPr>
              <w:t>表</w:t>
            </w:r>
            <w:r>
              <w:rPr>
                <w:b/>
                <w:bCs/>
                <w:snapToGrid w:val="0"/>
                <w:color w:val="auto"/>
                <w:kern w:val="0"/>
                <w:sz w:val="24"/>
                <w:highlight w:val="none"/>
              </w:rPr>
              <w:t>4-</w:t>
            </w:r>
            <w:r>
              <w:rPr>
                <w:rFonts w:hint="default"/>
                <w:b/>
                <w:bCs/>
                <w:snapToGrid w:val="0"/>
                <w:color w:val="auto"/>
                <w:kern w:val="0"/>
                <w:sz w:val="24"/>
                <w:highlight w:val="none"/>
              </w:rPr>
              <w:t>30</w:t>
            </w:r>
            <w:r>
              <w:rPr>
                <w:b/>
                <w:bCs/>
                <w:snapToGrid w:val="0"/>
                <w:color w:val="auto"/>
                <w:kern w:val="0"/>
                <w:sz w:val="24"/>
                <w:highlight w:val="none"/>
              </w:rPr>
              <w:t xml:space="preserve">  </w:t>
            </w:r>
            <w:r>
              <w:rPr>
                <w:rFonts w:hAnsi="宋体"/>
                <w:b/>
                <w:snapToGrid w:val="0"/>
                <w:color w:val="auto"/>
                <w:kern w:val="0"/>
                <w:sz w:val="24"/>
                <w:highlight w:val="none"/>
              </w:rPr>
              <w:t>建设项目</w:t>
            </w:r>
            <w:r>
              <w:rPr>
                <w:b/>
                <w:snapToGrid w:val="0"/>
                <w:color w:val="auto"/>
                <w:kern w:val="0"/>
                <w:sz w:val="24"/>
                <w:highlight w:val="none"/>
              </w:rPr>
              <w:t>Q</w:t>
            </w:r>
            <w:r>
              <w:rPr>
                <w:rFonts w:hAnsi="宋体"/>
                <w:b/>
                <w:snapToGrid w:val="0"/>
                <w:color w:val="auto"/>
                <w:kern w:val="0"/>
                <w:sz w:val="24"/>
                <w:highlight w:val="none"/>
              </w:rPr>
              <w:t>值确定表</w:t>
            </w:r>
          </w:p>
          <w:tbl>
            <w:tblPr>
              <w:tblStyle w:val="2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7"/>
              <w:gridCol w:w="1945"/>
              <w:gridCol w:w="1206"/>
              <w:gridCol w:w="2148"/>
              <w:gridCol w:w="1814"/>
              <w:gridCol w:w="2387"/>
            </w:tblGrid>
            <w:tr w14:paraId="382F1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tcMar>
                    <w:left w:w="0" w:type="dxa"/>
                    <w:right w:w="0" w:type="dxa"/>
                  </w:tcMar>
                  <w:vAlign w:val="center"/>
                </w:tcPr>
                <w:p w14:paraId="6A9B8468">
                  <w:pPr>
                    <w:adjustRightInd w:val="0"/>
                    <w:snapToGrid w:val="0"/>
                    <w:jc w:val="center"/>
                    <w:rPr>
                      <w:b/>
                      <w:snapToGrid w:val="0"/>
                      <w:color w:val="auto"/>
                      <w:kern w:val="0"/>
                      <w:szCs w:val="21"/>
                      <w:highlight w:val="none"/>
                    </w:rPr>
                  </w:pPr>
                  <w:r>
                    <w:rPr>
                      <w:rFonts w:hAnsi="宋体"/>
                      <w:b/>
                      <w:snapToGrid w:val="0"/>
                      <w:color w:val="auto"/>
                      <w:kern w:val="0"/>
                      <w:szCs w:val="21"/>
                      <w:highlight w:val="none"/>
                    </w:rPr>
                    <w:t>序号</w:t>
                  </w:r>
                </w:p>
              </w:tc>
              <w:tc>
                <w:tcPr>
                  <w:tcW w:w="948" w:type="pct"/>
                  <w:vAlign w:val="center"/>
                </w:tcPr>
                <w:p w14:paraId="5170D9C2">
                  <w:pPr>
                    <w:adjustRightInd w:val="0"/>
                    <w:snapToGrid w:val="0"/>
                    <w:jc w:val="center"/>
                    <w:rPr>
                      <w:b/>
                      <w:snapToGrid w:val="0"/>
                      <w:color w:val="auto"/>
                      <w:kern w:val="0"/>
                      <w:szCs w:val="21"/>
                      <w:highlight w:val="none"/>
                    </w:rPr>
                  </w:pPr>
                  <w:r>
                    <w:rPr>
                      <w:rFonts w:hAnsi="宋体"/>
                      <w:b/>
                      <w:snapToGrid w:val="0"/>
                      <w:color w:val="auto"/>
                      <w:kern w:val="0"/>
                      <w:szCs w:val="21"/>
                      <w:highlight w:val="none"/>
                    </w:rPr>
                    <w:t>危险物质名称</w:t>
                  </w:r>
                </w:p>
              </w:tc>
              <w:tc>
                <w:tcPr>
                  <w:tcW w:w="587" w:type="pct"/>
                  <w:vAlign w:val="center"/>
                </w:tcPr>
                <w:p w14:paraId="4AE8F0C9">
                  <w:pPr>
                    <w:adjustRightInd w:val="0"/>
                    <w:snapToGrid w:val="0"/>
                    <w:jc w:val="center"/>
                    <w:rPr>
                      <w:b/>
                      <w:snapToGrid w:val="0"/>
                      <w:color w:val="auto"/>
                      <w:kern w:val="0"/>
                      <w:szCs w:val="21"/>
                      <w:highlight w:val="none"/>
                    </w:rPr>
                  </w:pPr>
                  <w:r>
                    <w:rPr>
                      <w:b/>
                      <w:snapToGrid w:val="0"/>
                      <w:color w:val="auto"/>
                      <w:kern w:val="0"/>
                      <w:szCs w:val="21"/>
                      <w:highlight w:val="none"/>
                    </w:rPr>
                    <w:t>CAS</w:t>
                  </w:r>
                  <w:r>
                    <w:rPr>
                      <w:rFonts w:hAnsi="宋体"/>
                      <w:b/>
                      <w:snapToGrid w:val="0"/>
                      <w:color w:val="auto"/>
                      <w:kern w:val="0"/>
                      <w:szCs w:val="21"/>
                      <w:highlight w:val="none"/>
                    </w:rPr>
                    <w:t>号</w:t>
                  </w:r>
                </w:p>
              </w:tc>
              <w:tc>
                <w:tcPr>
                  <w:tcW w:w="1047" w:type="pct"/>
                  <w:vAlign w:val="center"/>
                </w:tcPr>
                <w:p w14:paraId="64E97E2A">
                  <w:pPr>
                    <w:adjustRightInd w:val="0"/>
                    <w:snapToGrid w:val="0"/>
                    <w:jc w:val="center"/>
                    <w:rPr>
                      <w:b/>
                      <w:snapToGrid w:val="0"/>
                      <w:color w:val="auto"/>
                      <w:kern w:val="0"/>
                      <w:szCs w:val="21"/>
                      <w:highlight w:val="none"/>
                    </w:rPr>
                  </w:pPr>
                  <w:r>
                    <w:rPr>
                      <w:rFonts w:hAnsi="宋体"/>
                      <w:b/>
                      <w:snapToGrid w:val="0"/>
                      <w:color w:val="auto"/>
                      <w:kern w:val="0"/>
                      <w:szCs w:val="21"/>
                      <w:highlight w:val="none"/>
                    </w:rPr>
                    <w:t>最大存在总量</w:t>
                  </w:r>
                  <w:r>
                    <w:rPr>
                      <w:b/>
                      <w:snapToGrid w:val="0"/>
                      <w:color w:val="auto"/>
                      <w:kern w:val="0"/>
                      <w:szCs w:val="21"/>
                      <w:highlight w:val="none"/>
                    </w:rPr>
                    <w:t>qn</w:t>
                  </w:r>
                  <w:r>
                    <w:rPr>
                      <w:rFonts w:hAnsi="宋体"/>
                      <w:b/>
                      <w:snapToGrid w:val="0"/>
                      <w:color w:val="auto"/>
                      <w:kern w:val="0"/>
                      <w:szCs w:val="21"/>
                      <w:highlight w:val="none"/>
                    </w:rPr>
                    <w:t>（</w:t>
                  </w:r>
                  <w:r>
                    <w:rPr>
                      <w:b/>
                      <w:snapToGrid w:val="0"/>
                      <w:color w:val="auto"/>
                      <w:kern w:val="0"/>
                      <w:szCs w:val="21"/>
                      <w:highlight w:val="none"/>
                    </w:rPr>
                    <w:t>t</w:t>
                  </w:r>
                  <w:r>
                    <w:rPr>
                      <w:rFonts w:hAnsi="宋体"/>
                      <w:b/>
                      <w:snapToGrid w:val="0"/>
                      <w:color w:val="auto"/>
                      <w:kern w:val="0"/>
                      <w:szCs w:val="21"/>
                      <w:highlight w:val="none"/>
                    </w:rPr>
                    <w:t>）</w:t>
                  </w:r>
                </w:p>
              </w:tc>
              <w:tc>
                <w:tcPr>
                  <w:tcW w:w="884" w:type="pct"/>
                  <w:vAlign w:val="center"/>
                </w:tcPr>
                <w:p w14:paraId="6106F79F">
                  <w:pPr>
                    <w:adjustRightInd w:val="0"/>
                    <w:snapToGrid w:val="0"/>
                    <w:jc w:val="center"/>
                    <w:rPr>
                      <w:b/>
                      <w:snapToGrid w:val="0"/>
                      <w:color w:val="auto"/>
                      <w:kern w:val="0"/>
                      <w:szCs w:val="21"/>
                      <w:highlight w:val="none"/>
                    </w:rPr>
                  </w:pPr>
                  <w:r>
                    <w:rPr>
                      <w:rFonts w:hAnsi="宋体"/>
                      <w:b/>
                      <w:snapToGrid w:val="0"/>
                      <w:color w:val="auto"/>
                      <w:kern w:val="0"/>
                      <w:szCs w:val="21"/>
                      <w:highlight w:val="none"/>
                    </w:rPr>
                    <w:t>临界量</w:t>
                  </w:r>
                  <w:r>
                    <w:rPr>
                      <w:b/>
                      <w:snapToGrid w:val="0"/>
                      <w:color w:val="auto"/>
                      <w:kern w:val="0"/>
                      <w:szCs w:val="21"/>
                      <w:highlight w:val="none"/>
                    </w:rPr>
                    <w:t>Qn</w:t>
                  </w:r>
                  <w:r>
                    <w:rPr>
                      <w:rFonts w:hAnsi="宋体"/>
                      <w:b/>
                      <w:snapToGrid w:val="0"/>
                      <w:color w:val="auto"/>
                      <w:kern w:val="0"/>
                      <w:szCs w:val="21"/>
                      <w:highlight w:val="none"/>
                    </w:rPr>
                    <w:t>（</w:t>
                  </w:r>
                  <w:r>
                    <w:rPr>
                      <w:b/>
                      <w:snapToGrid w:val="0"/>
                      <w:color w:val="auto"/>
                      <w:kern w:val="0"/>
                      <w:szCs w:val="21"/>
                      <w:highlight w:val="none"/>
                    </w:rPr>
                    <w:t>t</w:t>
                  </w:r>
                  <w:r>
                    <w:rPr>
                      <w:rFonts w:hAnsi="宋体"/>
                      <w:b/>
                      <w:snapToGrid w:val="0"/>
                      <w:color w:val="auto"/>
                      <w:kern w:val="0"/>
                      <w:szCs w:val="21"/>
                      <w:highlight w:val="none"/>
                    </w:rPr>
                    <w:t>）</w:t>
                  </w:r>
                </w:p>
              </w:tc>
              <w:tc>
                <w:tcPr>
                  <w:tcW w:w="1163" w:type="pct"/>
                  <w:vAlign w:val="center"/>
                </w:tcPr>
                <w:p w14:paraId="3B654C23">
                  <w:pPr>
                    <w:adjustRightInd w:val="0"/>
                    <w:snapToGrid w:val="0"/>
                    <w:jc w:val="center"/>
                    <w:rPr>
                      <w:b/>
                      <w:snapToGrid w:val="0"/>
                      <w:color w:val="auto"/>
                      <w:kern w:val="0"/>
                      <w:szCs w:val="21"/>
                      <w:highlight w:val="none"/>
                    </w:rPr>
                  </w:pPr>
                  <w:r>
                    <w:rPr>
                      <w:rFonts w:hAnsi="宋体"/>
                      <w:b/>
                      <w:snapToGrid w:val="0"/>
                      <w:color w:val="auto"/>
                      <w:kern w:val="0"/>
                      <w:szCs w:val="21"/>
                      <w:highlight w:val="none"/>
                    </w:rPr>
                    <w:t>该种危险物质</w:t>
                  </w:r>
                  <w:r>
                    <w:rPr>
                      <w:b/>
                      <w:snapToGrid w:val="0"/>
                      <w:color w:val="auto"/>
                      <w:kern w:val="0"/>
                      <w:szCs w:val="21"/>
                      <w:highlight w:val="none"/>
                    </w:rPr>
                    <w:t>Q</w:t>
                  </w:r>
                  <w:r>
                    <w:rPr>
                      <w:rFonts w:hAnsi="宋体"/>
                      <w:b/>
                      <w:snapToGrid w:val="0"/>
                      <w:color w:val="auto"/>
                      <w:kern w:val="0"/>
                      <w:szCs w:val="21"/>
                      <w:highlight w:val="none"/>
                    </w:rPr>
                    <w:t>值</w:t>
                  </w:r>
                </w:p>
              </w:tc>
            </w:tr>
            <w:tr w14:paraId="697A0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319D863F">
                  <w:pPr>
                    <w:adjustRightInd w:val="0"/>
                    <w:snapToGrid w:val="0"/>
                    <w:jc w:val="center"/>
                    <w:rPr>
                      <w:snapToGrid w:val="0"/>
                      <w:color w:val="auto"/>
                      <w:kern w:val="0"/>
                      <w:szCs w:val="21"/>
                      <w:highlight w:val="none"/>
                    </w:rPr>
                  </w:pPr>
                  <w:r>
                    <w:rPr>
                      <w:rFonts w:hint="eastAsia"/>
                      <w:snapToGrid w:val="0"/>
                      <w:color w:val="auto"/>
                      <w:kern w:val="0"/>
                      <w:szCs w:val="21"/>
                      <w:highlight w:val="none"/>
                    </w:rPr>
                    <w:t>1</w:t>
                  </w:r>
                </w:p>
              </w:tc>
              <w:tc>
                <w:tcPr>
                  <w:tcW w:w="948" w:type="pct"/>
                  <w:vAlign w:val="center"/>
                </w:tcPr>
                <w:p w14:paraId="70AD0C18">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浸渍树脂</w:t>
                  </w:r>
                </w:p>
              </w:tc>
              <w:tc>
                <w:tcPr>
                  <w:tcW w:w="587" w:type="pct"/>
                  <w:vAlign w:val="center"/>
                </w:tcPr>
                <w:p w14:paraId="687ABDB3">
                  <w:pPr>
                    <w:pStyle w:val="67"/>
                    <w:snapToGrid w:val="0"/>
                    <w:jc w:val="center"/>
                    <w:rPr>
                      <w:rFonts w:ascii="Times New Roman"/>
                      <w:snapToGrid w:val="0"/>
                      <w:color w:val="auto"/>
                      <w:kern w:val="2"/>
                      <w:sz w:val="21"/>
                      <w:szCs w:val="21"/>
                      <w:highlight w:val="none"/>
                    </w:rPr>
                  </w:pPr>
                  <w:r>
                    <w:rPr>
                      <w:rFonts w:hint="eastAsia" w:ascii="Times New Roman"/>
                      <w:snapToGrid w:val="0"/>
                      <w:color w:val="auto"/>
                      <w:kern w:val="2"/>
                      <w:sz w:val="21"/>
                      <w:szCs w:val="21"/>
                      <w:highlight w:val="none"/>
                    </w:rPr>
                    <w:t>-</w:t>
                  </w:r>
                </w:p>
              </w:tc>
              <w:tc>
                <w:tcPr>
                  <w:tcW w:w="1047" w:type="pct"/>
                  <w:vAlign w:val="center"/>
                </w:tcPr>
                <w:p w14:paraId="311F250C">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3.6</w:t>
                  </w:r>
                </w:p>
              </w:tc>
              <w:tc>
                <w:tcPr>
                  <w:tcW w:w="884" w:type="pct"/>
                  <w:vAlign w:val="center"/>
                </w:tcPr>
                <w:p w14:paraId="4597B636">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c>
                <w:tcPr>
                  <w:tcW w:w="1163" w:type="pct"/>
                  <w:vAlign w:val="center"/>
                </w:tcPr>
                <w:p w14:paraId="65DE7301">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r>
            <w:tr w14:paraId="46810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540B41EF">
                  <w:pPr>
                    <w:adjustRightInd w:val="0"/>
                    <w:snapToGrid w:val="0"/>
                    <w:jc w:val="center"/>
                    <w:rPr>
                      <w:snapToGrid w:val="0"/>
                      <w:color w:val="auto"/>
                      <w:kern w:val="0"/>
                      <w:szCs w:val="21"/>
                      <w:highlight w:val="none"/>
                    </w:rPr>
                  </w:pPr>
                  <w:r>
                    <w:rPr>
                      <w:rFonts w:hint="eastAsia"/>
                      <w:snapToGrid w:val="0"/>
                      <w:color w:val="auto"/>
                      <w:kern w:val="0"/>
                      <w:szCs w:val="21"/>
                      <w:highlight w:val="none"/>
                    </w:rPr>
                    <w:t>2</w:t>
                  </w:r>
                </w:p>
              </w:tc>
              <w:tc>
                <w:tcPr>
                  <w:tcW w:w="948" w:type="pct"/>
                  <w:vAlign w:val="center"/>
                </w:tcPr>
                <w:p w14:paraId="433FFBDC">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聚酯树脂胶（二甲苯0.3%）</w:t>
                  </w:r>
                </w:p>
              </w:tc>
              <w:tc>
                <w:tcPr>
                  <w:tcW w:w="587" w:type="pct"/>
                  <w:vAlign w:val="center"/>
                </w:tcPr>
                <w:p w14:paraId="5900FC35">
                  <w:pPr>
                    <w:pStyle w:val="67"/>
                    <w:snapToGrid w:val="0"/>
                    <w:jc w:val="center"/>
                    <w:rPr>
                      <w:rFonts w:ascii="Times New Roman"/>
                      <w:snapToGrid w:val="0"/>
                      <w:color w:val="auto"/>
                      <w:kern w:val="2"/>
                      <w:sz w:val="21"/>
                      <w:szCs w:val="21"/>
                      <w:highlight w:val="none"/>
                    </w:rPr>
                  </w:pPr>
                  <w:r>
                    <w:rPr>
                      <w:rFonts w:ascii="Times New Roman"/>
                      <w:snapToGrid w:val="0"/>
                      <w:color w:val="auto"/>
                      <w:kern w:val="2"/>
                      <w:sz w:val="21"/>
                      <w:szCs w:val="21"/>
                      <w:highlight w:val="none"/>
                    </w:rPr>
                    <w:t>95-47-6</w:t>
                  </w:r>
                </w:p>
              </w:tc>
              <w:tc>
                <w:tcPr>
                  <w:tcW w:w="1047" w:type="pct"/>
                  <w:vAlign w:val="center"/>
                </w:tcPr>
                <w:p w14:paraId="7C331BAB">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0.4（二甲苯</w:t>
                  </w:r>
                  <w:r>
                    <w:rPr>
                      <w:rFonts w:hint="eastAsia"/>
                      <w:snapToGrid w:val="0"/>
                      <w:color w:val="auto"/>
                      <w:kern w:val="0"/>
                      <w:szCs w:val="21"/>
                      <w:highlight w:val="none"/>
                    </w:rPr>
                    <w:t>0.0012）</w:t>
                  </w:r>
                </w:p>
              </w:tc>
              <w:tc>
                <w:tcPr>
                  <w:tcW w:w="884" w:type="pct"/>
                  <w:vAlign w:val="center"/>
                </w:tcPr>
                <w:p w14:paraId="6EB3BE2C">
                  <w:pPr>
                    <w:adjustRightInd w:val="0"/>
                    <w:snapToGrid w:val="0"/>
                    <w:jc w:val="center"/>
                    <w:rPr>
                      <w:snapToGrid w:val="0"/>
                      <w:color w:val="auto"/>
                      <w:kern w:val="0"/>
                      <w:szCs w:val="21"/>
                      <w:highlight w:val="none"/>
                    </w:rPr>
                  </w:pPr>
                  <w:r>
                    <w:rPr>
                      <w:rFonts w:hint="eastAsia"/>
                      <w:snapToGrid w:val="0"/>
                      <w:color w:val="auto"/>
                      <w:kern w:val="0"/>
                      <w:szCs w:val="21"/>
                      <w:highlight w:val="none"/>
                    </w:rPr>
                    <w:t>10</w:t>
                  </w:r>
                </w:p>
              </w:tc>
              <w:tc>
                <w:tcPr>
                  <w:tcW w:w="1163" w:type="pct"/>
                  <w:vAlign w:val="center"/>
                </w:tcPr>
                <w:p w14:paraId="46014891">
                  <w:pPr>
                    <w:adjustRightInd w:val="0"/>
                    <w:snapToGrid w:val="0"/>
                    <w:jc w:val="center"/>
                    <w:rPr>
                      <w:snapToGrid w:val="0"/>
                      <w:color w:val="auto"/>
                      <w:kern w:val="0"/>
                      <w:szCs w:val="21"/>
                      <w:highlight w:val="none"/>
                    </w:rPr>
                  </w:pPr>
                  <w:r>
                    <w:rPr>
                      <w:rFonts w:hint="eastAsia"/>
                      <w:snapToGrid w:val="0"/>
                      <w:color w:val="auto"/>
                      <w:kern w:val="0"/>
                      <w:szCs w:val="21"/>
                      <w:highlight w:val="none"/>
                    </w:rPr>
                    <w:t>0.00012</w:t>
                  </w:r>
                </w:p>
              </w:tc>
            </w:tr>
            <w:tr w14:paraId="66FA7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229B6BBB">
                  <w:pPr>
                    <w:adjustRightInd w:val="0"/>
                    <w:snapToGrid w:val="0"/>
                    <w:jc w:val="center"/>
                    <w:rPr>
                      <w:snapToGrid w:val="0"/>
                      <w:color w:val="auto"/>
                      <w:kern w:val="0"/>
                      <w:szCs w:val="21"/>
                      <w:highlight w:val="none"/>
                    </w:rPr>
                  </w:pPr>
                  <w:r>
                    <w:rPr>
                      <w:rFonts w:hint="eastAsia"/>
                      <w:snapToGrid w:val="0"/>
                      <w:color w:val="auto"/>
                      <w:kern w:val="0"/>
                      <w:szCs w:val="21"/>
                      <w:highlight w:val="none"/>
                    </w:rPr>
                    <w:t>3</w:t>
                  </w:r>
                </w:p>
              </w:tc>
              <w:tc>
                <w:tcPr>
                  <w:tcW w:w="948" w:type="pct"/>
                  <w:vAlign w:val="center"/>
                </w:tcPr>
                <w:p w14:paraId="1CD9F6BB">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树脂粉</w:t>
                  </w:r>
                </w:p>
              </w:tc>
              <w:tc>
                <w:tcPr>
                  <w:tcW w:w="587" w:type="pct"/>
                  <w:vAlign w:val="center"/>
                </w:tcPr>
                <w:p w14:paraId="769CC3F4">
                  <w:pPr>
                    <w:pStyle w:val="67"/>
                    <w:snapToGrid w:val="0"/>
                    <w:jc w:val="center"/>
                    <w:rPr>
                      <w:rFonts w:ascii="Times New Roman"/>
                      <w:snapToGrid w:val="0"/>
                      <w:color w:val="auto"/>
                      <w:kern w:val="2"/>
                      <w:sz w:val="21"/>
                      <w:szCs w:val="21"/>
                      <w:highlight w:val="none"/>
                    </w:rPr>
                  </w:pPr>
                  <w:r>
                    <w:rPr>
                      <w:rFonts w:hint="eastAsia" w:ascii="Times New Roman"/>
                      <w:snapToGrid w:val="0"/>
                      <w:color w:val="auto"/>
                      <w:kern w:val="2"/>
                      <w:sz w:val="21"/>
                      <w:szCs w:val="21"/>
                      <w:highlight w:val="none"/>
                    </w:rPr>
                    <w:t>-</w:t>
                  </w:r>
                </w:p>
              </w:tc>
              <w:tc>
                <w:tcPr>
                  <w:tcW w:w="1047" w:type="pct"/>
                  <w:vAlign w:val="center"/>
                </w:tcPr>
                <w:p w14:paraId="59364F7A">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1</w:t>
                  </w:r>
                </w:p>
              </w:tc>
              <w:tc>
                <w:tcPr>
                  <w:tcW w:w="884" w:type="pct"/>
                  <w:vAlign w:val="center"/>
                </w:tcPr>
                <w:p w14:paraId="147B11F0">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c>
                <w:tcPr>
                  <w:tcW w:w="1163" w:type="pct"/>
                  <w:vAlign w:val="center"/>
                </w:tcPr>
                <w:p w14:paraId="52CBF259">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r>
            <w:tr w14:paraId="72516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6FFF90E2">
                  <w:pPr>
                    <w:adjustRightInd w:val="0"/>
                    <w:snapToGrid w:val="0"/>
                    <w:jc w:val="center"/>
                    <w:rPr>
                      <w:snapToGrid w:val="0"/>
                      <w:color w:val="auto"/>
                      <w:kern w:val="0"/>
                      <w:szCs w:val="21"/>
                      <w:highlight w:val="none"/>
                    </w:rPr>
                  </w:pPr>
                  <w:r>
                    <w:rPr>
                      <w:rFonts w:hint="eastAsia"/>
                      <w:snapToGrid w:val="0"/>
                      <w:color w:val="auto"/>
                      <w:kern w:val="0"/>
                      <w:szCs w:val="21"/>
                      <w:highlight w:val="none"/>
                    </w:rPr>
                    <w:t>4</w:t>
                  </w:r>
                </w:p>
              </w:tc>
              <w:tc>
                <w:tcPr>
                  <w:tcW w:w="948" w:type="pct"/>
                  <w:vAlign w:val="center"/>
                </w:tcPr>
                <w:p w14:paraId="7097DC20">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钎料</w:t>
                  </w:r>
                </w:p>
              </w:tc>
              <w:tc>
                <w:tcPr>
                  <w:tcW w:w="587" w:type="pct"/>
                  <w:vAlign w:val="center"/>
                </w:tcPr>
                <w:p w14:paraId="37CEEF35">
                  <w:pPr>
                    <w:pStyle w:val="67"/>
                    <w:snapToGrid w:val="0"/>
                    <w:jc w:val="center"/>
                    <w:rPr>
                      <w:rFonts w:ascii="Times New Roman"/>
                      <w:snapToGrid w:val="0"/>
                      <w:color w:val="auto"/>
                      <w:kern w:val="2"/>
                      <w:sz w:val="21"/>
                      <w:szCs w:val="21"/>
                      <w:highlight w:val="none"/>
                    </w:rPr>
                  </w:pPr>
                  <w:r>
                    <w:rPr>
                      <w:rFonts w:hint="eastAsia" w:ascii="Times New Roman"/>
                      <w:snapToGrid w:val="0"/>
                      <w:color w:val="auto"/>
                      <w:kern w:val="2"/>
                      <w:sz w:val="21"/>
                      <w:szCs w:val="21"/>
                      <w:highlight w:val="none"/>
                    </w:rPr>
                    <w:t>-</w:t>
                  </w:r>
                </w:p>
              </w:tc>
              <w:tc>
                <w:tcPr>
                  <w:tcW w:w="1047" w:type="pct"/>
                  <w:vAlign w:val="center"/>
                </w:tcPr>
                <w:p w14:paraId="41EEB648">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0.03</w:t>
                  </w:r>
                </w:p>
              </w:tc>
              <w:tc>
                <w:tcPr>
                  <w:tcW w:w="884" w:type="pct"/>
                  <w:vAlign w:val="center"/>
                </w:tcPr>
                <w:p w14:paraId="09650B59">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c>
                <w:tcPr>
                  <w:tcW w:w="1163" w:type="pct"/>
                  <w:vAlign w:val="center"/>
                </w:tcPr>
                <w:p w14:paraId="534A9C44">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r>
            <w:tr w14:paraId="0CA22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11190DBE">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5</w:t>
                  </w:r>
                </w:p>
              </w:tc>
              <w:tc>
                <w:tcPr>
                  <w:tcW w:w="948" w:type="pct"/>
                  <w:vAlign w:val="center"/>
                </w:tcPr>
                <w:p w14:paraId="0368CB26">
                  <w:pPr>
                    <w:pStyle w:val="67"/>
                    <w:snapToGrid w:val="0"/>
                    <w:jc w:val="center"/>
                    <w:rPr>
                      <w:rFonts w:hint="eastAsia" w:ascii="Times New Roman" w:hAnsi="宋体" w:eastAsia="宋体"/>
                      <w:bCs/>
                      <w:snapToGrid w:val="0"/>
                      <w:color w:val="auto"/>
                      <w:kern w:val="2"/>
                      <w:sz w:val="21"/>
                      <w:szCs w:val="21"/>
                      <w:highlight w:val="none"/>
                      <w:lang w:val="en-US" w:eastAsia="zh-Hans"/>
                    </w:rPr>
                  </w:pPr>
                  <w:r>
                    <w:rPr>
                      <w:rFonts w:hint="eastAsia" w:ascii="Times New Roman" w:hAnsi="宋体"/>
                      <w:bCs/>
                      <w:snapToGrid w:val="0"/>
                      <w:color w:val="auto"/>
                      <w:kern w:val="2"/>
                      <w:sz w:val="21"/>
                      <w:szCs w:val="21"/>
                      <w:highlight w:val="none"/>
                      <w:lang w:val="en-US" w:eastAsia="zh-Hans"/>
                    </w:rPr>
                    <w:t>润滑油</w:t>
                  </w:r>
                </w:p>
              </w:tc>
              <w:tc>
                <w:tcPr>
                  <w:tcW w:w="587" w:type="pct"/>
                  <w:vAlign w:val="center"/>
                </w:tcPr>
                <w:p w14:paraId="103F5AB9">
                  <w:pPr>
                    <w:pStyle w:val="67"/>
                    <w:snapToGrid w:val="0"/>
                    <w:jc w:val="center"/>
                    <w:rPr>
                      <w:rFonts w:hint="eastAsia" w:ascii="Times New Roman"/>
                      <w:snapToGrid w:val="0"/>
                      <w:color w:val="auto"/>
                      <w:kern w:val="2"/>
                      <w:sz w:val="21"/>
                      <w:szCs w:val="21"/>
                      <w:highlight w:val="none"/>
                    </w:rPr>
                  </w:pPr>
                  <w:r>
                    <w:rPr>
                      <w:rFonts w:hint="eastAsia" w:ascii="Times New Roman"/>
                      <w:snapToGrid w:val="0"/>
                      <w:color w:val="auto"/>
                      <w:kern w:val="2"/>
                      <w:sz w:val="21"/>
                      <w:szCs w:val="21"/>
                      <w:highlight w:val="none"/>
                    </w:rPr>
                    <w:t>-</w:t>
                  </w:r>
                </w:p>
              </w:tc>
              <w:tc>
                <w:tcPr>
                  <w:tcW w:w="1047" w:type="pct"/>
                  <w:vAlign w:val="center"/>
                </w:tcPr>
                <w:p w14:paraId="5A6E1613">
                  <w:pPr>
                    <w:adjustRightInd w:val="0"/>
                    <w:snapToGrid w:val="0"/>
                    <w:jc w:val="center"/>
                    <w:rPr>
                      <w:rFonts w:hint="eastAsia"/>
                      <w:bCs/>
                      <w:snapToGrid w:val="0"/>
                      <w:color w:val="auto"/>
                      <w:kern w:val="0"/>
                      <w:szCs w:val="21"/>
                      <w:highlight w:val="none"/>
                    </w:rPr>
                  </w:pPr>
                  <w:r>
                    <w:rPr>
                      <w:rFonts w:hint="default"/>
                      <w:bCs/>
                      <w:snapToGrid w:val="0"/>
                      <w:color w:val="auto"/>
                      <w:kern w:val="0"/>
                      <w:szCs w:val="21"/>
                      <w:highlight w:val="none"/>
                    </w:rPr>
                    <w:t>0.0868</w:t>
                  </w:r>
                </w:p>
              </w:tc>
              <w:tc>
                <w:tcPr>
                  <w:tcW w:w="884" w:type="pct"/>
                  <w:vAlign w:val="center"/>
                </w:tcPr>
                <w:p w14:paraId="00997574">
                  <w:pPr>
                    <w:adjustRightInd w:val="0"/>
                    <w:snapToGrid w:val="0"/>
                    <w:jc w:val="center"/>
                    <w:rPr>
                      <w:rFonts w:hint="eastAsia"/>
                      <w:snapToGrid w:val="0"/>
                      <w:color w:val="auto"/>
                      <w:kern w:val="0"/>
                      <w:szCs w:val="21"/>
                      <w:highlight w:val="none"/>
                    </w:rPr>
                  </w:pPr>
                  <w:r>
                    <w:rPr>
                      <w:rFonts w:hint="default"/>
                      <w:bCs/>
                      <w:snapToGrid w:val="0"/>
                      <w:color w:val="auto"/>
                      <w:kern w:val="0"/>
                      <w:szCs w:val="21"/>
                      <w:highlight w:val="none"/>
                    </w:rPr>
                    <w:t>2500</w:t>
                  </w:r>
                </w:p>
              </w:tc>
              <w:tc>
                <w:tcPr>
                  <w:tcW w:w="1163" w:type="pct"/>
                  <w:vAlign w:val="center"/>
                </w:tcPr>
                <w:p w14:paraId="79D09EE9">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0.00003472</w:t>
                  </w:r>
                </w:p>
              </w:tc>
            </w:tr>
            <w:tr w14:paraId="0DD52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443F5739">
                  <w:pPr>
                    <w:adjustRightInd w:val="0"/>
                    <w:snapToGrid w:val="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6</w:t>
                  </w:r>
                </w:p>
              </w:tc>
              <w:tc>
                <w:tcPr>
                  <w:tcW w:w="948" w:type="pct"/>
                  <w:vAlign w:val="center"/>
                </w:tcPr>
                <w:p w14:paraId="05330D90">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废胶</w:t>
                  </w:r>
                </w:p>
              </w:tc>
              <w:tc>
                <w:tcPr>
                  <w:tcW w:w="587" w:type="pct"/>
                  <w:vAlign w:val="center"/>
                </w:tcPr>
                <w:p w14:paraId="310BAB0C">
                  <w:pPr>
                    <w:pStyle w:val="67"/>
                    <w:snapToGrid w:val="0"/>
                    <w:jc w:val="center"/>
                    <w:rPr>
                      <w:rFonts w:ascii="Times New Roman"/>
                      <w:snapToGrid w:val="0"/>
                      <w:color w:val="auto"/>
                      <w:kern w:val="2"/>
                      <w:sz w:val="21"/>
                      <w:szCs w:val="21"/>
                      <w:highlight w:val="none"/>
                    </w:rPr>
                  </w:pPr>
                  <w:r>
                    <w:rPr>
                      <w:rFonts w:hint="eastAsia" w:ascii="Times New Roman"/>
                      <w:snapToGrid w:val="0"/>
                      <w:color w:val="auto"/>
                      <w:kern w:val="2"/>
                      <w:sz w:val="21"/>
                      <w:szCs w:val="21"/>
                      <w:highlight w:val="none"/>
                    </w:rPr>
                    <w:t>-</w:t>
                  </w:r>
                </w:p>
              </w:tc>
              <w:tc>
                <w:tcPr>
                  <w:tcW w:w="1047" w:type="pct"/>
                  <w:vAlign w:val="center"/>
                </w:tcPr>
                <w:p w14:paraId="01E65C0D">
                  <w:pPr>
                    <w:adjustRightInd w:val="0"/>
                    <w:snapToGrid w:val="0"/>
                    <w:jc w:val="center"/>
                    <w:rPr>
                      <w:bCs/>
                      <w:snapToGrid w:val="0"/>
                      <w:color w:val="auto"/>
                      <w:kern w:val="0"/>
                      <w:szCs w:val="21"/>
                      <w:highlight w:val="none"/>
                    </w:rPr>
                  </w:pPr>
                  <w:r>
                    <w:rPr>
                      <w:rFonts w:hint="eastAsia"/>
                      <w:bCs/>
                      <w:snapToGrid w:val="0"/>
                      <w:color w:val="auto"/>
                      <w:kern w:val="0"/>
                      <w:szCs w:val="21"/>
                      <w:highlight w:val="none"/>
                    </w:rPr>
                    <w:t>0.6</w:t>
                  </w:r>
                </w:p>
              </w:tc>
              <w:tc>
                <w:tcPr>
                  <w:tcW w:w="884" w:type="pct"/>
                  <w:vAlign w:val="center"/>
                </w:tcPr>
                <w:p w14:paraId="0B810684">
                  <w:pPr>
                    <w:adjustRightInd w:val="0"/>
                    <w:snapToGrid w:val="0"/>
                    <w:jc w:val="center"/>
                    <w:rPr>
                      <w:snapToGrid w:val="0"/>
                      <w:color w:val="auto"/>
                      <w:kern w:val="0"/>
                      <w:szCs w:val="21"/>
                      <w:highlight w:val="none"/>
                    </w:rPr>
                  </w:pPr>
                  <w:r>
                    <w:rPr>
                      <w:rFonts w:hint="eastAsia"/>
                      <w:snapToGrid w:val="0"/>
                      <w:color w:val="auto"/>
                      <w:kern w:val="0"/>
                      <w:szCs w:val="21"/>
                      <w:highlight w:val="none"/>
                    </w:rPr>
                    <w:t>100</w:t>
                  </w:r>
                </w:p>
              </w:tc>
              <w:tc>
                <w:tcPr>
                  <w:tcW w:w="1163" w:type="pct"/>
                  <w:vAlign w:val="center"/>
                </w:tcPr>
                <w:p w14:paraId="49580C33">
                  <w:pPr>
                    <w:adjustRightInd w:val="0"/>
                    <w:snapToGrid w:val="0"/>
                    <w:jc w:val="center"/>
                    <w:rPr>
                      <w:snapToGrid w:val="0"/>
                      <w:color w:val="auto"/>
                      <w:kern w:val="0"/>
                      <w:szCs w:val="21"/>
                      <w:highlight w:val="none"/>
                    </w:rPr>
                  </w:pPr>
                  <w:r>
                    <w:rPr>
                      <w:rFonts w:hint="eastAsia"/>
                      <w:snapToGrid w:val="0"/>
                      <w:color w:val="auto"/>
                      <w:kern w:val="0"/>
                      <w:szCs w:val="21"/>
                      <w:highlight w:val="none"/>
                    </w:rPr>
                    <w:t>0.006</w:t>
                  </w:r>
                </w:p>
              </w:tc>
            </w:tr>
            <w:tr w14:paraId="3D117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69" w:type="pct"/>
                  <w:vAlign w:val="center"/>
                </w:tcPr>
                <w:p w14:paraId="5F85DE05">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7</w:t>
                  </w:r>
                </w:p>
              </w:tc>
              <w:tc>
                <w:tcPr>
                  <w:tcW w:w="948" w:type="pct"/>
                  <w:vAlign w:val="center"/>
                </w:tcPr>
                <w:p w14:paraId="57BF3208">
                  <w:pPr>
                    <w:pStyle w:val="67"/>
                    <w:snapToGrid w:val="0"/>
                    <w:jc w:val="center"/>
                    <w:rPr>
                      <w:rFonts w:hint="eastAsia" w:ascii="Times New Roman" w:hAnsi="宋体" w:eastAsia="宋体"/>
                      <w:bCs/>
                      <w:snapToGrid w:val="0"/>
                      <w:color w:val="auto"/>
                      <w:kern w:val="2"/>
                      <w:sz w:val="21"/>
                      <w:szCs w:val="21"/>
                      <w:highlight w:val="none"/>
                      <w:lang w:val="en-US" w:eastAsia="zh-Hans"/>
                    </w:rPr>
                  </w:pPr>
                  <w:r>
                    <w:rPr>
                      <w:rFonts w:hint="eastAsia" w:ascii="Times New Roman" w:hAnsi="宋体"/>
                      <w:bCs/>
                      <w:snapToGrid w:val="0"/>
                      <w:color w:val="auto"/>
                      <w:kern w:val="2"/>
                      <w:sz w:val="21"/>
                      <w:szCs w:val="21"/>
                      <w:highlight w:val="none"/>
                      <w:lang w:val="en-US" w:eastAsia="zh-Hans"/>
                    </w:rPr>
                    <w:t>废粉</w:t>
                  </w:r>
                </w:p>
              </w:tc>
              <w:tc>
                <w:tcPr>
                  <w:tcW w:w="587" w:type="pct"/>
                  <w:vAlign w:val="center"/>
                </w:tcPr>
                <w:p w14:paraId="7D634809">
                  <w:pPr>
                    <w:pStyle w:val="67"/>
                    <w:snapToGrid w:val="0"/>
                    <w:jc w:val="center"/>
                    <w:rPr>
                      <w:rFonts w:hint="eastAsia" w:ascii="Times New Roman"/>
                      <w:snapToGrid w:val="0"/>
                      <w:color w:val="auto"/>
                      <w:kern w:val="2"/>
                      <w:sz w:val="21"/>
                      <w:szCs w:val="21"/>
                      <w:highlight w:val="none"/>
                    </w:rPr>
                  </w:pPr>
                  <w:r>
                    <w:rPr>
                      <w:rFonts w:hint="eastAsia" w:ascii="Times New Roman"/>
                      <w:snapToGrid w:val="0"/>
                      <w:color w:val="auto"/>
                      <w:kern w:val="2"/>
                      <w:sz w:val="21"/>
                      <w:szCs w:val="21"/>
                      <w:highlight w:val="none"/>
                    </w:rPr>
                    <w:t>-</w:t>
                  </w:r>
                </w:p>
              </w:tc>
              <w:tc>
                <w:tcPr>
                  <w:tcW w:w="1047" w:type="pct"/>
                  <w:vAlign w:val="center"/>
                </w:tcPr>
                <w:p w14:paraId="4DAC97F8">
                  <w:pPr>
                    <w:adjustRightInd w:val="0"/>
                    <w:snapToGrid w:val="0"/>
                    <w:jc w:val="center"/>
                    <w:rPr>
                      <w:rFonts w:hint="eastAsia"/>
                      <w:bCs/>
                      <w:snapToGrid w:val="0"/>
                      <w:color w:val="auto"/>
                      <w:kern w:val="0"/>
                      <w:szCs w:val="21"/>
                      <w:highlight w:val="none"/>
                    </w:rPr>
                  </w:pPr>
                  <w:r>
                    <w:rPr>
                      <w:rFonts w:hint="default"/>
                      <w:bCs/>
                      <w:snapToGrid w:val="0"/>
                      <w:color w:val="auto"/>
                      <w:kern w:val="0"/>
                      <w:szCs w:val="21"/>
                      <w:highlight w:val="none"/>
                    </w:rPr>
                    <w:t>1.0695</w:t>
                  </w:r>
                </w:p>
              </w:tc>
              <w:tc>
                <w:tcPr>
                  <w:tcW w:w="884" w:type="pct"/>
                  <w:vAlign w:val="center"/>
                </w:tcPr>
                <w:p w14:paraId="05F5E3A2">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100</w:t>
                  </w:r>
                </w:p>
              </w:tc>
              <w:tc>
                <w:tcPr>
                  <w:tcW w:w="1163" w:type="pct"/>
                  <w:vAlign w:val="center"/>
                </w:tcPr>
                <w:p w14:paraId="23E185E0">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0.010695</w:t>
                  </w:r>
                </w:p>
              </w:tc>
            </w:tr>
            <w:tr w14:paraId="0CB10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trPr>
              <w:tc>
                <w:tcPr>
                  <w:tcW w:w="369" w:type="pct"/>
                  <w:vAlign w:val="center"/>
                </w:tcPr>
                <w:p w14:paraId="681D8820">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snapToGrid w:val="0"/>
                      <w:color w:val="auto"/>
                      <w:kern w:val="0"/>
                      <w:szCs w:val="21"/>
                      <w:highlight w:val="none"/>
                    </w:rPr>
                    <w:t>8</w:t>
                  </w:r>
                </w:p>
              </w:tc>
              <w:tc>
                <w:tcPr>
                  <w:tcW w:w="948" w:type="pct"/>
                  <w:vAlign w:val="center"/>
                </w:tcPr>
                <w:p w14:paraId="0825C2CF">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废活性炭</w:t>
                  </w:r>
                </w:p>
              </w:tc>
              <w:tc>
                <w:tcPr>
                  <w:tcW w:w="587" w:type="pct"/>
                  <w:vAlign w:val="center"/>
                </w:tcPr>
                <w:p w14:paraId="27E52750">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c>
                <w:tcPr>
                  <w:tcW w:w="1047" w:type="pct"/>
                  <w:vAlign w:val="center"/>
                </w:tcPr>
                <w:p w14:paraId="25B9049E">
                  <w:pPr>
                    <w:adjustRightInd w:val="0"/>
                    <w:snapToGrid w:val="0"/>
                    <w:jc w:val="center"/>
                    <w:rPr>
                      <w:snapToGrid w:val="0"/>
                      <w:color w:val="auto"/>
                      <w:kern w:val="0"/>
                      <w:szCs w:val="21"/>
                      <w:highlight w:val="none"/>
                    </w:rPr>
                  </w:pPr>
                  <w:r>
                    <w:rPr>
                      <w:rFonts w:hint="default"/>
                      <w:snapToGrid w:val="0"/>
                      <w:color w:val="auto"/>
                      <w:kern w:val="0"/>
                      <w:szCs w:val="21"/>
                      <w:highlight w:val="none"/>
                    </w:rPr>
                    <w:t>14.6967</w:t>
                  </w:r>
                </w:p>
              </w:tc>
              <w:tc>
                <w:tcPr>
                  <w:tcW w:w="884" w:type="pct"/>
                  <w:vAlign w:val="center"/>
                </w:tcPr>
                <w:p w14:paraId="62765D92">
                  <w:pPr>
                    <w:adjustRightInd w:val="0"/>
                    <w:snapToGrid w:val="0"/>
                    <w:jc w:val="center"/>
                    <w:rPr>
                      <w:snapToGrid w:val="0"/>
                      <w:color w:val="auto"/>
                      <w:kern w:val="0"/>
                      <w:szCs w:val="21"/>
                      <w:highlight w:val="none"/>
                    </w:rPr>
                  </w:pPr>
                  <w:r>
                    <w:rPr>
                      <w:rFonts w:hint="eastAsia"/>
                      <w:snapToGrid w:val="0"/>
                      <w:color w:val="auto"/>
                      <w:kern w:val="0"/>
                      <w:szCs w:val="21"/>
                      <w:highlight w:val="none"/>
                    </w:rPr>
                    <w:t>100</w:t>
                  </w:r>
                </w:p>
              </w:tc>
              <w:tc>
                <w:tcPr>
                  <w:tcW w:w="1163" w:type="pct"/>
                  <w:vAlign w:val="center"/>
                </w:tcPr>
                <w:p w14:paraId="57092F27">
                  <w:pPr>
                    <w:adjustRightInd w:val="0"/>
                    <w:snapToGrid w:val="0"/>
                    <w:jc w:val="center"/>
                    <w:rPr>
                      <w:snapToGrid w:val="0"/>
                      <w:color w:val="auto"/>
                      <w:kern w:val="0"/>
                      <w:szCs w:val="21"/>
                      <w:highlight w:val="none"/>
                    </w:rPr>
                  </w:pPr>
                  <w:r>
                    <w:rPr>
                      <w:rFonts w:hint="default"/>
                      <w:snapToGrid w:val="0"/>
                      <w:color w:val="auto"/>
                      <w:kern w:val="0"/>
                      <w:szCs w:val="21"/>
                      <w:highlight w:val="none"/>
                    </w:rPr>
                    <w:t>0.146867</w:t>
                  </w:r>
                </w:p>
              </w:tc>
            </w:tr>
            <w:tr w14:paraId="77E59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9" w:type="pct"/>
                  <w:vAlign w:val="center"/>
                </w:tcPr>
                <w:p w14:paraId="3203026A">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snapToGrid w:val="0"/>
                      <w:color w:val="auto"/>
                      <w:kern w:val="0"/>
                      <w:szCs w:val="21"/>
                      <w:highlight w:val="none"/>
                    </w:rPr>
                    <w:t>9</w:t>
                  </w:r>
                </w:p>
              </w:tc>
              <w:tc>
                <w:tcPr>
                  <w:tcW w:w="948" w:type="pct"/>
                  <w:vAlign w:val="center"/>
                </w:tcPr>
                <w:p w14:paraId="67D616F0">
                  <w:pPr>
                    <w:pStyle w:val="67"/>
                    <w:snapToGrid w:val="0"/>
                    <w:jc w:val="center"/>
                    <w:rPr>
                      <w:rFonts w:ascii="Times New Roman" w:hAnsi="宋体"/>
                      <w:bCs/>
                      <w:snapToGrid w:val="0"/>
                      <w:color w:val="auto"/>
                      <w:kern w:val="2"/>
                      <w:sz w:val="21"/>
                      <w:szCs w:val="21"/>
                      <w:highlight w:val="none"/>
                    </w:rPr>
                  </w:pPr>
                  <w:r>
                    <w:rPr>
                      <w:rFonts w:hint="eastAsia" w:ascii="Times New Roman" w:hAnsi="宋体"/>
                      <w:bCs/>
                      <w:snapToGrid w:val="0"/>
                      <w:color w:val="auto"/>
                      <w:kern w:val="2"/>
                      <w:sz w:val="21"/>
                      <w:szCs w:val="21"/>
                      <w:highlight w:val="none"/>
                    </w:rPr>
                    <w:t>废包装桶</w:t>
                  </w:r>
                </w:p>
              </w:tc>
              <w:tc>
                <w:tcPr>
                  <w:tcW w:w="587" w:type="pct"/>
                  <w:vAlign w:val="center"/>
                </w:tcPr>
                <w:p w14:paraId="234B66F4">
                  <w:pPr>
                    <w:adjustRightInd w:val="0"/>
                    <w:snapToGrid w:val="0"/>
                    <w:jc w:val="center"/>
                    <w:rPr>
                      <w:snapToGrid w:val="0"/>
                      <w:color w:val="auto"/>
                      <w:kern w:val="0"/>
                      <w:szCs w:val="21"/>
                      <w:highlight w:val="none"/>
                    </w:rPr>
                  </w:pPr>
                  <w:r>
                    <w:rPr>
                      <w:rFonts w:hint="eastAsia"/>
                      <w:snapToGrid w:val="0"/>
                      <w:color w:val="auto"/>
                      <w:kern w:val="0"/>
                      <w:szCs w:val="21"/>
                      <w:highlight w:val="none"/>
                    </w:rPr>
                    <w:t>-</w:t>
                  </w:r>
                </w:p>
              </w:tc>
              <w:tc>
                <w:tcPr>
                  <w:tcW w:w="1047" w:type="pct"/>
                  <w:vAlign w:val="center"/>
                </w:tcPr>
                <w:p w14:paraId="3C262A2E">
                  <w:pPr>
                    <w:adjustRightInd w:val="0"/>
                    <w:snapToGrid w:val="0"/>
                    <w:jc w:val="center"/>
                    <w:rPr>
                      <w:snapToGrid w:val="0"/>
                      <w:color w:val="auto"/>
                      <w:kern w:val="0"/>
                      <w:szCs w:val="21"/>
                      <w:highlight w:val="none"/>
                    </w:rPr>
                  </w:pPr>
                  <w:r>
                    <w:rPr>
                      <w:rFonts w:hint="eastAsia"/>
                      <w:snapToGrid w:val="0"/>
                      <w:color w:val="auto"/>
                      <w:kern w:val="0"/>
                      <w:szCs w:val="21"/>
                      <w:highlight w:val="none"/>
                    </w:rPr>
                    <w:t>0.245</w:t>
                  </w:r>
                </w:p>
              </w:tc>
              <w:tc>
                <w:tcPr>
                  <w:tcW w:w="884" w:type="pct"/>
                  <w:vAlign w:val="center"/>
                </w:tcPr>
                <w:p w14:paraId="2C430A27">
                  <w:pPr>
                    <w:adjustRightInd w:val="0"/>
                    <w:snapToGrid w:val="0"/>
                    <w:jc w:val="center"/>
                    <w:rPr>
                      <w:snapToGrid w:val="0"/>
                      <w:color w:val="auto"/>
                      <w:kern w:val="0"/>
                      <w:szCs w:val="21"/>
                      <w:highlight w:val="none"/>
                    </w:rPr>
                  </w:pPr>
                  <w:r>
                    <w:rPr>
                      <w:rFonts w:hint="eastAsia"/>
                      <w:snapToGrid w:val="0"/>
                      <w:color w:val="auto"/>
                      <w:kern w:val="0"/>
                      <w:szCs w:val="21"/>
                      <w:highlight w:val="none"/>
                    </w:rPr>
                    <w:t>100</w:t>
                  </w:r>
                </w:p>
              </w:tc>
              <w:tc>
                <w:tcPr>
                  <w:tcW w:w="1163" w:type="pct"/>
                  <w:vAlign w:val="center"/>
                </w:tcPr>
                <w:p w14:paraId="203113C1">
                  <w:pPr>
                    <w:adjustRightInd w:val="0"/>
                    <w:snapToGrid w:val="0"/>
                    <w:jc w:val="center"/>
                    <w:rPr>
                      <w:snapToGrid w:val="0"/>
                      <w:color w:val="auto"/>
                      <w:kern w:val="0"/>
                      <w:szCs w:val="21"/>
                      <w:highlight w:val="none"/>
                    </w:rPr>
                  </w:pPr>
                  <w:r>
                    <w:rPr>
                      <w:rFonts w:hint="eastAsia"/>
                      <w:snapToGrid w:val="0"/>
                      <w:color w:val="auto"/>
                      <w:kern w:val="0"/>
                      <w:szCs w:val="21"/>
                      <w:highlight w:val="none"/>
                    </w:rPr>
                    <w:t>0.00245</w:t>
                  </w:r>
                </w:p>
              </w:tc>
            </w:tr>
            <w:tr w14:paraId="1C5DB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6" w:hRule="atLeast"/>
              </w:trPr>
              <w:tc>
                <w:tcPr>
                  <w:tcW w:w="369" w:type="pct"/>
                  <w:vAlign w:val="center"/>
                </w:tcPr>
                <w:p w14:paraId="7FAF9C44">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10</w:t>
                  </w:r>
                </w:p>
              </w:tc>
              <w:tc>
                <w:tcPr>
                  <w:tcW w:w="948" w:type="pct"/>
                  <w:vAlign w:val="center"/>
                </w:tcPr>
                <w:p w14:paraId="50F81C8F">
                  <w:pPr>
                    <w:pStyle w:val="67"/>
                    <w:snapToGrid w:val="0"/>
                    <w:jc w:val="center"/>
                    <w:rPr>
                      <w:rFonts w:hint="eastAsia" w:ascii="Times New Roman" w:hAnsi="宋体" w:eastAsia="宋体"/>
                      <w:bCs/>
                      <w:snapToGrid w:val="0"/>
                      <w:color w:val="auto"/>
                      <w:kern w:val="2"/>
                      <w:sz w:val="21"/>
                      <w:szCs w:val="21"/>
                      <w:highlight w:val="none"/>
                      <w:lang w:val="en-US" w:eastAsia="zh-Hans"/>
                    </w:rPr>
                  </w:pPr>
                  <w:r>
                    <w:rPr>
                      <w:rFonts w:hint="eastAsia" w:ascii="Times New Roman" w:hAnsi="宋体"/>
                      <w:bCs/>
                      <w:snapToGrid w:val="0"/>
                      <w:color w:val="auto"/>
                      <w:kern w:val="2"/>
                      <w:sz w:val="21"/>
                      <w:szCs w:val="21"/>
                      <w:highlight w:val="none"/>
                      <w:lang w:val="en-US" w:eastAsia="zh-Hans"/>
                    </w:rPr>
                    <w:t>废润滑油</w:t>
                  </w:r>
                </w:p>
              </w:tc>
              <w:tc>
                <w:tcPr>
                  <w:tcW w:w="587" w:type="pct"/>
                  <w:vAlign w:val="center"/>
                </w:tcPr>
                <w:p w14:paraId="269552F5">
                  <w:pPr>
                    <w:adjustRightInd w:val="0"/>
                    <w:snapToGrid w:val="0"/>
                    <w:jc w:val="center"/>
                    <w:rPr>
                      <w:rFonts w:hint="eastAsia"/>
                      <w:snapToGrid w:val="0"/>
                      <w:color w:val="auto"/>
                      <w:kern w:val="0"/>
                      <w:szCs w:val="21"/>
                      <w:highlight w:val="none"/>
                    </w:rPr>
                  </w:pPr>
                </w:p>
              </w:tc>
              <w:tc>
                <w:tcPr>
                  <w:tcW w:w="1047" w:type="pct"/>
                  <w:vAlign w:val="center"/>
                </w:tcPr>
                <w:p w14:paraId="508C479B">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0.0868</w:t>
                  </w:r>
                </w:p>
              </w:tc>
              <w:tc>
                <w:tcPr>
                  <w:tcW w:w="884" w:type="pct"/>
                  <w:vAlign w:val="center"/>
                </w:tcPr>
                <w:p w14:paraId="299AC18B">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100</w:t>
                  </w:r>
                </w:p>
              </w:tc>
              <w:tc>
                <w:tcPr>
                  <w:tcW w:w="1163" w:type="pct"/>
                  <w:vAlign w:val="center"/>
                </w:tcPr>
                <w:p w14:paraId="68CB51A0">
                  <w:pPr>
                    <w:adjustRightInd w:val="0"/>
                    <w:snapToGrid w:val="0"/>
                    <w:jc w:val="center"/>
                    <w:rPr>
                      <w:rFonts w:hint="eastAsia"/>
                      <w:snapToGrid w:val="0"/>
                      <w:color w:val="auto"/>
                      <w:kern w:val="0"/>
                      <w:szCs w:val="21"/>
                      <w:highlight w:val="none"/>
                    </w:rPr>
                  </w:pPr>
                  <w:r>
                    <w:rPr>
                      <w:rFonts w:hint="default"/>
                      <w:snapToGrid w:val="0"/>
                      <w:color w:val="auto"/>
                      <w:kern w:val="0"/>
                      <w:szCs w:val="21"/>
                      <w:highlight w:val="none"/>
                    </w:rPr>
                    <w:t>0.000868</w:t>
                  </w:r>
                </w:p>
              </w:tc>
            </w:tr>
            <w:tr w14:paraId="374C6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836" w:type="pct"/>
                  <w:gridSpan w:val="5"/>
                  <w:vAlign w:val="center"/>
                </w:tcPr>
                <w:p w14:paraId="68A99603">
                  <w:pPr>
                    <w:adjustRightInd w:val="0"/>
                    <w:snapToGrid w:val="0"/>
                    <w:jc w:val="center"/>
                    <w:rPr>
                      <w:snapToGrid w:val="0"/>
                      <w:color w:val="auto"/>
                      <w:kern w:val="0"/>
                      <w:szCs w:val="21"/>
                      <w:highlight w:val="none"/>
                    </w:rPr>
                  </w:pPr>
                  <w:r>
                    <w:rPr>
                      <w:rFonts w:hAnsi="宋体"/>
                      <w:snapToGrid w:val="0"/>
                      <w:color w:val="auto"/>
                      <w:kern w:val="0"/>
                      <w:szCs w:val="21"/>
                      <w:highlight w:val="none"/>
                    </w:rPr>
                    <w:t>项目</w:t>
                  </w:r>
                  <w:r>
                    <w:rPr>
                      <w:snapToGrid w:val="0"/>
                      <w:color w:val="auto"/>
                      <w:kern w:val="0"/>
                      <w:szCs w:val="21"/>
                      <w:highlight w:val="none"/>
                    </w:rPr>
                    <w:t>Q</w:t>
                  </w:r>
                  <w:r>
                    <w:rPr>
                      <w:rFonts w:hAnsi="宋体"/>
                      <w:snapToGrid w:val="0"/>
                      <w:color w:val="auto"/>
                      <w:kern w:val="0"/>
                      <w:szCs w:val="21"/>
                      <w:highlight w:val="none"/>
                    </w:rPr>
                    <w:t>值</w:t>
                  </w:r>
                  <w:r>
                    <w:rPr>
                      <w:snapToGrid w:val="0"/>
                      <w:color w:val="auto"/>
                      <w:kern w:val="0"/>
                      <w:szCs w:val="21"/>
                      <w:highlight w:val="none"/>
                    </w:rPr>
                    <w:t>∑</w:t>
                  </w:r>
                </w:p>
              </w:tc>
              <w:tc>
                <w:tcPr>
                  <w:tcW w:w="1163" w:type="pct"/>
                  <w:vAlign w:val="center"/>
                </w:tcPr>
                <w:p w14:paraId="4B555457">
                  <w:pPr>
                    <w:adjustRightInd w:val="0"/>
                    <w:snapToGrid w:val="0"/>
                    <w:jc w:val="center"/>
                    <w:rPr>
                      <w:snapToGrid w:val="0"/>
                      <w:color w:val="auto"/>
                      <w:kern w:val="0"/>
                      <w:szCs w:val="21"/>
                      <w:highlight w:val="none"/>
                    </w:rPr>
                  </w:pPr>
                  <w:r>
                    <w:rPr>
                      <w:rFonts w:hint="default"/>
                      <w:snapToGrid w:val="0"/>
                      <w:color w:val="auto"/>
                      <w:kern w:val="0"/>
                      <w:szCs w:val="21"/>
                      <w:highlight w:val="none"/>
                    </w:rPr>
                    <w:t>0.1670</w:t>
                  </w:r>
                </w:p>
              </w:tc>
            </w:tr>
          </w:tbl>
          <w:p w14:paraId="7A414900">
            <w:pPr>
              <w:adjustRightInd w:val="0"/>
              <w:snapToGrid w:val="0"/>
              <w:ind w:firstLine="200" w:firstLineChars="200"/>
              <w:rPr>
                <w:rFonts w:hAnsi="宋体"/>
                <w:snapToGrid w:val="0"/>
                <w:color w:val="auto"/>
                <w:kern w:val="0"/>
                <w:sz w:val="10"/>
                <w:szCs w:val="10"/>
                <w:highlight w:val="none"/>
              </w:rPr>
            </w:pPr>
          </w:p>
          <w:p w14:paraId="12600D79">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根据计算，本项目</w:t>
            </w:r>
            <w:r>
              <w:rPr>
                <w:snapToGrid w:val="0"/>
                <w:color w:val="auto"/>
                <w:kern w:val="0"/>
                <w:sz w:val="24"/>
                <w:highlight w:val="none"/>
              </w:rPr>
              <w:t>Q&lt;1</w:t>
            </w:r>
            <w:r>
              <w:rPr>
                <w:rFonts w:hAnsi="宋体"/>
                <w:snapToGrid w:val="0"/>
                <w:color w:val="auto"/>
                <w:kern w:val="0"/>
                <w:sz w:val="24"/>
                <w:highlight w:val="none"/>
              </w:rPr>
              <w:t>，该项目环境风险潜势为</w:t>
            </w:r>
            <w:r>
              <w:rPr>
                <w:rFonts w:ascii="宋体" w:hAnsi="宋体"/>
                <w:snapToGrid w:val="0"/>
                <w:color w:val="auto"/>
                <w:kern w:val="0"/>
                <w:sz w:val="24"/>
                <w:highlight w:val="none"/>
              </w:rPr>
              <w:t>Ⅰ</w:t>
            </w:r>
            <w:r>
              <w:rPr>
                <w:rFonts w:hAnsi="宋体"/>
                <w:snapToGrid w:val="0"/>
                <w:color w:val="auto"/>
                <w:kern w:val="0"/>
                <w:sz w:val="24"/>
                <w:highlight w:val="none"/>
              </w:rPr>
              <w:t>。</w:t>
            </w:r>
          </w:p>
          <w:p w14:paraId="2D3EA679">
            <w:pPr>
              <w:adjustRightInd w:val="0"/>
              <w:snapToGrid w:val="0"/>
              <w:spacing w:line="360" w:lineRule="auto"/>
              <w:ind w:firstLine="482" w:firstLineChars="200"/>
              <w:rPr>
                <w:b/>
                <w:snapToGrid w:val="0"/>
                <w:color w:val="auto"/>
                <w:kern w:val="0"/>
                <w:sz w:val="24"/>
                <w:highlight w:val="none"/>
              </w:rPr>
            </w:pPr>
            <w:r>
              <w:rPr>
                <w:rFonts w:hAnsi="宋体"/>
                <w:b/>
                <w:snapToGrid w:val="0"/>
                <w:color w:val="auto"/>
                <w:kern w:val="0"/>
                <w:sz w:val="24"/>
                <w:highlight w:val="none"/>
              </w:rPr>
              <w:t>（</w:t>
            </w:r>
            <w:r>
              <w:rPr>
                <w:b/>
                <w:snapToGrid w:val="0"/>
                <w:color w:val="auto"/>
                <w:kern w:val="0"/>
                <w:sz w:val="24"/>
                <w:highlight w:val="none"/>
              </w:rPr>
              <w:t>2</w:t>
            </w:r>
            <w:r>
              <w:rPr>
                <w:rFonts w:hAnsi="宋体"/>
                <w:b/>
                <w:snapToGrid w:val="0"/>
                <w:color w:val="auto"/>
                <w:kern w:val="0"/>
                <w:sz w:val="24"/>
                <w:highlight w:val="none"/>
              </w:rPr>
              <w:t>）评价工作等级划分</w:t>
            </w:r>
          </w:p>
          <w:p w14:paraId="2FD25DA9">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本项目风险潜势为</w:t>
            </w:r>
            <w:r>
              <w:rPr>
                <w:rFonts w:ascii="宋体" w:hAnsi="宋体"/>
                <w:snapToGrid w:val="0"/>
                <w:color w:val="auto"/>
                <w:kern w:val="0"/>
                <w:sz w:val="24"/>
                <w:highlight w:val="none"/>
              </w:rPr>
              <w:t>Ⅰ</w:t>
            </w:r>
            <w:r>
              <w:rPr>
                <w:rFonts w:hAnsi="宋体"/>
                <w:snapToGrid w:val="0"/>
                <w:color w:val="auto"/>
                <w:kern w:val="0"/>
                <w:sz w:val="24"/>
                <w:highlight w:val="none"/>
              </w:rPr>
              <w:t>，判定依据见下表，最终确定本项目仅需简单分析。</w:t>
            </w:r>
          </w:p>
          <w:p w14:paraId="17B6F238">
            <w:pPr>
              <w:adjustRightInd w:val="0"/>
              <w:snapToGrid w:val="0"/>
              <w:jc w:val="center"/>
              <w:rPr>
                <w:rFonts w:hAnsi="宋体"/>
                <w:b/>
                <w:bCs/>
                <w:snapToGrid w:val="0"/>
                <w:color w:val="auto"/>
                <w:kern w:val="0"/>
                <w:sz w:val="24"/>
                <w:highlight w:val="none"/>
              </w:rPr>
            </w:pPr>
          </w:p>
          <w:p w14:paraId="5CA6EE55">
            <w:pPr>
              <w:adjustRightInd w:val="0"/>
              <w:snapToGrid w:val="0"/>
              <w:jc w:val="center"/>
              <w:rPr>
                <w:b/>
                <w:snapToGrid w:val="0"/>
                <w:color w:val="auto"/>
                <w:kern w:val="0"/>
                <w:sz w:val="24"/>
                <w:highlight w:val="none"/>
              </w:rPr>
            </w:pPr>
            <w:r>
              <w:rPr>
                <w:rFonts w:hAnsi="宋体"/>
                <w:b/>
                <w:bCs/>
                <w:snapToGrid w:val="0"/>
                <w:color w:val="auto"/>
                <w:kern w:val="0"/>
                <w:sz w:val="24"/>
                <w:highlight w:val="none"/>
              </w:rPr>
              <w:t>表</w:t>
            </w:r>
            <w:r>
              <w:rPr>
                <w:b/>
                <w:bCs/>
                <w:snapToGrid w:val="0"/>
                <w:color w:val="auto"/>
                <w:kern w:val="0"/>
                <w:sz w:val="24"/>
                <w:highlight w:val="none"/>
              </w:rPr>
              <w:t>4-</w:t>
            </w:r>
            <w:r>
              <w:rPr>
                <w:rFonts w:hint="default"/>
                <w:b/>
                <w:bCs/>
                <w:snapToGrid w:val="0"/>
                <w:color w:val="auto"/>
                <w:kern w:val="0"/>
                <w:sz w:val="24"/>
                <w:highlight w:val="none"/>
              </w:rPr>
              <w:t>31</w:t>
            </w:r>
            <w:r>
              <w:rPr>
                <w:b/>
                <w:bCs/>
                <w:snapToGrid w:val="0"/>
                <w:color w:val="auto"/>
                <w:kern w:val="0"/>
                <w:sz w:val="24"/>
                <w:highlight w:val="none"/>
              </w:rPr>
              <w:t xml:space="preserve">  </w:t>
            </w:r>
            <w:r>
              <w:rPr>
                <w:rFonts w:hAnsi="宋体"/>
                <w:b/>
                <w:snapToGrid w:val="0"/>
                <w:color w:val="auto"/>
                <w:kern w:val="0"/>
                <w:sz w:val="24"/>
                <w:highlight w:val="none"/>
              </w:rPr>
              <w:t>评价工作等级划分表</w:t>
            </w:r>
          </w:p>
          <w:tbl>
            <w:tblPr>
              <w:tblStyle w:val="2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66"/>
              <w:gridCol w:w="1789"/>
              <w:gridCol w:w="1951"/>
              <w:gridCol w:w="1951"/>
              <w:gridCol w:w="1900"/>
            </w:tblGrid>
            <w:tr w14:paraId="42D94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300" w:type="pct"/>
                  <w:shd w:val="clear" w:color="auto" w:fill="auto"/>
                  <w:vAlign w:val="center"/>
                </w:tcPr>
                <w:p w14:paraId="62CAF8C8">
                  <w:pPr>
                    <w:adjustRightInd w:val="0"/>
                    <w:snapToGrid w:val="0"/>
                    <w:jc w:val="center"/>
                    <w:rPr>
                      <w:b/>
                      <w:snapToGrid w:val="0"/>
                      <w:color w:val="auto"/>
                      <w:kern w:val="0"/>
                      <w:szCs w:val="21"/>
                      <w:highlight w:val="none"/>
                    </w:rPr>
                  </w:pPr>
                  <w:r>
                    <w:rPr>
                      <w:rFonts w:hAnsi="宋体"/>
                      <w:b/>
                      <w:snapToGrid w:val="0"/>
                      <w:color w:val="auto"/>
                      <w:kern w:val="0"/>
                      <w:szCs w:val="21"/>
                      <w:highlight w:val="none"/>
                    </w:rPr>
                    <w:t>环境风险潜势</w:t>
                  </w:r>
                </w:p>
              </w:tc>
              <w:tc>
                <w:tcPr>
                  <w:tcW w:w="872" w:type="pct"/>
                  <w:shd w:val="clear" w:color="auto" w:fill="auto"/>
                  <w:vAlign w:val="center"/>
                </w:tcPr>
                <w:p w14:paraId="4D605B14">
                  <w:pPr>
                    <w:adjustRightInd w:val="0"/>
                    <w:snapToGrid w:val="0"/>
                    <w:jc w:val="center"/>
                    <w:rPr>
                      <w:b/>
                      <w:snapToGrid w:val="0"/>
                      <w:color w:val="auto"/>
                      <w:kern w:val="0"/>
                      <w:szCs w:val="21"/>
                      <w:highlight w:val="none"/>
                    </w:rPr>
                  </w:pPr>
                  <w:r>
                    <w:rPr>
                      <w:b/>
                      <w:snapToGrid w:val="0"/>
                      <w:color w:val="auto"/>
                      <w:kern w:val="0"/>
                      <w:szCs w:val="21"/>
                      <w:highlight w:val="none"/>
                    </w:rPr>
                    <w:fldChar w:fldCharType="begin"/>
                  </w:r>
                  <w:r>
                    <w:rPr>
                      <w:b/>
                      <w:snapToGrid w:val="0"/>
                      <w:color w:val="auto"/>
                      <w:kern w:val="0"/>
                      <w:szCs w:val="21"/>
                      <w:highlight w:val="none"/>
                    </w:rPr>
                    <w:instrText xml:space="preserve"> = 4 \* ROMAN </w:instrText>
                  </w:r>
                  <w:r>
                    <w:rPr>
                      <w:b/>
                      <w:snapToGrid w:val="0"/>
                      <w:color w:val="auto"/>
                      <w:kern w:val="0"/>
                      <w:szCs w:val="21"/>
                      <w:highlight w:val="none"/>
                    </w:rPr>
                    <w:fldChar w:fldCharType="separate"/>
                  </w:r>
                  <w:r>
                    <w:rPr>
                      <w:b/>
                      <w:snapToGrid w:val="0"/>
                      <w:color w:val="auto"/>
                      <w:kern w:val="0"/>
                      <w:szCs w:val="21"/>
                      <w:highlight w:val="none"/>
                    </w:rPr>
                    <w:t>IV</w:t>
                  </w:r>
                  <w:r>
                    <w:rPr>
                      <w:b/>
                      <w:snapToGrid w:val="0"/>
                      <w:color w:val="auto"/>
                      <w:kern w:val="0"/>
                      <w:szCs w:val="21"/>
                      <w:highlight w:val="none"/>
                    </w:rPr>
                    <w:fldChar w:fldCharType="end"/>
                  </w:r>
                  <w:r>
                    <w:rPr>
                      <w:rFonts w:hAnsi="宋体"/>
                      <w:b/>
                      <w:snapToGrid w:val="0"/>
                      <w:color w:val="auto"/>
                      <w:kern w:val="0"/>
                      <w:szCs w:val="21"/>
                      <w:highlight w:val="none"/>
                    </w:rPr>
                    <w:t>、</w:t>
                  </w:r>
                  <w:r>
                    <w:rPr>
                      <w:b/>
                      <w:snapToGrid w:val="0"/>
                      <w:color w:val="auto"/>
                      <w:kern w:val="0"/>
                      <w:szCs w:val="21"/>
                      <w:highlight w:val="none"/>
                    </w:rPr>
                    <w:fldChar w:fldCharType="begin"/>
                  </w:r>
                  <w:r>
                    <w:rPr>
                      <w:b/>
                      <w:snapToGrid w:val="0"/>
                      <w:color w:val="auto"/>
                      <w:kern w:val="0"/>
                      <w:szCs w:val="21"/>
                      <w:highlight w:val="none"/>
                    </w:rPr>
                    <w:instrText xml:space="preserve"> = 4 \* ROMAN </w:instrText>
                  </w:r>
                  <w:r>
                    <w:rPr>
                      <w:b/>
                      <w:snapToGrid w:val="0"/>
                      <w:color w:val="auto"/>
                      <w:kern w:val="0"/>
                      <w:szCs w:val="21"/>
                      <w:highlight w:val="none"/>
                    </w:rPr>
                    <w:fldChar w:fldCharType="separate"/>
                  </w:r>
                  <w:r>
                    <w:rPr>
                      <w:b/>
                      <w:snapToGrid w:val="0"/>
                      <w:color w:val="auto"/>
                      <w:kern w:val="0"/>
                      <w:szCs w:val="21"/>
                      <w:highlight w:val="none"/>
                    </w:rPr>
                    <w:t>IV</w:t>
                  </w:r>
                  <w:r>
                    <w:rPr>
                      <w:b/>
                      <w:snapToGrid w:val="0"/>
                      <w:color w:val="auto"/>
                      <w:kern w:val="0"/>
                      <w:szCs w:val="21"/>
                      <w:highlight w:val="none"/>
                    </w:rPr>
                    <w:fldChar w:fldCharType="end"/>
                  </w:r>
                  <w:r>
                    <w:rPr>
                      <w:b/>
                      <w:snapToGrid w:val="0"/>
                      <w:color w:val="auto"/>
                      <w:kern w:val="0"/>
                      <w:szCs w:val="21"/>
                      <w:highlight w:val="none"/>
                      <w:vertAlign w:val="superscript"/>
                    </w:rPr>
                    <w:t>+</w:t>
                  </w:r>
                </w:p>
              </w:tc>
              <w:tc>
                <w:tcPr>
                  <w:tcW w:w="951" w:type="pct"/>
                  <w:shd w:val="clear" w:color="auto" w:fill="auto"/>
                  <w:vAlign w:val="center"/>
                </w:tcPr>
                <w:p w14:paraId="15E1C4CF">
                  <w:pPr>
                    <w:adjustRightInd w:val="0"/>
                    <w:snapToGrid w:val="0"/>
                    <w:jc w:val="center"/>
                    <w:rPr>
                      <w:b/>
                      <w:snapToGrid w:val="0"/>
                      <w:color w:val="auto"/>
                      <w:kern w:val="0"/>
                      <w:szCs w:val="21"/>
                      <w:highlight w:val="none"/>
                    </w:rPr>
                  </w:pPr>
                  <w:r>
                    <w:rPr>
                      <w:rFonts w:ascii="宋体" w:hAnsi="宋体"/>
                      <w:b/>
                      <w:snapToGrid w:val="0"/>
                      <w:color w:val="auto"/>
                      <w:kern w:val="0"/>
                      <w:szCs w:val="21"/>
                      <w:highlight w:val="none"/>
                    </w:rPr>
                    <w:t>Ⅲ</w:t>
                  </w:r>
                </w:p>
              </w:tc>
              <w:tc>
                <w:tcPr>
                  <w:tcW w:w="951" w:type="pct"/>
                  <w:shd w:val="clear" w:color="auto" w:fill="auto"/>
                  <w:vAlign w:val="center"/>
                </w:tcPr>
                <w:p w14:paraId="72FDB7B5">
                  <w:pPr>
                    <w:adjustRightInd w:val="0"/>
                    <w:snapToGrid w:val="0"/>
                    <w:jc w:val="center"/>
                    <w:rPr>
                      <w:b/>
                      <w:snapToGrid w:val="0"/>
                      <w:color w:val="auto"/>
                      <w:kern w:val="0"/>
                      <w:szCs w:val="21"/>
                      <w:highlight w:val="none"/>
                    </w:rPr>
                  </w:pPr>
                  <w:r>
                    <w:rPr>
                      <w:b/>
                      <w:snapToGrid w:val="0"/>
                      <w:color w:val="auto"/>
                      <w:kern w:val="0"/>
                      <w:szCs w:val="21"/>
                      <w:highlight w:val="none"/>
                    </w:rPr>
                    <w:fldChar w:fldCharType="begin"/>
                  </w:r>
                  <w:r>
                    <w:rPr>
                      <w:b/>
                      <w:snapToGrid w:val="0"/>
                      <w:color w:val="auto"/>
                      <w:kern w:val="0"/>
                      <w:szCs w:val="21"/>
                      <w:highlight w:val="none"/>
                    </w:rPr>
                    <w:instrText xml:space="preserve"> = 2 \* ROMAN </w:instrText>
                  </w:r>
                  <w:r>
                    <w:rPr>
                      <w:b/>
                      <w:snapToGrid w:val="0"/>
                      <w:color w:val="auto"/>
                      <w:kern w:val="0"/>
                      <w:szCs w:val="21"/>
                      <w:highlight w:val="none"/>
                    </w:rPr>
                    <w:fldChar w:fldCharType="separate"/>
                  </w:r>
                  <w:r>
                    <w:rPr>
                      <w:b/>
                      <w:snapToGrid w:val="0"/>
                      <w:color w:val="auto"/>
                      <w:kern w:val="0"/>
                      <w:szCs w:val="21"/>
                      <w:highlight w:val="none"/>
                    </w:rPr>
                    <w:t>II</w:t>
                  </w:r>
                  <w:r>
                    <w:rPr>
                      <w:b/>
                      <w:snapToGrid w:val="0"/>
                      <w:color w:val="auto"/>
                      <w:kern w:val="0"/>
                      <w:szCs w:val="21"/>
                      <w:highlight w:val="none"/>
                    </w:rPr>
                    <w:fldChar w:fldCharType="end"/>
                  </w:r>
                </w:p>
              </w:tc>
              <w:tc>
                <w:tcPr>
                  <w:tcW w:w="926" w:type="pct"/>
                  <w:shd w:val="clear" w:color="auto" w:fill="A5A5A5"/>
                  <w:vAlign w:val="center"/>
                </w:tcPr>
                <w:p w14:paraId="6714444D">
                  <w:pPr>
                    <w:adjustRightInd w:val="0"/>
                    <w:snapToGrid w:val="0"/>
                    <w:jc w:val="center"/>
                    <w:rPr>
                      <w:b/>
                      <w:snapToGrid w:val="0"/>
                      <w:color w:val="auto"/>
                      <w:kern w:val="0"/>
                      <w:szCs w:val="21"/>
                      <w:highlight w:val="none"/>
                    </w:rPr>
                  </w:pPr>
                  <w:r>
                    <w:rPr>
                      <w:b/>
                      <w:snapToGrid w:val="0"/>
                      <w:color w:val="auto"/>
                      <w:kern w:val="0"/>
                      <w:szCs w:val="21"/>
                      <w:highlight w:val="none"/>
                    </w:rPr>
                    <w:fldChar w:fldCharType="begin"/>
                  </w:r>
                  <w:r>
                    <w:rPr>
                      <w:b/>
                      <w:snapToGrid w:val="0"/>
                      <w:color w:val="auto"/>
                      <w:kern w:val="0"/>
                      <w:szCs w:val="21"/>
                      <w:highlight w:val="none"/>
                    </w:rPr>
                    <w:instrText xml:space="preserve"> = 1 \* ROMAN </w:instrText>
                  </w:r>
                  <w:r>
                    <w:rPr>
                      <w:b/>
                      <w:snapToGrid w:val="0"/>
                      <w:color w:val="auto"/>
                      <w:kern w:val="0"/>
                      <w:szCs w:val="21"/>
                      <w:highlight w:val="none"/>
                    </w:rPr>
                    <w:fldChar w:fldCharType="separate"/>
                  </w:r>
                  <w:r>
                    <w:rPr>
                      <w:b/>
                      <w:snapToGrid w:val="0"/>
                      <w:color w:val="auto"/>
                      <w:kern w:val="0"/>
                      <w:szCs w:val="21"/>
                      <w:highlight w:val="none"/>
                    </w:rPr>
                    <w:t>I</w:t>
                  </w:r>
                  <w:r>
                    <w:rPr>
                      <w:b/>
                      <w:snapToGrid w:val="0"/>
                      <w:color w:val="auto"/>
                      <w:kern w:val="0"/>
                      <w:szCs w:val="21"/>
                      <w:highlight w:val="none"/>
                    </w:rPr>
                    <w:fldChar w:fldCharType="end"/>
                  </w:r>
                </w:p>
              </w:tc>
            </w:tr>
            <w:tr w14:paraId="3865A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300" w:type="pct"/>
                  <w:shd w:val="clear" w:color="auto" w:fill="auto"/>
                  <w:vAlign w:val="center"/>
                </w:tcPr>
                <w:p w14:paraId="32D80E7F">
                  <w:pPr>
                    <w:adjustRightInd w:val="0"/>
                    <w:snapToGrid w:val="0"/>
                    <w:jc w:val="center"/>
                    <w:rPr>
                      <w:snapToGrid w:val="0"/>
                      <w:color w:val="auto"/>
                      <w:kern w:val="0"/>
                      <w:szCs w:val="21"/>
                      <w:highlight w:val="none"/>
                    </w:rPr>
                  </w:pPr>
                  <w:r>
                    <w:rPr>
                      <w:rFonts w:hAnsi="宋体"/>
                      <w:snapToGrid w:val="0"/>
                      <w:color w:val="auto"/>
                      <w:kern w:val="0"/>
                      <w:szCs w:val="21"/>
                      <w:highlight w:val="none"/>
                    </w:rPr>
                    <w:t>评价工作等级</w:t>
                  </w:r>
                </w:p>
              </w:tc>
              <w:tc>
                <w:tcPr>
                  <w:tcW w:w="872" w:type="pct"/>
                  <w:shd w:val="clear" w:color="auto" w:fill="auto"/>
                  <w:vAlign w:val="center"/>
                </w:tcPr>
                <w:p w14:paraId="350DFC82">
                  <w:pPr>
                    <w:adjustRightInd w:val="0"/>
                    <w:snapToGrid w:val="0"/>
                    <w:jc w:val="center"/>
                    <w:rPr>
                      <w:snapToGrid w:val="0"/>
                      <w:color w:val="auto"/>
                      <w:kern w:val="0"/>
                      <w:szCs w:val="21"/>
                      <w:highlight w:val="none"/>
                    </w:rPr>
                  </w:pPr>
                  <w:r>
                    <w:rPr>
                      <w:rFonts w:hAnsi="宋体"/>
                      <w:snapToGrid w:val="0"/>
                      <w:color w:val="auto"/>
                      <w:kern w:val="0"/>
                      <w:szCs w:val="21"/>
                      <w:highlight w:val="none"/>
                    </w:rPr>
                    <w:t>一</w:t>
                  </w:r>
                </w:p>
              </w:tc>
              <w:tc>
                <w:tcPr>
                  <w:tcW w:w="951" w:type="pct"/>
                  <w:shd w:val="clear" w:color="auto" w:fill="auto"/>
                  <w:vAlign w:val="center"/>
                </w:tcPr>
                <w:p w14:paraId="4C87704A">
                  <w:pPr>
                    <w:adjustRightInd w:val="0"/>
                    <w:snapToGrid w:val="0"/>
                    <w:jc w:val="center"/>
                    <w:rPr>
                      <w:snapToGrid w:val="0"/>
                      <w:color w:val="auto"/>
                      <w:kern w:val="0"/>
                      <w:szCs w:val="21"/>
                      <w:highlight w:val="none"/>
                    </w:rPr>
                  </w:pPr>
                  <w:r>
                    <w:rPr>
                      <w:rFonts w:hAnsi="宋体"/>
                      <w:snapToGrid w:val="0"/>
                      <w:color w:val="auto"/>
                      <w:kern w:val="0"/>
                      <w:szCs w:val="21"/>
                      <w:highlight w:val="none"/>
                    </w:rPr>
                    <w:t>二</w:t>
                  </w:r>
                </w:p>
              </w:tc>
              <w:tc>
                <w:tcPr>
                  <w:tcW w:w="951" w:type="pct"/>
                  <w:shd w:val="clear" w:color="auto" w:fill="auto"/>
                  <w:vAlign w:val="center"/>
                </w:tcPr>
                <w:p w14:paraId="4C9B0E3E">
                  <w:pPr>
                    <w:adjustRightInd w:val="0"/>
                    <w:snapToGrid w:val="0"/>
                    <w:jc w:val="center"/>
                    <w:rPr>
                      <w:snapToGrid w:val="0"/>
                      <w:color w:val="auto"/>
                      <w:kern w:val="0"/>
                      <w:szCs w:val="21"/>
                      <w:highlight w:val="none"/>
                    </w:rPr>
                  </w:pPr>
                  <w:r>
                    <w:rPr>
                      <w:rFonts w:hAnsi="宋体"/>
                      <w:snapToGrid w:val="0"/>
                      <w:color w:val="auto"/>
                      <w:kern w:val="0"/>
                      <w:szCs w:val="21"/>
                      <w:highlight w:val="none"/>
                    </w:rPr>
                    <w:t>三</w:t>
                  </w:r>
                </w:p>
              </w:tc>
              <w:tc>
                <w:tcPr>
                  <w:tcW w:w="926" w:type="pct"/>
                  <w:shd w:val="clear" w:color="auto" w:fill="A5A5A5"/>
                  <w:vAlign w:val="center"/>
                </w:tcPr>
                <w:p w14:paraId="1830923D">
                  <w:pPr>
                    <w:adjustRightInd w:val="0"/>
                    <w:snapToGrid w:val="0"/>
                    <w:jc w:val="center"/>
                    <w:rPr>
                      <w:snapToGrid w:val="0"/>
                      <w:color w:val="auto"/>
                      <w:kern w:val="0"/>
                      <w:szCs w:val="21"/>
                      <w:highlight w:val="none"/>
                    </w:rPr>
                  </w:pPr>
                  <w:r>
                    <w:rPr>
                      <w:rFonts w:hAnsi="宋体"/>
                      <w:snapToGrid w:val="0"/>
                      <w:color w:val="auto"/>
                      <w:kern w:val="0"/>
                      <w:szCs w:val="21"/>
                      <w:highlight w:val="none"/>
                    </w:rPr>
                    <w:t>简单分析</w:t>
                  </w:r>
                </w:p>
              </w:tc>
            </w:tr>
          </w:tbl>
          <w:p w14:paraId="2D93AE74">
            <w:pPr>
              <w:adjustRightInd w:val="0"/>
              <w:snapToGrid w:val="0"/>
              <w:ind w:firstLine="200" w:firstLineChars="200"/>
              <w:rPr>
                <w:rFonts w:hAnsi="宋体"/>
                <w:snapToGrid w:val="0"/>
                <w:color w:val="auto"/>
                <w:kern w:val="0"/>
                <w:sz w:val="10"/>
                <w:szCs w:val="10"/>
                <w:highlight w:val="none"/>
              </w:rPr>
            </w:pPr>
          </w:p>
          <w:p w14:paraId="2CCA83BD">
            <w:pPr>
              <w:adjustRightInd w:val="0"/>
              <w:snapToGrid w:val="0"/>
              <w:spacing w:line="360" w:lineRule="auto"/>
              <w:ind w:left="480"/>
              <w:rPr>
                <w:b/>
                <w:snapToGrid w:val="0"/>
                <w:color w:val="auto"/>
                <w:kern w:val="0"/>
                <w:sz w:val="24"/>
                <w:highlight w:val="none"/>
              </w:rPr>
            </w:pPr>
            <w:r>
              <w:rPr>
                <w:rFonts w:hAnsi="宋体"/>
                <w:b/>
                <w:snapToGrid w:val="0"/>
                <w:color w:val="auto"/>
                <w:kern w:val="0"/>
                <w:sz w:val="24"/>
                <w:highlight w:val="none"/>
              </w:rPr>
              <w:t>（</w:t>
            </w:r>
            <w:r>
              <w:rPr>
                <w:rFonts w:hint="eastAsia"/>
                <w:b/>
                <w:snapToGrid w:val="0"/>
                <w:color w:val="auto"/>
                <w:kern w:val="0"/>
                <w:sz w:val="24"/>
                <w:highlight w:val="none"/>
              </w:rPr>
              <w:t>3</w:t>
            </w:r>
            <w:r>
              <w:rPr>
                <w:rFonts w:hAnsi="宋体"/>
                <w:b/>
                <w:snapToGrid w:val="0"/>
                <w:color w:val="auto"/>
                <w:kern w:val="0"/>
                <w:sz w:val="24"/>
                <w:highlight w:val="none"/>
              </w:rPr>
              <w:t>）环境风险识别</w:t>
            </w:r>
          </w:p>
          <w:p w14:paraId="7C20CCC3">
            <w:pPr>
              <w:adjustRightInd w:val="0"/>
              <w:snapToGrid w:val="0"/>
              <w:spacing w:line="360" w:lineRule="auto"/>
              <w:ind w:firstLine="480" w:firstLineChars="200"/>
              <w:rPr>
                <w:snapToGrid w:val="0"/>
                <w:color w:val="auto"/>
                <w:kern w:val="0"/>
                <w:sz w:val="24"/>
                <w:highlight w:val="none"/>
              </w:rPr>
            </w:pPr>
            <w:r>
              <w:rPr>
                <w:rFonts w:hAnsi="宋体"/>
                <w:snapToGrid w:val="0"/>
                <w:color w:val="auto"/>
                <w:kern w:val="0"/>
                <w:sz w:val="24"/>
                <w:highlight w:val="none"/>
              </w:rPr>
              <w:t>本项目主要危险物质环境风险识别见下表。</w:t>
            </w:r>
          </w:p>
          <w:p w14:paraId="6A1290ED">
            <w:pPr>
              <w:adjustRightInd w:val="0"/>
              <w:snapToGrid w:val="0"/>
              <w:jc w:val="center"/>
              <w:rPr>
                <w:rFonts w:hAnsi="宋体"/>
                <w:b/>
                <w:bCs/>
                <w:snapToGrid w:val="0"/>
                <w:color w:val="auto"/>
                <w:kern w:val="0"/>
                <w:sz w:val="24"/>
                <w:highlight w:val="none"/>
              </w:rPr>
            </w:pPr>
          </w:p>
          <w:p w14:paraId="5F3C689E">
            <w:pPr>
              <w:adjustRightInd w:val="0"/>
              <w:snapToGrid w:val="0"/>
              <w:jc w:val="center"/>
              <w:rPr>
                <w:rFonts w:hAnsi="宋体"/>
                <w:b/>
                <w:bCs/>
                <w:snapToGrid w:val="0"/>
                <w:color w:val="auto"/>
                <w:kern w:val="0"/>
                <w:szCs w:val="21"/>
                <w:highlight w:val="none"/>
              </w:rPr>
            </w:pPr>
            <w:r>
              <w:rPr>
                <w:rFonts w:hAnsi="宋体"/>
                <w:b/>
                <w:bCs/>
                <w:snapToGrid w:val="0"/>
                <w:color w:val="auto"/>
                <w:kern w:val="0"/>
                <w:sz w:val="24"/>
                <w:highlight w:val="none"/>
              </w:rPr>
              <w:t>表</w:t>
            </w:r>
            <w:r>
              <w:rPr>
                <w:b/>
                <w:bCs/>
                <w:snapToGrid w:val="0"/>
                <w:color w:val="auto"/>
                <w:kern w:val="0"/>
                <w:sz w:val="24"/>
                <w:highlight w:val="none"/>
              </w:rPr>
              <w:t xml:space="preserve">4-32 </w:t>
            </w:r>
            <w:r>
              <w:rPr>
                <w:rFonts w:hAnsi="宋体"/>
                <w:b/>
                <w:bCs/>
                <w:snapToGrid w:val="0"/>
                <w:color w:val="auto"/>
                <w:kern w:val="0"/>
                <w:sz w:val="24"/>
                <w:highlight w:val="none"/>
              </w:rPr>
              <w:t>本项目涉及的主要危险物质环境风险识别表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6"/>
              <w:gridCol w:w="1110"/>
              <w:gridCol w:w="1973"/>
              <w:gridCol w:w="1602"/>
              <w:gridCol w:w="1549"/>
              <w:gridCol w:w="1391"/>
              <w:gridCol w:w="1670"/>
            </w:tblGrid>
            <w:tr w14:paraId="4CC5D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6" w:type="pct"/>
                  <w:vAlign w:val="center"/>
                </w:tcPr>
                <w:p w14:paraId="704F31D7">
                  <w:pPr>
                    <w:jc w:val="center"/>
                    <w:rPr>
                      <w:b/>
                      <w:bCs/>
                      <w:color w:val="auto"/>
                      <w:szCs w:val="21"/>
                      <w:highlight w:val="none"/>
                    </w:rPr>
                  </w:pPr>
                  <w:r>
                    <w:rPr>
                      <w:b/>
                      <w:bCs/>
                      <w:color w:val="auto"/>
                      <w:szCs w:val="21"/>
                      <w:highlight w:val="none"/>
                    </w:rPr>
                    <w:t>序号</w:t>
                  </w:r>
                </w:p>
              </w:tc>
              <w:tc>
                <w:tcPr>
                  <w:tcW w:w="541" w:type="pct"/>
                  <w:vAlign w:val="center"/>
                </w:tcPr>
                <w:p w14:paraId="2EC97EF3">
                  <w:pPr>
                    <w:jc w:val="center"/>
                    <w:rPr>
                      <w:b/>
                      <w:bCs/>
                      <w:color w:val="auto"/>
                      <w:szCs w:val="21"/>
                      <w:highlight w:val="none"/>
                    </w:rPr>
                  </w:pPr>
                  <w:r>
                    <w:rPr>
                      <w:b/>
                      <w:bCs/>
                      <w:color w:val="auto"/>
                      <w:szCs w:val="21"/>
                      <w:highlight w:val="none"/>
                    </w:rPr>
                    <w:t>危险单元</w:t>
                  </w:r>
                </w:p>
              </w:tc>
              <w:tc>
                <w:tcPr>
                  <w:tcW w:w="962" w:type="pct"/>
                  <w:vAlign w:val="center"/>
                </w:tcPr>
                <w:p w14:paraId="3673174D">
                  <w:pPr>
                    <w:jc w:val="center"/>
                    <w:rPr>
                      <w:b/>
                      <w:bCs/>
                      <w:color w:val="auto"/>
                      <w:szCs w:val="21"/>
                      <w:highlight w:val="none"/>
                    </w:rPr>
                  </w:pPr>
                  <w:r>
                    <w:rPr>
                      <w:b/>
                      <w:bCs/>
                      <w:color w:val="auto"/>
                      <w:szCs w:val="21"/>
                      <w:highlight w:val="none"/>
                    </w:rPr>
                    <w:t>风险源</w:t>
                  </w:r>
                </w:p>
              </w:tc>
              <w:tc>
                <w:tcPr>
                  <w:tcW w:w="781" w:type="pct"/>
                  <w:vAlign w:val="center"/>
                </w:tcPr>
                <w:p w14:paraId="51FA70B6">
                  <w:pPr>
                    <w:jc w:val="center"/>
                    <w:rPr>
                      <w:b/>
                      <w:bCs/>
                      <w:color w:val="auto"/>
                      <w:szCs w:val="21"/>
                      <w:highlight w:val="none"/>
                    </w:rPr>
                  </w:pPr>
                  <w:r>
                    <w:rPr>
                      <w:b/>
                      <w:bCs/>
                      <w:color w:val="auto"/>
                      <w:szCs w:val="21"/>
                      <w:highlight w:val="none"/>
                    </w:rPr>
                    <w:t>主要危险物质</w:t>
                  </w:r>
                </w:p>
              </w:tc>
              <w:tc>
                <w:tcPr>
                  <w:tcW w:w="755" w:type="pct"/>
                  <w:vAlign w:val="center"/>
                </w:tcPr>
                <w:p w14:paraId="38399E98">
                  <w:pPr>
                    <w:jc w:val="center"/>
                    <w:rPr>
                      <w:b/>
                      <w:bCs/>
                      <w:color w:val="auto"/>
                      <w:szCs w:val="21"/>
                      <w:highlight w:val="none"/>
                    </w:rPr>
                  </w:pPr>
                  <w:r>
                    <w:rPr>
                      <w:b/>
                      <w:bCs/>
                      <w:color w:val="auto"/>
                      <w:szCs w:val="21"/>
                      <w:highlight w:val="none"/>
                    </w:rPr>
                    <w:t>环境风险类型</w:t>
                  </w:r>
                </w:p>
              </w:tc>
              <w:tc>
                <w:tcPr>
                  <w:tcW w:w="678" w:type="pct"/>
                  <w:vAlign w:val="center"/>
                </w:tcPr>
                <w:p w14:paraId="116F417E">
                  <w:pPr>
                    <w:jc w:val="center"/>
                    <w:rPr>
                      <w:b/>
                      <w:bCs/>
                      <w:color w:val="auto"/>
                      <w:szCs w:val="21"/>
                      <w:highlight w:val="none"/>
                    </w:rPr>
                  </w:pPr>
                  <w:r>
                    <w:rPr>
                      <w:b/>
                      <w:bCs/>
                      <w:color w:val="auto"/>
                      <w:szCs w:val="21"/>
                      <w:highlight w:val="none"/>
                    </w:rPr>
                    <w:t>环境影响途径</w:t>
                  </w:r>
                </w:p>
              </w:tc>
              <w:tc>
                <w:tcPr>
                  <w:tcW w:w="814" w:type="pct"/>
                  <w:vAlign w:val="center"/>
                </w:tcPr>
                <w:p w14:paraId="33BB9517">
                  <w:pPr>
                    <w:jc w:val="center"/>
                    <w:rPr>
                      <w:b/>
                      <w:bCs/>
                      <w:color w:val="auto"/>
                      <w:szCs w:val="21"/>
                      <w:highlight w:val="none"/>
                    </w:rPr>
                  </w:pPr>
                  <w:r>
                    <w:rPr>
                      <w:b/>
                      <w:bCs/>
                      <w:color w:val="auto"/>
                      <w:szCs w:val="21"/>
                      <w:highlight w:val="none"/>
                    </w:rPr>
                    <w:t>可能受影响的环境敏感目标</w:t>
                  </w:r>
                </w:p>
              </w:tc>
            </w:tr>
            <w:tr w14:paraId="63C75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6" w:type="pct"/>
                  <w:vAlign w:val="center"/>
                </w:tcPr>
                <w:p w14:paraId="2D42EEED">
                  <w:pPr>
                    <w:jc w:val="center"/>
                    <w:rPr>
                      <w:color w:val="auto"/>
                      <w:szCs w:val="21"/>
                      <w:highlight w:val="none"/>
                    </w:rPr>
                  </w:pPr>
                  <w:r>
                    <w:rPr>
                      <w:color w:val="auto"/>
                      <w:szCs w:val="21"/>
                      <w:highlight w:val="none"/>
                    </w:rPr>
                    <w:t>1</w:t>
                  </w:r>
                </w:p>
              </w:tc>
              <w:tc>
                <w:tcPr>
                  <w:tcW w:w="541" w:type="pct"/>
                  <w:vAlign w:val="center"/>
                </w:tcPr>
                <w:p w14:paraId="52720264">
                  <w:pPr>
                    <w:jc w:val="center"/>
                    <w:rPr>
                      <w:color w:val="auto"/>
                      <w:szCs w:val="21"/>
                      <w:highlight w:val="none"/>
                    </w:rPr>
                  </w:pPr>
                  <w:r>
                    <w:rPr>
                      <w:rFonts w:hint="eastAsia"/>
                      <w:color w:val="auto"/>
                      <w:szCs w:val="21"/>
                      <w:highlight w:val="none"/>
                    </w:rPr>
                    <w:t>生产车间</w:t>
                  </w:r>
                </w:p>
              </w:tc>
              <w:tc>
                <w:tcPr>
                  <w:tcW w:w="962" w:type="pct"/>
                  <w:vAlign w:val="center"/>
                </w:tcPr>
                <w:p w14:paraId="073EAFB7">
                  <w:pPr>
                    <w:jc w:val="center"/>
                    <w:rPr>
                      <w:color w:val="auto"/>
                      <w:szCs w:val="21"/>
                      <w:highlight w:val="none"/>
                    </w:rPr>
                  </w:pPr>
                  <w:r>
                    <w:rPr>
                      <w:rFonts w:hint="eastAsia"/>
                      <w:color w:val="auto"/>
                      <w:szCs w:val="21"/>
                      <w:highlight w:val="none"/>
                    </w:rPr>
                    <w:t>聚酯树脂胶、浸渍树脂</w:t>
                  </w:r>
                  <w:r>
                    <w:rPr>
                      <w:rFonts w:hint="eastAsia"/>
                      <w:color w:val="auto"/>
                      <w:szCs w:val="21"/>
                      <w:highlight w:val="none"/>
                      <w:lang w:eastAsia="zh-Hans"/>
                    </w:rPr>
                    <w:t>、</w:t>
                  </w:r>
                  <w:r>
                    <w:rPr>
                      <w:rFonts w:hint="eastAsia"/>
                      <w:color w:val="auto"/>
                      <w:szCs w:val="21"/>
                      <w:highlight w:val="none"/>
                      <w:lang w:val="en-US" w:eastAsia="zh-Hans"/>
                    </w:rPr>
                    <w:t>润滑油</w:t>
                  </w:r>
                </w:p>
              </w:tc>
              <w:tc>
                <w:tcPr>
                  <w:tcW w:w="781" w:type="pct"/>
                  <w:tcBorders>
                    <w:bottom w:val="single" w:color="000000" w:sz="4" w:space="0"/>
                  </w:tcBorders>
                  <w:vAlign w:val="center"/>
                </w:tcPr>
                <w:p w14:paraId="4CE40C89">
                  <w:pPr>
                    <w:jc w:val="center"/>
                    <w:rPr>
                      <w:color w:val="auto"/>
                      <w:szCs w:val="21"/>
                      <w:highlight w:val="none"/>
                    </w:rPr>
                  </w:pPr>
                  <w:r>
                    <w:rPr>
                      <w:rFonts w:hint="eastAsia"/>
                      <w:color w:val="auto"/>
                      <w:szCs w:val="21"/>
                      <w:highlight w:val="none"/>
                    </w:rPr>
                    <w:t>有机物</w:t>
                  </w:r>
                  <w:r>
                    <w:rPr>
                      <w:rFonts w:hint="eastAsia"/>
                      <w:color w:val="auto"/>
                      <w:szCs w:val="21"/>
                      <w:highlight w:val="none"/>
                      <w:lang w:eastAsia="zh-Hans"/>
                    </w:rPr>
                    <w:t>、</w:t>
                  </w:r>
                  <w:r>
                    <w:rPr>
                      <w:rFonts w:hint="eastAsia"/>
                      <w:color w:val="auto"/>
                      <w:szCs w:val="21"/>
                      <w:highlight w:val="none"/>
                      <w:lang w:val="en-US" w:eastAsia="zh-Hans"/>
                    </w:rPr>
                    <w:t>油</w:t>
                  </w:r>
                </w:p>
              </w:tc>
              <w:tc>
                <w:tcPr>
                  <w:tcW w:w="755" w:type="pct"/>
                  <w:tcBorders>
                    <w:bottom w:val="single" w:color="000000" w:sz="4" w:space="0"/>
                  </w:tcBorders>
                  <w:vAlign w:val="center"/>
                </w:tcPr>
                <w:p w14:paraId="28F5D923">
                  <w:pPr>
                    <w:jc w:val="center"/>
                    <w:rPr>
                      <w:color w:val="auto"/>
                      <w:szCs w:val="21"/>
                      <w:highlight w:val="none"/>
                    </w:rPr>
                  </w:pPr>
                  <w:r>
                    <w:rPr>
                      <w:rFonts w:hint="eastAsia"/>
                      <w:color w:val="auto"/>
                      <w:szCs w:val="21"/>
                      <w:highlight w:val="none"/>
                    </w:rPr>
                    <w:t>泄露</w:t>
                  </w:r>
                </w:p>
              </w:tc>
              <w:tc>
                <w:tcPr>
                  <w:tcW w:w="678" w:type="pct"/>
                  <w:vMerge w:val="restart"/>
                  <w:vAlign w:val="center"/>
                </w:tcPr>
                <w:p w14:paraId="0949C1CA">
                  <w:pPr>
                    <w:jc w:val="center"/>
                    <w:rPr>
                      <w:color w:val="auto"/>
                      <w:szCs w:val="21"/>
                      <w:highlight w:val="none"/>
                    </w:rPr>
                  </w:pPr>
                  <w:r>
                    <w:rPr>
                      <w:color w:val="auto"/>
                      <w:szCs w:val="21"/>
                      <w:highlight w:val="none"/>
                    </w:rPr>
                    <w:t>大气</w:t>
                  </w:r>
                </w:p>
              </w:tc>
              <w:tc>
                <w:tcPr>
                  <w:tcW w:w="814" w:type="pct"/>
                  <w:vMerge w:val="restart"/>
                  <w:vAlign w:val="center"/>
                </w:tcPr>
                <w:p w14:paraId="66F4B675">
                  <w:pPr>
                    <w:jc w:val="center"/>
                    <w:rPr>
                      <w:color w:val="auto"/>
                      <w:szCs w:val="21"/>
                      <w:highlight w:val="none"/>
                    </w:rPr>
                  </w:pPr>
                  <w:r>
                    <w:rPr>
                      <w:rFonts w:hint="eastAsia"/>
                      <w:color w:val="auto"/>
                      <w:szCs w:val="21"/>
                      <w:highlight w:val="none"/>
                      <w:lang w:eastAsia="zh-Hans"/>
                    </w:rPr>
                    <w:t>苏通花园</w:t>
                  </w:r>
                  <w:r>
                    <w:rPr>
                      <w:color w:val="auto"/>
                      <w:szCs w:val="21"/>
                      <w:highlight w:val="none"/>
                    </w:rPr>
                    <w:t>等周边敏感点</w:t>
                  </w:r>
                </w:p>
              </w:tc>
            </w:tr>
            <w:tr w14:paraId="495C2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6" w:type="pct"/>
                  <w:vAlign w:val="center"/>
                </w:tcPr>
                <w:p w14:paraId="11F884B8">
                  <w:pPr>
                    <w:jc w:val="center"/>
                    <w:rPr>
                      <w:color w:val="auto"/>
                      <w:szCs w:val="21"/>
                      <w:highlight w:val="none"/>
                    </w:rPr>
                  </w:pPr>
                  <w:r>
                    <w:rPr>
                      <w:color w:val="auto"/>
                      <w:szCs w:val="21"/>
                      <w:highlight w:val="none"/>
                    </w:rPr>
                    <w:t>2</w:t>
                  </w:r>
                </w:p>
              </w:tc>
              <w:tc>
                <w:tcPr>
                  <w:tcW w:w="541" w:type="pct"/>
                  <w:vAlign w:val="center"/>
                </w:tcPr>
                <w:p w14:paraId="749D595A">
                  <w:pPr>
                    <w:jc w:val="center"/>
                    <w:rPr>
                      <w:color w:val="auto"/>
                      <w:szCs w:val="21"/>
                      <w:highlight w:val="none"/>
                    </w:rPr>
                  </w:pPr>
                  <w:r>
                    <w:rPr>
                      <w:color w:val="auto"/>
                      <w:szCs w:val="21"/>
                      <w:highlight w:val="none"/>
                    </w:rPr>
                    <w:t>环保设施</w:t>
                  </w:r>
                </w:p>
              </w:tc>
              <w:tc>
                <w:tcPr>
                  <w:tcW w:w="962" w:type="pct"/>
                  <w:vAlign w:val="center"/>
                </w:tcPr>
                <w:p w14:paraId="16BA6EBD">
                  <w:pPr>
                    <w:jc w:val="center"/>
                    <w:rPr>
                      <w:color w:val="auto"/>
                      <w:szCs w:val="21"/>
                      <w:highlight w:val="none"/>
                    </w:rPr>
                  </w:pPr>
                  <w:r>
                    <w:rPr>
                      <w:color w:val="auto"/>
                      <w:szCs w:val="21"/>
                      <w:highlight w:val="none"/>
                    </w:rPr>
                    <w:t>废气</w:t>
                  </w:r>
                </w:p>
              </w:tc>
              <w:tc>
                <w:tcPr>
                  <w:tcW w:w="781" w:type="pct"/>
                  <w:tcBorders>
                    <w:bottom w:val="single" w:color="000000" w:sz="4" w:space="0"/>
                  </w:tcBorders>
                  <w:vAlign w:val="center"/>
                </w:tcPr>
                <w:p w14:paraId="036C922D">
                  <w:pPr>
                    <w:jc w:val="center"/>
                    <w:rPr>
                      <w:color w:val="auto"/>
                      <w:szCs w:val="21"/>
                      <w:highlight w:val="none"/>
                    </w:rPr>
                  </w:pPr>
                  <w:r>
                    <w:rPr>
                      <w:color w:val="auto"/>
                      <w:szCs w:val="21"/>
                      <w:highlight w:val="none"/>
                    </w:rPr>
                    <w:t>VOCs</w:t>
                  </w:r>
                  <w:r>
                    <w:rPr>
                      <w:rFonts w:hint="eastAsia"/>
                      <w:color w:val="auto"/>
                      <w:szCs w:val="21"/>
                      <w:highlight w:val="none"/>
                    </w:rPr>
                    <w:t>、颗粒物</w:t>
                  </w:r>
                </w:p>
              </w:tc>
              <w:tc>
                <w:tcPr>
                  <w:tcW w:w="755" w:type="pct"/>
                  <w:tcBorders>
                    <w:bottom w:val="single" w:color="000000" w:sz="4" w:space="0"/>
                  </w:tcBorders>
                  <w:vAlign w:val="center"/>
                </w:tcPr>
                <w:p w14:paraId="4B5279A3">
                  <w:pPr>
                    <w:jc w:val="center"/>
                    <w:rPr>
                      <w:color w:val="auto"/>
                      <w:szCs w:val="21"/>
                      <w:highlight w:val="none"/>
                    </w:rPr>
                  </w:pPr>
                  <w:r>
                    <w:rPr>
                      <w:color w:val="auto"/>
                      <w:szCs w:val="21"/>
                      <w:highlight w:val="none"/>
                    </w:rPr>
                    <w:t>事故排放</w:t>
                  </w:r>
                </w:p>
              </w:tc>
              <w:tc>
                <w:tcPr>
                  <w:tcW w:w="678" w:type="pct"/>
                  <w:vMerge w:val="continue"/>
                  <w:vAlign w:val="center"/>
                </w:tcPr>
                <w:p w14:paraId="7813E344">
                  <w:pPr>
                    <w:jc w:val="center"/>
                    <w:rPr>
                      <w:color w:val="auto"/>
                      <w:szCs w:val="21"/>
                      <w:highlight w:val="none"/>
                    </w:rPr>
                  </w:pPr>
                </w:p>
              </w:tc>
              <w:tc>
                <w:tcPr>
                  <w:tcW w:w="814" w:type="pct"/>
                  <w:vMerge w:val="continue"/>
                  <w:vAlign w:val="center"/>
                </w:tcPr>
                <w:p w14:paraId="3CFEB00C">
                  <w:pPr>
                    <w:jc w:val="center"/>
                    <w:rPr>
                      <w:color w:val="auto"/>
                      <w:szCs w:val="21"/>
                      <w:highlight w:val="none"/>
                    </w:rPr>
                  </w:pPr>
                </w:p>
              </w:tc>
            </w:tr>
            <w:tr w14:paraId="4A8A4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6" w:type="pct"/>
                  <w:vAlign w:val="center"/>
                </w:tcPr>
                <w:p w14:paraId="380CC06D">
                  <w:pPr>
                    <w:jc w:val="center"/>
                    <w:rPr>
                      <w:color w:val="auto"/>
                      <w:szCs w:val="21"/>
                      <w:highlight w:val="none"/>
                    </w:rPr>
                  </w:pPr>
                  <w:r>
                    <w:rPr>
                      <w:rFonts w:hint="eastAsia"/>
                      <w:color w:val="auto"/>
                      <w:szCs w:val="21"/>
                      <w:highlight w:val="none"/>
                    </w:rPr>
                    <w:t>3</w:t>
                  </w:r>
                </w:p>
              </w:tc>
              <w:tc>
                <w:tcPr>
                  <w:tcW w:w="541" w:type="pct"/>
                  <w:vAlign w:val="center"/>
                </w:tcPr>
                <w:p w14:paraId="2D57571A">
                  <w:pPr>
                    <w:jc w:val="center"/>
                    <w:rPr>
                      <w:color w:val="auto"/>
                      <w:szCs w:val="21"/>
                      <w:highlight w:val="none"/>
                    </w:rPr>
                  </w:pPr>
                  <w:r>
                    <w:rPr>
                      <w:color w:val="auto"/>
                      <w:szCs w:val="21"/>
                      <w:highlight w:val="none"/>
                    </w:rPr>
                    <w:t>危废仓库</w:t>
                  </w:r>
                </w:p>
              </w:tc>
              <w:tc>
                <w:tcPr>
                  <w:tcW w:w="962" w:type="pct"/>
                  <w:vAlign w:val="center"/>
                </w:tcPr>
                <w:p w14:paraId="1D08F321">
                  <w:pPr>
                    <w:jc w:val="center"/>
                    <w:rPr>
                      <w:color w:val="auto"/>
                      <w:szCs w:val="21"/>
                      <w:highlight w:val="none"/>
                    </w:rPr>
                  </w:pPr>
                  <w:r>
                    <w:rPr>
                      <w:color w:val="auto"/>
                      <w:szCs w:val="21"/>
                      <w:highlight w:val="none"/>
                    </w:rPr>
                    <w:t>废活性炭</w:t>
                  </w:r>
                  <w:r>
                    <w:rPr>
                      <w:rFonts w:hint="eastAsia"/>
                      <w:color w:val="auto"/>
                      <w:szCs w:val="21"/>
                      <w:highlight w:val="none"/>
                    </w:rPr>
                    <w:t>、废胶</w:t>
                  </w:r>
                  <w:r>
                    <w:rPr>
                      <w:rFonts w:hint="eastAsia"/>
                      <w:color w:val="auto"/>
                      <w:szCs w:val="21"/>
                      <w:highlight w:val="none"/>
                      <w:lang w:eastAsia="zh-Hans"/>
                    </w:rPr>
                    <w:t>、</w:t>
                  </w:r>
                  <w:r>
                    <w:rPr>
                      <w:rFonts w:hint="eastAsia"/>
                      <w:color w:val="auto"/>
                      <w:szCs w:val="21"/>
                      <w:highlight w:val="none"/>
                      <w:lang w:val="en-US" w:eastAsia="zh-Hans"/>
                    </w:rPr>
                    <w:t>废粉</w:t>
                  </w:r>
                  <w:r>
                    <w:rPr>
                      <w:rFonts w:hint="eastAsia"/>
                      <w:color w:val="auto"/>
                      <w:szCs w:val="21"/>
                      <w:highlight w:val="none"/>
                    </w:rPr>
                    <w:t>、废包装桶</w:t>
                  </w:r>
                  <w:r>
                    <w:rPr>
                      <w:rFonts w:hint="eastAsia"/>
                      <w:color w:val="auto"/>
                      <w:szCs w:val="21"/>
                      <w:highlight w:val="none"/>
                      <w:lang w:eastAsia="zh-Hans"/>
                    </w:rPr>
                    <w:t>、</w:t>
                  </w:r>
                  <w:r>
                    <w:rPr>
                      <w:rFonts w:hint="eastAsia"/>
                      <w:color w:val="auto"/>
                      <w:szCs w:val="21"/>
                      <w:highlight w:val="none"/>
                      <w:lang w:val="en-US" w:eastAsia="zh-Hans"/>
                    </w:rPr>
                    <w:t>废润滑油</w:t>
                  </w:r>
                  <w:r>
                    <w:rPr>
                      <w:rFonts w:hint="eastAsia"/>
                      <w:color w:val="auto"/>
                      <w:szCs w:val="21"/>
                      <w:highlight w:val="none"/>
                    </w:rPr>
                    <w:t>等</w:t>
                  </w:r>
                </w:p>
              </w:tc>
              <w:tc>
                <w:tcPr>
                  <w:tcW w:w="781" w:type="pct"/>
                  <w:tcBorders>
                    <w:top w:val="single" w:color="000000" w:sz="4" w:space="0"/>
                  </w:tcBorders>
                  <w:vAlign w:val="center"/>
                </w:tcPr>
                <w:p w14:paraId="5AADF737">
                  <w:pPr>
                    <w:jc w:val="center"/>
                    <w:rPr>
                      <w:color w:val="auto"/>
                      <w:szCs w:val="21"/>
                      <w:highlight w:val="none"/>
                    </w:rPr>
                  </w:pPr>
                  <w:r>
                    <w:rPr>
                      <w:color w:val="auto"/>
                      <w:szCs w:val="21"/>
                      <w:highlight w:val="none"/>
                    </w:rPr>
                    <w:t>有机物</w:t>
                  </w:r>
                  <w:r>
                    <w:rPr>
                      <w:rFonts w:hint="eastAsia"/>
                      <w:color w:val="auto"/>
                      <w:szCs w:val="21"/>
                      <w:highlight w:val="none"/>
                      <w:lang w:eastAsia="zh-Hans"/>
                    </w:rPr>
                    <w:t>、</w:t>
                  </w:r>
                  <w:r>
                    <w:rPr>
                      <w:rFonts w:hint="eastAsia"/>
                      <w:color w:val="auto"/>
                      <w:szCs w:val="21"/>
                      <w:highlight w:val="none"/>
                      <w:lang w:val="en-US" w:eastAsia="zh-Hans"/>
                    </w:rPr>
                    <w:t>油</w:t>
                  </w:r>
                </w:p>
              </w:tc>
              <w:tc>
                <w:tcPr>
                  <w:tcW w:w="755" w:type="pct"/>
                  <w:tcBorders>
                    <w:top w:val="single" w:color="000000" w:sz="4" w:space="0"/>
                  </w:tcBorders>
                  <w:vAlign w:val="center"/>
                </w:tcPr>
                <w:p w14:paraId="51C1B87E">
                  <w:pPr>
                    <w:jc w:val="center"/>
                    <w:rPr>
                      <w:color w:val="auto"/>
                      <w:szCs w:val="21"/>
                      <w:highlight w:val="none"/>
                    </w:rPr>
                  </w:pPr>
                  <w:r>
                    <w:rPr>
                      <w:color w:val="auto"/>
                      <w:szCs w:val="21"/>
                      <w:highlight w:val="none"/>
                    </w:rPr>
                    <w:t>泄露</w:t>
                  </w:r>
                </w:p>
              </w:tc>
              <w:tc>
                <w:tcPr>
                  <w:tcW w:w="678" w:type="pct"/>
                  <w:vMerge w:val="continue"/>
                  <w:vAlign w:val="center"/>
                </w:tcPr>
                <w:p w14:paraId="2B974D7A">
                  <w:pPr>
                    <w:jc w:val="center"/>
                    <w:rPr>
                      <w:color w:val="auto"/>
                      <w:szCs w:val="21"/>
                      <w:highlight w:val="none"/>
                    </w:rPr>
                  </w:pPr>
                </w:p>
              </w:tc>
              <w:tc>
                <w:tcPr>
                  <w:tcW w:w="814" w:type="pct"/>
                  <w:vMerge w:val="continue"/>
                  <w:vAlign w:val="center"/>
                </w:tcPr>
                <w:p w14:paraId="227DDE0F">
                  <w:pPr>
                    <w:jc w:val="center"/>
                    <w:rPr>
                      <w:color w:val="auto"/>
                      <w:szCs w:val="21"/>
                      <w:highlight w:val="none"/>
                    </w:rPr>
                  </w:pPr>
                </w:p>
              </w:tc>
            </w:tr>
          </w:tbl>
          <w:p w14:paraId="1BCCCF27">
            <w:pPr>
              <w:adjustRightInd w:val="0"/>
              <w:snapToGrid w:val="0"/>
              <w:spacing w:before="120" w:beforeLines="50" w:line="360" w:lineRule="auto"/>
              <w:ind w:firstLine="482" w:firstLineChars="200"/>
              <w:rPr>
                <w:b/>
                <w:snapToGrid w:val="0"/>
                <w:color w:val="auto"/>
                <w:kern w:val="0"/>
                <w:sz w:val="24"/>
                <w:highlight w:val="none"/>
              </w:rPr>
            </w:pPr>
            <w:r>
              <w:rPr>
                <w:rFonts w:hAnsi="宋体"/>
                <w:b/>
                <w:snapToGrid w:val="0"/>
                <w:color w:val="auto"/>
                <w:kern w:val="0"/>
                <w:sz w:val="24"/>
                <w:highlight w:val="none"/>
              </w:rPr>
              <w:t>（</w:t>
            </w:r>
            <w:r>
              <w:rPr>
                <w:rFonts w:hint="eastAsia"/>
                <w:b/>
                <w:snapToGrid w:val="0"/>
                <w:color w:val="auto"/>
                <w:kern w:val="0"/>
                <w:sz w:val="24"/>
                <w:highlight w:val="none"/>
              </w:rPr>
              <w:t>4</w:t>
            </w:r>
            <w:r>
              <w:rPr>
                <w:rFonts w:hAnsi="宋体"/>
                <w:b/>
                <w:snapToGrid w:val="0"/>
                <w:color w:val="auto"/>
                <w:kern w:val="0"/>
                <w:sz w:val="24"/>
                <w:highlight w:val="none"/>
              </w:rPr>
              <w:t>）环境风险分析</w:t>
            </w:r>
          </w:p>
          <w:p w14:paraId="7A488D43">
            <w:pPr>
              <w:spacing w:line="360" w:lineRule="auto"/>
              <w:ind w:firstLine="480" w:firstLineChars="200"/>
              <w:rPr>
                <w:color w:val="auto"/>
                <w:sz w:val="24"/>
                <w:highlight w:val="none"/>
              </w:rPr>
            </w:pPr>
            <w:r>
              <w:rPr>
                <w:color w:val="auto"/>
                <w:sz w:val="24"/>
                <w:highlight w:val="none"/>
              </w:rPr>
              <w:t>最大可信事故是基于经验统计分析，在一定可能性区间内发生的事故中，造成环境危害最严重的事故。根据本项目物质危险性识别、生产设施危险性识别和重大危险源的识别分析结果，确定本报告最大可信事故为：聚酯树脂胶</w:t>
            </w:r>
            <w:r>
              <w:rPr>
                <w:rFonts w:hint="eastAsia"/>
                <w:color w:val="auto"/>
                <w:sz w:val="24"/>
                <w:highlight w:val="none"/>
              </w:rPr>
              <w:t>泄露</w:t>
            </w:r>
            <w:r>
              <w:rPr>
                <w:color w:val="auto"/>
                <w:sz w:val="24"/>
                <w:highlight w:val="none"/>
              </w:rPr>
              <w:t>。</w:t>
            </w:r>
          </w:p>
          <w:p w14:paraId="7DFB7D2A">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（5）</w:t>
            </w:r>
            <w:r>
              <w:rPr>
                <w:rFonts w:ascii="宋体" w:hAnsi="宋体"/>
                <w:b/>
                <w:bCs/>
                <w:color w:val="auto"/>
                <w:sz w:val="24"/>
                <w:highlight w:val="none"/>
              </w:rPr>
              <w:t>次生/伴生污染分析</w:t>
            </w:r>
          </w:p>
          <w:p w14:paraId="3D5E2E57">
            <w:pPr>
              <w:spacing w:line="360" w:lineRule="auto"/>
              <w:ind w:firstLine="480" w:firstLineChars="200"/>
              <w:rPr>
                <w:rFonts w:ascii="宋体" w:hAnsi="宋体"/>
                <w:color w:val="auto"/>
                <w:sz w:val="24"/>
                <w:highlight w:val="none"/>
                <w:lang w:val="zh-CN"/>
              </w:rPr>
            </w:pPr>
            <w:r>
              <w:rPr>
                <w:rFonts w:ascii="宋体" w:hAnsi="宋体"/>
                <w:color w:val="auto"/>
                <w:sz w:val="24"/>
                <w:highlight w:val="none"/>
                <w:lang w:val="zh-CN"/>
              </w:rPr>
              <w:t>在发生火灾时，可能产生的伴生/次生污染为火灾消防液、消防土及燃烧产生的二氧化碳、烟尘、氮氧化物气体。</w:t>
            </w:r>
          </w:p>
          <w:p w14:paraId="7026BA40">
            <w:pPr>
              <w:spacing w:line="360" w:lineRule="auto"/>
              <w:ind w:firstLine="480" w:firstLineChars="200"/>
              <w:rPr>
                <w:rFonts w:ascii="宋体" w:hAnsi="宋体"/>
                <w:color w:val="auto"/>
                <w:sz w:val="24"/>
                <w:highlight w:val="none"/>
                <w:lang w:val="zh-CN"/>
              </w:rPr>
            </w:pPr>
            <w:r>
              <w:rPr>
                <w:rFonts w:ascii="宋体" w:hAnsi="宋体"/>
                <w:color w:val="auto"/>
                <w:sz w:val="24"/>
                <w:highlight w:val="none"/>
                <w:lang w:val="zh-CN"/>
              </w:rPr>
              <w:t>空气、水体和土壤等环境要素是危险性物质向环境转移的最基本的途径，同时这三种要素之间又随时发生着物质和能量的传递，污染物进入环境后，随着空气和水体环境发生推流迁移、分散稀释和降解转化运动。本公司</w:t>
            </w:r>
            <w:r>
              <w:rPr>
                <w:rFonts w:hint="eastAsia"/>
                <w:color w:val="auto"/>
                <w:sz w:val="24"/>
                <w:highlight w:val="none"/>
              </w:rPr>
              <w:t>浸渍</w:t>
            </w:r>
            <w:r>
              <w:rPr>
                <w:rFonts w:ascii="宋体" w:hAnsi="宋体"/>
                <w:color w:val="auto"/>
                <w:sz w:val="24"/>
                <w:highlight w:val="none"/>
              </w:rPr>
              <w:t>树脂</w:t>
            </w:r>
            <w:r>
              <w:rPr>
                <w:rFonts w:hint="eastAsia" w:ascii="宋体" w:hAnsi="宋体"/>
                <w:color w:val="auto"/>
                <w:sz w:val="24"/>
                <w:highlight w:val="none"/>
                <w:lang w:eastAsia="zh-Hans"/>
              </w:rPr>
              <w:t>、</w:t>
            </w:r>
            <w:r>
              <w:rPr>
                <w:rFonts w:hint="eastAsia" w:ascii="宋体" w:hAnsi="宋体"/>
                <w:color w:val="auto"/>
                <w:sz w:val="24"/>
                <w:highlight w:val="none"/>
                <w:lang w:val="en-US" w:eastAsia="zh-Hans"/>
              </w:rPr>
              <w:t>润滑油</w:t>
            </w:r>
            <w:r>
              <w:rPr>
                <w:rFonts w:ascii="宋体" w:hAnsi="宋体"/>
                <w:color w:val="auto"/>
                <w:sz w:val="24"/>
                <w:highlight w:val="none"/>
              </w:rPr>
              <w:t>燃烧引</w:t>
            </w:r>
            <w:r>
              <w:rPr>
                <w:rFonts w:ascii="宋体" w:hAnsi="宋体"/>
                <w:color w:val="auto"/>
                <w:sz w:val="24"/>
                <w:highlight w:val="none"/>
                <w:lang w:val="zh-CN"/>
              </w:rPr>
              <w:t>发生火灾时，主要产生</w:t>
            </w:r>
            <w:r>
              <w:rPr>
                <w:color w:val="auto"/>
                <w:sz w:val="24"/>
                <w:highlight w:val="none"/>
                <w:lang w:val="zh-CN"/>
              </w:rPr>
              <w:t>CO</w:t>
            </w:r>
            <w:r>
              <w:rPr>
                <w:color w:val="auto"/>
                <w:sz w:val="24"/>
                <w:highlight w:val="none"/>
                <w:vertAlign w:val="subscript"/>
                <w:lang w:val="zh-CN"/>
              </w:rPr>
              <w:t>2</w:t>
            </w:r>
            <w:r>
              <w:rPr>
                <w:color w:val="auto"/>
                <w:sz w:val="24"/>
                <w:highlight w:val="none"/>
                <w:lang w:val="zh-CN"/>
              </w:rPr>
              <w:t>、CO</w:t>
            </w:r>
            <w:r>
              <w:rPr>
                <w:rFonts w:ascii="宋体" w:hAnsi="宋体"/>
                <w:color w:val="auto"/>
                <w:sz w:val="24"/>
                <w:highlight w:val="none"/>
                <w:lang w:val="zh-CN"/>
              </w:rPr>
              <w:t>等，受到伤害或破坏的目标可能是人、设备、设施、厂房、建筑物等。</w:t>
            </w:r>
          </w:p>
          <w:p w14:paraId="18E1F90F">
            <w:pPr>
              <w:spacing w:line="360" w:lineRule="auto"/>
              <w:ind w:firstLine="480" w:firstLineChars="200"/>
              <w:rPr>
                <w:rFonts w:ascii="宋体" w:hAnsi="宋体"/>
                <w:color w:val="auto"/>
                <w:sz w:val="24"/>
                <w:highlight w:val="none"/>
                <w:lang w:val="zh-CN"/>
              </w:rPr>
            </w:pPr>
            <w:r>
              <w:rPr>
                <w:rFonts w:ascii="宋体" w:hAnsi="宋体"/>
                <w:color w:val="auto"/>
                <w:sz w:val="24"/>
                <w:highlight w:val="none"/>
                <w:lang w:val="zh-CN"/>
              </w:rPr>
              <w:t>火灾产生的伴生污染物通过扩散进入外界大气环境；当物料发生较大火灾突发环境事件，使用到水、泡沫灭火器灭火时，危险物品才有可能随消防废液通过雨、污水管网进入外界水环境，雨污排口应及时设置截止阀，防止其流出厂外，进入外界水体。</w:t>
            </w:r>
          </w:p>
          <w:p w14:paraId="6B42EC81">
            <w:pPr>
              <w:adjustRightInd w:val="0"/>
              <w:snapToGrid w:val="0"/>
              <w:spacing w:line="360" w:lineRule="auto"/>
              <w:ind w:firstLine="482" w:firstLineChars="200"/>
              <w:rPr>
                <w:b/>
                <w:bCs/>
                <w:snapToGrid w:val="0"/>
                <w:color w:val="auto"/>
                <w:kern w:val="0"/>
                <w:sz w:val="24"/>
                <w:highlight w:val="none"/>
              </w:rPr>
            </w:pPr>
            <w:r>
              <w:rPr>
                <w:rFonts w:hAnsi="宋体"/>
                <w:b/>
                <w:snapToGrid w:val="0"/>
                <w:color w:val="auto"/>
                <w:kern w:val="0"/>
                <w:sz w:val="24"/>
                <w:highlight w:val="none"/>
              </w:rPr>
              <w:t>（</w:t>
            </w:r>
            <w:r>
              <w:rPr>
                <w:rFonts w:hint="eastAsia"/>
                <w:b/>
                <w:snapToGrid w:val="0"/>
                <w:color w:val="auto"/>
                <w:kern w:val="0"/>
                <w:sz w:val="24"/>
                <w:highlight w:val="none"/>
              </w:rPr>
              <w:t>6</w:t>
            </w:r>
            <w:r>
              <w:rPr>
                <w:rFonts w:hAnsi="宋体"/>
                <w:b/>
                <w:snapToGrid w:val="0"/>
                <w:color w:val="auto"/>
                <w:kern w:val="0"/>
                <w:sz w:val="24"/>
                <w:highlight w:val="none"/>
              </w:rPr>
              <w:t>）</w:t>
            </w:r>
            <w:r>
              <w:rPr>
                <w:b/>
                <w:bCs/>
                <w:color w:val="auto"/>
                <w:sz w:val="24"/>
                <w:highlight w:val="none"/>
              </w:rPr>
              <w:t>环境风险防控措施及应急要求</w:t>
            </w:r>
          </w:p>
          <w:p w14:paraId="534925EB">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针对本项目特点，提出以下几点环境风险管理要求： </w:t>
            </w:r>
          </w:p>
          <w:p w14:paraId="34F0951A">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①严格按照防火规范进行平面布置。 </w:t>
            </w:r>
          </w:p>
          <w:p w14:paraId="64B1C3E5">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②定期检查、维护危废仓库危险品储存区设施、设备，以确保正常运行。 </w:t>
            </w:r>
          </w:p>
          <w:p w14:paraId="677D023A">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③易燃物质储存区设置明显的禁火标志。 </w:t>
            </w:r>
          </w:p>
          <w:p w14:paraId="6210DA23">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④安装火灾设备检测仪表、消防自控设施。 </w:t>
            </w:r>
          </w:p>
          <w:p w14:paraId="5C70BFED">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⑤在项目正式投产运行前，制定出供正常、异常或紧急状态下的操作和维修计划，并对操作和维修人员进行岗前培训，避免因严重操作失误而造成人为事故。 </w:t>
            </w:r>
          </w:p>
          <w:p w14:paraId="7EA2FB76">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 </w:t>
            </w:r>
          </w:p>
          <w:p w14:paraId="3E7A2A62">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⑦采取相应的火灾、爆炸事故的预防措施。 </w:t>
            </w:r>
          </w:p>
          <w:p w14:paraId="45487E7D">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⑧加强员工的事故安全知识教育，要求全体人员了解事故处理的程序，事故处理器材的使用方法，一旦出现事故可以立即停产，控制事故的危害范围和程度。 </w:t>
            </w:r>
          </w:p>
          <w:p w14:paraId="35D15800">
            <w:pPr>
              <w:spacing w:line="360" w:lineRule="auto"/>
              <w:ind w:firstLine="482" w:firstLineChars="200"/>
              <w:rPr>
                <w:rFonts w:ascii="宋体" w:hAnsi="宋体"/>
                <w:color w:val="auto"/>
                <w:sz w:val="24"/>
                <w:highlight w:val="none"/>
              </w:rPr>
            </w:pPr>
            <w:r>
              <w:rPr>
                <w:rFonts w:ascii="宋体" w:hAnsi="宋体"/>
                <w:b/>
                <w:bCs/>
                <w:color w:val="auto"/>
                <w:sz w:val="24"/>
                <w:highlight w:val="none"/>
              </w:rPr>
              <w:t>针对本项目可能发生的环境风险事故，提出以下风险防范措施：</w:t>
            </w:r>
            <w:r>
              <w:rPr>
                <w:rFonts w:ascii="宋体" w:hAnsi="宋体"/>
                <w:color w:val="auto"/>
                <w:sz w:val="24"/>
                <w:highlight w:val="none"/>
              </w:rPr>
              <w:t xml:space="preserve">  </w:t>
            </w:r>
          </w:p>
          <w:p w14:paraId="01E12597">
            <w:pPr>
              <w:spacing w:line="360" w:lineRule="auto"/>
              <w:ind w:firstLine="480" w:firstLineChars="200"/>
              <w:rPr>
                <w:rFonts w:ascii="宋体" w:hAnsi="宋体"/>
                <w:color w:val="auto"/>
                <w:sz w:val="24"/>
                <w:highlight w:val="none"/>
              </w:rPr>
            </w:pPr>
            <w:r>
              <w:rPr>
                <w:color w:val="auto"/>
                <w:sz w:val="24"/>
                <w:highlight w:val="none"/>
              </w:rPr>
              <w:t>a.</w:t>
            </w:r>
            <w:r>
              <w:rPr>
                <w:rFonts w:ascii="宋体" w:hAnsi="宋体"/>
                <w:color w:val="auto"/>
                <w:sz w:val="24"/>
                <w:highlight w:val="none"/>
              </w:rPr>
              <w:t xml:space="preserve">消除点火源。使用防爆的电气设备；防止静电蓄积；使加热器等保持低温；防止机械由于摩擦、撞击、故障等原因而产生火花或异常的高温。 </w:t>
            </w:r>
          </w:p>
          <w:p w14:paraId="1F9FA7E1">
            <w:pPr>
              <w:spacing w:line="360" w:lineRule="auto"/>
              <w:ind w:firstLine="480" w:firstLineChars="200"/>
              <w:rPr>
                <w:rFonts w:ascii="宋体" w:hAnsi="宋体"/>
                <w:color w:val="auto"/>
                <w:sz w:val="24"/>
                <w:highlight w:val="none"/>
              </w:rPr>
            </w:pPr>
            <w:r>
              <w:rPr>
                <w:color w:val="auto"/>
                <w:sz w:val="24"/>
                <w:highlight w:val="none"/>
              </w:rPr>
              <w:t>b.</w:t>
            </w:r>
            <w:r>
              <w:rPr>
                <w:rFonts w:ascii="宋体" w:hAnsi="宋体"/>
                <w:color w:val="auto"/>
                <w:sz w:val="24"/>
                <w:highlight w:val="none"/>
              </w:rPr>
              <w:t xml:space="preserve">在危险部位设置自动的烟感器或爆炸抑制装置，早期发现并抑制。 </w:t>
            </w:r>
          </w:p>
          <w:p w14:paraId="2670A958">
            <w:pPr>
              <w:spacing w:line="360" w:lineRule="auto"/>
              <w:ind w:firstLine="480" w:firstLineChars="200"/>
              <w:rPr>
                <w:rFonts w:ascii="宋体" w:hAnsi="宋体"/>
                <w:color w:val="auto"/>
                <w:sz w:val="24"/>
                <w:highlight w:val="none"/>
              </w:rPr>
            </w:pPr>
            <w:r>
              <w:rPr>
                <w:color w:val="auto"/>
                <w:sz w:val="24"/>
                <w:highlight w:val="none"/>
              </w:rPr>
              <w:t>c.</w:t>
            </w:r>
            <w:r>
              <w:rPr>
                <w:rFonts w:ascii="宋体" w:hAnsi="宋体"/>
                <w:color w:val="auto"/>
                <w:sz w:val="24"/>
                <w:highlight w:val="none"/>
              </w:rPr>
              <w:t xml:space="preserve">为避免设备、管道、容器等在发生爆炸时受到严重破坏，设置泄压孔。慎重选择泄压孔位置，采取避免损害扩大的措施。 </w:t>
            </w:r>
          </w:p>
          <w:p w14:paraId="7D09FEE4">
            <w:pPr>
              <w:spacing w:line="360" w:lineRule="auto"/>
              <w:ind w:firstLine="480" w:firstLineChars="200"/>
              <w:rPr>
                <w:rFonts w:ascii="宋体" w:hAnsi="宋体"/>
                <w:color w:val="auto"/>
                <w:sz w:val="24"/>
                <w:highlight w:val="none"/>
              </w:rPr>
            </w:pPr>
            <w:r>
              <w:rPr>
                <w:color w:val="auto"/>
                <w:sz w:val="24"/>
                <w:highlight w:val="none"/>
              </w:rPr>
              <w:t>d.</w:t>
            </w:r>
            <w:r>
              <w:rPr>
                <w:rFonts w:ascii="宋体" w:hAnsi="宋体"/>
                <w:color w:val="auto"/>
                <w:sz w:val="24"/>
                <w:highlight w:val="none"/>
              </w:rPr>
              <w:t xml:space="preserve">加大设备本身的强度或设置防爆墙，把爆炸封在里面，防止放出火焰和烟伤及其它建筑物、人员或设备。  </w:t>
            </w:r>
          </w:p>
          <w:p w14:paraId="133250B4">
            <w:pPr>
              <w:spacing w:line="360" w:lineRule="auto"/>
              <w:ind w:firstLine="480" w:firstLineChars="200"/>
              <w:rPr>
                <w:rFonts w:ascii="宋体" w:hAnsi="宋体"/>
                <w:color w:val="auto"/>
                <w:sz w:val="24"/>
                <w:highlight w:val="none"/>
              </w:rPr>
            </w:pPr>
            <w:r>
              <w:rPr>
                <w:color w:val="auto"/>
                <w:sz w:val="24"/>
                <w:highlight w:val="none"/>
              </w:rPr>
              <w:t>e.</w:t>
            </w:r>
            <w:r>
              <w:rPr>
                <w:rFonts w:ascii="宋体" w:hAnsi="宋体"/>
                <w:color w:val="auto"/>
                <w:sz w:val="24"/>
                <w:highlight w:val="none"/>
              </w:rPr>
              <w:t>易燃物质存放场所的电气设备应严格按照《爆炸和火灾危险环境电力装置设计规范》进行设计、安装，达到整体防爆要求，使用不易产生静电、撞击不产生火花的材料，并采取静电接地保护措施。</w:t>
            </w:r>
          </w:p>
          <w:p w14:paraId="143F376A">
            <w:pPr>
              <w:adjustRightInd w:val="0"/>
              <w:snapToGrid w:val="0"/>
              <w:spacing w:line="360" w:lineRule="auto"/>
              <w:ind w:firstLine="480" w:firstLineChars="200"/>
              <w:rPr>
                <w:color w:val="auto"/>
                <w:sz w:val="24"/>
                <w:highlight w:val="none"/>
              </w:rPr>
            </w:pPr>
            <w:r>
              <w:rPr>
                <w:rFonts w:hint="eastAsia" w:hAnsi="宋体"/>
                <w:bCs/>
                <w:snapToGrid w:val="0"/>
                <w:color w:val="auto"/>
                <w:kern w:val="0"/>
                <w:sz w:val="24"/>
                <w:highlight w:val="none"/>
              </w:rPr>
              <w:t>f.</w:t>
            </w:r>
            <w:r>
              <w:rPr>
                <w:color w:val="auto"/>
                <w:sz w:val="24"/>
                <w:highlight w:val="none"/>
              </w:rPr>
              <w:t>截流措施：</w:t>
            </w:r>
            <w:r>
              <w:rPr>
                <w:rFonts w:hint="eastAsia"/>
                <w:color w:val="auto"/>
                <w:sz w:val="24"/>
                <w:highlight w:val="none"/>
              </w:rPr>
              <w:t>液体原料区、危废仓库拟</w:t>
            </w:r>
            <w:r>
              <w:rPr>
                <w:color w:val="auto"/>
                <w:sz w:val="24"/>
                <w:highlight w:val="none"/>
              </w:rPr>
              <w:t>设置</w:t>
            </w:r>
            <w:r>
              <w:rPr>
                <w:rFonts w:hint="eastAsia"/>
                <w:color w:val="auto"/>
                <w:sz w:val="24"/>
                <w:highlight w:val="none"/>
              </w:rPr>
              <w:t>防渗漏托盘/</w:t>
            </w:r>
            <w:r>
              <w:rPr>
                <w:color w:val="auto"/>
                <w:sz w:val="24"/>
                <w:highlight w:val="none"/>
              </w:rPr>
              <w:t>围堰</w:t>
            </w:r>
            <w:r>
              <w:rPr>
                <w:rFonts w:hint="eastAsia"/>
                <w:color w:val="auto"/>
                <w:sz w:val="24"/>
                <w:highlight w:val="none"/>
              </w:rPr>
              <w:t>/导流沟槽</w:t>
            </w:r>
            <w:r>
              <w:rPr>
                <w:color w:val="auto"/>
                <w:sz w:val="24"/>
                <w:highlight w:val="none"/>
              </w:rPr>
              <w:t>，防止泄漏液体或洗消水进入外环境；雨污水排口设置截流措施，防止受污染废水进入外部水环境</w:t>
            </w:r>
            <w:r>
              <w:rPr>
                <w:rFonts w:hint="eastAsia"/>
                <w:color w:val="auto"/>
                <w:sz w:val="24"/>
                <w:highlight w:val="none"/>
              </w:rPr>
              <w:t>。</w:t>
            </w:r>
          </w:p>
          <w:p w14:paraId="6FAA0D67">
            <w:pPr>
              <w:spacing w:line="360" w:lineRule="auto"/>
              <w:ind w:firstLine="420" w:firstLineChars="200"/>
              <w:rPr>
                <w:color w:val="auto"/>
                <w:sz w:val="24"/>
                <w:highlight w:val="none"/>
              </w:rPr>
            </w:pPr>
            <w:r>
              <w:rPr>
                <w:rFonts w:hint="eastAsia"/>
                <w:color w:val="auto"/>
                <w:highlight w:val="none"/>
              </w:rPr>
              <w:t>g.</w:t>
            </w:r>
            <w:r>
              <w:rPr>
                <w:color w:val="auto"/>
                <w:sz w:val="24"/>
                <w:highlight w:val="none"/>
              </w:rPr>
              <w:t>根据中国石化建标[2006]43号《关于印发&lt;水体污染防控紧急措施设计导则&gt;的通知》中对最大事故废水的估算办法，进行消防废水水量计算，计算公式如下：</w:t>
            </w:r>
          </w:p>
          <w:p w14:paraId="48AE55B5">
            <w:pPr>
              <w:spacing w:line="360" w:lineRule="auto"/>
              <w:ind w:firstLine="480" w:firstLineChars="200"/>
              <w:jc w:val="center"/>
              <w:rPr>
                <w:color w:val="auto"/>
                <w:sz w:val="24"/>
                <w:highlight w:val="none"/>
              </w:rPr>
            </w:pPr>
            <w:r>
              <w:rPr>
                <w:color w:val="auto"/>
                <w:sz w:val="24"/>
                <w:highlight w:val="none"/>
              </w:rPr>
              <w:t>V</w:t>
            </w:r>
            <w:r>
              <w:rPr>
                <w:color w:val="auto"/>
                <w:sz w:val="24"/>
                <w:highlight w:val="none"/>
                <w:vertAlign w:val="subscript"/>
              </w:rPr>
              <w:t>总</w:t>
            </w:r>
            <w:r>
              <w:rPr>
                <w:color w:val="auto"/>
                <w:sz w:val="24"/>
                <w:highlight w:val="none"/>
              </w:rPr>
              <w:t>= （V</w:t>
            </w:r>
            <w:r>
              <w:rPr>
                <w:color w:val="auto"/>
                <w:sz w:val="24"/>
                <w:highlight w:val="none"/>
                <w:vertAlign w:val="subscript"/>
              </w:rPr>
              <w:t>1</w:t>
            </w:r>
            <w:r>
              <w:rPr>
                <w:color w:val="auto"/>
                <w:sz w:val="24"/>
                <w:highlight w:val="none"/>
              </w:rPr>
              <w:t>+ V</w:t>
            </w:r>
            <w:r>
              <w:rPr>
                <w:color w:val="auto"/>
                <w:sz w:val="24"/>
                <w:highlight w:val="none"/>
                <w:vertAlign w:val="subscript"/>
              </w:rPr>
              <w:t>2</w:t>
            </w:r>
            <w:r>
              <w:rPr>
                <w:color w:val="auto"/>
                <w:sz w:val="24"/>
                <w:highlight w:val="none"/>
              </w:rPr>
              <w:t>- V</w:t>
            </w:r>
            <w:r>
              <w:rPr>
                <w:color w:val="auto"/>
                <w:sz w:val="24"/>
                <w:highlight w:val="none"/>
                <w:vertAlign w:val="subscript"/>
              </w:rPr>
              <w:t>3</w:t>
            </w:r>
            <w:r>
              <w:rPr>
                <w:color w:val="auto"/>
                <w:sz w:val="24"/>
                <w:highlight w:val="none"/>
              </w:rPr>
              <w:t>）+ V</w:t>
            </w:r>
            <w:r>
              <w:rPr>
                <w:color w:val="auto"/>
                <w:sz w:val="24"/>
                <w:highlight w:val="none"/>
                <w:vertAlign w:val="subscript"/>
              </w:rPr>
              <w:t>4</w:t>
            </w:r>
            <w:r>
              <w:rPr>
                <w:color w:val="auto"/>
                <w:sz w:val="24"/>
                <w:highlight w:val="none"/>
              </w:rPr>
              <w:t>+ V</w:t>
            </w:r>
            <w:r>
              <w:rPr>
                <w:color w:val="auto"/>
                <w:sz w:val="24"/>
                <w:highlight w:val="none"/>
                <w:vertAlign w:val="subscript"/>
              </w:rPr>
              <w:t>5</w:t>
            </w:r>
          </w:p>
          <w:p w14:paraId="1C8D84CC">
            <w:pPr>
              <w:spacing w:line="360" w:lineRule="auto"/>
              <w:ind w:firstLine="480" w:firstLineChars="200"/>
              <w:rPr>
                <w:color w:val="auto"/>
                <w:sz w:val="24"/>
                <w:highlight w:val="none"/>
              </w:rPr>
            </w:pPr>
            <w:r>
              <w:rPr>
                <w:color w:val="auto"/>
                <w:sz w:val="24"/>
                <w:highlight w:val="none"/>
              </w:rPr>
              <w:t>式中：</w:t>
            </w:r>
          </w:p>
          <w:p w14:paraId="186F7643">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1</w:t>
            </w:r>
            <w:r>
              <w:rPr>
                <w:color w:val="auto"/>
                <w:sz w:val="24"/>
                <w:highlight w:val="none"/>
              </w:rPr>
              <w:t>——收集系统范围内发生事故的一个罐组或一套装置的物料量（储存相同物料的罐组按一个最大储罐计，装置物料量按存留最大物料量的一台反应器或中间储罐计），</w:t>
            </w:r>
            <w:r>
              <w:rPr>
                <w:rFonts w:hint="eastAsia"/>
                <w:color w:val="auto"/>
                <w:sz w:val="24"/>
                <w:highlight w:val="none"/>
              </w:rPr>
              <w:t>本次</w:t>
            </w:r>
            <w:r>
              <w:rPr>
                <w:color w:val="auto"/>
                <w:sz w:val="24"/>
                <w:highlight w:val="none"/>
              </w:rPr>
              <w:t>按1个最大容量</w:t>
            </w:r>
            <w:r>
              <w:rPr>
                <w:rFonts w:hint="eastAsia"/>
                <w:color w:val="auto"/>
                <w:sz w:val="24"/>
                <w:highlight w:val="none"/>
              </w:rPr>
              <w:t>20kg</w:t>
            </w:r>
            <w:r>
              <w:rPr>
                <w:color w:val="auto"/>
                <w:sz w:val="24"/>
                <w:highlight w:val="none"/>
              </w:rPr>
              <w:t>的</w:t>
            </w:r>
            <w:r>
              <w:rPr>
                <w:rFonts w:hint="eastAsia"/>
                <w:color w:val="auto"/>
                <w:sz w:val="24"/>
                <w:highlight w:val="none"/>
              </w:rPr>
              <w:t>聚酯树脂胶</w:t>
            </w:r>
            <w:r>
              <w:rPr>
                <w:color w:val="auto"/>
                <w:sz w:val="24"/>
                <w:highlight w:val="none"/>
              </w:rPr>
              <w:t>桶发生泄漏计，V</w:t>
            </w:r>
            <w:r>
              <w:rPr>
                <w:color w:val="auto"/>
                <w:sz w:val="24"/>
                <w:highlight w:val="none"/>
                <w:vertAlign w:val="subscript"/>
              </w:rPr>
              <w:t>1</w:t>
            </w:r>
            <w:r>
              <w:rPr>
                <w:color w:val="auto"/>
                <w:sz w:val="24"/>
                <w:highlight w:val="none"/>
              </w:rPr>
              <w:t>=</w:t>
            </w:r>
            <w:r>
              <w:rPr>
                <w:rFonts w:hint="eastAsia"/>
                <w:color w:val="auto"/>
                <w:sz w:val="24"/>
                <w:highlight w:val="none"/>
              </w:rPr>
              <w:t>0.02</w:t>
            </w:r>
            <w:r>
              <w:rPr>
                <w:color w:val="auto"/>
                <w:sz w:val="24"/>
                <w:highlight w:val="none"/>
              </w:rPr>
              <w:t>m</w:t>
            </w:r>
            <w:r>
              <w:rPr>
                <w:color w:val="auto"/>
                <w:sz w:val="24"/>
                <w:highlight w:val="none"/>
                <w:vertAlign w:val="superscript"/>
              </w:rPr>
              <w:t>3</w:t>
            </w:r>
            <w:r>
              <w:rPr>
                <w:color w:val="auto"/>
                <w:sz w:val="24"/>
                <w:highlight w:val="none"/>
              </w:rPr>
              <w:t>。</w:t>
            </w:r>
          </w:p>
          <w:p w14:paraId="3F79B6E2">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2</w:t>
            </w:r>
            <w:r>
              <w:rPr>
                <w:color w:val="auto"/>
                <w:sz w:val="24"/>
                <w:highlight w:val="none"/>
              </w:rPr>
              <w:t>——发生事故的储罐或装置的消防水量；根据物料性质及储存情况，按消防设施给水量为10L/s，消防用水延续时间取3h，计算得消防水量约108m</w:t>
            </w:r>
            <w:r>
              <w:rPr>
                <w:color w:val="auto"/>
                <w:sz w:val="24"/>
                <w:highlight w:val="none"/>
                <w:vertAlign w:val="superscript"/>
              </w:rPr>
              <w:t>3</w:t>
            </w:r>
            <w:r>
              <w:rPr>
                <w:color w:val="auto"/>
                <w:sz w:val="24"/>
                <w:highlight w:val="none"/>
              </w:rPr>
              <w:t>。</w:t>
            </w:r>
          </w:p>
          <w:p w14:paraId="565B1BB4">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3</w:t>
            </w:r>
            <w:r>
              <w:rPr>
                <w:color w:val="auto"/>
                <w:sz w:val="24"/>
                <w:highlight w:val="none"/>
              </w:rPr>
              <w:t>——发生事故时可以转输到其他储存或处理设施的物料量。</w:t>
            </w:r>
            <w:r>
              <w:rPr>
                <w:rFonts w:hint="eastAsia"/>
                <w:color w:val="auto"/>
                <w:sz w:val="24"/>
                <w:highlight w:val="none"/>
              </w:rPr>
              <w:t>本项目利用雨水管网与事故池收集事故废水。</w:t>
            </w:r>
          </w:p>
          <w:p w14:paraId="3B832B21">
            <w:pPr>
              <w:spacing w:line="360" w:lineRule="auto"/>
              <w:ind w:firstLine="480" w:firstLineChars="200"/>
              <w:rPr>
                <w:color w:val="auto"/>
                <w:sz w:val="24"/>
                <w:highlight w:val="none"/>
              </w:rPr>
            </w:pPr>
            <w:r>
              <w:rPr>
                <w:rFonts w:hint="eastAsia"/>
                <w:color w:val="auto"/>
                <w:sz w:val="24"/>
                <w:highlight w:val="none"/>
              </w:rPr>
              <w:t>其中：厂区雨水管网长约为300m，内径为0.5m，缓冲容积约为58.9m</w:t>
            </w:r>
            <w:r>
              <w:rPr>
                <w:rFonts w:hint="eastAsia"/>
                <w:color w:val="auto"/>
                <w:sz w:val="24"/>
                <w:highlight w:val="none"/>
                <w:vertAlign w:val="superscript"/>
              </w:rPr>
              <w:t>3</w:t>
            </w:r>
            <w:r>
              <w:rPr>
                <w:rFonts w:hint="eastAsia"/>
                <w:color w:val="auto"/>
                <w:sz w:val="24"/>
                <w:highlight w:val="none"/>
              </w:rPr>
              <w:t>，则V</w:t>
            </w:r>
            <w:r>
              <w:rPr>
                <w:rFonts w:hint="eastAsia"/>
                <w:color w:val="auto"/>
                <w:sz w:val="24"/>
                <w:highlight w:val="none"/>
                <w:vertAlign w:val="subscript"/>
              </w:rPr>
              <w:t>3</w:t>
            </w:r>
            <w:r>
              <w:rPr>
                <w:rFonts w:hint="eastAsia"/>
                <w:color w:val="auto"/>
                <w:sz w:val="24"/>
                <w:highlight w:val="none"/>
              </w:rPr>
              <w:t>=58.9m</w:t>
            </w:r>
            <w:r>
              <w:rPr>
                <w:rFonts w:hint="eastAsia"/>
                <w:color w:val="auto"/>
                <w:sz w:val="24"/>
                <w:highlight w:val="none"/>
                <w:vertAlign w:val="superscript"/>
              </w:rPr>
              <w:t>3</w:t>
            </w:r>
            <w:r>
              <w:rPr>
                <w:rFonts w:hint="eastAsia"/>
                <w:color w:val="auto"/>
                <w:sz w:val="24"/>
                <w:highlight w:val="none"/>
              </w:rPr>
              <w:t>。</w:t>
            </w:r>
          </w:p>
          <w:p w14:paraId="0DA65DC4">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4</w:t>
            </w:r>
            <w:r>
              <w:rPr>
                <w:color w:val="auto"/>
                <w:sz w:val="24"/>
                <w:highlight w:val="none"/>
              </w:rPr>
              <w:t>——发生事故时仍必须进入该收集系统的生产废水量。</w:t>
            </w:r>
            <w:r>
              <w:rPr>
                <w:rFonts w:hint="eastAsia"/>
                <w:color w:val="auto"/>
                <w:sz w:val="24"/>
                <w:highlight w:val="none"/>
              </w:rPr>
              <w:t>本项目 V</w:t>
            </w:r>
            <w:r>
              <w:rPr>
                <w:rFonts w:hint="eastAsia"/>
                <w:color w:val="auto"/>
                <w:sz w:val="24"/>
                <w:highlight w:val="none"/>
                <w:vertAlign w:val="subscript"/>
              </w:rPr>
              <w:t>4</w:t>
            </w:r>
            <w:r>
              <w:rPr>
                <w:rFonts w:hint="eastAsia"/>
                <w:color w:val="auto"/>
                <w:sz w:val="24"/>
                <w:highlight w:val="none"/>
              </w:rPr>
              <w:t>=0。</w:t>
            </w:r>
          </w:p>
          <w:p w14:paraId="1DBAD449">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5</w:t>
            </w:r>
            <w:r>
              <w:rPr>
                <w:color w:val="auto"/>
                <w:sz w:val="24"/>
                <w:highlight w:val="none"/>
              </w:rPr>
              <w:t>——发生事故时可能进入该收集系统的降雨量，V</w:t>
            </w:r>
            <w:r>
              <w:rPr>
                <w:color w:val="auto"/>
                <w:sz w:val="24"/>
                <w:highlight w:val="none"/>
                <w:vertAlign w:val="subscript"/>
              </w:rPr>
              <w:t>5</w:t>
            </w:r>
            <w:r>
              <w:rPr>
                <w:color w:val="auto"/>
                <w:sz w:val="24"/>
                <w:highlight w:val="none"/>
              </w:rPr>
              <w:t>=10qF。</w:t>
            </w:r>
          </w:p>
          <w:p w14:paraId="638669E4">
            <w:pPr>
              <w:spacing w:line="360" w:lineRule="auto"/>
              <w:ind w:firstLine="480" w:firstLineChars="200"/>
              <w:rPr>
                <w:color w:val="auto"/>
                <w:sz w:val="24"/>
                <w:highlight w:val="none"/>
              </w:rPr>
            </w:pPr>
            <w:r>
              <w:rPr>
                <w:color w:val="auto"/>
                <w:sz w:val="24"/>
                <w:highlight w:val="none"/>
              </w:rPr>
              <w:t>其中：q——降雨强度，mm；按平均日降雨量q=qa/n；</w:t>
            </w:r>
          </w:p>
          <w:p w14:paraId="22C83769">
            <w:pPr>
              <w:spacing w:line="360" w:lineRule="auto"/>
              <w:ind w:firstLine="480" w:firstLineChars="200"/>
              <w:rPr>
                <w:color w:val="auto"/>
                <w:sz w:val="24"/>
                <w:highlight w:val="none"/>
              </w:rPr>
            </w:pPr>
            <w:r>
              <w:rPr>
                <w:color w:val="auto"/>
                <w:sz w:val="24"/>
                <w:highlight w:val="none"/>
              </w:rPr>
              <w:t xml:space="preserve">      qa——年平均降雨量，mm；取1100mm；</w:t>
            </w:r>
          </w:p>
          <w:p w14:paraId="4A8D82A7">
            <w:pPr>
              <w:spacing w:line="360" w:lineRule="auto"/>
              <w:ind w:firstLine="480" w:firstLineChars="200"/>
              <w:rPr>
                <w:color w:val="auto"/>
                <w:sz w:val="24"/>
                <w:highlight w:val="none"/>
              </w:rPr>
            </w:pPr>
            <w:r>
              <w:rPr>
                <w:color w:val="auto"/>
                <w:sz w:val="24"/>
                <w:highlight w:val="none"/>
              </w:rPr>
              <w:t xml:space="preserve">      n——年平均降雨日数；取132d；</w:t>
            </w:r>
          </w:p>
          <w:p w14:paraId="072A36BF">
            <w:pPr>
              <w:spacing w:line="360" w:lineRule="auto"/>
              <w:ind w:firstLine="480" w:firstLineChars="200"/>
              <w:rPr>
                <w:color w:val="auto"/>
                <w:sz w:val="24"/>
                <w:highlight w:val="none"/>
              </w:rPr>
            </w:pPr>
            <w:r>
              <w:rPr>
                <w:color w:val="auto"/>
                <w:sz w:val="24"/>
                <w:highlight w:val="none"/>
              </w:rPr>
              <w:t xml:space="preserve">      F——必须进入事故废水收集系统的雨水汇水面积，ha；</w:t>
            </w:r>
            <w:r>
              <w:rPr>
                <w:bCs/>
                <w:color w:val="auto"/>
                <w:sz w:val="24"/>
                <w:highlight w:val="none"/>
              </w:rPr>
              <w:t>企业涉及的化学品为密闭包装，且放在室内，正常工况下厂内室外无受污染区域。本次考虑最不利情况，汇水面积以本企业所在厂区最大雨水汇水面积约0.</w:t>
            </w:r>
            <w:r>
              <w:rPr>
                <w:rFonts w:hint="eastAsia"/>
                <w:bCs/>
                <w:color w:val="auto"/>
                <w:sz w:val="24"/>
                <w:highlight w:val="none"/>
              </w:rPr>
              <w:t>5</w:t>
            </w:r>
            <w:r>
              <w:rPr>
                <w:bCs/>
                <w:color w:val="auto"/>
                <w:sz w:val="24"/>
                <w:highlight w:val="none"/>
              </w:rPr>
              <w:t>ha，计算得发生事故时可能进入事故废水收集系统的降雨量约为</w:t>
            </w:r>
            <w:r>
              <w:rPr>
                <w:rFonts w:hint="eastAsia"/>
                <w:bCs/>
                <w:color w:val="auto"/>
                <w:sz w:val="24"/>
                <w:highlight w:val="none"/>
              </w:rPr>
              <w:t>41.7</w:t>
            </w:r>
            <w:r>
              <w:rPr>
                <w:bCs/>
                <w:color w:val="auto"/>
                <w:sz w:val="24"/>
                <w:highlight w:val="none"/>
              </w:rPr>
              <w:t>m</w:t>
            </w:r>
            <w:r>
              <w:rPr>
                <w:bCs/>
                <w:color w:val="auto"/>
                <w:sz w:val="24"/>
                <w:highlight w:val="none"/>
                <w:vertAlign w:val="superscript"/>
              </w:rPr>
              <w:t>3</w:t>
            </w:r>
            <w:r>
              <w:rPr>
                <w:bCs/>
                <w:color w:val="auto"/>
                <w:sz w:val="24"/>
                <w:highlight w:val="none"/>
              </w:rPr>
              <w:t>。</w:t>
            </w:r>
          </w:p>
          <w:p w14:paraId="1EEB2F0E">
            <w:pPr>
              <w:spacing w:line="360" w:lineRule="auto"/>
              <w:ind w:firstLine="480" w:firstLineChars="200"/>
              <w:rPr>
                <w:color w:val="auto"/>
                <w:sz w:val="24"/>
                <w:highlight w:val="none"/>
              </w:rPr>
            </w:pPr>
            <w:r>
              <w:rPr>
                <w:color w:val="auto"/>
                <w:sz w:val="24"/>
                <w:highlight w:val="none"/>
              </w:rPr>
              <w:t>本项目最大事故水量排水为：（0.0</w:t>
            </w:r>
            <w:r>
              <w:rPr>
                <w:rFonts w:hint="eastAsia"/>
                <w:color w:val="auto"/>
                <w:sz w:val="24"/>
                <w:highlight w:val="none"/>
              </w:rPr>
              <w:t>2</w:t>
            </w:r>
            <w:r>
              <w:rPr>
                <w:color w:val="auto"/>
                <w:sz w:val="24"/>
                <w:highlight w:val="none"/>
              </w:rPr>
              <w:t>+108-</w:t>
            </w:r>
            <w:r>
              <w:rPr>
                <w:rFonts w:hint="eastAsia"/>
                <w:color w:val="auto"/>
                <w:sz w:val="24"/>
                <w:highlight w:val="none"/>
              </w:rPr>
              <w:t>58.9</w:t>
            </w:r>
            <w:r>
              <w:rPr>
                <w:color w:val="auto"/>
                <w:sz w:val="24"/>
                <w:highlight w:val="none"/>
              </w:rPr>
              <w:t>）+0+</w:t>
            </w:r>
            <w:r>
              <w:rPr>
                <w:rFonts w:hint="eastAsia"/>
                <w:color w:val="auto"/>
                <w:sz w:val="24"/>
                <w:highlight w:val="none"/>
              </w:rPr>
              <w:t>41.7≈91</w:t>
            </w:r>
            <w:r>
              <w:rPr>
                <w:color w:val="auto"/>
                <w:sz w:val="24"/>
                <w:highlight w:val="none"/>
              </w:rPr>
              <w:t>m</w:t>
            </w:r>
            <w:r>
              <w:rPr>
                <w:color w:val="auto"/>
                <w:sz w:val="24"/>
                <w:highlight w:val="none"/>
                <w:vertAlign w:val="superscript"/>
              </w:rPr>
              <w:t>3</w:t>
            </w:r>
            <w:r>
              <w:rPr>
                <w:bCs/>
                <w:color w:val="auto"/>
                <w:sz w:val="24"/>
                <w:highlight w:val="none"/>
              </w:rPr>
              <w:t>。</w:t>
            </w:r>
          </w:p>
          <w:p w14:paraId="0953C31B">
            <w:pPr>
              <w:adjustRightInd w:val="0"/>
              <w:snapToGrid w:val="0"/>
              <w:spacing w:line="360" w:lineRule="auto"/>
              <w:ind w:firstLine="480" w:firstLineChars="200"/>
              <w:rPr>
                <w:color w:val="auto"/>
                <w:sz w:val="24"/>
                <w:highlight w:val="none"/>
              </w:rPr>
            </w:pPr>
            <w:r>
              <w:rPr>
                <w:bCs/>
                <w:color w:val="auto"/>
                <w:sz w:val="24"/>
                <w:highlight w:val="none"/>
                <w:lang w:val="zh-CN"/>
              </w:rPr>
              <w:t>企业尚无事故废水收集措施，建议企业配备容积</w:t>
            </w:r>
            <w:r>
              <w:rPr>
                <w:rFonts w:hint="eastAsia"/>
                <w:bCs/>
                <w:color w:val="auto"/>
                <w:sz w:val="24"/>
                <w:highlight w:val="none"/>
              </w:rPr>
              <w:t>91</w:t>
            </w:r>
            <w:r>
              <w:rPr>
                <w:bCs/>
                <w:color w:val="auto"/>
                <w:sz w:val="24"/>
                <w:highlight w:val="none"/>
                <w:lang w:val="zh-CN"/>
              </w:rPr>
              <w:t>m</w:t>
            </w:r>
            <w:r>
              <w:rPr>
                <w:bCs/>
                <w:color w:val="auto"/>
                <w:sz w:val="24"/>
                <w:highlight w:val="none"/>
                <w:vertAlign w:val="superscript"/>
                <w:lang w:val="zh-CN"/>
              </w:rPr>
              <w:t>3</w:t>
            </w:r>
            <w:r>
              <w:rPr>
                <w:bCs/>
                <w:color w:val="auto"/>
                <w:sz w:val="24"/>
                <w:highlight w:val="none"/>
                <w:lang w:val="zh-CN"/>
              </w:rPr>
              <w:t>以上的</w:t>
            </w:r>
            <w:r>
              <w:rPr>
                <w:rFonts w:hint="eastAsia"/>
                <w:bCs/>
                <w:color w:val="auto"/>
                <w:sz w:val="24"/>
                <w:highlight w:val="none"/>
              </w:rPr>
              <w:t>消防水袋</w:t>
            </w:r>
            <w:r>
              <w:rPr>
                <w:bCs/>
                <w:color w:val="auto"/>
                <w:sz w:val="24"/>
                <w:highlight w:val="none"/>
                <w:lang w:val="zh-CN"/>
              </w:rPr>
              <w:t>，</w:t>
            </w:r>
            <w:r>
              <w:rPr>
                <w:color w:val="auto"/>
                <w:sz w:val="24"/>
                <w:highlight w:val="none"/>
              </w:rPr>
              <w:t>企业雨水管网</w:t>
            </w:r>
            <w:r>
              <w:rPr>
                <w:rFonts w:hint="eastAsia"/>
                <w:color w:val="auto"/>
                <w:sz w:val="24"/>
                <w:highlight w:val="none"/>
              </w:rPr>
              <w:t>应设置截断阀</w:t>
            </w:r>
            <w:r>
              <w:rPr>
                <w:color w:val="auto"/>
                <w:sz w:val="24"/>
                <w:highlight w:val="none"/>
              </w:rPr>
              <w:t>，减少受污染雨水量。</w:t>
            </w:r>
            <w:r>
              <w:rPr>
                <w:bCs/>
                <w:color w:val="auto"/>
                <w:sz w:val="24"/>
                <w:highlight w:val="none"/>
                <w:lang w:val="zh-CN"/>
              </w:rPr>
              <w:t>事故排水</w:t>
            </w:r>
            <w:r>
              <w:rPr>
                <w:rFonts w:hint="eastAsia"/>
                <w:bCs/>
                <w:color w:val="auto"/>
                <w:sz w:val="24"/>
                <w:highlight w:val="none"/>
                <w:lang w:val="zh-CN"/>
              </w:rPr>
              <w:t>委外处理</w:t>
            </w:r>
            <w:r>
              <w:rPr>
                <w:bCs/>
                <w:color w:val="auto"/>
                <w:sz w:val="24"/>
                <w:highlight w:val="none"/>
                <w:lang w:val="zh-CN"/>
              </w:rPr>
              <w:t>；水监测不满足要求时，委外处置。</w:t>
            </w:r>
          </w:p>
          <w:p w14:paraId="48378D79">
            <w:pPr>
              <w:adjustRightInd w:val="0"/>
              <w:snapToGrid w:val="0"/>
              <w:spacing w:line="360" w:lineRule="auto"/>
              <w:ind w:firstLine="480" w:firstLineChars="200"/>
              <w:rPr>
                <w:rFonts w:hint="eastAsia"/>
                <w:bCs/>
                <w:color w:val="auto"/>
                <w:sz w:val="24"/>
                <w:highlight w:val="none"/>
                <w:lang w:val="en-US" w:eastAsia="zh-Hans"/>
              </w:rPr>
            </w:pPr>
            <w:r>
              <w:rPr>
                <w:rFonts w:hint="eastAsia"/>
                <w:bCs/>
                <w:color w:val="auto"/>
                <w:sz w:val="24"/>
                <w:highlight w:val="none"/>
                <w:lang w:val="en-US" w:eastAsia="zh-Hans"/>
              </w:rPr>
              <w:t>h.项目建成后企业按要求编制突发环境事件应急预案。</w:t>
            </w:r>
          </w:p>
          <w:p w14:paraId="4432F4A6">
            <w:pPr>
              <w:adjustRightInd w:val="0"/>
              <w:snapToGrid w:val="0"/>
              <w:spacing w:line="360" w:lineRule="auto"/>
              <w:ind w:firstLine="482" w:firstLineChars="200"/>
              <w:rPr>
                <w:rFonts w:hAnsi="宋体"/>
                <w:b/>
                <w:snapToGrid w:val="0"/>
                <w:color w:val="auto"/>
                <w:kern w:val="0"/>
                <w:sz w:val="24"/>
                <w:highlight w:val="none"/>
              </w:rPr>
            </w:pPr>
            <w:r>
              <w:rPr>
                <w:rFonts w:hint="eastAsia" w:hAnsi="宋体"/>
                <w:b/>
                <w:snapToGrid w:val="0"/>
                <w:color w:val="auto"/>
                <w:kern w:val="0"/>
                <w:sz w:val="24"/>
                <w:highlight w:val="none"/>
              </w:rPr>
              <w:t>（7）与《关于做好生态环境和应急管理部门联动工作的意见》（苏环办〔2020〕101号）相符性分析</w:t>
            </w:r>
          </w:p>
          <w:p w14:paraId="078A8042">
            <w:pPr>
              <w:widowControl/>
              <w:jc w:val="center"/>
              <w:rPr>
                <w:b/>
                <w:color w:val="auto"/>
                <w:kern w:val="0"/>
                <w:szCs w:val="21"/>
                <w:highlight w:val="none"/>
              </w:rPr>
            </w:pPr>
            <w:r>
              <w:rPr>
                <w:rFonts w:hAnsi="宋体"/>
                <w:b/>
                <w:color w:val="auto"/>
                <w:kern w:val="0"/>
                <w:sz w:val="24"/>
                <w:highlight w:val="none"/>
              </w:rPr>
              <w:t>表</w:t>
            </w:r>
            <w:r>
              <w:rPr>
                <w:rFonts w:hint="eastAsia"/>
                <w:b/>
                <w:color w:val="auto"/>
                <w:kern w:val="0"/>
                <w:sz w:val="24"/>
                <w:highlight w:val="none"/>
              </w:rPr>
              <w:t>4</w:t>
            </w:r>
            <w:r>
              <w:rPr>
                <w:b/>
                <w:color w:val="auto"/>
                <w:kern w:val="0"/>
                <w:sz w:val="24"/>
                <w:highlight w:val="none"/>
              </w:rPr>
              <w:t>-</w:t>
            </w:r>
            <w:r>
              <w:rPr>
                <w:rFonts w:hint="default"/>
                <w:b/>
                <w:color w:val="auto"/>
                <w:kern w:val="0"/>
                <w:sz w:val="24"/>
                <w:highlight w:val="none"/>
              </w:rPr>
              <w:t xml:space="preserve">33 </w:t>
            </w:r>
            <w:r>
              <w:rPr>
                <w:rFonts w:hAnsi="宋体"/>
                <w:b/>
                <w:color w:val="auto"/>
                <w:kern w:val="0"/>
                <w:sz w:val="24"/>
                <w:highlight w:val="none"/>
              </w:rPr>
              <w:t>与</w:t>
            </w:r>
            <w:r>
              <w:rPr>
                <w:rFonts w:hint="eastAsia" w:hAnsi="宋体"/>
                <w:b/>
                <w:color w:val="auto"/>
                <w:kern w:val="0"/>
                <w:sz w:val="24"/>
                <w:highlight w:val="none"/>
              </w:rPr>
              <w:t>《关于做好生态环境和应急管理部门联动工作的意见》（苏环办〔2020〕101号）相符性分析</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1"/>
              <w:gridCol w:w="6078"/>
              <w:gridCol w:w="3482"/>
            </w:tblGrid>
            <w:tr w14:paraId="3D26D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01" w:type="pct"/>
                  <w:gridSpan w:val="2"/>
                  <w:vAlign w:val="center"/>
                </w:tcPr>
                <w:p w14:paraId="7A0E2A23">
                  <w:pPr>
                    <w:adjustRightInd w:val="0"/>
                    <w:snapToGrid w:val="0"/>
                    <w:jc w:val="center"/>
                    <w:rPr>
                      <w:color w:val="auto"/>
                      <w:szCs w:val="21"/>
                      <w:highlight w:val="none"/>
                    </w:rPr>
                  </w:pPr>
                  <w:r>
                    <w:rPr>
                      <w:rFonts w:hint="eastAsia"/>
                      <w:b/>
                      <w:bCs/>
                      <w:color w:val="auto"/>
                      <w:szCs w:val="21"/>
                      <w:highlight w:val="none"/>
                    </w:rPr>
                    <w:t>具体内容</w:t>
                  </w:r>
                </w:p>
              </w:tc>
              <w:tc>
                <w:tcPr>
                  <w:tcW w:w="1698" w:type="pct"/>
                  <w:vAlign w:val="center"/>
                </w:tcPr>
                <w:p w14:paraId="206C5924">
                  <w:pPr>
                    <w:adjustRightInd w:val="0"/>
                    <w:snapToGrid w:val="0"/>
                    <w:jc w:val="center"/>
                    <w:rPr>
                      <w:color w:val="auto"/>
                      <w:szCs w:val="21"/>
                      <w:highlight w:val="none"/>
                    </w:rPr>
                  </w:pPr>
                  <w:r>
                    <w:rPr>
                      <w:rFonts w:hint="eastAsia"/>
                      <w:b/>
                      <w:bCs/>
                      <w:color w:val="auto"/>
                      <w:szCs w:val="21"/>
                      <w:highlight w:val="none"/>
                    </w:rPr>
                    <w:t>本项目情况</w:t>
                  </w:r>
                </w:p>
              </w:tc>
            </w:tr>
            <w:tr w14:paraId="63944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7" w:type="pct"/>
                  <w:vAlign w:val="center"/>
                </w:tcPr>
                <w:p w14:paraId="25C11FDE">
                  <w:pPr>
                    <w:adjustRightInd w:val="0"/>
                    <w:snapToGrid w:val="0"/>
                    <w:jc w:val="center"/>
                    <w:rPr>
                      <w:color w:val="auto"/>
                      <w:szCs w:val="21"/>
                      <w:highlight w:val="none"/>
                    </w:rPr>
                  </w:pPr>
                  <w:r>
                    <w:rPr>
                      <w:rFonts w:hint="eastAsia"/>
                      <w:color w:val="auto"/>
                      <w:szCs w:val="21"/>
                      <w:highlight w:val="none"/>
                    </w:rPr>
                    <w:t>建立危险废物监管联动机制</w:t>
                  </w:r>
                </w:p>
              </w:tc>
              <w:tc>
                <w:tcPr>
                  <w:tcW w:w="2964" w:type="pct"/>
                  <w:vAlign w:val="center"/>
                </w:tcPr>
                <w:p w14:paraId="18DD7B6F">
                  <w:pPr>
                    <w:widowControl/>
                    <w:adjustRightInd w:val="0"/>
                    <w:snapToGrid w:val="0"/>
                    <w:jc w:val="center"/>
                    <w:rPr>
                      <w:color w:val="auto"/>
                      <w:szCs w:val="21"/>
                      <w:highlight w:val="none"/>
                    </w:rPr>
                  </w:pPr>
                  <w:r>
                    <w:rPr>
                      <w:rFonts w:hint="eastAsia"/>
                      <w:color w:val="auto"/>
                      <w:szCs w:val="21"/>
                      <w:highlight w:val="none"/>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稳定、根据相关文件无法认定达到稳定化要求的，要提供有资质单位出具的化学品物理危险性报告及其他证明材料，认定达到稳定化要求。</w:t>
                  </w:r>
                </w:p>
              </w:tc>
              <w:tc>
                <w:tcPr>
                  <w:tcW w:w="1698" w:type="pct"/>
                  <w:vAlign w:val="center"/>
                </w:tcPr>
                <w:p w14:paraId="012A8D29">
                  <w:pPr>
                    <w:widowControl/>
                    <w:adjustRightInd w:val="0"/>
                    <w:snapToGrid w:val="0"/>
                    <w:jc w:val="center"/>
                    <w:rPr>
                      <w:color w:val="auto"/>
                      <w:szCs w:val="21"/>
                      <w:highlight w:val="none"/>
                    </w:rPr>
                  </w:pPr>
                  <w:r>
                    <w:rPr>
                      <w:rFonts w:hint="eastAsia"/>
                      <w:color w:val="auto"/>
                      <w:kern w:val="0"/>
                      <w:szCs w:val="21"/>
                      <w:highlight w:val="none"/>
                    </w:rPr>
                    <w:t>本项目企业法定代表人为危险废物安全环保全过程管理的第一责任人，产生的危废均按照《危险废物贮存污染控制标准》（GB18597）及其修改单的要求设置，危险废品暂存于危废暂存库内，项目危险废物均委托有 质单位处置。企业制定危险废 管理计划，并报属地生态环境部门备案。</w:t>
                  </w:r>
                </w:p>
              </w:tc>
            </w:tr>
            <w:tr w14:paraId="2AF1F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7" w:type="pct"/>
                  <w:vAlign w:val="center"/>
                </w:tcPr>
                <w:p w14:paraId="04A64F88">
                  <w:pPr>
                    <w:adjustRightInd w:val="0"/>
                    <w:snapToGrid w:val="0"/>
                    <w:jc w:val="center"/>
                    <w:rPr>
                      <w:color w:val="auto"/>
                      <w:szCs w:val="21"/>
                      <w:highlight w:val="none"/>
                    </w:rPr>
                  </w:pPr>
                  <w:r>
                    <w:rPr>
                      <w:rFonts w:hint="eastAsia"/>
                      <w:color w:val="auto"/>
                      <w:szCs w:val="21"/>
                      <w:highlight w:val="none"/>
                    </w:rPr>
                    <w:t>建立环境治理设施监管联动</w:t>
                  </w:r>
                </w:p>
                <w:p w14:paraId="7C0470A3">
                  <w:pPr>
                    <w:adjustRightInd w:val="0"/>
                    <w:snapToGrid w:val="0"/>
                    <w:jc w:val="center"/>
                    <w:rPr>
                      <w:color w:val="auto"/>
                      <w:szCs w:val="21"/>
                      <w:highlight w:val="none"/>
                    </w:rPr>
                  </w:pPr>
                  <w:r>
                    <w:rPr>
                      <w:rFonts w:hint="eastAsia"/>
                      <w:color w:val="auto"/>
                      <w:szCs w:val="21"/>
                      <w:highlight w:val="none"/>
                    </w:rPr>
                    <w:t>机制</w:t>
                  </w:r>
                </w:p>
              </w:tc>
              <w:tc>
                <w:tcPr>
                  <w:tcW w:w="2964" w:type="pct"/>
                  <w:vAlign w:val="center"/>
                </w:tcPr>
                <w:p w14:paraId="05D6024A">
                  <w:pPr>
                    <w:widowControl/>
                    <w:adjustRightInd w:val="0"/>
                    <w:snapToGrid w:val="0"/>
                    <w:jc w:val="center"/>
                    <w:rPr>
                      <w:color w:val="auto"/>
                      <w:szCs w:val="21"/>
                      <w:highlight w:val="none"/>
                    </w:rPr>
                  </w:pPr>
                  <w:r>
                    <w:rPr>
                      <w:rFonts w:hint="eastAsia"/>
                      <w:color w:val="auto"/>
                      <w:kern w:val="0"/>
                      <w:szCs w:val="21"/>
                      <w:highlight w:val="none"/>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98" w:type="pct"/>
                  <w:vAlign w:val="center"/>
                </w:tcPr>
                <w:p w14:paraId="413A62A9">
                  <w:pPr>
                    <w:widowControl/>
                    <w:adjustRightInd w:val="0"/>
                    <w:snapToGrid w:val="0"/>
                    <w:jc w:val="center"/>
                    <w:rPr>
                      <w:color w:val="auto"/>
                      <w:szCs w:val="21"/>
                      <w:highlight w:val="none"/>
                    </w:rPr>
                  </w:pPr>
                  <w:r>
                    <w:rPr>
                      <w:rFonts w:hint="eastAsia"/>
                      <w:color w:val="auto"/>
                      <w:kern w:val="0"/>
                      <w:szCs w:val="21"/>
                      <w:highlight w:val="none"/>
                    </w:rPr>
                    <w:t>本项目产生的VOCs经</w:t>
                  </w:r>
                  <w:r>
                    <w:rPr>
                      <w:rFonts w:hint="eastAsia"/>
                      <w:color w:val="auto"/>
                      <w:kern w:val="0"/>
                      <w:szCs w:val="21"/>
                      <w:highlight w:val="none"/>
                      <w:lang w:val="en-US" w:eastAsia="zh-Hans"/>
                    </w:rPr>
                    <w:t>三</w:t>
                  </w:r>
                  <w:r>
                    <w:rPr>
                      <w:rFonts w:hint="eastAsia"/>
                      <w:color w:val="auto"/>
                      <w:kern w:val="0"/>
                      <w:szCs w:val="21"/>
                      <w:highlight w:val="none"/>
                    </w:rPr>
                    <w:t>级活性炭处理后达标排放；粉尘经设备自带的过滤装置处理后达标排放关，企业将严格依据标准规范建设环境治理设施，确保环境治理设施安全、稳定、有效运行。</w:t>
                  </w:r>
                </w:p>
              </w:tc>
            </w:tr>
          </w:tbl>
          <w:p w14:paraId="531DABB3">
            <w:pPr>
              <w:adjustRightInd w:val="0"/>
              <w:snapToGrid w:val="0"/>
              <w:spacing w:line="360" w:lineRule="auto"/>
              <w:ind w:firstLine="480" w:firstLineChars="200"/>
              <w:rPr>
                <w:b/>
                <w:snapToGrid w:val="0"/>
                <w:color w:val="auto"/>
                <w:kern w:val="0"/>
                <w:sz w:val="24"/>
                <w:highlight w:val="none"/>
              </w:rPr>
            </w:pPr>
            <w:r>
              <w:rPr>
                <w:color w:val="auto"/>
                <w:sz w:val="24"/>
                <w:highlight w:val="none"/>
              </w:rPr>
              <w:t>根据上表可知，企业按要求推进专业培训，提升生态环境保护、安全生产从业人员能力，并配合相关部门积极有效地开展生态环境保护和安全生产联动工作，符合相关文件要求。</w:t>
            </w:r>
          </w:p>
          <w:p w14:paraId="17673A0F">
            <w:pPr>
              <w:adjustRightInd w:val="0"/>
              <w:snapToGrid w:val="0"/>
              <w:spacing w:line="360" w:lineRule="auto"/>
              <w:ind w:firstLine="482" w:firstLineChars="200"/>
              <w:rPr>
                <w:b/>
                <w:snapToGrid w:val="0"/>
                <w:color w:val="auto"/>
                <w:kern w:val="0"/>
                <w:sz w:val="24"/>
                <w:highlight w:val="none"/>
              </w:rPr>
            </w:pPr>
            <w:r>
              <w:rPr>
                <w:rFonts w:hAnsi="宋体"/>
                <w:b/>
                <w:snapToGrid w:val="0"/>
                <w:color w:val="auto"/>
                <w:kern w:val="0"/>
                <w:sz w:val="24"/>
                <w:highlight w:val="none"/>
              </w:rPr>
              <w:t>（</w:t>
            </w:r>
            <w:r>
              <w:rPr>
                <w:rFonts w:hint="eastAsia"/>
                <w:b/>
                <w:snapToGrid w:val="0"/>
                <w:color w:val="auto"/>
                <w:kern w:val="0"/>
                <w:sz w:val="24"/>
                <w:highlight w:val="none"/>
              </w:rPr>
              <w:t>8</w:t>
            </w:r>
            <w:r>
              <w:rPr>
                <w:rFonts w:hAnsi="宋体"/>
                <w:b/>
                <w:snapToGrid w:val="0"/>
                <w:color w:val="auto"/>
                <w:kern w:val="0"/>
                <w:sz w:val="24"/>
                <w:highlight w:val="none"/>
              </w:rPr>
              <w:t>）风险结论</w:t>
            </w:r>
          </w:p>
          <w:p w14:paraId="48C0CE32">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结合项目特点，本项目最大可信事故确定为聚酯树脂胶泄露。在采取有效安全措施后，广大社会公众能清楚认识可能发生重大事故的风险性。本项目在生产装置及其公用工程的设计、施工、运行及维护的全过程中将采用先进的生产技术和成熟可靠的抗风险措施。同时企业加强管理，落实预防措施之后，可以杜绝这类事故的发生，因此，项目的安全性将得到有效保证，不会对周围环境敏感目标产生较大影响</w:t>
            </w:r>
            <w:r>
              <w:rPr>
                <w:rFonts w:hint="eastAsia" w:ascii="宋体" w:hAnsi="宋体"/>
                <w:color w:val="auto"/>
                <w:sz w:val="24"/>
                <w:highlight w:val="none"/>
                <w:lang w:eastAsia="zh-Hans"/>
              </w:rPr>
              <w:t>。</w:t>
            </w:r>
          </w:p>
          <w:p w14:paraId="0B0787BE">
            <w:pPr>
              <w:adjustRightInd w:val="0"/>
              <w:snapToGrid w:val="0"/>
              <w:spacing w:line="360" w:lineRule="auto"/>
              <w:ind w:firstLine="480" w:firstLineChars="200"/>
              <w:rPr>
                <w:rFonts w:ascii="宋体" w:hAnsi="宋体"/>
                <w:color w:val="auto"/>
                <w:sz w:val="24"/>
                <w:highlight w:val="none"/>
              </w:rPr>
            </w:pPr>
          </w:p>
          <w:p w14:paraId="3FDAE88C">
            <w:pPr>
              <w:adjustRightInd w:val="0"/>
              <w:snapToGrid w:val="0"/>
              <w:spacing w:line="360" w:lineRule="auto"/>
              <w:ind w:firstLine="480" w:firstLineChars="200"/>
              <w:rPr>
                <w:rFonts w:ascii="宋体" w:hAnsi="宋体"/>
                <w:color w:val="auto"/>
                <w:sz w:val="24"/>
                <w:highlight w:val="none"/>
              </w:rPr>
            </w:pPr>
          </w:p>
          <w:p w14:paraId="7981A826">
            <w:pPr>
              <w:adjustRightInd w:val="0"/>
              <w:snapToGrid w:val="0"/>
              <w:spacing w:line="360" w:lineRule="auto"/>
              <w:ind w:firstLine="480" w:firstLineChars="200"/>
              <w:rPr>
                <w:rFonts w:ascii="宋体" w:hAnsi="宋体"/>
                <w:color w:val="auto"/>
                <w:sz w:val="24"/>
                <w:highlight w:val="none"/>
              </w:rPr>
            </w:pPr>
          </w:p>
          <w:p w14:paraId="1AA061D5">
            <w:pPr>
              <w:adjustRightInd w:val="0"/>
              <w:snapToGrid w:val="0"/>
              <w:spacing w:line="360" w:lineRule="auto"/>
              <w:ind w:firstLine="480" w:firstLineChars="200"/>
              <w:rPr>
                <w:rFonts w:ascii="宋体" w:hAnsi="宋体"/>
                <w:color w:val="auto"/>
                <w:sz w:val="24"/>
                <w:highlight w:val="none"/>
              </w:rPr>
            </w:pPr>
          </w:p>
          <w:p w14:paraId="28A5BCE3">
            <w:pPr>
              <w:adjustRightInd w:val="0"/>
              <w:snapToGrid w:val="0"/>
              <w:spacing w:line="360" w:lineRule="auto"/>
              <w:ind w:firstLine="480" w:firstLineChars="200"/>
              <w:rPr>
                <w:rFonts w:ascii="宋体" w:hAnsi="宋体"/>
                <w:color w:val="auto"/>
                <w:sz w:val="24"/>
                <w:highlight w:val="none"/>
              </w:rPr>
            </w:pPr>
          </w:p>
          <w:p w14:paraId="1C731194">
            <w:pPr>
              <w:adjustRightInd w:val="0"/>
              <w:snapToGrid w:val="0"/>
              <w:spacing w:line="360" w:lineRule="auto"/>
              <w:ind w:firstLine="480" w:firstLineChars="200"/>
              <w:rPr>
                <w:rFonts w:ascii="宋体" w:hAnsi="宋体"/>
                <w:color w:val="auto"/>
                <w:sz w:val="24"/>
                <w:highlight w:val="none"/>
              </w:rPr>
            </w:pPr>
          </w:p>
          <w:p w14:paraId="77600DCB">
            <w:pPr>
              <w:adjustRightInd w:val="0"/>
              <w:snapToGrid w:val="0"/>
              <w:spacing w:line="360" w:lineRule="auto"/>
              <w:ind w:firstLine="480" w:firstLineChars="200"/>
              <w:rPr>
                <w:rFonts w:ascii="宋体" w:hAnsi="宋体"/>
                <w:color w:val="auto"/>
                <w:sz w:val="24"/>
                <w:highlight w:val="none"/>
              </w:rPr>
            </w:pPr>
          </w:p>
          <w:p w14:paraId="527C2E71">
            <w:pPr>
              <w:adjustRightInd w:val="0"/>
              <w:snapToGrid w:val="0"/>
              <w:spacing w:line="360" w:lineRule="auto"/>
              <w:ind w:firstLine="480" w:firstLineChars="200"/>
              <w:rPr>
                <w:rFonts w:ascii="宋体" w:hAnsi="宋体"/>
                <w:color w:val="auto"/>
                <w:sz w:val="24"/>
                <w:highlight w:val="none"/>
              </w:rPr>
            </w:pPr>
          </w:p>
          <w:p w14:paraId="5FF8C22F">
            <w:pPr>
              <w:adjustRightInd w:val="0"/>
              <w:snapToGrid w:val="0"/>
              <w:spacing w:line="360" w:lineRule="auto"/>
              <w:ind w:firstLine="480" w:firstLineChars="200"/>
              <w:rPr>
                <w:rFonts w:ascii="宋体" w:hAnsi="宋体"/>
                <w:color w:val="auto"/>
                <w:sz w:val="24"/>
                <w:highlight w:val="none"/>
              </w:rPr>
            </w:pPr>
          </w:p>
          <w:p w14:paraId="5A39CAED">
            <w:pPr>
              <w:adjustRightInd w:val="0"/>
              <w:snapToGrid w:val="0"/>
              <w:spacing w:line="360" w:lineRule="auto"/>
              <w:ind w:firstLine="480" w:firstLineChars="200"/>
              <w:rPr>
                <w:rFonts w:ascii="宋体" w:hAnsi="宋体"/>
                <w:color w:val="auto"/>
                <w:sz w:val="24"/>
                <w:highlight w:val="none"/>
              </w:rPr>
            </w:pPr>
          </w:p>
          <w:p w14:paraId="244ED91B">
            <w:pPr>
              <w:adjustRightInd w:val="0"/>
              <w:snapToGrid w:val="0"/>
              <w:spacing w:line="360" w:lineRule="auto"/>
              <w:ind w:firstLine="480" w:firstLineChars="200"/>
              <w:rPr>
                <w:rFonts w:ascii="宋体" w:hAnsi="宋体"/>
                <w:color w:val="auto"/>
                <w:sz w:val="24"/>
                <w:highlight w:val="none"/>
              </w:rPr>
            </w:pPr>
          </w:p>
          <w:p w14:paraId="2DD52CEC">
            <w:pPr>
              <w:adjustRightInd w:val="0"/>
              <w:snapToGrid w:val="0"/>
              <w:spacing w:line="360" w:lineRule="auto"/>
              <w:ind w:firstLine="480" w:firstLineChars="200"/>
              <w:rPr>
                <w:rFonts w:ascii="宋体" w:hAnsi="宋体"/>
                <w:color w:val="auto"/>
                <w:sz w:val="24"/>
                <w:highlight w:val="none"/>
              </w:rPr>
            </w:pPr>
          </w:p>
          <w:p w14:paraId="0AB1D4AE">
            <w:pPr>
              <w:adjustRightInd w:val="0"/>
              <w:snapToGrid w:val="0"/>
              <w:spacing w:line="360" w:lineRule="auto"/>
              <w:ind w:firstLine="480" w:firstLineChars="200"/>
              <w:rPr>
                <w:rFonts w:ascii="宋体" w:hAnsi="宋体"/>
                <w:color w:val="auto"/>
                <w:sz w:val="24"/>
                <w:highlight w:val="none"/>
              </w:rPr>
            </w:pPr>
          </w:p>
          <w:p w14:paraId="3F8BE82F">
            <w:pPr>
              <w:adjustRightInd w:val="0"/>
              <w:snapToGrid w:val="0"/>
              <w:spacing w:line="360" w:lineRule="auto"/>
              <w:ind w:firstLine="480" w:firstLineChars="200"/>
              <w:rPr>
                <w:rFonts w:ascii="宋体" w:hAnsi="宋体"/>
                <w:color w:val="auto"/>
                <w:sz w:val="24"/>
                <w:highlight w:val="none"/>
              </w:rPr>
            </w:pPr>
          </w:p>
          <w:p w14:paraId="35849F03">
            <w:pPr>
              <w:adjustRightInd w:val="0"/>
              <w:snapToGrid w:val="0"/>
              <w:spacing w:line="360" w:lineRule="auto"/>
              <w:ind w:firstLine="480" w:firstLineChars="200"/>
              <w:rPr>
                <w:rFonts w:ascii="宋体" w:hAnsi="宋体"/>
                <w:color w:val="auto"/>
                <w:sz w:val="24"/>
                <w:highlight w:val="none"/>
              </w:rPr>
            </w:pPr>
          </w:p>
          <w:p w14:paraId="4123D199">
            <w:pPr>
              <w:adjustRightInd w:val="0"/>
              <w:snapToGrid w:val="0"/>
              <w:spacing w:line="360" w:lineRule="auto"/>
              <w:ind w:firstLine="480" w:firstLineChars="200"/>
              <w:rPr>
                <w:rFonts w:ascii="宋体" w:hAnsi="宋体"/>
                <w:color w:val="auto"/>
                <w:sz w:val="24"/>
                <w:highlight w:val="none"/>
              </w:rPr>
            </w:pPr>
          </w:p>
          <w:p w14:paraId="102408AC">
            <w:pPr>
              <w:adjustRightInd w:val="0"/>
              <w:snapToGrid w:val="0"/>
              <w:spacing w:line="360" w:lineRule="auto"/>
              <w:ind w:firstLine="480" w:firstLineChars="200"/>
              <w:rPr>
                <w:rFonts w:ascii="宋体" w:hAnsi="宋体"/>
                <w:color w:val="auto"/>
                <w:sz w:val="24"/>
                <w:highlight w:val="none"/>
              </w:rPr>
            </w:pPr>
          </w:p>
          <w:p w14:paraId="2950E1E1">
            <w:pPr>
              <w:adjustRightInd w:val="0"/>
              <w:snapToGrid w:val="0"/>
              <w:spacing w:line="360" w:lineRule="auto"/>
              <w:ind w:firstLine="480" w:firstLineChars="200"/>
              <w:rPr>
                <w:rFonts w:ascii="宋体" w:hAnsi="宋体"/>
                <w:color w:val="auto"/>
                <w:sz w:val="24"/>
                <w:highlight w:val="none"/>
              </w:rPr>
            </w:pPr>
          </w:p>
          <w:p w14:paraId="276BC7E2">
            <w:pPr>
              <w:adjustRightInd w:val="0"/>
              <w:snapToGrid w:val="0"/>
              <w:spacing w:line="360" w:lineRule="auto"/>
              <w:ind w:firstLine="480" w:firstLineChars="200"/>
              <w:rPr>
                <w:rFonts w:ascii="宋体" w:hAnsi="宋体"/>
                <w:color w:val="auto"/>
                <w:sz w:val="24"/>
                <w:highlight w:val="none"/>
              </w:rPr>
            </w:pPr>
          </w:p>
          <w:p w14:paraId="4F6C8154">
            <w:pPr>
              <w:adjustRightInd w:val="0"/>
              <w:snapToGrid w:val="0"/>
              <w:spacing w:line="360" w:lineRule="auto"/>
              <w:ind w:firstLine="480" w:firstLineChars="200"/>
              <w:rPr>
                <w:rFonts w:ascii="宋体" w:hAnsi="宋体"/>
                <w:color w:val="auto"/>
                <w:sz w:val="24"/>
                <w:highlight w:val="none"/>
              </w:rPr>
            </w:pPr>
          </w:p>
          <w:p w14:paraId="04F4B3F1">
            <w:pPr>
              <w:adjustRightInd w:val="0"/>
              <w:snapToGrid w:val="0"/>
              <w:spacing w:line="360" w:lineRule="auto"/>
              <w:ind w:firstLine="480" w:firstLineChars="200"/>
              <w:rPr>
                <w:rFonts w:ascii="宋体" w:hAnsi="宋体"/>
                <w:color w:val="auto"/>
                <w:sz w:val="24"/>
                <w:highlight w:val="none"/>
              </w:rPr>
            </w:pPr>
          </w:p>
          <w:p w14:paraId="4A016331">
            <w:pPr>
              <w:adjustRightInd w:val="0"/>
              <w:snapToGrid w:val="0"/>
              <w:spacing w:line="360" w:lineRule="auto"/>
              <w:ind w:firstLine="480" w:firstLineChars="200"/>
              <w:rPr>
                <w:rFonts w:ascii="宋体" w:hAnsi="宋体"/>
                <w:color w:val="auto"/>
                <w:sz w:val="24"/>
                <w:highlight w:val="none"/>
              </w:rPr>
            </w:pPr>
          </w:p>
          <w:p w14:paraId="06755F2B">
            <w:pPr>
              <w:adjustRightInd w:val="0"/>
              <w:snapToGrid w:val="0"/>
              <w:spacing w:line="360" w:lineRule="auto"/>
              <w:ind w:firstLine="480" w:firstLineChars="200"/>
              <w:rPr>
                <w:rFonts w:ascii="宋体" w:hAnsi="宋体"/>
                <w:color w:val="auto"/>
                <w:sz w:val="24"/>
                <w:highlight w:val="none"/>
              </w:rPr>
            </w:pPr>
          </w:p>
          <w:p w14:paraId="74AA4D70">
            <w:pPr>
              <w:adjustRightInd w:val="0"/>
              <w:snapToGrid w:val="0"/>
              <w:spacing w:line="360" w:lineRule="auto"/>
              <w:ind w:firstLine="480" w:firstLineChars="200"/>
              <w:rPr>
                <w:rFonts w:ascii="宋体" w:hAnsi="宋体"/>
                <w:color w:val="auto"/>
                <w:sz w:val="24"/>
                <w:highlight w:val="none"/>
              </w:rPr>
            </w:pPr>
          </w:p>
          <w:p w14:paraId="46B82826">
            <w:pPr>
              <w:adjustRightInd w:val="0"/>
              <w:snapToGrid w:val="0"/>
              <w:spacing w:line="360" w:lineRule="auto"/>
              <w:ind w:firstLine="480" w:firstLineChars="200"/>
              <w:rPr>
                <w:rFonts w:ascii="宋体" w:hAnsi="宋体"/>
                <w:color w:val="auto"/>
                <w:sz w:val="24"/>
                <w:highlight w:val="none"/>
              </w:rPr>
            </w:pPr>
          </w:p>
          <w:p w14:paraId="032A47E5">
            <w:pPr>
              <w:adjustRightInd w:val="0"/>
              <w:snapToGrid w:val="0"/>
              <w:spacing w:line="360" w:lineRule="auto"/>
              <w:rPr>
                <w:rFonts w:hAnsi="宋体"/>
                <w:color w:val="auto"/>
                <w:kern w:val="0"/>
                <w:sz w:val="10"/>
                <w:szCs w:val="10"/>
                <w:highlight w:val="none"/>
              </w:rPr>
            </w:pPr>
          </w:p>
        </w:tc>
      </w:tr>
    </w:tbl>
    <w:p w14:paraId="0C02F530">
      <w:pPr>
        <w:adjustRightInd w:val="0"/>
        <w:snapToGrid w:val="0"/>
        <w:spacing w:line="360" w:lineRule="auto"/>
        <w:rPr>
          <w:b/>
          <w:color w:val="auto"/>
          <w:kern w:val="0"/>
          <w:sz w:val="28"/>
          <w:szCs w:val="28"/>
          <w:highlight w:val="none"/>
        </w:rPr>
        <w:sectPr>
          <w:type w:val="continuous"/>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76FBC7C7">
      <w:pPr>
        <w:pStyle w:val="22"/>
        <w:spacing w:before="0" w:beforeAutospacing="0" w:after="0" w:afterAutospacing="0"/>
        <w:jc w:val="center"/>
        <w:outlineLvl w:val="0"/>
        <w:rPr>
          <w:rFonts w:ascii="Times New Roman" w:hAnsi="Times New Roman"/>
          <w:b/>
          <w:snapToGrid w:val="0"/>
          <w:color w:val="auto"/>
          <w:sz w:val="30"/>
          <w:szCs w:val="30"/>
          <w:highlight w:val="none"/>
        </w:rPr>
      </w:pPr>
      <w:r>
        <w:rPr>
          <w:rFonts w:ascii="Times New Roman"/>
          <w:b/>
          <w:snapToGrid w:val="0"/>
          <w:color w:val="auto"/>
          <w:sz w:val="30"/>
          <w:szCs w:val="30"/>
          <w:highlight w:val="none"/>
        </w:rPr>
        <w:t>五、</w:t>
      </w:r>
      <w:bookmarkStart w:id="18" w:name="_Hlk54167917"/>
      <w:r>
        <w:rPr>
          <w:rFonts w:ascii="Times New Roman"/>
          <w:b/>
          <w:snapToGrid w:val="0"/>
          <w:color w:val="auto"/>
          <w:sz w:val="30"/>
          <w:szCs w:val="30"/>
          <w:highlight w:val="none"/>
        </w:rPr>
        <w:t>环境保护措施监督检查清单</w:t>
      </w:r>
      <w:bookmarkEnd w:id="18"/>
    </w:p>
    <w:tbl>
      <w:tblPr>
        <w:tblStyle w:val="24"/>
        <w:tblW w:w="50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04"/>
        <w:gridCol w:w="1506"/>
        <w:gridCol w:w="1544"/>
        <w:gridCol w:w="2296"/>
        <w:gridCol w:w="3572"/>
      </w:tblGrid>
      <w:tr w14:paraId="2250A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Borders>
              <w:tl2br w:val="single" w:color="auto" w:sz="4" w:space="0"/>
            </w:tcBorders>
            <w:tcMar>
              <w:top w:w="0" w:type="dxa"/>
              <w:left w:w="0" w:type="dxa"/>
              <w:bottom w:w="0" w:type="dxa"/>
              <w:right w:w="0" w:type="dxa"/>
            </w:tcMar>
            <w:vAlign w:val="center"/>
          </w:tcPr>
          <w:p w14:paraId="37E59CC2">
            <w:pPr>
              <w:adjustRightInd w:val="0"/>
              <w:snapToGrid w:val="0"/>
              <w:jc w:val="right"/>
              <w:rPr>
                <w:color w:val="auto"/>
                <w:szCs w:val="21"/>
                <w:highlight w:val="none"/>
              </w:rPr>
            </w:pPr>
            <w:r>
              <w:rPr>
                <w:rFonts w:hAnsi="宋体"/>
                <w:color w:val="auto"/>
                <w:szCs w:val="21"/>
                <w:highlight w:val="none"/>
              </w:rPr>
              <w:t>内容</w:t>
            </w:r>
          </w:p>
          <w:p w14:paraId="3ECD64DA">
            <w:pPr>
              <w:adjustRightInd w:val="0"/>
              <w:snapToGrid w:val="0"/>
              <w:rPr>
                <w:color w:val="auto"/>
                <w:szCs w:val="21"/>
                <w:highlight w:val="none"/>
              </w:rPr>
            </w:pPr>
            <w:r>
              <w:rPr>
                <w:rFonts w:hAnsi="宋体"/>
                <w:color w:val="auto"/>
                <w:szCs w:val="21"/>
                <w:highlight w:val="none"/>
              </w:rPr>
              <w:t>要素</w:t>
            </w:r>
          </w:p>
        </w:tc>
        <w:tc>
          <w:tcPr>
            <w:tcW w:w="759" w:type="pct"/>
            <w:tcMar>
              <w:top w:w="0" w:type="dxa"/>
              <w:left w:w="0" w:type="dxa"/>
              <w:bottom w:w="0" w:type="dxa"/>
              <w:right w:w="0" w:type="dxa"/>
            </w:tcMar>
            <w:vAlign w:val="center"/>
          </w:tcPr>
          <w:p w14:paraId="720FC087">
            <w:pPr>
              <w:adjustRightInd w:val="0"/>
              <w:snapToGrid w:val="0"/>
              <w:jc w:val="center"/>
              <w:rPr>
                <w:color w:val="auto"/>
                <w:szCs w:val="21"/>
                <w:highlight w:val="none"/>
              </w:rPr>
            </w:pPr>
            <w:r>
              <w:rPr>
                <w:rFonts w:hAnsi="宋体"/>
                <w:color w:val="auto"/>
                <w:szCs w:val="21"/>
                <w:highlight w:val="none"/>
              </w:rPr>
              <w:t>排放口</w:t>
            </w:r>
            <w:r>
              <w:rPr>
                <w:color w:val="auto"/>
                <w:szCs w:val="21"/>
                <w:highlight w:val="none"/>
              </w:rPr>
              <w:t>(</w:t>
            </w:r>
            <w:r>
              <w:rPr>
                <w:rFonts w:hAnsi="宋体"/>
                <w:color w:val="auto"/>
                <w:szCs w:val="21"/>
                <w:highlight w:val="none"/>
              </w:rPr>
              <w:t>编号、名称</w:t>
            </w:r>
            <w:r>
              <w:rPr>
                <w:color w:val="auto"/>
                <w:szCs w:val="21"/>
                <w:highlight w:val="none"/>
              </w:rPr>
              <w:t>)/</w:t>
            </w:r>
            <w:r>
              <w:rPr>
                <w:rFonts w:hAnsi="宋体"/>
                <w:color w:val="auto"/>
                <w:szCs w:val="21"/>
                <w:highlight w:val="none"/>
              </w:rPr>
              <w:t>污染源</w:t>
            </w:r>
          </w:p>
        </w:tc>
        <w:tc>
          <w:tcPr>
            <w:tcW w:w="778" w:type="pct"/>
            <w:tcMar>
              <w:top w:w="0" w:type="dxa"/>
              <w:left w:w="0" w:type="dxa"/>
              <w:bottom w:w="0" w:type="dxa"/>
              <w:right w:w="0" w:type="dxa"/>
            </w:tcMar>
            <w:vAlign w:val="center"/>
          </w:tcPr>
          <w:p w14:paraId="650BCE27">
            <w:pPr>
              <w:adjustRightInd w:val="0"/>
              <w:snapToGrid w:val="0"/>
              <w:jc w:val="center"/>
              <w:rPr>
                <w:color w:val="auto"/>
                <w:szCs w:val="21"/>
                <w:highlight w:val="none"/>
              </w:rPr>
            </w:pPr>
            <w:r>
              <w:rPr>
                <w:rFonts w:hAnsi="宋体"/>
                <w:color w:val="auto"/>
                <w:szCs w:val="21"/>
                <w:highlight w:val="none"/>
              </w:rPr>
              <w:t>污染物项目</w:t>
            </w:r>
          </w:p>
        </w:tc>
        <w:tc>
          <w:tcPr>
            <w:tcW w:w="1157" w:type="pct"/>
            <w:tcMar>
              <w:top w:w="0" w:type="dxa"/>
              <w:left w:w="0" w:type="dxa"/>
              <w:bottom w:w="0" w:type="dxa"/>
              <w:right w:w="0" w:type="dxa"/>
            </w:tcMar>
            <w:vAlign w:val="center"/>
          </w:tcPr>
          <w:p w14:paraId="7A98D04B">
            <w:pPr>
              <w:adjustRightInd w:val="0"/>
              <w:snapToGrid w:val="0"/>
              <w:jc w:val="center"/>
              <w:rPr>
                <w:color w:val="auto"/>
                <w:szCs w:val="21"/>
                <w:highlight w:val="none"/>
              </w:rPr>
            </w:pPr>
            <w:r>
              <w:rPr>
                <w:rFonts w:hAnsi="宋体"/>
                <w:color w:val="auto"/>
                <w:szCs w:val="21"/>
                <w:highlight w:val="none"/>
              </w:rPr>
              <w:t>环境保护措施</w:t>
            </w:r>
          </w:p>
        </w:tc>
        <w:tc>
          <w:tcPr>
            <w:tcW w:w="1797" w:type="pct"/>
            <w:tcMar>
              <w:top w:w="0" w:type="dxa"/>
              <w:left w:w="0" w:type="dxa"/>
              <w:bottom w:w="0" w:type="dxa"/>
              <w:right w:w="0" w:type="dxa"/>
            </w:tcMar>
            <w:vAlign w:val="center"/>
          </w:tcPr>
          <w:p w14:paraId="1F6B7429">
            <w:pPr>
              <w:adjustRightInd w:val="0"/>
              <w:snapToGrid w:val="0"/>
              <w:jc w:val="center"/>
              <w:rPr>
                <w:color w:val="auto"/>
                <w:szCs w:val="21"/>
                <w:highlight w:val="none"/>
              </w:rPr>
            </w:pPr>
            <w:r>
              <w:rPr>
                <w:rFonts w:hAnsi="宋体"/>
                <w:color w:val="auto"/>
                <w:szCs w:val="21"/>
                <w:highlight w:val="none"/>
              </w:rPr>
              <w:t>执行标准</w:t>
            </w:r>
          </w:p>
        </w:tc>
      </w:tr>
      <w:tr w14:paraId="52BAB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restart"/>
            <w:tcMar>
              <w:top w:w="0" w:type="dxa"/>
              <w:left w:w="0" w:type="dxa"/>
              <w:bottom w:w="0" w:type="dxa"/>
              <w:right w:w="0" w:type="dxa"/>
            </w:tcMar>
            <w:vAlign w:val="center"/>
          </w:tcPr>
          <w:p w14:paraId="7C73CC08">
            <w:pPr>
              <w:adjustRightInd w:val="0"/>
              <w:snapToGrid w:val="0"/>
              <w:jc w:val="center"/>
              <w:rPr>
                <w:color w:val="auto"/>
                <w:szCs w:val="21"/>
                <w:highlight w:val="none"/>
              </w:rPr>
            </w:pPr>
            <w:r>
              <w:rPr>
                <w:rFonts w:hAnsi="宋体"/>
                <w:color w:val="auto"/>
                <w:szCs w:val="21"/>
                <w:highlight w:val="none"/>
              </w:rPr>
              <w:t>大气环境</w:t>
            </w:r>
          </w:p>
        </w:tc>
        <w:tc>
          <w:tcPr>
            <w:tcW w:w="759" w:type="pct"/>
            <w:tcMar>
              <w:top w:w="0" w:type="dxa"/>
              <w:left w:w="0" w:type="dxa"/>
              <w:bottom w:w="0" w:type="dxa"/>
              <w:right w:w="0" w:type="dxa"/>
            </w:tcMar>
            <w:vAlign w:val="center"/>
          </w:tcPr>
          <w:p w14:paraId="27684D83">
            <w:pPr>
              <w:adjustRightInd w:val="0"/>
              <w:snapToGrid w:val="0"/>
              <w:jc w:val="center"/>
              <w:rPr>
                <w:snapToGrid w:val="0"/>
                <w:color w:val="auto"/>
                <w:kern w:val="0"/>
                <w:szCs w:val="21"/>
                <w:highlight w:val="none"/>
              </w:rPr>
            </w:pPr>
            <w:r>
              <w:rPr>
                <w:rFonts w:hint="eastAsia"/>
                <w:snapToGrid w:val="0"/>
                <w:color w:val="auto"/>
                <w:kern w:val="0"/>
                <w:szCs w:val="21"/>
                <w:highlight w:val="none"/>
              </w:rPr>
              <w:t>FQ-</w:t>
            </w:r>
            <w:r>
              <w:rPr>
                <w:rFonts w:hint="default"/>
                <w:snapToGrid w:val="0"/>
                <w:color w:val="auto"/>
                <w:kern w:val="0"/>
                <w:szCs w:val="21"/>
                <w:highlight w:val="none"/>
              </w:rPr>
              <w:t>1</w:t>
            </w:r>
            <w:r>
              <w:rPr>
                <w:rFonts w:hint="eastAsia"/>
                <w:snapToGrid w:val="0"/>
                <w:color w:val="auto"/>
                <w:kern w:val="0"/>
                <w:szCs w:val="21"/>
                <w:highlight w:val="none"/>
              </w:rPr>
              <w:t>/涂聚酯树脂胶、固化、滴浸渍树脂胶、浸涂树脂粉、固化</w:t>
            </w:r>
          </w:p>
        </w:tc>
        <w:tc>
          <w:tcPr>
            <w:tcW w:w="778" w:type="pct"/>
            <w:tcMar>
              <w:top w:w="0" w:type="dxa"/>
              <w:left w:w="0" w:type="dxa"/>
              <w:bottom w:w="0" w:type="dxa"/>
              <w:right w:w="0" w:type="dxa"/>
            </w:tcMar>
            <w:vAlign w:val="center"/>
          </w:tcPr>
          <w:p w14:paraId="2F703589">
            <w:pPr>
              <w:adjustRightInd w:val="0"/>
              <w:snapToGrid w:val="0"/>
              <w:jc w:val="center"/>
              <w:rPr>
                <w:snapToGrid w:val="0"/>
                <w:color w:val="auto"/>
                <w:kern w:val="0"/>
                <w:szCs w:val="21"/>
                <w:highlight w:val="none"/>
              </w:rPr>
            </w:pPr>
            <w:r>
              <w:rPr>
                <w:rFonts w:hint="eastAsia" w:hAnsi="宋体"/>
                <w:snapToGrid w:val="0"/>
                <w:color w:val="auto"/>
                <w:kern w:val="0"/>
                <w:szCs w:val="21"/>
                <w:highlight w:val="none"/>
              </w:rPr>
              <w:t>VOCs</w:t>
            </w:r>
            <w:r>
              <w:rPr>
                <w:rFonts w:hint="eastAsia" w:hAnsi="宋体"/>
                <w:snapToGrid w:val="0"/>
                <w:color w:val="auto"/>
                <w:kern w:val="0"/>
                <w:szCs w:val="21"/>
                <w:highlight w:val="none"/>
                <w:lang w:eastAsia="zh-Hans"/>
              </w:rPr>
              <w:t>、</w:t>
            </w:r>
            <w:r>
              <w:rPr>
                <w:rFonts w:hint="eastAsia" w:hAnsi="宋体"/>
                <w:snapToGrid w:val="0"/>
                <w:color w:val="auto"/>
                <w:kern w:val="0"/>
                <w:szCs w:val="21"/>
                <w:highlight w:val="none"/>
                <w:lang w:val="en-US" w:eastAsia="zh-Hans"/>
              </w:rPr>
              <w:t>二甲苯</w:t>
            </w:r>
          </w:p>
        </w:tc>
        <w:tc>
          <w:tcPr>
            <w:tcW w:w="1157" w:type="pct"/>
            <w:tcMar>
              <w:top w:w="0" w:type="dxa"/>
              <w:left w:w="0" w:type="dxa"/>
              <w:bottom w:w="0" w:type="dxa"/>
              <w:right w:w="0" w:type="dxa"/>
            </w:tcMar>
            <w:vAlign w:val="center"/>
          </w:tcPr>
          <w:p w14:paraId="766A7B73">
            <w:pPr>
              <w:adjustRightInd w:val="0"/>
              <w:snapToGrid w:val="0"/>
              <w:jc w:val="center"/>
              <w:rPr>
                <w:snapToGrid w:val="0"/>
                <w:color w:val="auto"/>
                <w:kern w:val="0"/>
                <w:szCs w:val="21"/>
                <w:highlight w:val="none"/>
              </w:rPr>
            </w:pPr>
            <w:r>
              <w:rPr>
                <w:rFonts w:hint="eastAsia"/>
                <w:snapToGrid w:val="0"/>
                <w:color w:val="auto"/>
                <w:kern w:val="0"/>
                <w:szCs w:val="21"/>
                <w:highlight w:val="none"/>
              </w:rPr>
              <w:t>集气罩</w:t>
            </w:r>
            <w:r>
              <w:rPr>
                <w:rFonts w:hint="eastAsia"/>
                <w:color w:val="auto"/>
                <w:highlight w:val="none"/>
              </w:rPr>
              <w:t>、设备密闭</w:t>
            </w:r>
            <w:r>
              <w:rPr>
                <w:rFonts w:hint="eastAsia"/>
                <w:snapToGrid w:val="0"/>
                <w:color w:val="auto"/>
                <w:kern w:val="0"/>
                <w:szCs w:val="21"/>
                <w:highlight w:val="none"/>
              </w:rPr>
              <w:t>+1套</w:t>
            </w:r>
            <w:r>
              <w:rPr>
                <w:rFonts w:hint="eastAsia"/>
                <w:snapToGrid w:val="0"/>
                <w:color w:val="auto"/>
                <w:kern w:val="0"/>
                <w:szCs w:val="21"/>
                <w:highlight w:val="none"/>
                <w:lang w:val="en-US" w:eastAsia="zh-Hans"/>
              </w:rPr>
              <w:t>三级</w:t>
            </w:r>
            <w:r>
              <w:rPr>
                <w:snapToGrid w:val="0"/>
                <w:color w:val="auto"/>
                <w:kern w:val="0"/>
                <w:szCs w:val="21"/>
                <w:highlight w:val="none"/>
              </w:rPr>
              <w:t>活性炭吸附装置</w:t>
            </w:r>
            <w:r>
              <w:rPr>
                <w:rFonts w:hint="eastAsia"/>
                <w:snapToGrid w:val="0"/>
                <w:color w:val="auto"/>
                <w:kern w:val="0"/>
                <w:szCs w:val="21"/>
                <w:highlight w:val="none"/>
              </w:rPr>
              <w:t>+</w:t>
            </w:r>
            <w:r>
              <w:rPr>
                <w:snapToGrid w:val="0"/>
                <w:color w:val="auto"/>
                <w:kern w:val="0"/>
                <w:szCs w:val="21"/>
                <w:highlight w:val="none"/>
              </w:rPr>
              <w:t>15m高FQ-</w:t>
            </w:r>
            <w:r>
              <w:rPr>
                <w:rFonts w:hint="default"/>
                <w:snapToGrid w:val="0"/>
                <w:color w:val="auto"/>
                <w:kern w:val="0"/>
                <w:szCs w:val="21"/>
                <w:highlight w:val="none"/>
              </w:rPr>
              <w:t>1</w:t>
            </w:r>
            <w:r>
              <w:rPr>
                <w:snapToGrid w:val="0"/>
                <w:color w:val="auto"/>
                <w:kern w:val="0"/>
                <w:szCs w:val="21"/>
                <w:highlight w:val="none"/>
              </w:rPr>
              <w:t>排气筒</w:t>
            </w:r>
            <w:r>
              <w:rPr>
                <w:rFonts w:hAnsi="宋体"/>
                <w:snapToGrid w:val="0"/>
                <w:color w:val="auto"/>
                <w:kern w:val="0"/>
                <w:szCs w:val="21"/>
                <w:highlight w:val="none"/>
              </w:rPr>
              <w:t>，风量</w:t>
            </w:r>
            <w:r>
              <w:rPr>
                <w:rFonts w:hint="eastAsia"/>
                <w:snapToGrid w:val="0"/>
                <w:color w:val="auto"/>
                <w:kern w:val="0"/>
                <w:szCs w:val="21"/>
                <w:highlight w:val="none"/>
              </w:rPr>
              <w:t>10</w:t>
            </w:r>
            <w:r>
              <w:rPr>
                <w:snapToGrid w:val="0"/>
                <w:color w:val="auto"/>
                <w:kern w:val="0"/>
                <w:szCs w:val="21"/>
                <w:highlight w:val="none"/>
              </w:rPr>
              <w:t>000m</w:t>
            </w:r>
            <w:r>
              <w:rPr>
                <w:snapToGrid w:val="0"/>
                <w:color w:val="auto"/>
                <w:kern w:val="0"/>
                <w:szCs w:val="21"/>
                <w:highlight w:val="none"/>
                <w:vertAlign w:val="superscript"/>
              </w:rPr>
              <w:t>3</w:t>
            </w:r>
            <w:r>
              <w:rPr>
                <w:snapToGrid w:val="0"/>
                <w:color w:val="auto"/>
                <w:kern w:val="0"/>
                <w:szCs w:val="21"/>
                <w:highlight w:val="none"/>
              </w:rPr>
              <w:t>/h</w:t>
            </w:r>
          </w:p>
        </w:tc>
        <w:tc>
          <w:tcPr>
            <w:tcW w:w="1797" w:type="pct"/>
            <w:vMerge w:val="restart"/>
            <w:tcMar>
              <w:top w:w="0" w:type="dxa"/>
              <w:left w:w="0" w:type="dxa"/>
              <w:bottom w:w="0" w:type="dxa"/>
              <w:right w:w="0" w:type="dxa"/>
            </w:tcMar>
            <w:vAlign w:val="center"/>
          </w:tcPr>
          <w:p w14:paraId="57F23D5D">
            <w:pPr>
              <w:adjustRightInd w:val="0"/>
              <w:snapToGrid w:val="0"/>
              <w:jc w:val="center"/>
              <w:rPr>
                <w:snapToGrid w:val="0"/>
                <w:color w:val="auto"/>
                <w:kern w:val="0"/>
                <w:szCs w:val="21"/>
                <w:highlight w:val="none"/>
              </w:rPr>
            </w:pPr>
            <w:r>
              <w:rPr>
                <w:rFonts w:hint="eastAsia" w:hAnsi="宋体"/>
                <w:snapToGrid w:val="0"/>
                <w:color w:val="auto"/>
                <w:kern w:val="0"/>
                <w:szCs w:val="21"/>
                <w:highlight w:val="none"/>
              </w:rPr>
              <w:t>《大气污染物综合排放标准》DB32/4041-2021表1中相关标准</w:t>
            </w:r>
          </w:p>
        </w:tc>
      </w:tr>
      <w:tr w14:paraId="40E05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36F10869">
            <w:pPr>
              <w:adjustRightInd w:val="0"/>
              <w:snapToGrid w:val="0"/>
              <w:jc w:val="center"/>
              <w:rPr>
                <w:rFonts w:hAnsi="宋体"/>
                <w:color w:val="auto"/>
                <w:szCs w:val="21"/>
                <w:highlight w:val="none"/>
              </w:rPr>
            </w:pPr>
          </w:p>
        </w:tc>
        <w:tc>
          <w:tcPr>
            <w:tcW w:w="759" w:type="pct"/>
            <w:tcMar>
              <w:top w:w="0" w:type="dxa"/>
              <w:left w:w="0" w:type="dxa"/>
              <w:bottom w:w="0" w:type="dxa"/>
              <w:right w:w="0" w:type="dxa"/>
            </w:tcMar>
            <w:vAlign w:val="center"/>
          </w:tcPr>
          <w:p w14:paraId="33196FE2">
            <w:pPr>
              <w:adjustRightInd w:val="0"/>
              <w:snapToGrid w:val="0"/>
              <w:jc w:val="center"/>
              <w:rPr>
                <w:rFonts w:hint="eastAsia" w:eastAsia="宋体"/>
                <w:snapToGrid w:val="0"/>
                <w:color w:val="auto"/>
                <w:kern w:val="0"/>
                <w:szCs w:val="21"/>
                <w:highlight w:val="none"/>
                <w:lang w:val="en-US" w:eastAsia="zh-Hans"/>
              </w:rPr>
            </w:pPr>
            <w:r>
              <w:rPr>
                <w:rFonts w:hint="eastAsia"/>
                <w:snapToGrid w:val="0"/>
                <w:color w:val="auto"/>
                <w:kern w:val="0"/>
                <w:szCs w:val="21"/>
                <w:highlight w:val="none"/>
                <w:lang w:val="en-US" w:eastAsia="zh-Hans"/>
              </w:rPr>
              <w:t>FQ</w:t>
            </w:r>
            <w:r>
              <w:rPr>
                <w:rFonts w:hint="default"/>
                <w:snapToGrid w:val="0"/>
                <w:color w:val="auto"/>
                <w:kern w:val="0"/>
                <w:szCs w:val="21"/>
                <w:highlight w:val="none"/>
                <w:lang w:eastAsia="zh-Hans"/>
              </w:rPr>
              <w:t>-1/</w:t>
            </w:r>
            <w:r>
              <w:rPr>
                <w:rFonts w:hint="eastAsia"/>
                <w:snapToGrid w:val="0"/>
                <w:color w:val="auto"/>
                <w:kern w:val="0"/>
                <w:szCs w:val="21"/>
                <w:highlight w:val="none"/>
                <w:lang w:val="en-US" w:eastAsia="zh-Hans"/>
              </w:rPr>
              <w:t>浸涂树脂、固化</w:t>
            </w:r>
          </w:p>
        </w:tc>
        <w:tc>
          <w:tcPr>
            <w:tcW w:w="778" w:type="pct"/>
            <w:tcMar>
              <w:top w:w="0" w:type="dxa"/>
              <w:left w:w="0" w:type="dxa"/>
              <w:bottom w:w="0" w:type="dxa"/>
              <w:right w:w="0" w:type="dxa"/>
            </w:tcMar>
            <w:vAlign w:val="center"/>
          </w:tcPr>
          <w:p w14:paraId="28D44B1E">
            <w:pPr>
              <w:adjustRightInd w:val="0"/>
              <w:snapToGrid w:val="0"/>
              <w:jc w:val="center"/>
              <w:rPr>
                <w:rFonts w:hint="eastAsia" w:hAnsi="宋体" w:eastAsia="宋体"/>
                <w:snapToGrid w:val="0"/>
                <w:color w:val="auto"/>
                <w:kern w:val="0"/>
                <w:szCs w:val="21"/>
                <w:highlight w:val="none"/>
                <w:lang w:val="en-US" w:eastAsia="zh-Hans"/>
              </w:rPr>
            </w:pPr>
            <w:r>
              <w:rPr>
                <w:rFonts w:hint="eastAsia" w:hAnsi="宋体"/>
                <w:snapToGrid w:val="0"/>
                <w:color w:val="auto"/>
                <w:kern w:val="0"/>
                <w:szCs w:val="21"/>
                <w:highlight w:val="none"/>
                <w:lang w:val="en-US" w:eastAsia="zh-Hans"/>
              </w:rPr>
              <w:t>颗粒物</w:t>
            </w:r>
          </w:p>
        </w:tc>
        <w:tc>
          <w:tcPr>
            <w:tcW w:w="1157" w:type="pct"/>
            <w:tcMar>
              <w:top w:w="0" w:type="dxa"/>
              <w:left w:w="0" w:type="dxa"/>
              <w:bottom w:w="0" w:type="dxa"/>
              <w:right w:w="0" w:type="dxa"/>
            </w:tcMar>
            <w:vAlign w:val="center"/>
          </w:tcPr>
          <w:p w14:paraId="1BF860C9">
            <w:pPr>
              <w:adjustRightInd w:val="0"/>
              <w:snapToGrid w:val="0"/>
              <w:jc w:val="center"/>
              <w:rPr>
                <w:rFonts w:hint="eastAsia" w:eastAsia="宋体"/>
                <w:snapToGrid w:val="0"/>
                <w:color w:val="auto"/>
                <w:kern w:val="0"/>
                <w:szCs w:val="21"/>
                <w:highlight w:val="none"/>
                <w:lang w:val="en-US" w:eastAsia="zh-Hans"/>
              </w:rPr>
            </w:pPr>
            <w:r>
              <w:rPr>
                <w:rFonts w:hint="eastAsia"/>
                <w:snapToGrid w:val="0"/>
                <w:color w:val="auto"/>
                <w:kern w:val="0"/>
                <w:szCs w:val="21"/>
                <w:highlight w:val="none"/>
                <w:lang w:val="en-US" w:eastAsia="zh-Hans"/>
              </w:rPr>
              <w:t>设备密闭</w:t>
            </w:r>
            <w:r>
              <w:rPr>
                <w:rFonts w:hint="default"/>
                <w:snapToGrid w:val="0"/>
                <w:color w:val="auto"/>
                <w:kern w:val="0"/>
                <w:szCs w:val="21"/>
                <w:highlight w:val="none"/>
                <w:lang w:eastAsia="zh-Hans"/>
              </w:rPr>
              <w:t>+</w:t>
            </w:r>
            <w:r>
              <w:rPr>
                <w:rFonts w:hint="eastAsia"/>
                <w:snapToGrid w:val="0"/>
                <w:color w:val="auto"/>
                <w:kern w:val="0"/>
                <w:szCs w:val="21"/>
                <w:highlight w:val="none"/>
                <w:lang w:val="en-US" w:eastAsia="zh-Hans"/>
              </w:rPr>
              <w:t>设备自带过滤装置</w:t>
            </w:r>
            <w:r>
              <w:rPr>
                <w:rFonts w:hint="default"/>
                <w:snapToGrid w:val="0"/>
                <w:color w:val="auto"/>
                <w:kern w:val="0"/>
                <w:szCs w:val="21"/>
                <w:highlight w:val="none"/>
                <w:lang w:eastAsia="zh-Hans"/>
              </w:rPr>
              <w:t>+15</w:t>
            </w:r>
            <w:r>
              <w:rPr>
                <w:rFonts w:hint="eastAsia"/>
                <w:snapToGrid w:val="0"/>
                <w:color w:val="auto"/>
                <w:kern w:val="0"/>
                <w:szCs w:val="21"/>
                <w:highlight w:val="none"/>
                <w:lang w:val="en-US" w:eastAsia="zh-Hans"/>
              </w:rPr>
              <w:t>m高FQ</w:t>
            </w:r>
            <w:r>
              <w:rPr>
                <w:rFonts w:hint="default"/>
                <w:snapToGrid w:val="0"/>
                <w:color w:val="auto"/>
                <w:kern w:val="0"/>
                <w:szCs w:val="21"/>
                <w:highlight w:val="none"/>
                <w:lang w:eastAsia="zh-Hans"/>
              </w:rPr>
              <w:t>-1</w:t>
            </w:r>
            <w:r>
              <w:rPr>
                <w:rFonts w:hint="eastAsia"/>
                <w:snapToGrid w:val="0"/>
                <w:color w:val="auto"/>
                <w:kern w:val="0"/>
                <w:szCs w:val="21"/>
                <w:highlight w:val="none"/>
                <w:lang w:val="en-US" w:eastAsia="zh-Hans"/>
              </w:rPr>
              <w:t>排气筒，风量</w:t>
            </w:r>
            <w:r>
              <w:rPr>
                <w:rFonts w:hint="default"/>
                <w:snapToGrid w:val="0"/>
                <w:color w:val="auto"/>
                <w:kern w:val="0"/>
                <w:szCs w:val="21"/>
                <w:highlight w:val="none"/>
                <w:lang w:eastAsia="zh-Hans"/>
              </w:rPr>
              <w:t>2000</w:t>
            </w:r>
            <w:r>
              <w:rPr>
                <w:snapToGrid w:val="0"/>
                <w:color w:val="auto"/>
                <w:kern w:val="0"/>
                <w:szCs w:val="21"/>
                <w:highlight w:val="none"/>
                <w:vertAlign w:val="superscript"/>
              </w:rPr>
              <w:t>3</w:t>
            </w:r>
            <w:r>
              <w:rPr>
                <w:snapToGrid w:val="0"/>
                <w:color w:val="auto"/>
                <w:kern w:val="0"/>
                <w:szCs w:val="21"/>
                <w:highlight w:val="none"/>
              </w:rPr>
              <w:t>/h</w:t>
            </w:r>
          </w:p>
        </w:tc>
        <w:tc>
          <w:tcPr>
            <w:tcW w:w="1797" w:type="pct"/>
            <w:vMerge w:val="continue"/>
            <w:tcMar>
              <w:top w:w="0" w:type="dxa"/>
              <w:left w:w="0" w:type="dxa"/>
              <w:bottom w:w="0" w:type="dxa"/>
              <w:right w:w="0" w:type="dxa"/>
            </w:tcMar>
            <w:vAlign w:val="center"/>
          </w:tcPr>
          <w:p w14:paraId="30B24378">
            <w:pPr>
              <w:adjustRightInd w:val="0"/>
              <w:snapToGrid w:val="0"/>
              <w:jc w:val="center"/>
              <w:rPr>
                <w:rFonts w:hint="eastAsia" w:hAnsi="宋体"/>
                <w:snapToGrid w:val="0"/>
                <w:color w:val="auto"/>
                <w:kern w:val="0"/>
                <w:szCs w:val="21"/>
                <w:highlight w:val="none"/>
              </w:rPr>
            </w:pPr>
          </w:p>
        </w:tc>
      </w:tr>
      <w:tr w14:paraId="16C23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7C5BCC11">
            <w:pPr>
              <w:adjustRightInd w:val="0"/>
              <w:snapToGrid w:val="0"/>
              <w:jc w:val="center"/>
              <w:rPr>
                <w:color w:val="auto"/>
                <w:szCs w:val="21"/>
                <w:highlight w:val="none"/>
              </w:rPr>
            </w:pPr>
          </w:p>
        </w:tc>
        <w:tc>
          <w:tcPr>
            <w:tcW w:w="759" w:type="pct"/>
            <w:vMerge w:val="restart"/>
            <w:tcMar>
              <w:top w:w="0" w:type="dxa"/>
              <w:left w:w="0" w:type="dxa"/>
              <w:bottom w:w="0" w:type="dxa"/>
              <w:right w:w="0" w:type="dxa"/>
            </w:tcMar>
            <w:vAlign w:val="center"/>
          </w:tcPr>
          <w:p w14:paraId="5140D3CD">
            <w:pPr>
              <w:adjustRightInd w:val="0"/>
              <w:snapToGrid w:val="0"/>
              <w:jc w:val="center"/>
              <w:rPr>
                <w:color w:val="auto"/>
                <w:szCs w:val="21"/>
                <w:highlight w:val="none"/>
              </w:rPr>
            </w:pPr>
            <w:r>
              <w:rPr>
                <w:rFonts w:hint="eastAsia" w:hAnsi="宋体"/>
                <w:color w:val="auto"/>
                <w:szCs w:val="21"/>
                <w:highlight w:val="none"/>
              </w:rPr>
              <w:t>生产车间</w:t>
            </w:r>
          </w:p>
        </w:tc>
        <w:tc>
          <w:tcPr>
            <w:tcW w:w="778" w:type="pct"/>
            <w:tcMar>
              <w:top w:w="0" w:type="dxa"/>
              <w:left w:w="0" w:type="dxa"/>
              <w:bottom w:w="0" w:type="dxa"/>
              <w:right w:w="0" w:type="dxa"/>
            </w:tcMar>
            <w:vAlign w:val="center"/>
          </w:tcPr>
          <w:p w14:paraId="55644E1C">
            <w:pPr>
              <w:adjustRightInd w:val="0"/>
              <w:snapToGrid w:val="0"/>
              <w:jc w:val="center"/>
              <w:rPr>
                <w:snapToGrid w:val="0"/>
                <w:color w:val="auto"/>
                <w:kern w:val="0"/>
                <w:szCs w:val="21"/>
                <w:highlight w:val="none"/>
              </w:rPr>
            </w:pPr>
            <w:r>
              <w:rPr>
                <w:rFonts w:hint="eastAsia"/>
                <w:snapToGrid w:val="0"/>
                <w:color w:val="auto"/>
                <w:kern w:val="0"/>
                <w:szCs w:val="21"/>
                <w:highlight w:val="none"/>
              </w:rPr>
              <w:t>颗粒物</w:t>
            </w:r>
          </w:p>
        </w:tc>
        <w:tc>
          <w:tcPr>
            <w:tcW w:w="1157" w:type="pct"/>
            <w:tcMar>
              <w:top w:w="0" w:type="dxa"/>
              <w:left w:w="0" w:type="dxa"/>
              <w:bottom w:w="0" w:type="dxa"/>
              <w:right w:w="0" w:type="dxa"/>
            </w:tcMar>
            <w:vAlign w:val="center"/>
          </w:tcPr>
          <w:p w14:paraId="3AF38187">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rPr>
              <w:t>集气罩+移动式焊接烟尘净化器+车间通风排放</w:t>
            </w:r>
          </w:p>
        </w:tc>
        <w:tc>
          <w:tcPr>
            <w:tcW w:w="1797" w:type="pct"/>
            <w:vMerge w:val="restart"/>
            <w:tcMar>
              <w:top w:w="0" w:type="dxa"/>
              <w:left w:w="0" w:type="dxa"/>
              <w:bottom w:w="0" w:type="dxa"/>
              <w:right w:w="0" w:type="dxa"/>
            </w:tcMar>
            <w:vAlign w:val="center"/>
          </w:tcPr>
          <w:p w14:paraId="0D82C74A">
            <w:pPr>
              <w:adjustRightInd w:val="0"/>
              <w:snapToGrid w:val="0"/>
              <w:jc w:val="center"/>
              <w:rPr>
                <w:rFonts w:hAnsi="宋体"/>
                <w:snapToGrid w:val="0"/>
                <w:color w:val="auto"/>
                <w:kern w:val="0"/>
                <w:szCs w:val="21"/>
                <w:highlight w:val="none"/>
              </w:rPr>
            </w:pPr>
            <w:r>
              <w:rPr>
                <w:rFonts w:hint="eastAsia" w:hAnsi="宋体"/>
                <w:snapToGrid w:val="0"/>
                <w:color w:val="auto"/>
                <w:kern w:val="0"/>
                <w:szCs w:val="21"/>
                <w:highlight w:val="none"/>
                <w:lang w:val="en-US" w:eastAsia="zh-Hans"/>
              </w:rPr>
              <w:t>颗粒物、VOCs、二甲苯执行</w:t>
            </w:r>
            <w:r>
              <w:rPr>
                <w:rFonts w:hint="eastAsia" w:hAnsi="宋体"/>
                <w:snapToGrid w:val="0"/>
                <w:color w:val="auto"/>
                <w:kern w:val="0"/>
                <w:szCs w:val="21"/>
                <w:highlight w:val="none"/>
              </w:rPr>
              <w:t>《大气污染物综合排放标准》DB32/4041-2021表3中相关标准，</w:t>
            </w:r>
            <w:r>
              <w:rPr>
                <w:color w:val="auto"/>
                <w:szCs w:val="21"/>
                <w:highlight w:val="none"/>
              </w:rPr>
              <w:t>厂区内</w:t>
            </w:r>
            <w:r>
              <w:rPr>
                <w:rFonts w:hint="eastAsia"/>
                <w:color w:val="auto"/>
                <w:szCs w:val="21"/>
                <w:highlight w:val="none"/>
              </w:rPr>
              <w:t>VOCs</w:t>
            </w:r>
            <w:r>
              <w:rPr>
                <w:color w:val="auto"/>
                <w:szCs w:val="21"/>
                <w:highlight w:val="none"/>
              </w:rPr>
              <w:t>无组织排放限值达到</w:t>
            </w:r>
            <w:r>
              <w:rPr>
                <w:bCs/>
                <w:color w:val="auto"/>
                <w:szCs w:val="21"/>
                <w:highlight w:val="none"/>
              </w:rPr>
              <w:t>江苏省地方标准《大气污染物综合排放标准》DB32/4041-2021表</w:t>
            </w:r>
            <w:r>
              <w:rPr>
                <w:rFonts w:hint="eastAsia"/>
                <w:bCs/>
                <w:color w:val="auto"/>
                <w:szCs w:val="21"/>
                <w:highlight w:val="none"/>
              </w:rPr>
              <w:t>2</w:t>
            </w:r>
            <w:r>
              <w:rPr>
                <w:bCs/>
                <w:color w:val="auto"/>
                <w:szCs w:val="21"/>
                <w:highlight w:val="none"/>
              </w:rPr>
              <w:t>标准：</w:t>
            </w:r>
            <w:r>
              <w:rPr>
                <w:color w:val="auto"/>
                <w:szCs w:val="21"/>
                <w:highlight w:val="none"/>
              </w:rPr>
              <w:t>NMHC≤6mg/m</w:t>
            </w:r>
            <w:r>
              <w:rPr>
                <w:color w:val="auto"/>
                <w:szCs w:val="21"/>
                <w:highlight w:val="none"/>
                <w:vertAlign w:val="superscript"/>
              </w:rPr>
              <w:t>3</w:t>
            </w:r>
            <w:r>
              <w:rPr>
                <w:color w:val="auto"/>
                <w:szCs w:val="21"/>
                <w:highlight w:val="none"/>
              </w:rPr>
              <w:t>（监控点处1h平均浓度）、NMHC≤20mg/m</w:t>
            </w:r>
            <w:r>
              <w:rPr>
                <w:color w:val="auto"/>
                <w:szCs w:val="21"/>
                <w:highlight w:val="none"/>
                <w:vertAlign w:val="superscript"/>
              </w:rPr>
              <w:t>3</w:t>
            </w:r>
            <w:r>
              <w:rPr>
                <w:color w:val="auto"/>
                <w:szCs w:val="21"/>
                <w:highlight w:val="none"/>
              </w:rPr>
              <w:t>（监控点处任意一次浓度值）</w:t>
            </w:r>
          </w:p>
        </w:tc>
      </w:tr>
      <w:tr w14:paraId="4044F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596417DB">
            <w:pPr>
              <w:adjustRightInd w:val="0"/>
              <w:snapToGrid w:val="0"/>
              <w:jc w:val="center"/>
              <w:rPr>
                <w:color w:val="auto"/>
                <w:szCs w:val="21"/>
                <w:highlight w:val="none"/>
              </w:rPr>
            </w:pPr>
          </w:p>
        </w:tc>
        <w:tc>
          <w:tcPr>
            <w:tcW w:w="759" w:type="pct"/>
            <w:vMerge w:val="continue"/>
            <w:tcMar>
              <w:top w:w="0" w:type="dxa"/>
              <w:left w:w="0" w:type="dxa"/>
              <w:bottom w:w="0" w:type="dxa"/>
              <w:right w:w="0" w:type="dxa"/>
            </w:tcMar>
            <w:vAlign w:val="center"/>
          </w:tcPr>
          <w:p w14:paraId="46D16A8C">
            <w:pPr>
              <w:adjustRightInd w:val="0"/>
              <w:snapToGrid w:val="0"/>
              <w:jc w:val="center"/>
              <w:rPr>
                <w:color w:val="auto"/>
                <w:szCs w:val="21"/>
                <w:highlight w:val="none"/>
              </w:rPr>
            </w:pPr>
          </w:p>
        </w:tc>
        <w:tc>
          <w:tcPr>
            <w:tcW w:w="778" w:type="pct"/>
            <w:tcMar>
              <w:top w:w="0" w:type="dxa"/>
              <w:left w:w="0" w:type="dxa"/>
              <w:bottom w:w="0" w:type="dxa"/>
              <w:right w:w="0" w:type="dxa"/>
            </w:tcMar>
            <w:vAlign w:val="center"/>
          </w:tcPr>
          <w:p w14:paraId="4CD1F977">
            <w:pPr>
              <w:adjustRightInd w:val="0"/>
              <w:snapToGrid w:val="0"/>
              <w:jc w:val="center"/>
              <w:rPr>
                <w:color w:val="auto"/>
                <w:szCs w:val="21"/>
                <w:highlight w:val="none"/>
              </w:rPr>
            </w:pPr>
            <w:r>
              <w:rPr>
                <w:rFonts w:hint="eastAsia" w:hAnsi="宋体"/>
                <w:snapToGrid w:val="0"/>
                <w:color w:val="auto"/>
                <w:kern w:val="0"/>
                <w:szCs w:val="21"/>
                <w:highlight w:val="none"/>
              </w:rPr>
              <w:t>VOCs</w:t>
            </w:r>
            <w:r>
              <w:rPr>
                <w:rFonts w:hint="eastAsia" w:hAnsi="宋体"/>
                <w:snapToGrid w:val="0"/>
                <w:color w:val="auto"/>
                <w:kern w:val="0"/>
                <w:szCs w:val="21"/>
                <w:highlight w:val="none"/>
                <w:lang w:eastAsia="zh-Hans"/>
              </w:rPr>
              <w:t>、</w:t>
            </w:r>
            <w:r>
              <w:rPr>
                <w:rFonts w:hint="eastAsia" w:hAnsi="宋体"/>
                <w:snapToGrid w:val="0"/>
                <w:color w:val="auto"/>
                <w:kern w:val="0"/>
                <w:szCs w:val="21"/>
                <w:highlight w:val="none"/>
                <w:lang w:val="en-US" w:eastAsia="zh-Hans"/>
              </w:rPr>
              <w:t>二甲苯</w:t>
            </w:r>
          </w:p>
        </w:tc>
        <w:tc>
          <w:tcPr>
            <w:tcW w:w="1157" w:type="pct"/>
            <w:tcMar>
              <w:top w:w="0" w:type="dxa"/>
              <w:left w:w="0" w:type="dxa"/>
              <w:bottom w:w="0" w:type="dxa"/>
              <w:right w:w="0" w:type="dxa"/>
            </w:tcMar>
            <w:vAlign w:val="center"/>
          </w:tcPr>
          <w:p w14:paraId="380E9AE2">
            <w:pPr>
              <w:adjustRightInd w:val="0"/>
              <w:snapToGrid w:val="0"/>
              <w:jc w:val="center"/>
              <w:rPr>
                <w:color w:val="auto"/>
                <w:szCs w:val="21"/>
                <w:highlight w:val="none"/>
              </w:rPr>
            </w:pPr>
            <w:r>
              <w:rPr>
                <w:color w:val="auto"/>
                <w:szCs w:val="21"/>
                <w:highlight w:val="none"/>
              </w:rPr>
              <w:t>加强通风</w:t>
            </w:r>
          </w:p>
        </w:tc>
        <w:tc>
          <w:tcPr>
            <w:tcW w:w="1797" w:type="pct"/>
            <w:vMerge w:val="continue"/>
            <w:tcMar>
              <w:top w:w="0" w:type="dxa"/>
              <w:left w:w="0" w:type="dxa"/>
              <w:bottom w:w="0" w:type="dxa"/>
              <w:right w:w="0" w:type="dxa"/>
            </w:tcMar>
            <w:vAlign w:val="center"/>
          </w:tcPr>
          <w:p w14:paraId="775961D4">
            <w:pPr>
              <w:pStyle w:val="100"/>
              <w:spacing w:line="300" w:lineRule="exact"/>
              <w:jc w:val="center"/>
              <w:rPr>
                <w:rFonts w:ascii="Times New Roman" w:hAnsi="宋体" w:eastAsia="宋体"/>
                <w:snapToGrid w:val="0"/>
                <w:color w:val="auto"/>
                <w:kern w:val="0"/>
                <w:sz w:val="21"/>
                <w:szCs w:val="21"/>
                <w:highlight w:val="none"/>
              </w:rPr>
            </w:pPr>
          </w:p>
        </w:tc>
      </w:tr>
      <w:tr w14:paraId="43A5A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3D764F4E">
            <w:pPr>
              <w:adjustRightInd w:val="0"/>
              <w:snapToGrid w:val="0"/>
              <w:jc w:val="center"/>
              <w:rPr>
                <w:color w:val="auto"/>
                <w:szCs w:val="21"/>
                <w:highlight w:val="none"/>
              </w:rPr>
            </w:pPr>
          </w:p>
        </w:tc>
        <w:tc>
          <w:tcPr>
            <w:tcW w:w="759" w:type="pct"/>
            <w:tcMar>
              <w:top w:w="0" w:type="dxa"/>
              <w:left w:w="0" w:type="dxa"/>
              <w:bottom w:w="0" w:type="dxa"/>
              <w:right w:w="0" w:type="dxa"/>
            </w:tcMar>
            <w:vAlign w:val="center"/>
          </w:tcPr>
          <w:p w14:paraId="1F7855D6">
            <w:pPr>
              <w:adjustRightInd w:val="0"/>
              <w:snapToGrid w:val="0"/>
              <w:jc w:val="center"/>
              <w:rPr>
                <w:rFonts w:hint="eastAsia" w:eastAsia="宋体"/>
                <w:color w:val="auto"/>
                <w:szCs w:val="21"/>
                <w:highlight w:val="none"/>
                <w:lang w:val="en-US" w:eastAsia="zh-Hans"/>
              </w:rPr>
            </w:pPr>
            <w:r>
              <w:rPr>
                <w:rFonts w:hint="eastAsia"/>
                <w:color w:val="auto"/>
                <w:szCs w:val="21"/>
                <w:highlight w:val="none"/>
                <w:lang w:val="en-US" w:eastAsia="zh-Hans"/>
              </w:rPr>
              <w:t>危废仓库</w:t>
            </w:r>
          </w:p>
        </w:tc>
        <w:tc>
          <w:tcPr>
            <w:tcW w:w="778" w:type="pct"/>
            <w:tcMar>
              <w:top w:w="0" w:type="dxa"/>
              <w:left w:w="0" w:type="dxa"/>
              <w:bottom w:w="0" w:type="dxa"/>
              <w:right w:w="0" w:type="dxa"/>
            </w:tcMar>
            <w:vAlign w:val="center"/>
          </w:tcPr>
          <w:p w14:paraId="7E070B4F">
            <w:pPr>
              <w:adjustRightInd w:val="0"/>
              <w:snapToGrid w:val="0"/>
              <w:jc w:val="center"/>
              <w:rPr>
                <w:rFonts w:hint="eastAsia" w:hAnsi="宋体"/>
                <w:snapToGrid w:val="0"/>
                <w:color w:val="auto"/>
                <w:kern w:val="0"/>
                <w:szCs w:val="21"/>
                <w:highlight w:val="none"/>
              </w:rPr>
            </w:pPr>
            <w:r>
              <w:rPr>
                <w:rFonts w:hint="eastAsia" w:hAnsi="宋体"/>
                <w:snapToGrid w:val="0"/>
                <w:color w:val="auto"/>
                <w:kern w:val="0"/>
                <w:szCs w:val="21"/>
                <w:highlight w:val="none"/>
              </w:rPr>
              <w:t>VOCs</w:t>
            </w:r>
          </w:p>
        </w:tc>
        <w:tc>
          <w:tcPr>
            <w:tcW w:w="1157" w:type="pct"/>
            <w:tcMar>
              <w:top w:w="0" w:type="dxa"/>
              <w:left w:w="0" w:type="dxa"/>
              <w:bottom w:w="0" w:type="dxa"/>
              <w:right w:w="0" w:type="dxa"/>
            </w:tcMar>
            <w:vAlign w:val="center"/>
          </w:tcPr>
          <w:p w14:paraId="1590968F">
            <w:pPr>
              <w:adjustRightInd w:val="0"/>
              <w:snapToGrid w:val="0"/>
              <w:jc w:val="center"/>
              <w:rPr>
                <w:rFonts w:hint="eastAsia" w:eastAsia="宋体"/>
                <w:color w:val="auto"/>
                <w:szCs w:val="21"/>
                <w:highlight w:val="none"/>
                <w:lang w:val="en-US" w:eastAsia="zh-Hans"/>
              </w:rPr>
            </w:pPr>
            <w:r>
              <w:rPr>
                <w:rFonts w:hint="eastAsia"/>
                <w:color w:val="auto"/>
                <w:szCs w:val="21"/>
                <w:highlight w:val="none"/>
                <w:lang w:val="en-US" w:eastAsia="zh-Hans"/>
              </w:rPr>
              <w:t>负压收集</w:t>
            </w:r>
            <w:r>
              <w:rPr>
                <w:rFonts w:hint="default"/>
                <w:color w:val="auto"/>
                <w:szCs w:val="21"/>
                <w:highlight w:val="none"/>
                <w:lang w:eastAsia="zh-Hans"/>
              </w:rPr>
              <w:t>+</w:t>
            </w:r>
            <w:r>
              <w:rPr>
                <w:rFonts w:hint="eastAsia"/>
                <w:color w:val="auto"/>
                <w:szCs w:val="21"/>
                <w:highlight w:val="none"/>
                <w:lang w:val="en-US" w:eastAsia="zh-Hans"/>
              </w:rPr>
              <w:t>一级活性炭吸附装置</w:t>
            </w:r>
            <w:r>
              <w:rPr>
                <w:rFonts w:hint="default"/>
                <w:color w:val="auto"/>
                <w:szCs w:val="21"/>
                <w:highlight w:val="none"/>
                <w:lang w:eastAsia="zh-Hans"/>
              </w:rPr>
              <w:t>+</w:t>
            </w:r>
            <w:r>
              <w:rPr>
                <w:rFonts w:hint="eastAsia"/>
                <w:color w:val="auto"/>
                <w:szCs w:val="21"/>
                <w:highlight w:val="none"/>
                <w:lang w:val="en-US" w:eastAsia="zh-Hans"/>
              </w:rPr>
              <w:t>通风排放</w:t>
            </w:r>
          </w:p>
        </w:tc>
        <w:tc>
          <w:tcPr>
            <w:tcW w:w="1797" w:type="pct"/>
            <w:vMerge w:val="continue"/>
            <w:tcMar>
              <w:top w:w="0" w:type="dxa"/>
              <w:left w:w="0" w:type="dxa"/>
              <w:bottom w:w="0" w:type="dxa"/>
              <w:right w:w="0" w:type="dxa"/>
            </w:tcMar>
            <w:vAlign w:val="center"/>
          </w:tcPr>
          <w:p w14:paraId="3F9EA540">
            <w:pPr>
              <w:pStyle w:val="100"/>
              <w:spacing w:line="300" w:lineRule="exact"/>
              <w:jc w:val="center"/>
              <w:rPr>
                <w:rFonts w:ascii="Times New Roman" w:hAnsi="宋体" w:eastAsia="宋体"/>
                <w:snapToGrid w:val="0"/>
                <w:color w:val="auto"/>
                <w:kern w:val="0"/>
                <w:sz w:val="21"/>
                <w:szCs w:val="21"/>
                <w:highlight w:val="none"/>
              </w:rPr>
            </w:pPr>
          </w:p>
        </w:tc>
      </w:tr>
      <w:tr w14:paraId="3B7A2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restart"/>
            <w:tcMar>
              <w:top w:w="0" w:type="dxa"/>
              <w:left w:w="0" w:type="dxa"/>
              <w:bottom w:w="0" w:type="dxa"/>
              <w:right w:w="0" w:type="dxa"/>
            </w:tcMar>
            <w:vAlign w:val="center"/>
          </w:tcPr>
          <w:p w14:paraId="45D90479">
            <w:pPr>
              <w:adjustRightInd w:val="0"/>
              <w:snapToGrid w:val="0"/>
              <w:jc w:val="center"/>
              <w:rPr>
                <w:color w:val="auto"/>
                <w:szCs w:val="21"/>
                <w:highlight w:val="none"/>
              </w:rPr>
            </w:pPr>
            <w:r>
              <w:rPr>
                <w:rFonts w:hAnsi="宋体"/>
                <w:color w:val="auto"/>
                <w:szCs w:val="21"/>
                <w:highlight w:val="none"/>
              </w:rPr>
              <w:t>地表水环境</w:t>
            </w:r>
          </w:p>
        </w:tc>
        <w:tc>
          <w:tcPr>
            <w:tcW w:w="759" w:type="pct"/>
            <w:tcMar>
              <w:top w:w="0" w:type="dxa"/>
              <w:left w:w="0" w:type="dxa"/>
              <w:bottom w:w="0" w:type="dxa"/>
              <w:right w:w="0" w:type="dxa"/>
            </w:tcMar>
            <w:vAlign w:val="center"/>
          </w:tcPr>
          <w:p w14:paraId="615BA366">
            <w:pPr>
              <w:adjustRightInd w:val="0"/>
              <w:snapToGrid w:val="0"/>
              <w:jc w:val="center"/>
              <w:rPr>
                <w:color w:val="auto"/>
                <w:szCs w:val="21"/>
                <w:highlight w:val="none"/>
              </w:rPr>
            </w:pPr>
            <w:r>
              <w:rPr>
                <w:rFonts w:hint="eastAsia"/>
                <w:snapToGrid w:val="0"/>
                <w:color w:val="auto"/>
                <w:kern w:val="0"/>
                <w:szCs w:val="21"/>
                <w:highlight w:val="none"/>
              </w:rPr>
              <w:t>生活污水</w:t>
            </w:r>
          </w:p>
        </w:tc>
        <w:tc>
          <w:tcPr>
            <w:tcW w:w="778" w:type="pct"/>
            <w:tcMar>
              <w:top w:w="0" w:type="dxa"/>
              <w:left w:w="0" w:type="dxa"/>
              <w:bottom w:w="0" w:type="dxa"/>
              <w:right w:w="0" w:type="dxa"/>
            </w:tcMar>
            <w:vAlign w:val="center"/>
          </w:tcPr>
          <w:p w14:paraId="17CB0654">
            <w:pPr>
              <w:jc w:val="center"/>
              <w:rPr>
                <w:color w:val="auto"/>
                <w:szCs w:val="21"/>
                <w:highlight w:val="none"/>
              </w:rPr>
            </w:pPr>
            <w:r>
              <w:rPr>
                <w:color w:val="auto"/>
                <w:szCs w:val="21"/>
                <w:highlight w:val="none"/>
              </w:rPr>
              <w:t>COD、SS、</w:t>
            </w:r>
          </w:p>
          <w:p w14:paraId="44FBBB02">
            <w:pPr>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-N、TN、TP</w:t>
            </w:r>
          </w:p>
        </w:tc>
        <w:tc>
          <w:tcPr>
            <w:tcW w:w="1157" w:type="pct"/>
            <w:tcMar>
              <w:top w:w="0" w:type="dxa"/>
              <w:left w:w="0" w:type="dxa"/>
              <w:bottom w:w="0" w:type="dxa"/>
              <w:right w:w="0" w:type="dxa"/>
            </w:tcMar>
            <w:vAlign w:val="center"/>
          </w:tcPr>
          <w:p w14:paraId="2DB3A410">
            <w:pPr>
              <w:adjustRightInd w:val="0"/>
              <w:snapToGrid w:val="0"/>
              <w:jc w:val="center"/>
              <w:rPr>
                <w:color w:val="auto"/>
                <w:szCs w:val="21"/>
                <w:highlight w:val="none"/>
              </w:rPr>
            </w:pPr>
            <w:r>
              <w:rPr>
                <w:rFonts w:hint="eastAsia" w:hAnsi="宋体"/>
                <w:color w:val="auto"/>
                <w:szCs w:val="21"/>
                <w:highlight w:val="none"/>
              </w:rPr>
              <w:t>化粪池</w:t>
            </w:r>
          </w:p>
        </w:tc>
        <w:tc>
          <w:tcPr>
            <w:tcW w:w="1797" w:type="pct"/>
            <w:vMerge w:val="restart"/>
            <w:tcMar>
              <w:top w:w="0" w:type="dxa"/>
              <w:left w:w="0" w:type="dxa"/>
              <w:bottom w:w="0" w:type="dxa"/>
              <w:right w:w="0" w:type="dxa"/>
            </w:tcMar>
            <w:vAlign w:val="center"/>
          </w:tcPr>
          <w:p w14:paraId="1933914E">
            <w:pPr>
              <w:adjustRightInd w:val="0"/>
              <w:snapToGrid w:val="0"/>
              <w:jc w:val="center"/>
              <w:rPr>
                <w:color w:val="auto"/>
                <w:szCs w:val="21"/>
                <w:highlight w:val="none"/>
              </w:rPr>
            </w:pPr>
            <w:r>
              <w:rPr>
                <w:rFonts w:hint="eastAsia" w:hAnsi="宋体"/>
                <w:snapToGrid w:val="0"/>
                <w:color w:val="auto"/>
                <w:kern w:val="0"/>
                <w:szCs w:val="21"/>
                <w:highlight w:val="none"/>
              </w:rPr>
              <w:t>执行《污水综合排放标准》GB8978-1996表4中三级标准及《污水排入城镇下水道水质标准》GB/T31962-2015表1中B等级标准</w:t>
            </w:r>
          </w:p>
        </w:tc>
      </w:tr>
      <w:tr w14:paraId="1017B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5D113BCE">
            <w:pPr>
              <w:adjustRightInd w:val="0"/>
              <w:snapToGrid w:val="0"/>
              <w:jc w:val="center"/>
              <w:rPr>
                <w:rFonts w:hAnsi="宋体"/>
                <w:color w:val="auto"/>
                <w:szCs w:val="21"/>
                <w:highlight w:val="none"/>
              </w:rPr>
            </w:pPr>
          </w:p>
        </w:tc>
        <w:tc>
          <w:tcPr>
            <w:tcW w:w="759" w:type="pct"/>
            <w:tcMar>
              <w:top w:w="0" w:type="dxa"/>
              <w:left w:w="0" w:type="dxa"/>
              <w:bottom w:w="0" w:type="dxa"/>
              <w:right w:w="0" w:type="dxa"/>
            </w:tcMar>
            <w:vAlign w:val="center"/>
          </w:tcPr>
          <w:p w14:paraId="249CA6A8">
            <w:pPr>
              <w:adjustRightInd w:val="0"/>
              <w:snapToGrid w:val="0"/>
              <w:jc w:val="center"/>
              <w:rPr>
                <w:snapToGrid w:val="0"/>
                <w:color w:val="auto"/>
                <w:kern w:val="0"/>
                <w:szCs w:val="21"/>
                <w:highlight w:val="none"/>
              </w:rPr>
            </w:pPr>
            <w:r>
              <w:rPr>
                <w:rFonts w:hint="eastAsia"/>
                <w:snapToGrid w:val="0"/>
                <w:color w:val="auto"/>
                <w:kern w:val="0"/>
                <w:szCs w:val="21"/>
                <w:highlight w:val="none"/>
              </w:rPr>
              <w:t>纯水制备弃水</w:t>
            </w:r>
          </w:p>
        </w:tc>
        <w:tc>
          <w:tcPr>
            <w:tcW w:w="778" w:type="pct"/>
            <w:tcMar>
              <w:top w:w="0" w:type="dxa"/>
              <w:left w:w="0" w:type="dxa"/>
              <w:bottom w:w="0" w:type="dxa"/>
              <w:right w:w="0" w:type="dxa"/>
            </w:tcMar>
            <w:vAlign w:val="center"/>
          </w:tcPr>
          <w:p w14:paraId="5A99565B">
            <w:pPr>
              <w:jc w:val="center"/>
              <w:rPr>
                <w:color w:val="auto"/>
                <w:szCs w:val="21"/>
                <w:highlight w:val="none"/>
              </w:rPr>
            </w:pPr>
            <w:r>
              <w:rPr>
                <w:color w:val="auto"/>
                <w:szCs w:val="21"/>
                <w:highlight w:val="none"/>
              </w:rPr>
              <w:t>COD、SS</w:t>
            </w:r>
          </w:p>
        </w:tc>
        <w:tc>
          <w:tcPr>
            <w:tcW w:w="1157" w:type="pct"/>
            <w:tcMar>
              <w:top w:w="0" w:type="dxa"/>
              <w:left w:w="0" w:type="dxa"/>
              <w:bottom w:w="0" w:type="dxa"/>
              <w:right w:w="0" w:type="dxa"/>
            </w:tcMar>
            <w:vAlign w:val="center"/>
          </w:tcPr>
          <w:p w14:paraId="29385B5E">
            <w:pPr>
              <w:adjustRightInd w:val="0"/>
              <w:snapToGrid w:val="0"/>
              <w:jc w:val="center"/>
              <w:rPr>
                <w:rFonts w:hAnsi="宋体"/>
                <w:color w:val="auto"/>
                <w:szCs w:val="21"/>
                <w:highlight w:val="none"/>
              </w:rPr>
            </w:pPr>
            <w:r>
              <w:rPr>
                <w:rFonts w:hint="eastAsia" w:hAnsi="宋体"/>
                <w:color w:val="auto"/>
                <w:szCs w:val="21"/>
                <w:highlight w:val="none"/>
              </w:rPr>
              <w:t>/</w:t>
            </w:r>
          </w:p>
        </w:tc>
        <w:tc>
          <w:tcPr>
            <w:tcW w:w="1797" w:type="pct"/>
            <w:vMerge w:val="continue"/>
            <w:tcMar>
              <w:top w:w="0" w:type="dxa"/>
              <w:left w:w="0" w:type="dxa"/>
              <w:bottom w:w="0" w:type="dxa"/>
              <w:right w:w="0" w:type="dxa"/>
            </w:tcMar>
            <w:vAlign w:val="center"/>
          </w:tcPr>
          <w:p w14:paraId="3EDE2770">
            <w:pPr>
              <w:adjustRightInd w:val="0"/>
              <w:snapToGrid w:val="0"/>
              <w:jc w:val="center"/>
              <w:rPr>
                <w:rFonts w:hAnsi="宋体"/>
                <w:snapToGrid w:val="0"/>
                <w:color w:val="auto"/>
                <w:kern w:val="0"/>
                <w:szCs w:val="21"/>
                <w:highlight w:val="none"/>
              </w:rPr>
            </w:pPr>
          </w:p>
        </w:tc>
      </w:tr>
      <w:tr w14:paraId="1FF62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7B56D661">
            <w:pPr>
              <w:adjustRightInd w:val="0"/>
              <w:snapToGrid w:val="0"/>
              <w:jc w:val="center"/>
              <w:rPr>
                <w:rFonts w:hAnsi="宋体"/>
                <w:color w:val="auto"/>
                <w:szCs w:val="21"/>
                <w:highlight w:val="none"/>
              </w:rPr>
            </w:pPr>
          </w:p>
        </w:tc>
        <w:tc>
          <w:tcPr>
            <w:tcW w:w="759" w:type="pct"/>
            <w:tcMar>
              <w:top w:w="0" w:type="dxa"/>
              <w:left w:w="0" w:type="dxa"/>
              <w:bottom w:w="0" w:type="dxa"/>
              <w:right w:w="0" w:type="dxa"/>
            </w:tcMar>
            <w:vAlign w:val="center"/>
          </w:tcPr>
          <w:p w14:paraId="72289C09">
            <w:pPr>
              <w:adjustRightInd w:val="0"/>
              <w:snapToGrid w:val="0"/>
              <w:jc w:val="center"/>
              <w:rPr>
                <w:snapToGrid w:val="0"/>
                <w:color w:val="auto"/>
                <w:kern w:val="0"/>
                <w:szCs w:val="21"/>
                <w:highlight w:val="none"/>
              </w:rPr>
            </w:pPr>
            <w:r>
              <w:rPr>
                <w:rFonts w:hint="eastAsia"/>
                <w:snapToGrid w:val="0"/>
                <w:color w:val="auto"/>
                <w:kern w:val="0"/>
                <w:szCs w:val="21"/>
                <w:highlight w:val="none"/>
              </w:rPr>
              <w:t>冷却塔排水</w:t>
            </w:r>
          </w:p>
        </w:tc>
        <w:tc>
          <w:tcPr>
            <w:tcW w:w="778" w:type="pct"/>
            <w:tcMar>
              <w:top w:w="0" w:type="dxa"/>
              <w:left w:w="0" w:type="dxa"/>
              <w:bottom w:w="0" w:type="dxa"/>
              <w:right w:w="0" w:type="dxa"/>
            </w:tcMar>
            <w:vAlign w:val="center"/>
          </w:tcPr>
          <w:p w14:paraId="26FDC09F">
            <w:pPr>
              <w:adjustRightInd w:val="0"/>
              <w:snapToGrid w:val="0"/>
              <w:jc w:val="center"/>
              <w:rPr>
                <w:color w:val="auto"/>
                <w:szCs w:val="21"/>
                <w:highlight w:val="none"/>
              </w:rPr>
            </w:pPr>
            <w:r>
              <w:rPr>
                <w:color w:val="auto"/>
                <w:szCs w:val="21"/>
                <w:highlight w:val="none"/>
              </w:rPr>
              <w:t>COD、SS</w:t>
            </w:r>
          </w:p>
        </w:tc>
        <w:tc>
          <w:tcPr>
            <w:tcW w:w="1157" w:type="pct"/>
            <w:tcMar>
              <w:top w:w="0" w:type="dxa"/>
              <w:left w:w="0" w:type="dxa"/>
              <w:bottom w:w="0" w:type="dxa"/>
              <w:right w:w="0" w:type="dxa"/>
            </w:tcMar>
            <w:vAlign w:val="center"/>
          </w:tcPr>
          <w:p w14:paraId="032B8908">
            <w:pPr>
              <w:adjustRightInd w:val="0"/>
              <w:snapToGrid w:val="0"/>
              <w:jc w:val="center"/>
              <w:rPr>
                <w:rFonts w:hAnsi="宋体"/>
                <w:color w:val="auto"/>
                <w:szCs w:val="21"/>
                <w:highlight w:val="none"/>
              </w:rPr>
            </w:pPr>
            <w:r>
              <w:rPr>
                <w:rFonts w:hint="eastAsia" w:hAnsi="宋体"/>
                <w:color w:val="auto"/>
                <w:szCs w:val="21"/>
                <w:highlight w:val="none"/>
              </w:rPr>
              <w:t>/</w:t>
            </w:r>
          </w:p>
        </w:tc>
        <w:tc>
          <w:tcPr>
            <w:tcW w:w="1797" w:type="pct"/>
            <w:vMerge w:val="continue"/>
            <w:tcMar>
              <w:top w:w="0" w:type="dxa"/>
              <w:left w:w="0" w:type="dxa"/>
              <w:bottom w:w="0" w:type="dxa"/>
              <w:right w:w="0" w:type="dxa"/>
            </w:tcMar>
            <w:vAlign w:val="center"/>
          </w:tcPr>
          <w:p w14:paraId="5C0F4F52">
            <w:pPr>
              <w:adjustRightInd w:val="0"/>
              <w:snapToGrid w:val="0"/>
              <w:jc w:val="center"/>
              <w:rPr>
                <w:rFonts w:hAnsi="宋体"/>
                <w:snapToGrid w:val="0"/>
                <w:color w:val="auto"/>
                <w:kern w:val="0"/>
                <w:szCs w:val="21"/>
                <w:highlight w:val="none"/>
              </w:rPr>
            </w:pPr>
          </w:p>
        </w:tc>
      </w:tr>
      <w:tr w14:paraId="31373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vMerge w:val="continue"/>
            <w:tcMar>
              <w:top w:w="0" w:type="dxa"/>
              <w:left w:w="0" w:type="dxa"/>
              <w:bottom w:w="0" w:type="dxa"/>
              <w:right w:w="0" w:type="dxa"/>
            </w:tcMar>
            <w:vAlign w:val="center"/>
          </w:tcPr>
          <w:p w14:paraId="73938000">
            <w:pPr>
              <w:adjustRightInd w:val="0"/>
              <w:snapToGrid w:val="0"/>
              <w:jc w:val="center"/>
              <w:rPr>
                <w:rFonts w:hAnsi="宋体"/>
                <w:color w:val="auto"/>
                <w:szCs w:val="21"/>
                <w:highlight w:val="none"/>
              </w:rPr>
            </w:pPr>
          </w:p>
        </w:tc>
        <w:tc>
          <w:tcPr>
            <w:tcW w:w="759" w:type="pct"/>
            <w:tcMar>
              <w:top w:w="0" w:type="dxa"/>
              <w:left w:w="0" w:type="dxa"/>
              <w:bottom w:w="0" w:type="dxa"/>
              <w:right w:w="0" w:type="dxa"/>
            </w:tcMar>
            <w:vAlign w:val="center"/>
          </w:tcPr>
          <w:p w14:paraId="0881E3B6">
            <w:pPr>
              <w:adjustRightInd w:val="0"/>
              <w:snapToGrid w:val="0"/>
              <w:jc w:val="center"/>
              <w:rPr>
                <w:snapToGrid w:val="0"/>
                <w:color w:val="auto"/>
                <w:kern w:val="0"/>
                <w:szCs w:val="21"/>
                <w:highlight w:val="none"/>
              </w:rPr>
            </w:pPr>
            <w:r>
              <w:rPr>
                <w:rFonts w:hint="eastAsia"/>
                <w:snapToGrid w:val="0"/>
                <w:color w:val="auto"/>
                <w:kern w:val="0"/>
                <w:szCs w:val="21"/>
                <w:highlight w:val="none"/>
              </w:rPr>
              <w:t>初期雨水</w:t>
            </w:r>
          </w:p>
        </w:tc>
        <w:tc>
          <w:tcPr>
            <w:tcW w:w="778" w:type="pct"/>
            <w:tcMar>
              <w:top w:w="0" w:type="dxa"/>
              <w:left w:w="0" w:type="dxa"/>
              <w:bottom w:w="0" w:type="dxa"/>
              <w:right w:w="0" w:type="dxa"/>
            </w:tcMar>
            <w:vAlign w:val="center"/>
          </w:tcPr>
          <w:p w14:paraId="685B9BC2">
            <w:pPr>
              <w:adjustRightInd w:val="0"/>
              <w:snapToGrid w:val="0"/>
              <w:jc w:val="center"/>
              <w:rPr>
                <w:color w:val="auto"/>
                <w:szCs w:val="21"/>
                <w:highlight w:val="none"/>
              </w:rPr>
            </w:pPr>
            <w:r>
              <w:rPr>
                <w:color w:val="auto"/>
                <w:szCs w:val="21"/>
                <w:highlight w:val="none"/>
              </w:rPr>
              <w:t>COD、SS</w:t>
            </w:r>
          </w:p>
        </w:tc>
        <w:tc>
          <w:tcPr>
            <w:tcW w:w="1157" w:type="pct"/>
            <w:tcMar>
              <w:top w:w="0" w:type="dxa"/>
              <w:left w:w="0" w:type="dxa"/>
              <w:bottom w:w="0" w:type="dxa"/>
              <w:right w:w="0" w:type="dxa"/>
            </w:tcMar>
            <w:vAlign w:val="center"/>
          </w:tcPr>
          <w:p w14:paraId="6BF2848C">
            <w:pPr>
              <w:adjustRightInd w:val="0"/>
              <w:snapToGrid w:val="0"/>
              <w:jc w:val="center"/>
              <w:rPr>
                <w:rFonts w:hAnsi="宋体"/>
                <w:color w:val="auto"/>
                <w:szCs w:val="21"/>
                <w:highlight w:val="none"/>
              </w:rPr>
            </w:pPr>
            <w:r>
              <w:rPr>
                <w:rFonts w:hint="eastAsia" w:hAnsi="宋体"/>
                <w:color w:val="auto"/>
                <w:szCs w:val="21"/>
                <w:highlight w:val="none"/>
              </w:rPr>
              <w:t>沉淀池</w:t>
            </w:r>
          </w:p>
        </w:tc>
        <w:tc>
          <w:tcPr>
            <w:tcW w:w="1797" w:type="pct"/>
            <w:vMerge w:val="continue"/>
            <w:tcMar>
              <w:top w:w="0" w:type="dxa"/>
              <w:left w:w="0" w:type="dxa"/>
              <w:bottom w:w="0" w:type="dxa"/>
              <w:right w:w="0" w:type="dxa"/>
            </w:tcMar>
            <w:vAlign w:val="center"/>
          </w:tcPr>
          <w:p w14:paraId="2AF805B1">
            <w:pPr>
              <w:adjustRightInd w:val="0"/>
              <w:snapToGrid w:val="0"/>
              <w:jc w:val="center"/>
              <w:rPr>
                <w:rFonts w:hAnsi="宋体"/>
                <w:snapToGrid w:val="0"/>
                <w:color w:val="auto"/>
                <w:kern w:val="0"/>
                <w:szCs w:val="21"/>
                <w:highlight w:val="none"/>
              </w:rPr>
            </w:pPr>
          </w:p>
        </w:tc>
      </w:tr>
      <w:tr w14:paraId="6D6C1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3DBD2A85">
            <w:pPr>
              <w:adjustRightInd w:val="0"/>
              <w:snapToGrid w:val="0"/>
              <w:jc w:val="center"/>
              <w:rPr>
                <w:color w:val="auto"/>
                <w:szCs w:val="21"/>
                <w:highlight w:val="none"/>
              </w:rPr>
            </w:pPr>
            <w:r>
              <w:rPr>
                <w:rFonts w:hAnsi="宋体"/>
                <w:color w:val="auto"/>
                <w:szCs w:val="21"/>
                <w:highlight w:val="none"/>
              </w:rPr>
              <w:t>声环境</w:t>
            </w:r>
          </w:p>
        </w:tc>
        <w:tc>
          <w:tcPr>
            <w:tcW w:w="759" w:type="pct"/>
            <w:tcMar>
              <w:top w:w="0" w:type="dxa"/>
              <w:left w:w="0" w:type="dxa"/>
              <w:bottom w:w="0" w:type="dxa"/>
              <w:right w:w="0" w:type="dxa"/>
            </w:tcMar>
            <w:vAlign w:val="center"/>
          </w:tcPr>
          <w:p w14:paraId="7D1931DE">
            <w:pPr>
              <w:adjustRightInd w:val="0"/>
              <w:snapToGrid w:val="0"/>
              <w:jc w:val="center"/>
              <w:rPr>
                <w:color w:val="auto"/>
                <w:szCs w:val="21"/>
                <w:highlight w:val="none"/>
              </w:rPr>
            </w:pPr>
            <w:r>
              <w:rPr>
                <w:rFonts w:hint="eastAsia"/>
                <w:color w:val="auto"/>
                <w:szCs w:val="21"/>
                <w:highlight w:val="none"/>
              </w:rPr>
              <w:t>生产设备、风机等</w:t>
            </w:r>
          </w:p>
        </w:tc>
        <w:tc>
          <w:tcPr>
            <w:tcW w:w="778" w:type="pct"/>
            <w:tcMar>
              <w:top w:w="0" w:type="dxa"/>
              <w:left w:w="0" w:type="dxa"/>
              <w:bottom w:w="0" w:type="dxa"/>
              <w:right w:w="0" w:type="dxa"/>
            </w:tcMar>
            <w:vAlign w:val="center"/>
          </w:tcPr>
          <w:p w14:paraId="6A2E2384">
            <w:pPr>
              <w:adjustRightInd w:val="0"/>
              <w:snapToGrid w:val="0"/>
              <w:jc w:val="center"/>
              <w:rPr>
                <w:color w:val="auto"/>
                <w:szCs w:val="21"/>
                <w:highlight w:val="none"/>
              </w:rPr>
            </w:pPr>
            <w:r>
              <w:rPr>
                <w:color w:val="auto"/>
                <w:szCs w:val="21"/>
                <w:highlight w:val="none"/>
              </w:rPr>
              <w:t>Leq(A)</w:t>
            </w:r>
          </w:p>
        </w:tc>
        <w:tc>
          <w:tcPr>
            <w:tcW w:w="1157" w:type="pct"/>
            <w:tcMar>
              <w:top w:w="0" w:type="dxa"/>
              <w:left w:w="0" w:type="dxa"/>
              <w:bottom w:w="0" w:type="dxa"/>
              <w:right w:w="0" w:type="dxa"/>
            </w:tcMar>
            <w:vAlign w:val="center"/>
          </w:tcPr>
          <w:p w14:paraId="5A20D370">
            <w:pPr>
              <w:adjustRightInd w:val="0"/>
              <w:snapToGrid w:val="0"/>
              <w:jc w:val="center"/>
              <w:rPr>
                <w:color w:val="auto"/>
                <w:szCs w:val="21"/>
                <w:highlight w:val="none"/>
              </w:rPr>
            </w:pPr>
            <w:r>
              <w:rPr>
                <w:rFonts w:hAnsi="宋体"/>
                <w:color w:val="auto"/>
                <w:szCs w:val="21"/>
                <w:highlight w:val="none"/>
              </w:rPr>
              <w:t>采取合理布局、选用低噪声设备、设备减振、加强管理等</w:t>
            </w:r>
          </w:p>
        </w:tc>
        <w:tc>
          <w:tcPr>
            <w:tcW w:w="1797" w:type="pct"/>
            <w:tcMar>
              <w:top w:w="0" w:type="dxa"/>
              <w:left w:w="0" w:type="dxa"/>
              <w:bottom w:w="0" w:type="dxa"/>
              <w:right w:w="0" w:type="dxa"/>
            </w:tcMar>
            <w:vAlign w:val="center"/>
          </w:tcPr>
          <w:p w14:paraId="381D16E9">
            <w:pPr>
              <w:adjustRightInd w:val="0"/>
              <w:snapToGrid w:val="0"/>
              <w:jc w:val="center"/>
              <w:rPr>
                <w:color w:val="auto"/>
                <w:szCs w:val="21"/>
                <w:highlight w:val="none"/>
              </w:rPr>
            </w:pPr>
            <w:r>
              <w:rPr>
                <w:rFonts w:hAnsi="宋体"/>
                <w:color w:val="auto"/>
                <w:szCs w:val="21"/>
                <w:highlight w:val="none"/>
              </w:rPr>
              <w:t>《工业企业厂界环境噪声排放标准》（</w:t>
            </w:r>
            <w:r>
              <w:rPr>
                <w:color w:val="auto"/>
                <w:szCs w:val="21"/>
                <w:highlight w:val="none"/>
              </w:rPr>
              <w:t>GB12348-2008</w:t>
            </w:r>
            <w:r>
              <w:rPr>
                <w:rFonts w:hAnsi="宋体"/>
                <w:color w:val="auto"/>
                <w:szCs w:val="21"/>
                <w:highlight w:val="none"/>
              </w:rPr>
              <w:t>）中</w:t>
            </w:r>
            <w:r>
              <w:rPr>
                <w:rFonts w:hint="eastAsia"/>
                <w:color w:val="auto"/>
                <w:szCs w:val="21"/>
                <w:highlight w:val="none"/>
              </w:rPr>
              <w:t>3</w:t>
            </w:r>
            <w:r>
              <w:rPr>
                <w:rFonts w:hAnsi="宋体"/>
                <w:color w:val="auto"/>
                <w:szCs w:val="21"/>
                <w:highlight w:val="none"/>
              </w:rPr>
              <w:t>类标准</w:t>
            </w:r>
            <w:r>
              <w:rPr>
                <w:rFonts w:hint="eastAsia" w:hAnsi="宋体"/>
                <w:color w:val="auto"/>
                <w:szCs w:val="21"/>
                <w:highlight w:val="none"/>
              </w:rPr>
              <w:t>，</w:t>
            </w:r>
            <w:r>
              <w:rPr>
                <w:rFonts w:hAnsi="宋体"/>
                <w:color w:val="auto"/>
                <w:szCs w:val="21"/>
                <w:highlight w:val="none"/>
              </w:rPr>
              <w:t>即昼间≤6</w:t>
            </w:r>
            <w:r>
              <w:rPr>
                <w:rFonts w:hint="eastAsia" w:hAnsi="宋体"/>
                <w:color w:val="auto"/>
                <w:szCs w:val="21"/>
                <w:highlight w:val="none"/>
              </w:rPr>
              <w:t>5</w:t>
            </w:r>
            <w:r>
              <w:rPr>
                <w:rFonts w:hAnsi="宋体"/>
                <w:color w:val="auto"/>
                <w:szCs w:val="21"/>
                <w:highlight w:val="none"/>
              </w:rPr>
              <w:t>dB（A）</w:t>
            </w:r>
            <w:r>
              <w:rPr>
                <w:rFonts w:hint="eastAsia" w:hAnsi="宋体"/>
                <w:color w:val="auto"/>
                <w:szCs w:val="21"/>
                <w:highlight w:val="none"/>
              </w:rPr>
              <w:t>、夜间</w:t>
            </w:r>
            <w:r>
              <w:rPr>
                <w:rFonts w:hAnsi="宋体"/>
                <w:color w:val="auto"/>
                <w:szCs w:val="21"/>
                <w:highlight w:val="none"/>
              </w:rPr>
              <w:t>≤</w:t>
            </w:r>
            <w:r>
              <w:rPr>
                <w:rFonts w:hint="eastAsia" w:hAnsi="宋体"/>
                <w:color w:val="auto"/>
                <w:szCs w:val="21"/>
                <w:highlight w:val="none"/>
              </w:rPr>
              <w:t>55</w:t>
            </w:r>
            <w:r>
              <w:rPr>
                <w:rFonts w:hAnsi="宋体"/>
                <w:color w:val="auto"/>
                <w:szCs w:val="21"/>
                <w:highlight w:val="none"/>
              </w:rPr>
              <w:t>dB（A）</w:t>
            </w:r>
          </w:p>
        </w:tc>
      </w:tr>
      <w:tr w14:paraId="7DCA9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71674B1E">
            <w:pPr>
              <w:adjustRightInd w:val="0"/>
              <w:snapToGrid w:val="0"/>
              <w:jc w:val="center"/>
              <w:rPr>
                <w:color w:val="auto"/>
                <w:szCs w:val="21"/>
                <w:highlight w:val="none"/>
              </w:rPr>
            </w:pPr>
            <w:r>
              <w:rPr>
                <w:rFonts w:hAnsi="宋体"/>
                <w:color w:val="auto"/>
                <w:szCs w:val="21"/>
                <w:highlight w:val="none"/>
              </w:rPr>
              <w:t>电磁辐射</w:t>
            </w:r>
          </w:p>
        </w:tc>
        <w:tc>
          <w:tcPr>
            <w:tcW w:w="759" w:type="pct"/>
            <w:tcMar>
              <w:top w:w="0" w:type="dxa"/>
              <w:left w:w="0" w:type="dxa"/>
              <w:bottom w:w="0" w:type="dxa"/>
              <w:right w:w="0" w:type="dxa"/>
            </w:tcMar>
            <w:vAlign w:val="center"/>
          </w:tcPr>
          <w:p w14:paraId="0F1F9D63">
            <w:pPr>
              <w:adjustRightInd w:val="0"/>
              <w:snapToGrid w:val="0"/>
              <w:jc w:val="center"/>
              <w:rPr>
                <w:color w:val="auto"/>
                <w:szCs w:val="21"/>
                <w:highlight w:val="none"/>
              </w:rPr>
            </w:pPr>
            <w:r>
              <w:rPr>
                <w:color w:val="auto"/>
                <w:szCs w:val="21"/>
                <w:highlight w:val="none"/>
              </w:rPr>
              <w:t>/</w:t>
            </w:r>
          </w:p>
        </w:tc>
        <w:tc>
          <w:tcPr>
            <w:tcW w:w="778" w:type="pct"/>
            <w:tcMar>
              <w:top w:w="0" w:type="dxa"/>
              <w:left w:w="0" w:type="dxa"/>
              <w:bottom w:w="0" w:type="dxa"/>
              <w:right w:w="0" w:type="dxa"/>
            </w:tcMar>
            <w:vAlign w:val="center"/>
          </w:tcPr>
          <w:p w14:paraId="38D08678">
            <w:pPr>
              <w:adjustRightInd w:val="0"/>
              <w:snapToGrid w:val="0"/>
              <w:jc w:val="center"/>
              <w:rPr>
                <w:color w:val="auto"/>
                <w:szCs w:val="21"/>
                <w:highlight w:val="none"/>
              </w:rPr>
            </w:pPr>
            <w:r>
              <w:rPr>
                <w:color w:val="auto"/>
                <w:szCs w:val="21"/>
                <w:highlight w:val="none"/>
              </w:rPr>
              <w:t>/</w:t>
            </w:r>
          </w:p>
        </w:tc>
        <w:tc>
          <w:tcPr>
            <w:tcW w:w="1157" w:type="pct"/>
            <w:tcMar>
              <w:top w:w="0" w:type="dxa"/>
              <w:left w:w="0" w:type="dxa"/>
              <w:bottom w:w="0" w:type="dxa"/>
              <w:right w:w="0" w:type="dxa"/>
            </w:tcMar>
            <w:vAlign w:val="center"/>
          </w:tcPr>
          <w:p w14:paraId="255AE870">
            <w:pPr>
              <w:adjustRightInd w:val="0"/>
              <w:snapToGrid w:val="0"/>
              <w:jc w:val="center"/>
              <w:rPr>
                <w:color w:val="auto"/>
                <w:szCs w:val="21"/>
                <w:highlight w:val="none"/>
              </w:rPr>
            </w:pPr>
            <w:r>
              <w:rPr>
                <w:color w:val="auto"/>
                <w:szCs w:val="21"/>
                <w:highlight w:val="none"/>
              </w:rPr>
              <w:t>/</w:t>
            </w:r>
          </w:p>
        </w:tc>
        <w:tc>
          <w:tcPr>
            <w:tcW w:w="1797" w:type="pct"/>
            <w:tcMar>
              <w:top w:w="0" w:type="dxa"/>
              <w:left w:w="0" w:type="dxa"/>
              <w:bottom w:w="0" w:type="dxa"/>
              <w:right w:w="0" w:type="dxa"/>
            </w:tcMar>
            <w:vAlign w:val="center"/>
          </w:tcPr>
          <w:p w14:paraId="4A88728D">
            <w:pPr>
              <w:adjustRightInd w:val="0"/>
              <w:snapToGrid w:val="0"/>
              <w:jc w:val="center"/>
              <w:rPr>
                <w:color w:val="auto"/>
                <w:szCs w:val="21"/>
                <w:highlight w:val="none"/>
              </w:rPr>
            </w:pPr>
            <w:r>
              <w:rPr>
                <w:color w:val="auto"/>
                <w:szCs w:val="21"/>
                <w:highlight w:val="none"/>
              </w:rPr>
              <w:t>/</w:t>
            </w:r>
          </w:p>
        </w:tc>
      </w:tr>
      <w:tr w14:paraId="6D932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209A9A5D">
            <w:pPr>
              <w:adjustRightInd w:val="0"/>
              <w:snapToGrid w:val="0"/>
              <w:jc w:val="center"/>
              <w:rPr>
                <w:color w:val="auto"/>
                <w:szCs w:val="21"/>
                <w:highlight w:val="none"/>
              </w:rPr>
            </w:pPr>
            <w:r>
              <w:rPr>
                <w:rFonts w:hAnsi="宋体"/>
                <w:color w:val="auto"/>
                <w:szCs w:val="21"/>
                <w:highlight w:val="none"/>
              </w:rPr>
              <w:t>固体废物</w:t>
            </w:r>
          </w:p>
        </w:tc>
        <w:tc>
          <w:tcPr>
            <w:tcW w:w="4493" w:type="pct"/>
            <w:gridSpan w:val="4"/>
            <w:tcBorders>
              <w:bottom w:val="single" w:color="auto" w:sz="4" w:space="0"/>
            </w:tcBorders>
            <w:tcMar>
              <w:top w:w="0" w:type="dxa"/>
              <w:left w:w="0" w:type="dxa"/>
              <w:bottom w:w="0" w:type="dxa"/>
              <w:right w:w="0" w:type="dxa"/>
            </w:tcMar>
            <w:vAlign w:val="center"/>
          </w:tcPr>
          <w:p w14:paraId="517D7B9D">
            <w:pPr>
              <w:adjustRightInd w:val="0"/>
              <w:snapToGrid w:val="0"/>
              <w:ind w:firstLine="388" w:firstLineChars="200"/>
              <w:jc w:val="left"/>
              <w:rPr>
                <w:color w:val="auto"/>
                <w:spacing w:val="-8"/>
                <w:szCs w:val="21"/>
                <w:highlight w:val="none"/>
              </w:rPr>
            </w:pPr>
            <w:r>
              <w:rPr>
                <w:color w:val="auto"/>
                <w:spacing w:val="-8"/>
                <w:szCs w:val="21"/>
                <w:highlight w:val="none"/>
              </w:rPr>
              <w:t>设置1个一般工业固废堆场33m</w:t>
            </w:r>
            <w:r>
              <w:rPr>
                <w:color w:val="auto"/>
                <w:spacing w:val="-8"/>
                <w:szCs w:val="21"/>
                <w:highlight w:val="none"/>
                <w:vertAlign w:val="superscript"/>
              </w:rPr>
              <w:t>2</w:t>
            </w:r>
            <w:r>
              <w:rPr>
                <w:color w:val="auto"/>
                <w:spacing w:val="-8"/>
                <w:szCs w:val="21"/>
                <w:highlight w:val="none"/>
              </w:rPr>
              <w:t>，按照</w:t>
            </w:r>
            <w:bookmarkStart w:id="19" w:name="OLE_LINK2"/>
            <w:r>
              <w:rPr>
                <w:color w:val="auto"/>
                <w:spacing w:val="-8"/>
                <w:szCs w:val="21"/>
                <w:highlight w:val="none"/>
              </w:rPr>
              <w:t>《一般工业固体废物贮存和填埋污染控制标准》（GB18599-2020）</w:t>
            </w:r>
            <w:bookmarkEnd w:id="19"/>
            <w:r>
              <w:rPr>
                <w:color w:val="auto"/>
                <w:spacing w:val="-8"/>
                <w:szCs w:val="21"/>
                <w:highlight w:val="none"/>
              </w:rPr>
              <w:t>要求建设。设置1个危废仓库30m</w:t>
            </w:r>
            <w:r>
              <w:rPr>
                <w:color w:val="auto"/>
                <w:spacing w:val="-8"/>
                <w:szCs w:val="21"/>
                <w:highlight w:val="none"/>
                <w:vertAlign w:val="superscript"/>
              </w:rPr>
              <w:t>2</w:t>
            </w:r>
            <w:r>
              <w:rPr>
                <w:color w:val="auto"/>
                <w:spacing w:val="-8"/>
                <w:szCs w:val="21"/>
                <w:highlight w:val="none"/>
              </w:rPr>
              <w:t>，危险废物贮存按照《危险废物贮存污染控制标准》（GB18597-2001）及修改单要求、《危险废物收集储存运输技术规范》（HJ2025-2012）相关规定要求以及《省生态环境厅关于进一步加强危险废物污染防治工作的实施意见》（苏环办[2019]327号）要求进行危险废物的贮存；</w:t>
            </w:r>
          </w:p>
          <w:p w14:paraId="15544CA0">
            <w:pPr>
              <w:adjustRightInd w:val="0"/>
              <w:snapToGrid w:val="0"/>
              <w:ind w:firstLine="388" w:firstLineChars="200"/>
              <w:jc w:val="left"/>
              <w:rPr>
                <w:color w:val="auto"/>
                <w:szCs w:val="21"/>
                <w:highlight w:val="none"/>
              </w:rPr>
            </w:pPr>
            <w:r>
              <w:rPr>
                <w:color w:val="auto"/>
                <w:spacing w:val="-8"/>
                <w:szCs w:val="21"/>
                <w:highlight w:val="none"/>
              </w:rPr>
              <w:t>建设项目废活性炭、废胶</w:t>
            </w:r>
            <w:r>
              <w:rPr>
                <w:rFonts w:hint="eastAsia"/>
                <w:color w:val="auto"/>
                <w:spacing w:val="-8"/>
                <w:szCs w:val="21"/>
                <w:highlight w:val="none"/>
                <w:lang w:eastAsia="zh-Hans"/>
              </w:rPr>
              <w:t>、</w:t>
            </w:r>
            <w:r>
              <w:rPr>
                <w:rFonts w:hint="eastAsia"/>
                <w:color w:val="auto"/>
                <w:spacing w:val="-8"/>
                <w:szCs w:val="21"/>
                <w:highlight w:val="none"/>
                <w:lang w:val="en-US" w:eastAsia="zh-Hans"/>
              </w:rPr>
              <w:t>废粉</w:t>
            </w:r>
            <w:r>
              <w:rPr>
                <w:color w:val="auto"/>
                <w:spacing w:val="-8"/>
                <w:szCs w:val="21"/>
                <w:highlight w:val="none"/>
              </w:rPr>
              <w:t>、废包装桶贮存于危废仓库并委托有资质单位进行处置；废边角料、废铜线、</w:t>
            </w:r>
            <w:r>
              <w:rPr>
                <w:color w:val="auto"/>
                <w:kern w:val="24"/>
                <w:szCs w:val="21"/>
                <w:highlight w:val="none"/>
              </w:rPr>
              <w:t>焊接烟尘净化器粉尘</w:t>
            </w:r>
            <w:r>
              <w:rPr>
                <w:color w:val="auto"/>
                <w:spacing w:val="-8"/>
                <w:szCs w:val="21"/>
                <w:highlight w:val="none"/>
              </w:rPr>
              <w:t>贮存于一般工业固废堆场并委托合法合规单位处置；生活垃圾由环卫部门统一清运处置。</w:t>
            </w:r>
          </w:p>
        </w:tc>
      </w:tr>
      <w:tr w14:paraId="5917F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624E3EAE">
            <w:pPr>
              <w:adjustRightInd w:val="0"/>
              <w:snapToGrid w:val="0"/>
              <w:jc w:val="center"/>
              <w:rPr>
                <w:color w:val="auto"/>
                <w:szCs w:val="21"/>
                <w:highlight w:val="none"/>
              </w:rPr>
            </w:pPr>
            <w:r>
              <w:rPr>
                <w:rFonts w:hAnsi="宋体"/>
                <w:color w:val="auto"/>
                <w:szCs w:val="21"/>
                <w:highlight w:val="none"/>
              </w:rPr>
              <w:t>土壤及地下水污染防治措施</w:t>
            </w:r>
          </w:p>
        </w:tc>
        <w:tc>
          <w:tcPr>
            <w:tcW w:w="4493" w:type="pct"/>
            <w:gridSpan w:val="4"/>
            <w:tcMar>
              <w:top w:w="0" w:type="dxa"/>
              <w:left w:w="0" w:type="dxa"/>
              <w:bottom w:w="0" w:type="dxa"/>
              <w:right w:w="0" w:type="dxa"/>
            </w:tcMar>
            <w:vAlign w:val="center"/>
          </w:tcPr>
          <w:p w14:paraId="04996DCB">
            <w:pPr>
              <w:adjustRightInd w:val="0"/>
              <w:snapToGrid w:val="0"/>
              <w:jc w:val="center"/>
              <w:rPr>
                <w:color w:val="auto"/>
                <w:szCs w:val="21"/>
                <w:highlight w:val="none"/>
              </w:rPr>
            </w:pPr>
            <w:r>
              <w:rPr>
                <w:color w:val="auto"/>
                <w:szCs w:val="21"/>
                <w:highlight w:val="none"/>
              </w:rPr>
              <w:t>/</w:t>
            </w:r>
          </w:p>
        </w:tc>
      </w:tr>
      <w:tr w14:paraId="6A115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1427CFD2">
            <w:pPr>
              <w:adjustRightInd w:val="0"/>
              <w:snapToGrid w:val="0"/>
              <w:jc w:val="center"/>
              <w:rPr>
                <w:color w:val="auto"/>
                <w:szCs w:val="21"/>
                <w:highlight w:val="none"/>
              </w:rPr>
            </w:pPr>
            <w:r>
              <w:rPr>
                <w:rFonts w:hAnsi="宋体"/>
                <w:color w:val="auto"/>
                <w:szCs w:val="21"/>
                <w:highlight w:val="none"/>
              </w:rPr>
              <w:t>生态保护措施</w:t>
            </w:r>
          </w:p>
        </w:tc>
        <w:tc>
          <w:tcPr>
            <w:tcW w:w="4493" w:type="pct"/>
            <w:gridSpan w:val="4"/>
            <w:tcMar>
              <w:top w:w="0" w:type="dxa"/>
              <w:left w:w="0" w:type="dxa"/>
              <w:bottom w:w="0" w:type="dxa"/>
              <w:right w:w="0" w:type="dxa"/>
            </w:tcMar>
            <w:vAlign w:val="center"/>
          </w:tcPr>
          <w:p w14:paraId="267B400F">
            <w:pPr>
              <w:adjustRightInd w:val="0"/>
              <w:snapToGrid w:val="0"/>
              <w:jc w:val="center"/>
              <w:rPr>
                <w:color w:val="auto"/>
                <w:szCs w:val="21"/>
                <w:highlight w:val="none"/>
              </w:rPr>
            </w:pPr>
            <w:r>
              <w:rPr>
                <w:color w:val="auto"/>
                <w:szCs w:val="21"/>
                <w:highlight w:val="none"/>
              </w:rPr>
              <w:t>/</w:t>
            </w:r>
          </w:p>
        </w:tc>
      </w:tr>
      <w:tr w14:paraId="73201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447A6D5F">
            <w:pPr>
              <w:adjustRightInd w:val="0"/>
              <w:snapToGrid w:val="0"/>
              <w:jc w:val="center"/>
              <w:rPr>
                <w:rFonts w:hAnsi="宋体"/>
                <w:color w:val="auto"/>
                <w:szCs w:val="21"/>
                <w:highlight w:val="none"/>
              </w:rPr>
            </w:pPr>
            <w:r>
              <w:rPr>
                <w:rFonts w:hAnsi="宋体"/>
                <w:color w:val="auto"/>
                <w:szCs w:val="21"/>
                <w:highlight w:val="none"/>
              </w:rPr>
              <w:t>环境风险</w:t>
            </w:r>
          </w:p>
          <w:p w14:paraId="2E238FA8">
            <w:pPr>
              <w:adjustRightInd w:val="0"/>
              <w:snapToGrid w:val="0"/>
              <w:jc w:val="center"/>
              <w:rPr>
                <w:rFonts w:hAnsi="宋体"/>
                <w:color w:val="auto"/>
                <w:szCs w:val="21"/>
                <w:highlight w:val="none"/>
              </w:rPr>
            </w:pPr>
            <w:r>
              <w:rPr>
                <w:rFonts w:hAnsi="宋体"/>
                <w:color w:val="auto"/>
                <w:szCs w:val="21"/>
                <w:highlight w:val="none"/>
              </w:rPr>
              <w:t>防范措施</w:t>
            </w:r>
          </w:p>
        </w:tc>
        <w:tc>
          <w:tcPr>
            <w:tcW w:w="4493" w:type="pct"/>
            <w:gridSpan w:val="4"/>
            <w:tcMar>
              <w:top w:w="0" w:type="dxa"/>
              <w:left w:w="0" w:type="dxa"/>
              <w:bottom w:w="0" w:type="dxa"/>
              <w:right w:w="0" w:type="dxa"/>
            </w:tcMar>
            <w:vAlign w:val="center"/>
          </w:tcPr>
          <w:p w14:paraId="3E82D43F">
            <w:pPr>
              <w:adjustRightInd w:val="0"/>
              <w:snapToGrid w:val="0"/>
              <w:ind w:firstLine="388" w:firstLineChars="200"/>
              <w:rPr>
                <w:color w:val="auto"/>
                <w:spacing w:val="-8"/>
                <w:szCs w:val="21"/>
                <w:highlight w:val="none"/>
              </w:rPr>
            </w:pPr>
            <w:r>
              <w:rPr>
                <w:color w:val="auto"/>
                <w:spacing w:val="-8"/>
                <w:szCs w:val="21"/>
                <w:highlight w:val="none"/>
              </w:rPr>
              <w:t xml:space="preserve">a.消除点火源。使用防爆的电气设备；防止静电蓄积；使加热器等保持低温；防止机械由于摩擦、撞击、故障等原因而产生火花或异常的高温。 </w:t>
            </w:r>
          </w:p>
          <w:p w14:paraId="58A71C85">
            <w:pPr>
              <w:adjustRightInd w:val="0"/>
              <w:snapToGrid w:val="0"/>
              <w:ind w:firstLine="388" w:firstLineChars="200"/>
              <w:rPr>
                <w:color w:val="auto"/>
                <w:spacing w:val="-8"/>
                <w:szCs w:val="21"/>
                <w:highlight w:val="none"/>
              </w:rPr>
            </w:pPr>
            <w:r>
              <w:rPr>
                <w:color w:val="auto"/>
                <w:spacing w:val="-8"/>
                <w:szCs w:val="21"/>
                <w:highlight w:val="none"/>
              </w:rPr>
              <w:t xml:space="preserve">b.在危险部位设置自动的烟感器或爆炸抑制装置，早期发现并抑制。 </w:t>
            </w:r>
          </w:p>
          <w:p w14:paraId="69549062">
            <w:pPr>
              <w:adjustRightInd w:val="0"/>
              <w:snapToGrid w:val="0"/>
              <w:ind w:firstLine="388" w:firstLineChars="200"/>
              <w:rPr>
                <w:color w:val="auto"/>
                <w:spacing w:val="-8"/>
                <w:szCs w:val="21"/>
                <w:highlight w:val="none"/>
              </w:rPr>
            </w:pPr>
            <w:r>
              <w:rPr>
                <w:color w:val="auto"/>
                <w:spacing w:val="-8"/>
                <w:szCs w:val="21"/>
                <w:highlight w:val="none"/>
              </w:rPr>
              <w:t xml:space="preserve">c.为避免设备、管道、容器等在发生爆炸时受到严重破坏，设置泄压孔。慎重选择泄压孔位置，采取避免损害扩大的措施。 </w:t>
            </w:r>
          </w:p>
          <w:p w14:paraId="7A2660AD">
            <w:pPr>
              <w:adjustRightInd w:val="0"/>
              <w:snapToGrid w:val="0"/>
              <w:ind w:firstLine="388" w:firstLineChars="200"/>
              <w:rPr>
                <w:color w:val="auto"/>
                <w:spacing w:val="-8"/>
                <w:szCs w:val="21"/>
                <w:highlight w:val="none"/>
              </w:rPr>
            </w:pPr>
            <w:r>
              <w:rPr>
                <w:color w:val="auto"/>
                <w:spacing w:val="-8"/>
                <w:szCs w:val="21"/>
                <w:highlight w:val="none"/>
              </w:rPr>
              <w:t xml:space="preserve">d.加大设备本身的强度或设置防爆墙，把爆炸封在里面，防止放出火焰和烟伤及其它建筑物、人员或设备。  </w:t>
            </w:r>
          </w:p>
          <w:p w14:paraId="20B00059">
            <w:pPr>
              <w:adjustRightInd w:val="0"/>
              <w:snapToGrid w:val="0"/>
              <w:ind w:firstLine="388" w:firstLineChars="200"/>
              <w:rPr>
                <w:color w:val="auto"/>
                <w:spacing w:val="-8"/>
                <w:szCs w:val="21"/>
                <w:highlight w:val="none"/>
              </w:rPr>
            </w:pPr>
            <w:r>
              <w:rPr>
                <w:color w:val="auto"/>
                <w:spacing w:val="-8"/>
                <w:szCs w:val="21"/>
                <w:highlight w:val="none"/>
              </w:rPr>
              <w:t>e.易燃物质存放场所的电气设备应严格按照《爆炸和火灾危险环境电力装置设计规范》进行设计、安装，达到整体防爆要求，使用不易产生静电、撞击不产生火花的材料，并采取静电接地保护措施。</w:t>
            </w:r>
          </w:p>
        </w:tc>
      </w:tr>
      <w:tr w14:paraId="6A4BD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6" w:type="pct"/>
            <w:tcMar>
              <w:top w:w="0" w:type="dxa"/>
              <w:left w:w="0" w:type="dxa"/>
              <w:bottom w:w="0" w:type="dxa"/>
              <w:right w:w="0" w:type="dxa"/>
            </w:tcMar>
            <w:vAlign w:val="center"/>
          </w:tcPr>
          <w:p w14:paraId="65FBC836">
            <w:pPr>
              <w:adjustRightInd w:val="0"/>
              <w:snapToGrid w:val="0"/>
              <w:jc w:val="center"/>
              <w:rPr>
                <w:rFonts w:hAnsi="宋体"/>
                <w:color w:val="auto"/>
                <w:szCs w:val="21"/>
                <w:highlight w:val="none"/>
              </w:rPr>
            </w:pPr>
            <w:r>
              <w:rPr>
                <w:rFonts w:hAnsi="宋体"/>
                <w:color w:val="auto"/>
                <w:szCs w:val="21"/>
                <w:highlight w:val="none"/>
              </w:rPr>
              <w:t>其他环境</w:t>
            </w:r>
          </w:p>
          <w:p w14:paraId="3F0D1855">
            <w:pPr>
              <w:adjustRightInd w:val="0"/>
              <w:snapToGrid w:val="0"/>
              <w:jc w:val="center"/>
              <w:rPr>
                <w:rFonts w:hAnsi="宋体"/>
                <w:color w:val="auto"/>
                <w:szCs w:val="21"/>
                <w:highlight w:val="none"/>
              </w:rPr>
            </w:pPr>
            <w:r>
              <w:rPr>
                <w:rFonts w:hAnsi="宋体"/>
                <w:color w:val="auto"/>
                <w:szCs w:val="21"/>
                <w:highlight w:val="none"/>
              </w:rPr>
              <w:t>管理要求</w:t>
            </w:r>
          </w:p>
        </w:tc>
        <w:tc>
          <w:tcPr>
            <w:tcW w:w="4493" w:type="pct"/>
            <w:gridSpan w:val="4"/>
            <w:tcMar>
              <w:top w:w="0" w:type="dxa"/>
              <w:left w:w="0" w:type="dxa"/>
              <w:bottom w:w="0" w:type="dxa"/>
              <w:right w:w="0" w:type="dxa"/>
            </w:tcMar>
            <w:vAlign w:val="center"/>
          </w:tcPr>
          <w:p w14:paraId="5D1D93EF">
            <w:pPr>
              <w:adjustRightInd w:val="0"/>
              <w:snapToGrid w:val="0"/>
              <w:jc w:val="center"/>
              <w:rPr>
                <w:color w:val="auto"/>
                <w:szCs w:val="21"/>
                <w:highlight w:val="none"/>
              </w:rPr>
            </w:pPr>
            <w:r>
              <w:rPr>
                <w:rFonts w:hint="eastAsia"/>
                <w:color w:val="auto"/>
                <w:szCs w:val="21"/>
                <w:highlight w:val="none"/>
              </w:rPr>
              <w:t>无</w:t>
            </w:r>
          </w:p>
        </w:tc>
      </w:tr>
    </w:tbl>
    <w:p w14:paraId="6401F1B0">
      <w:pPr>
        <w:pStyle w:val="22"/>
        <w:spacing w:before="0" w:beforeAutospacing="0" w:after="0" w:afterAutospacing="0"/>
        <w:jc w:val="center"/>
        <w:outlineLvl w:val="0"/>
        <w:rPr>
          <w:rFonts w:ascii="Times New Roman" w:hAnsi="Times New Roman"/>
          <w:b/>
          <w:snapToGrid w:val="0"/>
          <w:color w:val="auto"/>
          <w:sz w:val="30"/>
          <w:szCs w:val="30"/>
          <w:highlight w:val="none"/>
        </w:rPr>
      </w:pPr>
      <w:r>
        <w:rPr>
          <w:rFonts w:ascii="Times New Roman" w:hAnsi="Times New Roman"/>
          <w:snapToGrid w:val="0"/>
          <w:color w:val="auto"/>
          <w:highlight w:val="none"/>
        </w:rPr>
        <w:br w:type="page"/>
      </w:r>
      <w:r>
        <w:rPr>
          <w:rFonts w:ascii="Times New Roman"/>
          <w:b/>
          <w:snapToGrid w:val="0"/>
          <w:color w:val="auto"/>
          <w:sz w:val="30"/>
          <w:szCs w:val="30"/>
          <w:highlight w:val="none"/>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4A288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339" w:hRule="atLeast"/>
          <w:jc w:val="center"/>
        </w:trPr>
        <w:tc>
          <w:tcPr>
            <w:tcW w:w="0" w:type="auto"/>
          </w:tcPr>
          <w:p w14:paraId="715B9D7F">
            <w:pPr>
              <w:adjustRightInd w:val="0"/>
              <w:snapToGrid w:val="0"/>
              <w:ind w:firstLine="200" w:firstLineChars="200"/>
              <w:rPr>
                <w:rFonts w:hAnsi="宋体"/>
                <w:snapToGrid w:val="0"/>
                <w:color w:val="auto"/>
                <w:kern w:val="0"/>
                <w:sz w:val="10"/>
                <w:szCs w:val="10"/>
                <w:highlight w:val="none"/>
              </w:rPr>
            </w:pPr>
          </w:p>
          <w:p w14:paraId="72B4E5DA">
            <w:pPr>
              <w:adjustRightInd w:val="0"/>
              <w:snapToGrid w:val="0"/>
              <w:spacing w:line="360" w:lineRule="auto"/>
              <w:ind w:firstLine="420" w:firstLineChars="200"/>
              <w:rPr>
                <w:snapToGrid w:val="0"/>
                <w:color w:val="auto"/>
                <w:kern w:val="0"/>
                <w:szCs w:val="21"/>
                <w:highlight w:val="none"/>
              </w:rPr>
            </w:pPr>
            <w:r>
              <w:rPr>
                <w:rFonts w:hAnsi="宋体"/>
                <w:snapToGrid w:val="0"/>
                <w:color w:val="auto"/>
                <w:kern w:val="0"/>
                <w:szCs w:val="21"/>
                <w:highlight w:val="none"/>
              </w:rPr>
              <w:t>本项目符合国家及地方产业政策，地址选择符合用地规划要求；项目生产过程中产生的污染在采取有效的治理措施之后，对周围环境影响较小，不会改变当地环境质量现状；同时本项目对周边环境产生的影响较小，事故风险水平可被接受。因此，从环保的角度出发，该项目在坚持</w:t>
            </w:r>
            <w:r>
              <w:rPr>
                <w:snapToGrid w:val="0"/>
                <w:color w:val="auto"/>
                <w:kern w:val="0"/>
                <w:szCs w:val="21"/>
                <w:highlight w:val="none"/>
              </w:rPr>
              <w:t>“</w:t>
            </w:r>
            <w:r>
              <w:rPr>
                <w:rFonts w:hAnsi="宋体"/>
                <w:snapToGrid w:val="0"/>
                <w:color w:val="auto"/>
                <w:kern w:val="0"/>
                <w:szCs w:val="21"/>
                <w:highlight w:val="none"/>
              </w:rPr>
              <w:t>三同时</w:t>
            </w:r>
            <w:r>
              <w:rPr>
                <w:snapToGrid w:val="0"/>
                <w:color w:val="auto"/>
                <w:kern w:val="0"/>
                <w:szCs w:val="21"/>
                <w:highlight w:val="none"/>
              </w:rPr>
              <w:t>”</w:t>
            </w:r>
            <w:r>
              <w:rPr>
                <w:rFonts w:hAnsi="宋体"/>
                <w:snapToGrid w:val="0"/>
                <w:color w:val="auto"/>
                <w:kern w:val="0"/>
                <w:szCs w:val="21"/>
                <w:highlight w:val="none"/>
              </w:rPr>
              <w:t>原则并按照本报告中提出的各项环保措施治理后是可行的。</w:t>
            </w:r>
          </w:p>
        </w:tc>
      </w:tr>
    </w:tbl>
    <w:p w14:paraId="4824A961">
      <w:pPr>
        <w:rPr>
          <w:color w:val="auto"/>
          <w:highlight w:val="none"/>
        </w:rPr>
        <w:sectPr>
          <w:type w:val="continuous"/>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70AB29ED">
      <w:pPr>
        <w:rPr>
          <w:snapToGrid w:val="0"/>
          <w:color w:val="auto"/>
          <w:sz w:val="30"/>
          <w:szCs w:val="30"/>
          <w:highlight w:val="none"/>
        </w:rPr>
      </w:pPr>
      <w:r>
        <w:rPr>
          <w:snapToGrid w:val="0"/>
          <w:color w:val="auto"/>
          <w:sz w:val="30"/>
          <w:szCs w:val="30"/>
          <w:highlight w:val="none"/>
        </w:rPr>
        <w:t>附表</w:t>
      </w:r>
    </w:p>
    <w:p w14:paraId="5E2667FE">
      <w:pPr>
        <w:pStyle w:val="22"/>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snapToGrid w:val="0"/>
          <w:color w:val="auto"/>
          <w:sz w:val="30"/>
          <w:szCs w:val="30"/>
          <w:highlight w:val="none"/>
        </w:rPr>
        <w:t>建设项目污染物排放量汇总表</w:t>
      </w:r>
    </w:p>
    <w:tbl>
      <w:tblPr>
        <w:tblStyle w:val="2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693"/>
        <w:gridCol w:w="1386"/>
        <w:gridCol w:w="1638"/>
        <w:gridCol w:w="1175"/>
        <w:gridCol w:w="1756"/>
        <w:gridCol w:w="1618"/>
        <w:gridCol w:w="1753"/>
        <w:gridCol w:w="1756"/>
        <w:gridCol w:w="1176"/>
      </w:tblGrid>
      <w:tr w14:paraId="39785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tcBorders>
              <w:tl2br w:val="single" w:color="auto" w:sz="4" w:space="0"/>
            </w:tcBorders>
            <w:tcMar>
              <w:left w:w="28" w:type="dxa"/>
              <w:right w:w="28" w:type="dxa"/>
            </w:tcMar>
            <w:vAlign w:val="center"/>
          </w:tcPr>
          <w:p w14:paraId="68890EE2">
            <w:pPr>
              <w:pStyle w:val="60"/>
              <w:spacing w:beforeLines="0" w:afterLines="0" w:line="240" w:lineRule="auto"/>
              <w:jc w:val="right"/>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项目</w:t>
            </w:r>
          </w:p>
          <w:p w14:paraId="79E7233C">
            <w:pPr>
              <w:pStyle w:val="60"/>
              <w:spacing w:beforeLines="0" w:afterLines="0" w:line="240" w:lineRule="auto"/>
              <w:jc w:val="left"/>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分类</w:t>
            </w:r>
          </w:p>
        </w:tc>
        <w:tc>
          <w:tcPr>
            <w:tcW w:w="741" w:type="pct"/>
            <w:gridSpan w:val="2"/>
            <w:tcMar>
              <w:left w:w="28" w:type="dxa"/>
              <w:right w:w="28" w:type="dxa"/>
            </w:tcMar>
            <w:vAlign w:val="center"/>
          </w:tcPr>
          <w:p w14:paraId="7B22AA54">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污染物名称</w:t>
            </w:r>
          </w:p>
        </w:tc>
        <w:tc>
          <w:tcPr>
            <w:tcW w:w="584" w:type="pct"/>
            <w:tcMar>
              <w:left w:w="28" w:type="dxa"/>
              <w:right w:w="28" w:type="dxa"/>
            </w:tcMar>
            <w:vAlign w:val="center"/>
          </w:tcPr>
          <w:p w14:paraId="6A2101A0">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现有工程</w:t>
            </w:r>
          </w:p>
          <w:p w14:paraId="1F8CF02C">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排放量（固体废物产生量）</w:t>
            </w:r>
            <w:r>
              <w:rPr>
                <w:rFonts w:ascii="Times New Roman"/>
                <w:snapToGrid w:val="0"/>
                <w:color w:val="auto"/>
                <w:spacing w:val="-6"/>
                <w:kern w:val="21"/>
                <w:szCs w:val="21"/>
                <w:highlight w:val="none"/>
                <w:lang w:val="en-US"/>
              </w:rPr>
              <w:fldChar w:fldCharType="begin"/>
            </w:r>
            <w:r>
              <w:rPr>
                <w:rFonts w:ascii="Times New Roman"/>
                <w:snapToGrid w:val="0"/>
                <w:color w:val="auto"/>
                <w:spacing w:val="-6"/>
                <w:kern w:val="21"/>
                <w:szCs w:val="21"/>
                <w:highlight w:val="none"/>
                <w:lang w:val="en-US"/>
              </w:rPr>
              <w:instrText xml:space="preserve"> = 1 \* GB3 \* MERGEFORMAT </w:instrText>
            </w:r>
            <w:r>
              <w:rPr>
                <w:rFonts w:ascii="Times New Roman"/>
                <w:snapToGrid w:val="0"/>
                <w:color w:val="auto"/>
                <w:spacing w:val="-6"/>
                <w:kern w:val="21"/>
                <w:szCs w:val="21"/>
                <w:highlight w:val="none"/>
                <w:lang w:val="en-US"/>
              </w:rPr>
              <w:fldChar w:fldCharType="separate"/>
            </w:r>
            <w:r>
              <w:rPr>
                <w:rFonts w:hAnsi="宋体"/>
                <w:color w:val="auto"/>
                <w:kern w:val="2"/>
                <w:szCs w:val="21"/>
                <w:highlight w:val="none"/>
                <w:lang w:val="en-US"/>
              </w:rPr>
              <w:t>①</w:t>
            </w:r>
            <w:r>
              <w:rPr>
                <w:rFonts w:ascii="Times New Roman"/>
                <w:snapToGrid w:val="0"/>
                <w:color w:val="auto"/>
                <w:spacing w:val="-6"/>
                <w:kern w:val="21"/>
                <w:szCs w:val="21"/>
                <w:highlight w:val="none"/>
                <w:lang w:val="en-US"/>
              </w:rPr>
              <w:fldChar w:fldCharType="end"/>
            </w:r>
          </w:p>
        </w:tc>
        <w:tc>
          <w:tcPr>
            <w:tcW w:w="419" w:type="pct"/>
            <w:tcMar>
              <w:left w:w="28" w:type="dxa"/>
              <w:right w:w="28" w:type="dxa"/>
            </w:tcMar>
            <w:vAlign w:val="center"/>
          </w:tcPr>
          <w:p w14:paraId="268F6376">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现有工程</w:t>
            </w:r>
          </w:p>
          <w:p w14:paraId="52871942">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许可排放量</w:t>
            </w:r>
          </w:p>
          <w:p w14:paraId="250CCC56">
            <w:pPr>
              <w:pStyle w:val="60"/>
              <w:spacing w:beforeLines="0" w:afterLines="0" w:line="240" w:lineRule="auto"/>
              <w:rPr>
                <w:rFonts w:ascii="Times New Roman"/>
                <w:snapToGrid w:val="0"/>
                <w:color w:val="auto"/>
                <w:spacing w:val="-6"/>
                <w:kern w:val="21"/>
                <w:szCs w:val="21"/>
                <w:highlight w:val="none"/>
                <w:lang w:val="en-US"/>
              </w:rPr>
            </w:pPr>
            <w:r>
              <w:rPr>
                <w:rFonts w:ascii="Times New Roman"/>
                <w:snapToGrid w:val="0"/>
                <w:color w:val="auto"/>
                <w:spacing w:val="-6"/>
                <w:kern w:val="21"/>
                <w:szCs w:val="21"/>
                <w:highlight w:val="none"/>
                <w:lang w:val="en-US"/>
              </w:rPr>
              <w:fldChar w:fldCharType="begin"/>
            </w:r>
            <w:r>
              <w:rPr>
                <w:rFonts w:ascii="Times New Roman"/>
                <w:snapToGrid w:val="0"/>
                <w:color w:val="auto"/>
                <w:spacing w:val="-6"/>
                <w:kern w:val="21"/>
                <w:szCs w:val="21"/>
                <w:highlight w:val="none"/>
                <w:lang w:val="en-US"/>
              </w:rPr>
              <w:instrText xml:space="preserve"> = 2 \* GB3 \* MERGEFORMAT </w:instrText>
            </w:r>
            <w:r>
              <w:rPr>
                <w:rFonts w:ascii="Times New Roman"/>
                <w:snapToGrid w:val="0"/>
                <w:color w:val="auto"/>
                <w:spacing w:val="-6"/>
                <w:kern w:val="21"/>
                <w:szCs w:val="21"/>
                <w:highlight w:val="none"/>
                <w:lang w:val="en-US"/>
              </w:rPr>
              <w:fldChar w:fldCharType="separate"/>
            </w:r>
            <w:r>
              <w:rPr>
                <w:rFonts w:hAnsi="宋体"/>
                <w:snapToGrid w:val="0"/>
                <w:color w:val="auto"/>
                <w:spacing w:val="-6"/>
                <w:kern w:val="21"/>
                <w:szCs w:val="21"/>
                <w:highlight w:val="none"/>
                <w:lang w:val="en-US"/>
              </w:rPr>
              <w:t>②</w:t>
            </w:r>
            <w:r>
              <w:rPr>
                <w:rFonts w:ascii="Times New Roman"/>
                <w:snapToGrid w:val="0"/>
                <w:color w:val="auto"/>
                <w:spacing w:val="-6"/>
                <w:kern w:val="21"/>
                <w:szCs w:val="21"/>
                <w:highlight w:val="none"/>
                <w:lang w:val="en-US"/>
              </w:rPr>
              <w:fldChar w:fldCharType="end"/>
            </w:r>
          </w:p>
        </w:tc>
        <w:tc>
          <w:tcPr>
            <w:tcW w:w="626" w:type="pct"/>
            <w:tcMar>
              <w:left w:w="28" w:type="dxa"/>
              <w:right w:w="28" w:type="dxa"/>
            </w:tcMar>
            <w:vAlign w:val="center"/>
          </w:tcPr>
          <w:p w14:paraId="45CA8A46">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在建工程</w:t>
            </w:r>
          </w:p>
          <w:p w14:paraId="4C4DD238">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排放量（固体废物产生量）</w:t>
            </w:r>
            <w:r>
              <w:rPr>
                <w:rFonts w:ascii="Times New Roman"/>
                <w:snapToGrid w:val="0"/>
                <w:color w:val="auto"/>
                <w:spacing w:val="-6"/>
                <w:kern w:val="21"/>
                <w:szCs w:val="21"/>
                <w:highlight w:val="none"/>
                <w:lang w:val="en-US"/>
              </w:rPr>
              <w:fldChar w:fldCharType="begin"/>
            </w:r>
            <w:r>
              <w:rPr>
                <w:rFonts w:ascii="Times New Roman"/>
                <w:snapToGrid w:val="0"/>
                <w:color w:val="auto"/>
                <w:spacing w:val="-6"/>
                <w:kern w:val="21"/>
                <w:szCs w:val="21"/>
                <w:highlight w:val="none"/>
                <w:lang w:val="en-US"/>
              </w:rPr>
              <w:instrText xml:space="preserve"> = 3 \* GB3 \* MERGEFORMAT </w:instrText>
            </w:r>
            <w:r>
              <w:rPr>
                <w:rFonts w:ascii="Times New Roman"/>
                <w:snapToGrid w:val="0"/>
                <w:color w:val="auto"/>
                <w:spacing w:val="-6"/>
                <w:kern w:val="21"/>
                <w:szCs w:val="21"/>
                <w:highlight w:val="none"/>
                <w:lang w:val="en-US"/>
              </w:rPr>
              <w:fldChar w:fldCharType="separate"/>
            </w:r>
            <w:r>
              <w:rPr>
                <w:rFonts w:hAnsi="宋体"/>
                <w:color w:val="auto"/>
                <w:kern w:val="2"/>
                <w:szCs w:val="21"/>
                <w:highlight w:val="none"/>
                <w:lang w:val="en-US"/>
              </w:rPr>
              <w:t>③</w:t>
            </w:r>
            <w:r>
              <w:rPr>
                <w:rFonts w:ascii="Times New Roman"/>
                <w:snapToGrid w:val="0"/>
                <w:color w:val="auto"/>
                <w:spacing w:val="-6"/>
                <w:kern w:val="21"/>
                <w:szCs w:val="21"/>
                <w:highlight w:val="none"/>
                <w:lang w:val="en-US"/>
              </w:rPr>
              <w:fldChar w:fldCharType="end"/>
            </w:r>
          </w:p>
        </w:tc>
        <w:tc>
          <w:tcPr>
            <w:tcW w:w="577" w:type="pct"/>
            <w:tcMar>
              <w:left w:w="28" w:type="dxa"/>
              <w:right w:w="28" w:type="dxa"/>
            </w:tcMar>
            <w:vAlign w:val="center"/>
          </w:tcPr>
          <w:p w14:paraId="74292F10">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本项目</w:t>
            </w:r>
          </w:p>
          <w:p w14:paraId="301BFB95">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排放量（固体废物产生量）</w:t>
            </w:r>
            <w:r>
              <w:rPr>
                <w:rFonts w:ascii="Times New Roman"/>
                <w:snapToGrid w:val="0"/>
                <w:color w:val="auto"/>
                <w:spacing w:val="-6"/>
                <w:kern w:val="21"/>
                <w:szCs w:val="21"/>
                <w:highlight w:val="none"/>
                <w:lang w:val="en-US"/>
              </w:rPr>
              <w:fldChar w:fldCharType="begin"/>
            </w:r>
            <w:r>
              <w:rPr>
                <w:rFonts w:ascii="Times New Roman"/>
                <w:snapToGrid w:val="0"/>
                <w:color w:val="auto"/>
                <w:spacing w:val="-6"/>
                <w:kern w:val="21"/>
                <w:szCs w:val="21"/>
                <w:highlight w:val="none"/>
                <w:lang w:val="en-US"/>
              </w:rPr>
              <w:instrText xml:space="preserve"> = 4 \* GB3 \* MERGEFORMAT </w:instrText>
            </w:r>
            <w:r>
              <w:rPr>
                <w:rFonts w:ascii="Times New Roman"/>
                <w:snapToGrid w:val="0"/>
                <w:color w:val="auto"/>
                <w:spacing w:val="-6"/>
                <w:kern w:val="21"/>
                <w:szCs w:val="21"/>
                <w:highlight w:val="none"/>
                <w:lang w:val="en-US"/>
              </w:rPr>
              <w:fldChar w:fldCharType="separate"/>
            </w:r>
            <w:r>
              <w:rPr>
                <w:rFonts w:hAnsi="宋体"/>
                <w:color w:val="auto"/>
                <w:kern w:val="2"/>
                <w:szCs w:val="21"/>
                <w:highlight w:val="none"/>
                <w:lang w:val="en-US"/>
              </w:rPr>
              <w:t>④</w:t>
            </w:r>
            <w:r>
              <w:rPr>
                <w:rFonts w:ascii="Times New Roman"/>
                <w:snapToGrid w:val="0"/>
                <w:color w:val="auto"/>
                <w:spacing w:val="-6"/>
                <w:kern w:val="21"/>
                <w:szCs w:val="21"/>
                <w:highlight w:val="none"/>
                <w:lang w:val="en-US"/>
              </w:rPr>
              <w:fldChar w:fldCharType="end"/>
            </w:r>
          </w:p>
        </w:tc>
        <w:tc>
          <w:tcPr>
            <w:tcW w:w="625" w:type="pct"/>
            <w:tcMar>
              <w:left w:w="28" w:type="dxa"/>
              <w:right w:w="28" w:type="dxa"/>
            </w:tcMar>
            <w:vAlign w:val="center"/>
          </w:tcPr>
          <w:p w14:paraId="04924D4B">
            <w:pPr>
              <w:pStyle w:val="60"/>
              <w:spacing w:beforeLines="0" w:afterLines="0" w:line="240" w:lineRule="auto"/>
              <w:rPr>
                <w:rFonts w:ascii="Times New Roman"/>
                <w:snapToGrid w:val="0"/>
                <w:color w:val="auto"/>
                <w:spacing w:val="-16"/>
                <w:kern w:val="21"/>
                <w:szCs w:val="21"/>
                <w:highlight w:val="none"/>
                <w:lang w:val="en-US"/>
              </w:rPr>
            </w:pPr>
            <w:r>
              <w:rPr>
                <w:rFonts w:ascii="Times New Roman" w:hAnsi="宋体"/>
                <w:snapToGrid w:val="0"/>
                <w:color w:val="auto"/>
                <w:spacing w:val="-16"/>
                <w:kern w:val="21"/>
                <w:szCs w:val="21"/>
                <w:highlight w:val="none"/>
                <w:lang w:val="en-US"/>
              </w:rPr>
              <w:t>以新带老削减量</w:t>
            </w:r>
          </w:p>
          <w:p w14:paraId="2C948887">
            <w:pPr>
              <w:pStyle w:val="60"/>
              <w:spacing w:beforeLines="0" w:afterLines="0" w:line="240" w:lineRule="auto"/>
              <w:rPr>
                <w:rFonts w:ascii="Times New Roman"/>
                <w:snapToGrid w:val="0"/>
                <w:color w:val="auto"/>
                <w:spacing w:val="-16"/>
                <w:kern w:val="21"/>
                <w:szCs w:val="21"/>
                <w:highlight w:val="none"/>
                <w:lang w:val="en-US"/>
              </w:rPr>
            </w:pPr>
            <w:r>
              <w:rPr>
                <w:rFonts w:ascii="Times New Roman" w:hAnsi="宋体"/>
                <w:snapToGrid w:val="0"/>
                <w:color w:val="auto"/>
                <w:spacing w:val="-16"/>
                <w:kern w:val="21"/>
                <w:szCs w:val="21"/>
                <w:highlight w:val="none"/>
                <w:lang w:val="en-US"/>
              </w:rPr>
              <w:t>（新建项目不填）</w:t>
            </w:r>
            <w:r>
              <w:rPr>
                <w:rFonts w:ascii="Times New Roman"/>
                <w:snapToGrid w:val="0"/>
                <w:color w:val="auto"/>
                <w:spacing w:val="-16"/>
                <w:kern w:val="21"/>
                <w:szCs w:val="21"/>
                <w:highlight w:val="none"/>
                <w:lang w:val="en-US"/>
              </w:rPr>
              <w:fldChar w:fldCharType="begin"/>
            </w:r>
            <w:r>
              <w:rPr>
                <w:rFonts w:ascii="Times New Roman"/>
                <w:snapToGrid w:val="0"/>
                <w:color w:val="auto"/>
                <w:spacing w:val="-16"/>
                <w:kern w:val="21"/>
                <w:szCs w:val="21"/>
                <w:highlight w:val="none"/>
                <w:lang w:val="en-US"/>
              </w:rPr>
              <w:instrText xml:space="preserve"> = 5 \* GB3 \* MERGEFORMAT </w:instrText>
            </w:r>
            <w:r>
              <w:rPr>
                <w:rFonts w:ascii="Times New Roman"/>
                <w:snapToGrid w:val="0"/>
                <w:color w:val="auto"/>
                <w:spacing w:val="-16"/>
                <w:kern w:val="21"/>
                <w:szCs w:val="21"/>
                <w:highlight w:val="none"/>
                <w:lang w:val="en-US"/>
              </w:rPr>
              <w:fldChar w:fldCharType="separate"/>
            </w:r>
            <w:r>
              <w:rPr>
                <w:rFonts w:hAnsi="宋体"/>
                <w:color w:val="auto"/>
                <w:kern w:val="2"/>
                <w:szCs w:val="21"/>
                <w:highlight w:val="none"/>
                <w:lang w:val="en-US"/>
              </w:rPr>
              <w:t>⑤</w:t>
            </w:r>
            <w:r>
              <w:rPr>
                <w:rFonts w:ascii="Times New Roman"/>
                <w:snapToGrid w:val="0"/>
                <w:color w:val="auto"/>
                <w:spacing w:val="-16"/>
                <w:kern w:val="21"/>
                <w:szCs w:val="21"/>
                <w:highlight w:val="none"/>
                <w:lang w:val="en-US"/>
              </w:rPr>
              <w:fldChar w:fldCharType="end"/>
            </w:r>
          </w:p>
        </w:tc>
        <w:tc>
          <w:tcPr>
            <w:tcW w:w="626" w:type="pct"/>
            <w:tcMar>
              <w:left w:w="28" w:type="dxa"/>
              <w:right w:w="28" w:type="dxa"/>
            </w:tcMar>
            <w:vAlign w:val="center"/>
          </w:tcPr>
          <w:p w14:paraId="08DA8794">
            <w:pPr>
              <w:pStyle w:val="60"/>
              <w:spacing w:beforeLines="0" w:afterLines="0" w:line="240" w:lineRule="auto"/>
              <w:rPr>
                <w:rFonts w:ascii="Times New Roman"/>
                <w:snapToGrid w:val="0"/>
                <w:color w:val="auto"/>
                <w:spacing w:val="-16"/>
                <w:kern w:val="21"/>
                <w:szCs w:val="21"/>
                <w:highlight w:val="none"/>
                <w:lang w:val="en-US"/>
              </w:rPr>
            </w:pPr>
            <w:r>
              <w:rPr>
                <w:rFonts w:ascii="Times New Roman" w:hAnsi="宋体"/>
                <w:snapToGrid w:val="0"/>
                <w:color w:val="auto"/>
                <w:spacing w:val="-16"/>
                <w:kern w:val="21"/>
                <w:szCs w:val="21"/>
                <w:highlight w:val="none"/>
                <w:lang w:val="en-US"/>
              </w:rPr>
              <w:t>本项目建成后</w:t>
            </w:r>
          </w:p>
          <w:p w14:paraId="137FADAC">
            <w:pPr>
              <w:pStyle w:val="60"/>
              <w:spacing w:beforeLines="0" w:afterLines="0" w:line="240" w:lineRule="auto"/>
              <w:rPr>
                <w:rFonts w:ascii="Times New Roman"/>
                <w:snapToGrid w:val="0"/>
                <w:color w:val="auto"/>
                <w:spacing w:val="-16"/>
                <w:kern w:val="21"/>
                <w:szCs w:val="21"/>
                <w:highlight w:val="none"/>
                <w:lang w:val="en-US"/>
              </w:rPr>
            </w:pPr>
            <w:r>
              <w:rPr>
                <w:rFonts w:ascii="Times New Roman" w:hAnsi="宋体"/>
                <w:snapToGrid w:val="0"/>
                <w:color w:val="auto"/>
                <w:spacing w:val="-16"/>
                <w:kern w:val="21"/>
                <w:szCs w:val="21"/>
                <w:highlight w:val="none"/>
                <w:lang w:val="en-US"/>
              </w:rPr>
              <w:t>全厂排放量（固体废物产生量）</w:t>
            </w:r>
            <w:r>
              <w:rPr>
                <w:rFonts w:ascii="Times New Roman"/>
                <w:snapToGrid w:val="0"/>
                <w:color w:val="auto"/>
                <w:spacing w:val="-16"/>
                <w:kern w:val="21"/>
                <w:szCs w:val="21"/>
                <w:highlight w:val="none"/>
                <w:lang w:val="en-US"/>
              </w:rPr>
              <w:fldChar w:fldCharType="begin"/>
            </w:r>
            <w:r>
              <w:rPr>
                <w:rFonts w:ascii="Times New Roman"/>
                <w:snapToGrid w:val="0"/>
                <w:color w:val="auto"/>
                <w:spacing w:val="-16"/>
                <w:kern w:val="21"/>
                <w:szCs w:val="21"/>
                <w:highlight w:val="none"/>
                <w:lang w:val="en-US"/>
              </w:rPr>
              <w:instrText xml:space="preserve"> = 6 \* GB3 \* MERGEFORMAT </w:instrText>
            </w:r>
            <w:r>
              <w:rPr>
                <w:rFonts w:ascii="Times New Roman"/>
                <w:snapToGrid w:val="0"/>
                <w:color w:val="auto"/>
                <w:spacing w:val="-16"/>
                <w:kern w:val="21"/>
                <w:szCs w:val="21"/>
                <w:highlight w:val="none"/>
                <w:lang w:val="en-US"/>
              </w:rPr>
              <w:fldChar w:fldCharType="separate"/>
            </w:r>
            <w:r>
              <w:rPr>
                <w:rFonts w:hAnsi="宋体"/>
                <w:color w:val="auto"/>
                <w:kern w:val="2"/>
                <w:szCs w:val="21"/>
                <w:highlight w:val="none"/>
                <w:lang w:val="en-US"/>
              </w:rPr>
              <w:t>⑥</w:t>
            </w:r>
            <w:r>
              <w:rPr>
                <w:rFonts w:ascii="Times New Roman"/>
                <w:snapToGrid w:val="0"/>
                <w:color w:val="auto"/>
                <w:spacing w:val="-16"/>
                <w:kern w:val="21"/>
                <w:szCs w:val="21"/>
                <w:highlight w:val="none"/>
                <w:lang w:val="en-US"/>
              </w:rPr>
              <w:fldChar w:fldCharType="end"/>
            </w:r>
          </w:p>
        </w:tc>
        <w:tc>
          <w:tcPr>
            <w:tcW w:w="419" w:type="pct"/>
            <w:tcMar>
              <w:left w:w="28" w:type="dxa"/>
              <w:right w:w="28" w:type="dxa"/>
            </w:tcMar>
            <w:vAlign w:val="center"/>
          </w:tcPr>
          <w:p w14:paraId="2146DF37">
            <w:pPr>
              <w:pStyle w:val="60"/>
              <w:spacing w:beforeLines="0" w:afterLines="0" w:line="240" w:lineRule="auto"/>
              <w:rPr>
                <w:rFonts w:ascii="Times New Roman"/>
                <w:snapToGrid w:val="0"/>
                <w:color w:val="auto"/>
                <w:spacing w:val="-6"/>
                <w:kern w:val="21"/>
                <w:szCs w:val="21"/>
                <w:highlight w:val="none"/>
                <w:lang w:val="en-US"/>
              </w:rPr>
            </w:pPr>
            <w:r>
              <w:rPr>
                <w:rFonts w:ascii="Times New Roman" w:hAnsi="宋体"/>
                <w:snapToGrid w:val="0"/>
                <w:color w:val="auto"/>
                <w:spacing w:val="-6"/>
                <w:kern w:val="21"/>
                <w:szCs w:val="21"/>
                <w:highlight w:val="none"/>
                <w:lang w:val="en-US"/>
              </w:rPr>
              <w:t>变化量</w:t>
            </w:r>
            <w:r>
              <w:rPr>
                <w:rFonts w:ascii="Times New Roman"/>
                <w:snapToGrid w:val="0"/>
                <w:color w:val="auto"/>
                <w:spacing w:val="-6"/>
                <w:kern w:val="21"/>
                <w:szCs w:val="21"/>
                <w:highlight w:val="none"/>
                <w:lang w:val="en-US"/>
              </w:rPr>
              <w:fldChar w:fldCharType="begin"/>
            </w:r>
            <w:r>
              <w:rPr>
                <w:rFonts w:ascii="Times New Roman"/>
                <w:snapToGrid w:val="0"/>
                <w:color w:val="auto"/>
                <w:spacing w:val="-6"/>
                <w:kern w:val="21"/>
                <w:szCs w:val="21"/>
                <w:highlight w:val="none"/>
                <w:lang w:val="en-US"/>
              </w:rPr>
              <w:instrText xml:space="preserve"> = 7 \* GB3 \* MERGEFORMAT </w:instrText>
            </w:r>
            <w:r>
              <w:rPr>
                <w:rFonts w:ascii="Times New Roman"/>
                <w:snapToGrid w:val="0"/>
                <w:color w:val="auto"/>
                <w:spacing w:val="-6"/>
                <w:kern w:val="21"/>
                <w:szCs w:val="21"/>
                <w:highlight w:val="none"/>
                <w:lang w:val="en-US"/>
              </w:rPr>
              <w:fldChar w:fldCharType="separate"/>
            </w:r>
            <w:r>
              <w:rPr>
                <w:rFonts w:hAnsi="宋体"/>
                <w:color w:val="auto"/>
                <w:kern w:val="2"/>
                <w:szCs w:val="21"/>
                <w:highlight w:val="none"/>
                <w:lang w:val="en-US"/>
              </w:rPr>
              <w:t>⑦</w:t>
            </w:r>
            <w:r>
              <w:rPr>
                <w:rFonts w:ascii="Times New Roman"/>
                <w:snapToGrid w:val="0"/>
                <w:color w:val="auto"/>
                <w:spacing w:val="-6"/>
                <w:kern w:val="21"/>
                <w:szCs w:val="21"/>
                <w:highlight w:val="none"/>
                <w:lang w:val="en-US"/>
              </w:rPr>
              <w:fldChar w:fldCharType="end"/>
            </w:r>
          </w:p>
        </w:tc>
      </w:tr>
      <w:tr w14:paraId="11ACF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restart"/>
            <w:vAlign w:val="center"/>
          </w:tcPr>
          <w:p w14:paraId="7515699C">
            <w:pPr>
              <w:pStyle w:val="60"/>
              <w:spacing w:beforeLines="0" w:afterLines="0" w:line="240" w:lineRule="auto"/>
              <w:rPr>
                <w:rFonts w:ascii="Times New Roman"/>
                <w:snapToGrid w:val="0"/>
                <w:color w:val="auto"/>
                <w:kern w:val="21"/>
                <w:szCs w:val="21"/>
                <w:highlight w:val="none"/>
                <w:lang w:val="en-US"/>
              </w:rPr>
            </w:pPr>
            <w:r>
              <w:rPr>
                <w:rFonts w:ascii="Times New Roman" w:hAnsi="宋体"/>
                <w:snapToGrid w:val="0"/>
                <w:color w:val="auto"/>
                <w:kern w:val="21"/>
                <w:szCs w:val="21"/>
                <w:highlight w:val="none"/>
                <w:lang w:val="en-US"/>
              </w:rPr>
              <w:t>废气</w:t>
            </w:r>
          </w:p>
        </w:tc>
        <w:tc>
          <w:tcPr>
            <w:tcW w:w="247" w:type="pct"/>
            <w:vMerge w:val="restart"/>
            <w:vAlign w:val="center"/>
          </w:tcPr>
          <w:p w14:paraId="195A4323">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有组织</w:t>
            </w:r>
          </w:p>
        </w:tc>
        <w:tc>
          <w:tcPr>
            <w:tcW w:w="494" w:type="pct"/>
            <w:vAlign w:val="center"/>
          </w:tcPr>
          <w:p w14:paraId="0D4E475F">
            <w:pPr>
              <w:pStyle w:val="60"/>
              <w:spacing w:beforeLines="0" w:afterLines="0" w:line="240" w:lineRule="auto"/>
              <w:rPr>
                <w:rFonts w:ascii="Times New Roman"/>
                <w:snapToGrid w:val="0"/>
                <w:color w:val="auto"/>
                <w:kern w:val="21"/>
                <w:szCs w:val="21"/>
                <w:highlight w:val="none"/>
                <w:lang w:val="en-US" w:eastAsia="zh-Hans"/>
              </w:rPr>
            </w:pPr>
            <w:r>
              <w:rPr>
                <w:rFonts w:hint="eastAsia" w:ascii="Times New Roman"/>
                <w:snapToGrid w:val="0"/>
                <w:color w:val="auto"/>
                <w:kern w:val="21"/>
                <w:szCs w:val="21"/>
                <w:highlight w:val="none"/>
                <w:lang w:val="en-US" w:eastAsia="zh-Hans"/>
              </w:rPr>
              <w:t>二甲苯</w:t>
            </w:r>
          </w:p>
        </w:tc>
        <w:tc>
          <w:tcPr>
            <w:tcW w:w="584" w:type="pct"/>
            <w:vAlign w:val="center"/>
          </w:tcPr>
          <w:p w14:paraId="53E8A9EE">
            <w:pPr>
              <w:pStyle w:val="6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419" w:type="pct"/>
            <w:vAlign w:val="center"/>
          </w:tcPr>
          <w:p w14:paraId="21056F21">
            <w:pPr>
              <w:pStyle w:val="6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626" w:type="pct"/>
            <w:vAlign w:val="center"/>
          </w:tcPr>
          <w:p w14:paraId="4CF09A31">
            <w:pPr>
              <w:pStyle w:val="6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577" w:type="pct"/>
            <w:vAlign w:val="center"/>
          </w:tcPr>
          <w:p w14:paraId="5C890C3A">
            <w:pPr>
              <w:pStyle w:val="6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0.0002</w:t>
            </w:r>
          </w:p>
        </w:tc>
        <w:tc>
          <w:tcPr>
            <w:tcW w:w="625" w:type="pct"/>
            <w:vAlign w:val="center"/>
          </w:tcPr>
          <w:p w14:paraId="3CEE8231">
            <w:pPr>
              <w:pStyle w:val="6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626" w:type="pct"/>
            <w:vAlign w:val="center"/>
          </w:tcPr>
          <w:p w14:paraId="6677B273">
            <w:pPr>
              <w:adjustRightInd w:val="0"/>
              <w:snapToGrid w:val="0"/>
              <w:jc w:val="center"/>
              <w:rPr>
                <w:snapToGrid w:val="0"/>
                <w:color w:val="auto"/>
                <w:kern w:val="21"/>
                <w:szCs w:val="21"/>
                <w:highlight w:val="none"/>
              </w:rPr>
            </w:pPr>
            <w:r>
              <w:rPr>
                <w:snapToGrid w:val="0"/>
                <w:color w:val="auto"/>
                <w:kern w:val="21"/>
                <w:szCs w:val="21"/>
                <w:highlight w:val="none"/>
              </w:rPr>
              <w:t>0.0002</w:t>
            </w:r>
          </w:p>
        </w:tc>
        <w:tc>
          <w:tcPr>
            <w:tcW w:w="419" w:type="pct"/>
            <w:vAlign w:val="center"/>
          </w:tcPr>
          <w:p w14:paraId="34CF597B">
            <w:pPr>
              <w:pStyle w:val="6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+0.0002</w:t>
            </w:r>
          </w:p>
        </w:tc>
      </w:tr>
      <w:tr w14:paraId="2A7EE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6A66B95B">
            <w:pPr>
              <w:pStyle w:val="60"/>
              <w:spacing w:beforeLines="0" w:afterLines="0" w:line="240" w:lineRule="auto"/>
              <w:rPr>
                <w:rFonts w:ascii="Times New Roman" w:hAnsi="宋体"/>
                <w:snapToGrid w:val="0"/>
                <w:color w:val="auto"/>
                <w:kern w:val="21"/>
                <w:szCs w:val="21"/>
                <w:highlight w:val="none"/>
                <w:lang w:val="en-US"/>
              </w:rPr>
            </w:pPr>
          </w:p>
        </w:tc>
        <w:tc>
          <w:tcPr>
            <w:tcW w:w="247" w:type="pct"/>
            <w:vMerge w:val="continue"/>
            <w:vAlign w:val="center"/>
          </w:tcPr>
          <w:p w14:paraId="59DC2CB3">
            <w:pPr>
              <w:pStyle w:val="60"/>
              <w:spacing w:beforeLines="0" w:afterLines="0" w:line="240" w:lineRule="auto"/>
              <w:rPr>
                <w:rFonts w:ascii="Times New Roman"/>
                <w:snapToGrid w:val="0"/>
                <w:color w:val="auto"/>
                <w:kern w:val="21"/>
                <w:szCs w:val="21"/>
                <w:highlight w:val="none"/>
                <w:lang w:val="en-US"/>
              </w:rPr>
            </w:pPr>
          </w:p>
        </w:tc>
        <w:tc>
          <w:tcPr>
            <w:tcW w:w="494" w:type="pct"/>
            <w:vAlign w:val="center"/>
          </w:tcPr>
          <w:p w14:paraId="79BA85AB">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VOCs</w:t>
            </w:r>
            <w:r>
              <w:rPr>
                <w:rFonts w:hint="eastAsia" w:ascii="Times New Roman"/>
                <w:snapToGrid w:val="0"/>
                <w:color w:val="auto"/>
                <w:kern w:val="21"/>
                <w:szCs w:val="21"/>
                <w:highlight w:val="none"/>
                <w:lang w:val="en-US" w:eastAsia="zh-Hans"/>
              </w:rPr>
              <w:t>（二甲苯）</w:t>
            </w:r>
          </w:p>
        </w:tc>
        <w:tc>
          <w:tcPr>
            <w:tcW w:w="584" w:type="pct"/>
            <w:vAlign w:val="center"/>
          </w:tcPr>
          <w:p w14:paraId="105EC5DF">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0.015</w:t>
            </w:r>
          </w:p>
        </w:tc>
        <w:tc>
          <w:tcPr>
            <w:tcW w:w="419" w:type="pct"/>
            <w:vAlign w:val="center"/>
          </w:tcPr>
          <w:p w14:paraId="135AB73C">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0.015</w:t>
            </w:r>
          </w:p>
        </w:tc>
        <w:tc>
          <w:tcPr>
            <w:tcW w:w="626" w:type="pct"/>
            <w:vAlign w:val="center"/>
          </w:tcPr>
          <w:p w14:paraId="67A423F2">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7743E35B">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w:t>
            </w:r>
            <w:r>
              <w:rPr>
                <w:rFonts w:hint="default" w:ascii="Times New Roman"/>
                <w:snapToGrid w:val="0"/>
                <w:color w:val="auto"/>
                <w:kern w:val="21"/>
                <w:szCs w:val="21"/>
                <w:highlight w:val="none"/>
              </w:rPr>
              <w:t>263</w:t>
            </w:r>
          </w:p>
        </w:tc>
        <w:tc>
          <w:tcPr>
            <w:tcW w:w="625" w:type="pct"/>
            <w:vAlign w:val="center"/>
          </w:tcPr>
          <w:p w14:paraId="19BC3914">
            <w:pPr>
              <w:pStyle w:val="60"/>
              <w:spacing w:beforeLines="0" w:afterLines="0" w:line="240" w:lineRule="auto"/>
              <w:rPr>
                <w:rFonts w:ascii="Times New Roman"/>
                <w:snapToGrid w:val="0"/>
                <w:color w:val="auto"/>
                <w:kern w:val="21"/>
                <w:szCs w:val="21"/>
                <w:highlight w:val="none"/>
                <w:lang w:val="en-US"/>
              </w:rPr>
            </w:pPr>
            <w:r>
              <w:rPr>
                <w:rFonts w:hint="default" w:ascii="Times New Roman"/>
                <w:snapToGrid w:val="0"/>
                <w:color w:val="auto"/>
                <w:kern w:val="21"/>
                <w:szCs w:val="21"/>
                <w:highlight w:val="none"/>
              </w:rPr>
              <w:t>0.0045</w:t>
            </w:r>
          </w:p>
        </w:tc>
        <w:tc>
          <w:tcPr>
            <w:tcW w:w="626" w:type="pct"/>
            <w:vAlign w:val="center"/>
          </w:tcPr>
          <w:p w14:paraId="5604C2F6">
            <w:pPr>
              <w:adjustRightInd w:val="0"/>
              <w:snapToGrid w:val="0"/>
              <w:jc w:val="center"/>
              <w:rPr>
                <w:snapToGrid w:val="0"/>
                <w:color w:val="auto"/>
                <w:kern w:val="21"/>
                <w:szCs w:val="21"/>
                <w:highlight w:val="none"/>
              </w:rPr>
            </w:pPr>
            <w:r>
              <w:rPr>
                <w:rFonts w:hint="default"/>
                <w:snapToGrid w:val="0"/>
                <w:color w:val="auto"/>
                <w:kern w:val="21"/>
                <w:szCs w:val="21"/>
                <w:highlight w:val="none"/>
              </w:rPr>
              <w:t>0.0368</w:t>
            </w:r>
          </w:p>
        </w:tc>
        <w:tc>
          <w:tcPr>
            <w:tcW w:w="419" w:type="pct"/>
            <w:vAlign w:val="center"/>
          </w:tcPr>
          <w:p w14:paraId="3D9D61DC">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w:t>
            </w:r>
            <w:r>
              <w:rPr>
                <w:rFonts w:hint="default" w:ascii="Times New Roman"/>
                <w:snapToGrid w:val="0"/>
                <w:color w:val="auto"/>
                <w:kern w:val="21"/>
                <w:szCs w:val="21"/>
                <w:highlight w:val="none"/>
              </w:rPr>
              <w:t>218</w:t>
            </w:r>
          </w:p>
        </w:tc>
      </w:tr>
      <w:tr w14:paraId="3D4D1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5154F2B0">
            <w:pPr>
              <w:pStyle w:val="60"/>
              <w:spacing w:beforeLines="0" w:afterLines="0" w:line="240" w:lineRule="auto"/>
              <w:rPr>
                <w:rFonts w:ascii="Times New Roman" w:hAnsi="宋体"/>
                <w:snapToGrid w:val="0"/>
                <w:color w:val="auto"/>
                <w:kern w:val="21"/>
                <w:szCs w:val="21"/>
                <w:highlight w:val="none"/>
                <w:lang w:val="en-US"/>
              </w:rPr>
            </w:pPr>
          </w:p>
        </w:tc>
        <w:tc>
          <w:tcPr>
            <w:tcW w:w="247" w:type="pct"/>
            <w:vMerge w:val="continue"/>
            <w:vAlign w:val="center"/>
          </w:tcPr>
          <w:p w14:paraId="6365C1B4">
            <w:pPr>
              <w:pStyle w:val="60"/>
              <w:spacing w:beforeLines="0" w:afterLines="0" w:line="240" w:lineRule="auto"/>
              <w:rPr>
                <w:rFonts w:ascii="Times New Roman"/>
                <w:snapToGrid w:val="0"/>
                <w:color w:val="auto"/>
                <w:kern w:val="21"/>
                <w:szCs w:val="21"/>
                <w:highlight w:val="none"/>
                <w:lang w:val="en-US"/>
              </w:rPr>
            </w:pPr>
          </w:p>
        </w:tc>
        <w:tc>
          <w:tcPr>
            <w:tcW w:w="494" w:type="pct"/>
            <w:vAlign w:val="center"/>
          </w:tcPr>
          <w:p w14:paraId="554D5AA6">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颗粒物</w:t>
            </w:r>
          </w:p>
        </w:tc>
        <w:tc>
          <w:tcPr>
            <w:tcW w:w="584" w:type="pct"/>
            <w:vAlign w:val="center"/>
          </w:tcPr>
          <w:p w14:paraId="44AEAE6B">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419" w:type="pct"/>
            <w:vAlign w:val="center"/>
          </w:tcPr>
          <w:p w14:paraId="18C32704">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626" w:type="pct"/>
            <w:vAlign w:val="center"/>
          </w:tcPr>
          <w:p w14:paraId="219F1157">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639CFB27">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0.0810</w:t>
            </w:r>
          </w:p>
        </w:tc>
        <w:tc>
          <w:tcPr>
            <w:tcW w:w="625" w:type="pct"/>
            <w:vAlign w:val="center"/>
          </w:tcPr>
          <w:p w14:paraId="1C381961">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626" w:type="pct"/>
            <w:vAlign w:val="center"/>
          </w:tcPr>
          <w:p w14:paraId="519CF648">
            <w:pPr>
              <w:adjustRightInd w:val="0"/>
              <w:snapToGrid w:val="0"/>
              <w:jc w:val="center"/>
              <w:rPr>
                <w:snapToGrid w:val="0"/>
                <w:color w:val="auto"/>
                <w:kern w:val="21"/>
                <w:szCs w:val="21"/>
                <w:highlight w:val="none"/>
              </w:rPr>
            </w:pPr>
            <w:r>
              <w:rPr>
                <w:rFonts w:hint="eastAsia"/>
                <w:snapToGrid w:val="0"/>
                <w:color w:val="auto"/>
                <w:kern w:val="21"/>
                <w:szCs w:val="21"/>
                <w:highlight w:val="none"/>
              </w:rPr>
              <w:t>0.0810</w:t>
            </w:r>
          </w:p>
        </w:tc>
        <w:tc>
          <w:tcPr>
            <w:tcW w:w="419" w:type="pct"/>
            <w:vAlign w:val="center"/>
          </w:tcPr>
          <w:p w14:paraId="5ACE1384">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+0.0810</w:t>
            </w:r>
          </w:p>
        </w:tc>
      </w:tr>
      <w:tr w14:paraId="28E01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5595D678">
            <w:pPr>
              <w:pStyle w:val="60"/>
              <w:spacing w:beforeLines="0" w:afterLines="0" w:line="240" w:lineRule="auto"/>
              <w:rPr>
                <w:rFonts w:ascii="Times New Roman" w:hAnsi="宋体"/>
                <w:snapToGrid w:val="0"/>
                <w:color w:val="auto"/>
                <w:kern w:val="21"/>
                <w:szCs w:val="21"/>
                <w:highlight w:val="none"/>
                <w:lang w:val="en-US"/>
              </w:rPr>
            </w:pPr>
          </w:p>
        </w:tc>
        <w:tc>
          <w:tcPr>
            <w:tcW w:w="247" w:type="pct"/>
            <w:vMerge w:val="restart"/>
            <w:vAlign w:val="center"/>
          </w:tcPr>
          <w:p w14:paraId="51453B2A">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无组织</w:t>
            </w:r>
          </w:p>
        </w:tc>
        <w:tc>
          <w:tcPr>
            <w:tcW w:w="494" w:type="pct"/>
            <w:vAlign w:val="center"/>
          </w:tcPr>
          <w:p w14:paraId="31207F6F">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颗粒物</w:t>
            </w:r>
          </w:p>
        </w:tc>
        <w:tc>
          <w:tcPr>
            <w:tcW w:w="584" w:type="pct"/>
            <w:vAlign w:val="center"/>
          </w:tcPr>
          <w:p w14:paraId="445601B2">
            <w:pPr>
              <w:pStyle w:val="60"/>
              <w:spacing w:before="24" w:after="24"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0.09</w:t>
            </w:r>
          </w:p>
        </w:tc>
        <w:tc>
          <w:tcPr>
            <w:tcW w:w="419" w:type="pct"/>
            <w:vAlign w:val="center"/>
          </w:tcPr>
          <w:p w14:paraId="6CCCB312">
            <w:pPr>
              <w:pStyle w:val="60"/>
              <w:spacing w:before="24" w:after="24"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0.09</w:t>
            </w:r>
          </w:p>
        </w:tc>
        <w:tc>
          <w:tcPr>
            <w:tcW w:w="626" w:type="pct"/>
            <w:vAlign w:val="center"/>
          </w:tcPr>
          <w:p w14:paraId="68449E1F">
            <w:pPr>
              <w:pStyle w:val="60"/>
              <w:spacing w:before="24" w:after="24"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14AB3E29">
            <w:pPr>
              <w:pStyle w:val="60"/>
              <w:spacing w:before="24" w:after="24"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0.3720</w:t>
            </w:r>
          </w:p>
        </w:tc>
        <w:tc>
          <w:tcPr>
            <w:tcW w:w="625" w:type="pct"/>
            <w:vAlign w:val="center"/>
          </w:tcPr>
          <w:p w14:paraId="3A7751AE">
            <w:pPr>
              <w:pStyle w:val="60"/>
              <w:spacing w:before="24" w:after="24"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626" w:type="pct"/>
            <w:vAlign w:val="center"/>
          </w:tcPr>
          <w:p w14:paraId="44310129">
            <w:pPr>
              <w:adjustRightInd w:val="0"/>
              <w:snapToGrid w:val="0"/>
              <w:jc w:val="center"/>
              <w:rPr>
                <w:snapToGrid w:val="0"/>
                <w:color w:val="auto"/>
                <w:kern w:val="21"/>
                <w:szCs w:val="21"/>
                <w:highlight w:val="none"/>
              </w:rPr>
            </w:pPr>
            <w:r>
              <w:rPr>
                <w:rFonts w:hint="eastAsia"/>
                <w:snapToGrid w:val="0"/>
                <w:color w:val="auto"/>
                <w:kern w:val="21"/>
                <w:szCs w:val="21"/>
                <w:highlight w:val="none"/>
              </w:rPr>
              <w:t>0.</w:t>
            </w:r>
            <w:r>
              <w:rPr>
                <w:rFonts w:hint="default"/>
                <w:snapToGrid w:val="0"/>
                <w:color w:val="auto"/>
                <w:kern w:val="21"/>
                <w:szCs w:val="21"/>
                <w:highlight w:val="none"/>
              </w:rPr>
              <w:t>462</w:t>
            </w:r>
          </w:p>
        </w:tc>
        <w:tc>
          <w:tcPr>
            <w:tcW w:w="419" w:type="pct"/>
            <w:vAlign w:val="center"/>
          </w:tcPr>
          <w:p w14:paraId="651123B5">
            <w:pPr>
              <w:pStyle w:val="60"/>
              <w:spacing w:before="24" w:after="24"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r>
              <w:rPr>
                <w:rFonts w:hint="default" w:ascii="Times New Roman"/>
                <w:snapToGrid w:val="0"/>
                <w:color w:val="auto"/>
                <w:kern w:val="21"/>
                <w:szCs w:val="21"/>
                <w:highlight w:val="none"/>
              </w:rPr>
              <w:t>372</w:t>
            </w:r>
          </w:p>
        </w:tc>
      </w:tr>
      <w:tr w14:paraId="6C75C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3984D026">
            <w:pPr>
              <w:pStyle w:val="60"/>
              <w:spacing w:beforeLines="0" w:afterLines="0" w:line="240" w:lineRule="auto"/>
              <w:rPr>
                <w:rFonts w:ascii="Times New Roman" w:hAnsi="宋体"/>
                <w:snapToGrid w:val="0"/>
                <w:color w:val="auto"/>
                <w:kern w:val="21"/>
                <w:szCs w:val="21"/>
                <w:highlight w:val="none"/>
                <w:lang w:val="en-US"/>
              </w:rPr>
            </w:pPr>
          </w:p>
        </w:tc>
        <w:tc>
          <w:tcPr>
            <w:tcW w:w="247" w:type="pct"/>
            <w:vMerge w:val="continue"/>
            <w:vAlign w:val="center"/>
          </w:tcPr>
          <w:p w14:paraId="2CC38A1A">
            <w:pPr>
              <w:pStyle w:val="60"/>
              <w:spacing w:beforeLines="0" w:afterLines="0" w:line="240" w:lineRule="auto"/>
              <w:rPr>
                <w:rFonts w:ascii="Times New Roman"/>
                <w:snapToGrid w:val="0"/>
                <w:color w:val="auto"/>
                <w:kern w:val="21"/>
                <w:szCs w:val="21"/>
                <w:highlight w:val="none"/>
                <w:lang w:val="en-US"/>
              </w:rPr>
            </w:pPr>
          </w:p>
        </w:tc>
        <w:tc>
          <w:tcPr>
            <w:tcW w:w="494" w:type="pct"/>
            <w:vAlign w:val="center"/>
          </w:tcPr>
          <w:p w14:paraId="2DCD9387">
            <w:pPr>
              <w:pStyle w:val="60"/>
              <w:spacing w:beforeLines="0" w:afterLines="0" w:line="240" w:lineRule="auto"/>
              <w:rPr>
                <w:rFonts w:ascii="Times New Roman"/>
                <w:snapToGrid w:val="0"/>
                <w:color w:val="auto"/>
                <w:kern w:val="21"/>
                <w:szCs w:val="21"/>
                <w:highlight w:val="none"/>
                <w:lang w:val="en-US" w:eastAsia="zh-Hans"/>
              </w:rPr>
            </w:pPr>
            <w:r>
              <w:rPr>
                <w:rFonts w:hint="eastAsia" w:ascii="Times New Roman"/>
                <w:snapToGrid w:val="0"/>
                <w:color w:val="auto"/>
                <w:kern w:val="21"/>
                <w:szCs w:val="21"/>
                <w:highlight w:val="none"/>
                <w:lang w:val="en-US" w:eastAsia="zh-Hans"/>
              </w:rPr>
              <w:t>二甲苯</w:t>
            </w:r>
          </w:p>
        </w:tc>
        <w:tc>
          <w:tcPr>
            <w:tcW w:w="584" w:type="pct"/>
            <w:vAlign w:val="center"/>
          </w:tcPr>
          <w:p w14:paraId="6C5D7E2F">
            <w:pPr>
              <w:pStyle w:val="60"/>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419" w:type="pct"/>
            <w:vAlign w:val="center"/>
          </w:tcPr>
          <w:p w14:paraId="5D5714CB">
            <w:pPr>
              <w:pStyle w:val="60"/>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626" w:type="pct"/>
            <w:vAlign w:val="center"/>
          </w:tcPr>
          <w:p w14:paraId="268D894F">
            <w:pPr>
              <w:pStyle w:val="60"/>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577" w:type="pct"/>
            <w:vAlign w:val="center"/>
          </w:tcPr>
          <w:p w14:paraId="7C7F2185">
            <w:pPr>
              <w:pStyle w:val="60"/>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0.0004</w:t>
            </w:r>
          </w:p>
        </w:tc>
        <w:tc>
          <w:tcPr>
            <w:tcW w:w="625" w:type="pct"/>
            <w:vAlign w:val="center"/>
          </w:tcPr>
          <w:p w14:paraId="1AB5D112">
            <w:pPr>
              <w:pStyle w:val="60"/>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626" w:type="pct"/>
            <w:vAlign w:val="center"/>
          </w:tcPr>
          <w:p w14:paraId="5DCA1169">
            <w:pPr>
              <w:adjustRightInd w:val="0"/>
              <w:snapToGrid w:val="0"/>
              <w:jc w:val="center"/>
              <w:rPr>
                <w:snapToGrid w:val="0"/>
                <w:color w:val="auto"/>
                <w:kern w:val="21"/>
                <w:szCs w:val="21"/>
                <w:highlight w:val="none"/>
              </w:rPr>
            </w:pPr>
            <w:r>
              <w:rPr>
                <w:snapToGrid w:val="0"/>
                <w:color w:val="auto"/>
                <w:kern w:val="21"/>
                <w:szCs w:val="21"/>
                <w:highlight w:val="none"/>
              </w:rPr>
              <w:t>0.0004</w:t>
            </w:r>
          </w:p>
        </w:tc>
        <w:tc>
          <w:tcPr>
            <w:tcW w:w="419" w:type="pct"/>
            <w:vAlign w:val="center"/>
          </w:tcPr>
          <w:p w14:paraId="5DFC4F84">
            <w:pPr>
              <w:pStyle w:val="60"/>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+0.0004</w:t>
            </w:r>
          </w:p>
        </w:tc>
      </w:tr>
      <w:tr w14:paraId="2DC54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2DA6630C">
            <w:pPr>
              <w:pStyle w:val="60"/>
              <w:spacing w:beforeLines="0" w:afterLines="0" w:line="240" w:lineRule="auto"/>
              <w:rPr>
                <w:rFonts w:ascii="Times New Roman"/>
                <w:snapToGrid w:val="0"/>
                <w:color w:val="auto"/>
                <w:kern w:val="21"/>
                <w:szCs w:val="21"/>
                <w:highlight w:val="none"/>
                <w:lang w:val="en-US"/>
              </w:rPr>
            </w:pPr>
          </w:p>
        </w:tc>
        <w:tc>
          <w:tcPr>
            <w:tcW w:w="247" w:type="pct"/>
            <w:vMerge w:val="continue"/>
            <w:vAlign w:val="center"/>
          </w:tcPr>
          <w:p w14:paraId="37209F3F">
            <w:pPr>
              <w:pStyle w:val="60"/>
              <w:spacing w:beforeLines="0" w:afterLines="0" w:line="240" w:lineRule="auto"/>
              <w:rPr>
                <w:rFonts w:ascii="Times New Roman"/>
                <w:snapToGrid w:val="0"/>
                <w:color w:val="auto"/>
                <w:kern w:val="21"/>
                <w:szCs w:val="21"/>
                <w:highlight w:val="none"/>
                <w:lang w:val="en-US"/>
              </w:rPr>
            </w:pPr>
          </w:p>
        </w:tc>
        <w:tc>
          <w:tcPr>
            <w:tcW w:w="494" w:type="pct"/>
            <w:vAlign w:val="center"/>
          </w:tcPr>
          <w:p w14:paraId="24B0FF46">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VOCs</w:t>
            </w:r>
            <w:r>
              <w:rPr>
                <w:rFonts w:hint="eastAsia" w:ascii="Times New Roman"/>
                <w:snapToGrid w:val="0"/>
                <w:color w:val="auto"/>
                <w:kern w:val="21"/>
                <w:szCs w:val="21"/>
                <w:highlight w:val="none"/>
                <w:lang w:val="en-US" w:eastAsia="zh-Hans"/>
              </w:rPr>
              <w:t>（含二甲苯）</w:t>
            </w:r>
          </w:p>
        </w:tc>
        <w:tc>
          <w:tcPr>
            <w:tcW w:w="584" w:type="pct"/>
            <w:vAlign w:val="center"/>
          </w:tcPr>
          <w:p w14:paraId="7FBEACD6">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0.018</w:t>
            </w:r>
          </w:p>
        </w:tc>
        <w:tc>
          <w:tcPr>
            <w:tcW w:w="419" w:type="pct"/>
            <w:vAlign w:val="center"/>
          </w:tcPr>
          <w:p w14:paraId="02D0739D">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0.018</w:t>
            </w:r>
          </w:p>
        </w:tc>
        <w:tc>
          <w:tcPr>
            <w:tcW w:w="626" w:type="pct"/>
            <w:vAlign w:val="center"/>
          </w:tcPr>
          <w:p w14:paraId="747F7D89">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0A1A0426">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w:t>
            </w:r>
            <w:r>
              <w:rPr>
                <w:rFonts w:hint="default" w:ascii="Times New Roman"/>
                <w:snapToGrid w:val="0"/>
                <w:color w:val="auto"/>
                <w:kern w:val="21"/>
                <w:szCs w:val="21"/>
                <w:highlight w:val="none"/>
              </w:rPr>
              <w:t>894</w:t>
            </w:r>
          </w:p>
        </w:tc>
        <w:tc>
          <w:tcPr>
            <w:tcW w:w="625" w:type="pct"/>
            <w:vAlign w:val="center"/>
          </w:tcPr>
          <w:p w14:paraId="1EDC0082">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626" w:type="pct"/>
            <w:vAlign w:val="center"/>
          </w:tcPr>
          <w:p w14:paraId="35C3447D">
            <w:pPr>
              <w:adjustRightInd w:val="0"/>
              <w:snapToGrid w:val="0"/>
              <w:jc w:val="center"/>
              <w:rPr>
                <w:snapToGrid w:val="0"/>
                <w:color w:val="auto"/>
                <w:kern w:val="21"/>
                <w:szCs w:val="21"/>
                <w:highlight w:val="none"/>
              </w:rPr>
            </w:pPr>
            <w:r>
              <w:rPr>
                <w:rFonts w:hint="eastAsia"/>
                <w:snapToGrid w:val="0"/>
                <w:color w:val="auto"/>
                <w:kern w:val="21"/>
                <w:szCs w:val="21"/>
                <w:highlight w:val="none"/>
              </w:rPr>
              <w:t>0</w:t>
            </w:r>
            <w:r>
              <w:rPr>
                <w:rFonts w:hint="default"/>
                <w:snapToGrid w:val="0"/>
                <w:color w:val="auto"/>
                <w:kern w:val="21"/>
                <w:szCs w:val="21"/>
                <w:highlight w:val="none"/>
              </w:rPr>
              <w:t>.1074</w:t>
            </w:r>
          </w:p>
        </w:tc>
        <w:tc>
          <w:tcPr>
            <w:tcW w:w="419" w:type="pct"/>
            <w:vAlign w:val="center"/>
          </w:tcPr>
          <w:p w14:paraId="5392833E">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+0.0</w:t>
            </w:r>
            <w:r>
              <w:rPr>
                <w:rFonts w:ascii="Times New Roman"/>
                <w:snapToGrid w:val="0"/>
                <w:color w:val="auto"/>
                <w:kern w:val="21"/>
                <w:szCs w:val="21"/>
                <w:highlight w:val="none"/>
              </w:rPr>
              <w:t>894</w:t>
            </w:r>
          </w:p>
        </w:tc>
      </w:tr>
      <w:tr w14:paraId="7D4BC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restart"/>
            <w:vAlign w:val="center"/>
          </w:tcPr>
          <w:p w14:paraId="66FD0C29">
            <w:pPr>
              <w:pStyle w:val="60"/>
              <w:spacing w:beforeLines="0" w:afterLines="0" w:line="240" w:lineRule="auto"/>
              <w:rPr>
                <w:rFonts w:ascii="Times New Roman"/>
                <w:snapToGrid w:val="0"/>
                <w:color w:val="auto"/>
                <w:kern w:val="21"/>
                <w:szCs w:val="21"/>
                <w:highlight w:val="none"/>
                <w:lang w:val="en-US"/>
              </w:rPr>
            </w:pPr>
            <w:r>
              <w:rPr>
                <w:rFonts w:ascii="Times New Roman" w:hAnsi="宋体"/>
                <w:snapToGrid w:val="0"/>
                <w:color w:val="auto"/>
                <w:kern w:val="21"/>
                <w:szCs w:val="21"/>
                <w:highlight w:val="none"/>
                <w:lang w:val="en-US"/>
              </w:rPr>
              <w:t>废水</w:t>
            </w:r>
          </w:p>
        </w:tc>
        <w:tc>
          <w:tcPr>
            <w:tcW w:w="741" w:type="pct"/>
            <w:gridSpan w:val="2"/>
            <w:vAlign w:val="center"/>
          </w:tcPr>
          <w:p w14:paraId="522ACE72">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废水量</w:t>
            </w:r>
          </w:p>
        </w:tc>
        <w:tc>
          <w:tcPr>
            <w:tcW w:w="584" w:type="pct"/>
            <w:vAlign w:val="center"/>
          </w:tcPr>
          <w:p w14:paraId="59F496AC">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2424</w:t>
            </w:r>
          </w:p>
        </w:tc>
        <w:tc>
          <w:tcPr>
            <w:tcW w:w="419" w:type="pct"/>
            <w:vAlign w:val="center"/>
          </w:tcPr>
          <w:p w14:paraId="24D5BA7D">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2424</w:t>
            </w:r>
          </w:p>
        </w:tc>
        <w:tc>
          <w:tcPr>
            <w:tcW w:w="626" w:type="pct"/>
            <w:vAlign w:val="center"/>
          </w:tcPr>
          <w:p w14:paraId="36D54302">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357921E2">
            <w:pPr>
              <w:widowControl/>
              <w:adjustRightInd w:val="0"/>
              <w:snapToGrid w:val="0"/>
              <w:jc w:val="center"/>
              <w:textAlignment w:val="center"/>
              <w:rPr>
                <w:snapToGrid w:val="0"/>
                <w:color w:val="auto"/>
                <w:kern w:val="21"/>
                <w:szCs w:val="21"/>
                <w:highlight w:val="none"/>
              </w:rPr>
            </w:pPr>
            <w:r>
              <w:rPr>
                <w:rFonts w:hint="eastAsia"/>
                <w:color w:val="auto"/>
                <w:szCs w:val="21"/>
                <w:highlight w:val="none"/>
              </w:rPr>
              <w:t>3586</w:t>
            </w:r>
          </w:p>
        </w:tc>
        <w:tc>
          <w:tcPr>
            <w:tcW w:w="625" w:type="pct"/>
            <w:vAlign w:val="center"/>
          </w:tcPr>
          <w:p w14:paraId="29A5F2FD">
            <w:pPr>
              <w:pStyle w:val="60"/>
              <w:spacing w:beforeLines="0" w:afterLines="0" w:line="240" w:lineRule="auto"/>
              <w:rPr>
                <w:snapToGrid w:val="0"/>
                <w:color w:val="auto"/>
                <w:kern w:val="21"/>
                <w:szCs w:val="21"/>
                <w:highlight w:val="none"/>
              </w:rPr>
            </w:pPr>
            <w:r>
              <w:rPr>
                <w:rFonts w:hint="eastAsia" w:ascii="Times New Roman"/>
                <w:snapToGrid w:val="0"/>
                <w:color w:val="auto"/>
                <w:kern w:val="21"/>
                <w:szCs w:val="21"/>
                <w:highlight w:val="none"/>
                <w:lang w:val="en-US"/>
              </w:rPr>
              <w:t>2424</w:t>
            </w:r>
          </w:p>
        </w:tc>
        <w:tc>
          <w:tcPr>
            <w:tcW w:w="626" w:type="pct"/>
            <w:vAlign w:val="center"/>
          </w:tcPr>
          <w:p w14:paraId="46AC02F4">
            <w:pPr>
              <w:widowControl/>
              <w:adjustRightInd w:val="0"/>
              <w:snapToGrid w:val="0"/>
              <w:jc w:val="center"/>
              <w:textAlignment w:val="center"/>
              <w:rPr>
                <w:snapToGrid w:val="0"/>
                <w:color w:val="auto"/>
                <w:kern w:val="21"/>
                <w:szCs w:val="21"/>
                <w:highlight w:val="none"/>
              </w:rPr>
            </w:pPr>
            <w:r>
              <w:rPr>
                <w:rFonts w:hint="eastAsia"/>
                <w:color w:val="auto"/>
                <w:szCs w:val="21"/>
                <w:highlight w:val="none"/>
              </w:rPr>
              <w:t>3586</w:t>
            </w:r>
          </w:p>
        </w:tc>
        <w:tc>
          <w:tcPr>
            <w:tcW w:w="419" w:type="pct"/>
            <w:vAlign w:val="center"/>
          </w:tcPr>
          <w:p w14:paraId="36058311">
            <w:pPr>
              <w:widowControl/>
              <w:jc w:val="center"/>
              <w:textAlignment w:val="center"/>
              <w:rPr>
                <w:color w:val="auto"/>
                <w:kern w:val="0"/>
                <w:szCs w:val="21"/>
                <w:highlight w:val="none"/>
              </w:rPr>
            </w:pPr>
            <w:r>
              <w:rPr>
                <w:color w:val="auto"/>
                <w:kern w:val="0"/>
                <w:szCs w:val="21"/>
                <w:highlight w:val="none"/>
              </w:rPr>
              <w:t>+</w:t>
            </w:r>
            <w:r>
              <w:rPr>
                <w:rFonts w:hint="eastAsia"/>
                <w:color w:val="auto"/>
                <w:kern w:val="0"/>
                <w:szCs w:val="21"/>
                <w:highlight w:val="none"/>
              </w:rPr>
              <w:t>1162</w:t>
            </w:r>
          </w:p>
        </w:tc>
      </w:tr>
      <w:tr w14:paraId="53226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79" w:type="pct"/>
            <w:vMerge w:val="continue"/>
            <w:vAlign w:val="center"/>
          </w:tcPr>
          <w:p w14:paraId="02254684">
            <w:pPr>
              <w:pStyle w:val="60"/>
              <w:spacing w:beforeLines="0" w:afterLines="0" w:line="240" w:lineRule="auto"/>
              <w:rPr>
                <w:rFonts w:ascii="Times New Roman"/>
                <w:snapToGrid w:val="0"/>
                <w:color w:val="auto"/>
                <w:kern w:val="21"/>
                <w:szCs w:val="21"/>
                <w:highlight w:val="none"/>
                <w:lang w:val="en-US"/>
              </w:rPr>
            </w:pPr>
          </w:p>
        </w:tc>
        <w:tc>
          <w:tcPr>
            <w:tcW w:w="741" w:type="pct"/>
            <w:gridSpan w:val="2"/>
            <w:vAlign w:val="center"/>
          </w:tcPr>
          <w:p w14:paraId="2874BEF9">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COD</w:t>
            </w:r>
          </w:p>
        </w:tc>
        <w:tc>
          <w:tcPr>
            <w:tcW w:w="584" w:type="pct"/>
            <w:vAlign w:val="center"/>
          </w:tcPr>
          <w:p w14:paraId="7B3615C2">
            <w:pPr>
              <w:jc w:val="center"/>
              <w:rPr>
                <w:snapToGrid w:val="0"/>
                <w:color w:val="auto"/>
                <w:kern w:val="21"/>
                <w:szCs w:val="21"/>
                <w:highlight w:val="none"/>
              </w:rPr>
            </w:pPr>
            <w:r>
              <w:rPr>
                <w:snapToGrid w:val="0"/>
                <w:color w:val="auto"/>
                <w:kern w:val="21"/>
                <w:szCs w:val="21"/>
                <w:highlight w:val="none"/>
              </w:rPr>
              <w:t>0.84</w:t>
            </w:r>
          </w:p>
        </w:tc>
        <w:tc>
          <w:tcPr>
            <w:tcW w:w="419" w:type="pct"/>
            <w:vAlign w:val="center"/>
          </w:tcPr>
          <w:p w14:paraId="567358D3">
            <w:pPr>
              <w:jc w:val="center"/>
              <w:rPr>
                <w:snapToGrid w:val="0"/>
                <w:color w:val="auto"/>
                <w:kern w:val="21"/>
                <w:szCs w:val="21"/>
                <w:highlight w:val="none"/>
              </w:rPr>
            </w:pPr>
            <w:r>
              <w:rPr>
                <w:snapToGrid w:val="0"/>
                <w:color w:val="auto"/>
                <w:kern w:val="21"/>
                <w:szCs w:val="21"/>
                <w:highlight w:val="none"/>
              </w:rPr>
              <w:t>0.84</w:t>
            </w:r>
          </w:p>
        </w:tc>
        <w:tc>
          <w:tcPr>
            <w:tcW w:w="626" w:type="pct"/>
            <w:vAlign w:val="center"/>
          </w:tcPr>
          <w:p w14:paraId="59D18844">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74FA1B9E">
            <w:pPr>
              <w:widowControl/>
              <w:jc w:val="center"/>
              <w:textAlignment w:val="center"/>
              <w:rPr>
                <w:snapToGrid w:val="0"/>
                <w:color w:val="auto"/>
                <w:kern w:val="21"/>
                <w:szCs w:val="21"/>
                <w:highlight w:val="none"/>
              </w:rPr>
            </w:pPr>
            <w:r>
              <w:rPr>
                <w:color w:val="auto"/>
                <w:kern w:val="0"/>
                <w:szCs w:val="21"/>
                <w:highlight w:val="none"/>
              </w:rPr>
              <w:t>0.</w:t>
            </w:r>
            <w:r>
              <w:rPr>
                <w:rFonts w:hint="eastAsia"/>
                <w:color w:val="auto"/>
                <w:kern w:val="0"/>
                <w:szCs w:val="21"/>
                <w:highlight w:val="none"/>
              </w:rPr>
              <w:t>6354</w:t>
            </w:r>
          </w:p>
        </w:tc>
        <w:tc>
          <w:tcPr>
            <w:tcW w:w="625" w:type="pct"/>
            <w:vAlign w:val="center"/>
          </w:tcPr>
          <w:p w14:paraId="62B99EC0">
            <w:pPr>
              <w:jc w:val="center"/>
              <w:rPr>
                <w:snapToGrid w:val="0"/>
                <w:color w:val="auto"/>
                <w:kern w:val="21"/>
                <w:szCs w:val="21"/>
                <w:highlight w:val="none"/>
              </w:rPr>
            </w:pPr>
            <w:r>
              <w:rPr>
                <w:snapToGrid w:val="0"/>
                <w:color w:val="auto"/>
                <w:kern w:val="21"/>
                <w:szCs w:val="21"/>
                <w:highlight w:val="none"/>
              </w:rPr>
              <w:t>0.84</w:t>
            </w:r>
          </w:p>
        </w:tc>
        <w:tc>
          <w:tcPr>
            <w:tcW w:w="626" w:type="pct"/>
            <w:vAlign w:val="center"/>
          </w:tcPr>
          <w:p w14:paraId="17EE5575">
            <w:pPr>
              <w:widowControl/>
              <w:jc w:val="center"/>
              <w:textAlignment w:val="center"/>
              <w:rPr>
                <w:snapToGrid w:val="0"/>
                <w:color w:val="auto"/>
                <w:kern w:val="21"/>
                <w:szCs w:val="21"/>
                <w:highlight w:val="none"/>
              </w:rPr>
            </w:pPr>
            <w:r>
              <w:rPr>
                <w:color w:val="auto"/>
                <w:kern w:val="0"/>
                <w:szCs w:val="21"/>
                <w:highlight w:val="none"/>
              </w:rPr>
              <w:t>0.</w:t>
            </w:r>
            <w:r>
              <w:rPr>
                <w:rFonts w:hint="eastAsia"/>
                <w:color w:val="auto"/>
                <w:kern w:val="0"/>
                <w:szCs w:val="21"/>
                <w:highlight w:val="none"/>
              </w:rPr>
              <w:t>6354</w:t>
            </w:r>
          </w:p>
        </w:tc>
        <w:tc>
          <w:tcPr>
            <w:tcW w:w="419" w:type="pct"/>
            <w:vAlign w:val="center"/>
          </w:tcPr>
          <w:p w14:paraId="2E14D741">
            <w:pPr>
              <w:widowControl/>
              <w:jc w:val="center"/>
              <w:textAlignment w:val="center"/>
              <w:rPr>
                <w:color w:val="auto"/>
                <w:kern w:val="0"/>
                <w:szCs w:val="21"/>
                <w:highlight w:val="none"/>
              </w:rPr>
            </w:pPr>
            <w:r>
              <w:rPr>
                <w:rFonts w:hint="eastAsia"/>
                <w:color w:val="auto"/>
                <w:kern w:val="0"/>
                <w:szCs w:val="21"/>
                <w:highlight w:val="none"/>
              </w:rPr>
              <w:t>-0.2046</w:t>
            </w:r>
          </w:p>
        </w:tc>
      </w:tr>
      <w:tr w14:paraId="26BE7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0799E933">
            <w:pPr>
              <w:pStyle w:val="60"/>
              <w:spacing w:beforeLines="0" w:afterLines="0" w:line="240" w:lineRule="auto"/>
              <w:rPr>
                <w:rFonts w:ascii="Times New Roman"/>
                <w:snapToGrid w:val="0"/>
                <w:color w:val="auto"/>
                <w:kern w:val="21"/>
                <w:szCs w:val="21"/>
                <w:highlight w:val="none"/>
                <w:lang w:val="en-US"/>
              </w:rPr>
            </w:pPr>
          </w:p>
        </w:tc>
        <w:tc>
          <w:tcPr>
            <w:tcW w:w="741" w:type="pct"/>
            <w:gridSpan w:val="2"/>
            <w:vAlign w:val="center"/>
          </w:tcPr>
          <w:p w14:paraId="5100BBFC">
            <w:pPr>
              <w:pStyle w:val="60"/>
              <w:spacing w:beforeLines="0" w:afterLines="0" w:line="240" w:lineRule="auto"/>
              <w:rPr>
                <w:rFonts w:ascii="Times New Roman"/>
                <w:snapToGrid w:val="0"/>
                <w:color w:val="auto"/>
                <w:kern w:val="21"/>
                <w:szCs w:val="21"/>
                <w:highlight w:val="none"/>
                <w:lang w:val="en-US"/>
              </w:rPr>
            </w:pPr>
            <w:r>
              <w:rPr>
                <w:rFonts w:ascii="Times New Roman"/>
                <w:snapToGrid w:val="0"/>
                <w:color w:val="auto"/>
                <w:kern w:val="21"/>
                <w:szCs w:val="21"/>
                <w:highlight w:val="none"/>
                <w:lang w:val="en-US"/>
              </w:rPr>
              <w:t>SS</w:t>
            </w:r>
          </w:p>
        </w:tc>
        <w:tc>
          <w:tcPr>
            <w:tcW w:w="584" w:type="pct"/>
            <w:vAlign w:val="center"/>
          </w:tcPr>
          <w:p w14:paraId="48C86051">
            <w:pPr>
              <w:jc w:val="center"/>
              <w:rPr>
                <w:snapToGrid w:val="0"/>
                <w:color w:val="auto"/>
                <w:kern w:val="21"/>
                <w:szCs w:val="21"/>
                <w:highlight w:val="none"/>
              </w:rPr>
            </w:pPr>
            <w:r>
              <w:rPr>
                <w:snapToGrid w:val="0"/>
                <w:color w:val="auto"/>
                <w:kern w:val="21"/>
                <w:szCs w:val="21"/>
                <w:highlight w:val="none"/>
              </w:rPr>
              <w:t>0.6</w:t>
            </w:r>
            <w:r>
              <w:rPr>
                <w:rFonts w:hint="eastAsia"/>
                <w:snapToGrid w:val="0"/>
                <w:color w:val="auto"/>
                <w:kern w:val="21"/>
                <w:szCs w:val="21"/>
                <w:highlight w:val="none"/>
              </w:rPr>
              <w:t>0</w:t>
            </w:r>
          </w:p>
        </w:tc>
        <w:tc>
          <w:tcPr>
            <w:tcW w:w="419" w:type="pct"/>
            <w:vAlign w:val="center"/>
          </w:tcPr>
          <w:p w14:paraId="42007F6F">
            <w:pPr>
              <w:jc w:val="center"/>
              <w:rPr>
                <w:snapToGrid w:val="0"/>
                <w:color w:val="auto"/>
                <w:kern w:val="21"/>
                <w:szCs w:val="21"/>
                <w:highlight w:val="none"/>
              </w:rPr>
            </w:pPr>
            <w:r>
              <w:rPr>
                <w:snapToGrid w:val="0"/>
                <w:color w:val="auto"/>
                <w:kern w:val="21"/>
                <w:szCs w:val="21"/>
                <w:highlight w:val="none"/>
              </w:rPr>
              <w:t>0.6</w:t>
            </w:r>
            <w:r>
              <w:rPr>
                <w:rFonts w:hint="eastAsia"/>
                <w:snapToGrid w:val="0"/>
                <w:color w:val="auto"/>
                <w:kern w:val="21"/>
                <w:szCs w:val="21"/>
                <w:highlight w:val="none"/>
              </w:rPr>
              <w:t>0</w:t>
            </w:r>
          </w:p>
        </w:tc>
        <w:tc>
          <w:tcPr>
            <w:tcW w:w="626" w:type="pct"/>
            <w:vAlign w:val="center"/>
          </w:tcPr>
          <w:p w14:paraId="774099CA">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522566AF">
            <w:pPr>
              <w:widowControl/>
              <w:jc w:val="center"/>
              <w:textAlignment w:val="center"/>
              <w:rPr>
                <w:snapToGrid w:val="0"/>
                <w:color w:val="auto"/>
                <w:kern w:val="21"/>
                <w:szCs w:val="21"/>
                <w:highlight w:val="none"/>
              </w:rPr>
            </w:pPr>
            <w:r>
              <w:rPr>
                <w:color w:val="auto"/>
                <w:kern w:val="0"/>
                <w:szCs w:val="21"/>
                <w:highlight w:val="none"/>
              </w:rPr>
              <w:t>0.</w:t>
            </w:r>
            <w:r>
              <w:rPr>
                <w:rFonts w:hint="eastAsia"/>
                <w:color w:val="auto"/>
                <w:kern w:val="0"/>
                <w:szCs w:val="21"/>
                <w:highlight w:val="none"/>
              </w:rPr>
              <w:t>5274</w:t>
            </w:r>
            <w:r>
              <w:rPr>
                <w:color w:val="auto"/>
                <w:kern w:val="0"/>
                <w:szCs w:val="21"/>
                <w:highlight w:val="none"/>
              </w:rPr>
              <w:t xml:space="preserve"> </w:t>
            </w:r>
          </w:p>
        </w:tc>
        <w:tc>
          <w:tcPr>
            <w:tcW w:w="625" w:type="pct"/>
            <w:vAlign w:val="center"/>
          </w:tcPr>
          <w:p w14:paraId="5381284E">
            <w:pPr>
              <w:jc w:val="center"/>
              <w:rPr>
                <w:snapToGrid w:val="0"/>
                <w:color w:val="auto"/>
                <w:kern w:val="21"/>
                <w:szCs w:val="21"/>
                <w:highlight w:val="none"/>
              </w:rPr>
            </w:pPr>
            <w:r>
              <w:rPr>
                <w:snapToGrid w:val="0"/>
                <w:color w:val="auto"/>
                <w:kern w:val="21"/>
                <w:szCs w:val="21"/>
                <w:highlight w:val="none"/>
              </w:rPr>
              <w:t>0.6</w:t>
            </w:r>
            <w:r>
              <w:rPr>
                <w:rFonts w:hint="eastAsia"/>
                <w:snapToGrid w:val="0"/>
                <w:color w:val="auto"/>
                <w:kern w:val="21"/>
                <w:szCs w:val="21"/>
                <w:highlight w:val="none"/>
              </w:rPr>
              <w:t>0</w:t>
            </w:r>
          </w:p>
        </w:tc>
        <w:tc>
          <w:tcPr>
            <w:tcW w:w="626" w:type="pct"/>
            <w:vAlign w:val="center"/>
          </w:tcPr>
          <w:p w14:paraId="5649A92B">
            <w:pPr>
              <w:widowControl/>
              <w:jc w:val="center"/>
              <w:textAlignment w:val="center"/>
              <w:rPr>
                <w:snapToGrid w:val="0"/>
                <w:color w:val="auto"/>
                <w:kern w:val="21"/>
                <w:szCs w:val="21"/>
                <w:highlight w:val="none"/>
              </w:rPr>
            </w:pPr>
            <w:r>
              <w:rPr>
                <w:color w:val="auto"/>
                <w:kern w:val="0"/>
                <w:szCs w:val="21"/>
                <w:highlight w:val="none"/>
              </w:rPr>
              <w:t>0.</w:t>
            </w:r>
            <w:r>
              <w:rPr>
                <w:rFonts w:hint="eastAsia"/>
                <w:color w:val="auto"/>
                <w:kern w:val="0"/>
                <w:szCs w:val="21"/>
                <w:highlight w:val="none"/>
              </w:rPr>
              <w:t>5274</w:t>
            </w:r>
            <w:r>
              <w:rPr>
                <w:color w:val="auto"/>
                <w:kern w:val="0"/>
                <w:szCs w:val="21"/>
                <w:highlight w:val="none"/>
              </w:rPr>
              <w:t xml:space="preserve"> </w:t>
            </w:r>
          </w:p>
        </w:tc>
        <w:tc>
          <w:tcPr>
            <w:tcW w:w="419" w:type="pct"/>
            <w:vAlign w:val="center"/>
          </w:tcPr>
          <w:p w14:paraId="5D9D1EC6">
            <w:pPr>
              <w:widowControl/>
              <w:jc w:val="center"/>
              <w:textAlignment w:val="center"/>
              <w:rPr>
                <w:color w:val="auto"/>
                <w:kern w:val="0"/>
                <w:szCs w:val="21"/>
                <w:highlight w:val="none"/>
              </w:rPr>
            </w:pPr>
            <w:r>
              <w:rPr>
                <w:rFonts w:hint="eastAsia"/>
                <w:color w:val="auto"/>
                <w:kern w:val="0"/>
                <w:szCs w:val="21"/>
                <w:highlight w:val="none"/>
              </w:rPr>
              <w:t>-0.0726</w:t>
            </w:r>
          </w:p>
        </w:tc>
      </w:tr>
      <w:tr w14:paraId="10C8F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1CF15851">
            <w:pPr>
              <w:pStyle w:val="60"/>
              <w:spacing w:beforeLines="0" w:afterLines="0" w:line="240" w:lineRule="auto"/>
              <w:rPr>
                <w:rFonts w:ascii="Times New Roman"/>
                <w:snapToGrid w:val="0"/>
                <w:color w:val="auto"/>
                <w:kern w:val="21"/>
                <w:szCs w:val="21"/>
                <w:highlight w:val="none"/>
                <w:lang w:val="en-US"/>
              </w:rPr>
            </w:pPr>
          </w:p>
        </w:tc>
        <w:tc>
          <w:tcPr>
            <w:tcW w:w="741" w:type="pct"/>
            <w:gridSpan w:val="2"/>
            <w:vAlign w:val="center"/>
          </w:tcPr>
          <w:p w14:paraId="2187AF11">
            <w:pPr>
              <w:pStyle w:val="60"/>
              <w:spacing w:beforeLines="0" w:afterLines="0" w:line="240" w:lineRule="auto"/>
              <w:rPr>
                <w:rFonts w:ascii="Times New Roman"/>
                <w:snapToGrid w:val="0"/>
                <w:color w:val="auto"/>
                <w:kern w:val="21"/>
                <w:szCs w:val="21"/>
                <w:highlight w:val="none"/>
                <w:lang w:val="en-US"/>
              </w:rPr>
            </w:pPr>
            <w:r>
              <w:rPr>
                <w:rFonts w:ascii="Times New Roman"/>
                <w:snapToGrid w:val="0"/>
                <w:color w:val="auto"/>
                <w:kern w:val="21"/>
                <w:szCs w:val="21"/>
                <w:highlight w:val="none"/>
                <w:lang w:val="en-US"/>
              </w:rPr>
              <w:t>NH</w:t>
            </w:r>
            <w:r>
              <w:rPr>
                <w:rFonts w:ascii="Times New Roman"/>
                <w:snapToGrid w:val="0"/>
                <w:color w:val="auto"/>
                <w:kern w:val="21"/>
                <w:szCs w:val="21"/>
                <w:highlight w:val="none"/>
                <w:vertAlign w:val="subscript"/>
                <w:lang w:val="en-US"/>
              </w:rPr>
              <w:t>3</w:t>
            </w:r>
            <w:r>
              <w:rPr>
                <w:rFonts w:ascii="Times New Roman"/>
                <w:snapToGrid w:val="0"/>
                <w:color w:val="auto"/>
                <w:kern w:val="21"/>
                <w:szCs w:val="21"/>
                <w:highlight w:val="none"/>
                <w:lang w:val="en-US"/>
              </w:rPr>
              <w:t>-N</w:t>
            </w:r>
          </w:p>
        </w:tc>
        <w:tc>
          <w:tcPr>
            <w:tcW w:w="584" w:type="pct"/>
            <w:vAlign w:val="center"/>
          </w:tcPr>
          <w:p w14:paraId="1CC1C83F">
            <w:pPr>
              <w:jc w:val="center"/>
              <w:rPr>
                <w:snapToGrid w:val="0"/>
                <w:color w:val="auto"/>
                <w:kern w:val="21"/>
                <w:szCs w:val="21"/>
                <w:highlight w:val="none"/>
              </w:rPr>
            </w:pPr>
            <w:r>
              <w:rPr>
                <w:snapToGrid w:val="0"/>
                <w:color w:val="auto"/>
                <w:kern w:val="21"/>
                <w:szCs w:val="21"/>
                <w:highlight w:val="none"/>
              </w:rPr>
              <w:t>0.06</w:t>
            </w:r>
          </w:p>
        </w:tc>
        <w:tc>
          <w:tcPr>
            <w:tcW w:w="419" w:type="pct"/>
            <w:vAlign w:val="center"/>
          </w:tcPr>
          <w:p w14:paraId="5A0300E7">
            <w:pPr>
              <w:jc w:val="center"/>
              <w:rPr>
                <w:snapToGrid w:val="0"/>
                <w:color w:val="auto"/>
                <w:kern w:val="21"/>
                <w:szCs w:val="21"/>
                <w:highlight w:val="none"/>
              </w:rPr>
            </w:pPr>
            <w:r>
              <w:rPr>
                <w:snapToGrid w:val="0"/>
                <w:color w:val="auto"/>
                <w:kern w:val="21"/>
                <w:szCs w:val="21"/>
                <w:highlight w:val="none"/>
              </w:rPr>
              <w:t>0.06</w:t>
            </w:r>
          </w:p>
        </w:tc>
        <w:tc>
          <w:tcPr>
            <w:tcW w:w="626" w:type="pct"/>
            <w:vAlign w:val="center"/>
          </w:tcPr>
          <w:p w14:paraId="2F3B9E96">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1829C998">
            <w:pPr>
              <w:widowControl/>
              <w:jc w:val="center"/>
              <w:textAlignment w:val="center"/>
              <w:rPr>
                <w:snapToGrid w:val="0"/>
                <w:color w:val="auto"/>
                <w:kern w:val="21"/>
                <w:szCs w:val="21"/>
                <w:highlight w:val="none"/>
              </w:rPr>
            </w:pPr>
            <w:r>
              <w:rPr>
                <w:color w:val="auto"/>
                <w:kern w:val="0"/>
                <w:szCs w:val="21"/>
                <w:highlight w:val="none"/>
                <w:lang w:bidi="ar"/>
              </w:rPr>
              <w:t xml:space="preserve">0.0420 </w:t>
            </w:r>
          </w:p>
        </w:tc>
        <w:tc>
          <w:tcPr>
            <w:tcW w:w="625" w:type="pct"/>
            <w:vAlign w:val="center"/>
          </w:tcPr>
          <w:p w14:paraId="7317A09F">
            <w:pPr>
              <w:jc w:val="center"/>
              <w:rPr>
                <w:snapToGrid w:val="0"/>
                <w:color w:val="auto"/>
                <w:kern w:val="21"/>
                <w:szCs w:val="21"/>
                <w:highlight w:val="none"/>
              </w:rPr>
            </w:pPr>
            <w:r>
              <w:rPr>
                <w:snapToGrid w:val="0"/>
                <w:color w:val="auto"/>
                <w:kern w:val="21"/>
                <w:szCs w:val="21"/>
                <w:highlight w:val="none"/>
              </w:rPr>
              <w:t>0.06</w:t>
            </w:r>
          </w:p>
        </w:tc>
        <w:tc>
          <w:tcPr>
            <w:tcW w:w="626" w:type="pct"/>
            <w:vAlign w:val="center"/>
          </w:tcPr>
          <w:p w14:paraId="1811232A">
            <w:pPr>
              <w:widowControl/>
              <w:jc w:val="center"/>
              <w:textAlignment w:val="center"/>
              <w:rPr>
                <w:snapToGrid w:val="0"/>
                <w:color w:val="auto"/>
                <w:kern w:val="21"/>
                <w:szCs w:val="21"/>
                <w:highlight w:val="none"/>
              </w:rPr>
            </w:pPr>
            <w:r>
              <w:rPr>
                <w:color w:val="auto"/>
                <w:kern w:val="0"/>
                <w:szCs w:val="21"/>
                <w:highlight w:val="none"/>
                <w:lang w:bidi="ar"/>
              </w:rPr>
              <w:t xml:space="preserve">0.0420 </w:t>
            </w:r>
          </w:p>
        </w:tc>
        <w:tc>
          <w:tcPr>
            <w:tcW w:w="419" w:type="pct"/>
            <w:vAlign w:val="center"/>
          </w:tcPr>
          <w:p w14:paraId="402A86DA">
            <w:pPr>
              <w:widowControl/>
              <w:jc w:val="center"/>
              <w:textAlignment w:val="center"/>
              <w:rPr>
                <w:color w:val="auto"/>
                <w:kern w:val="0"/>
                <w:szCs w:val="21"/>
                <w:highlight w:val="none"/>
              </w:rPr>
            </w:pPr>
            <w:r>
              <w:rPr>
                <w:rFonts w:hint="eastAsia"/>
                <w:color w:val="auto"/>
                <w:kern w:val="0"/>
                <w:szCs w:val="21"/>
                <w:highlight w:val="none"/>
              </w:rPr>
              <w:t>-0.018</w:t>
            </w:r>
          </w:p>
        </w:tc>
      </w:tr>
      <w:tr w14:paraId="48D19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7EC864B2">
            <w:pPr>
              <w:pStyle w:val="60"/>
              <w:spacing w:beforeLines="0" w:afterLines="0" w:line="240" w:lineRule="auto"/>
              <w:rPr>
                <w:rFonts w:ascii="Times New Roman"/>
                <w:snapToGrid w:val="0"/>
                <w:color w:val="auto"/>
                <w:kern w:val="21"/>
                <w:szCs w:val="21"/>
                <w:highlight w:val="none"/>
                <w:lang w:val="en-US"/>
              </w:rPr>
            </w:pPr>
          </w:p>
        </w:tc>
        <w:tc>
          <w:tcPr>
            <w:tcW w:w="741" w:type="pct"/>
            <w:gridSpan w:val="2"/>
            <w:vAlign w:val="center"/>
          </w:tcPr>
          <w:p w14:paraId="7BD38B9A">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T</w:t>
            </w:r>
            <w:r>
              <w:rPr>
                <w:rFonts w:ascii="Times New Roman"/>
                <w:snapToGrid w:val="0"/>
                <w:color w:val="auto"/>
                <w:kern w:val="21"/>
                <w:szCs w:val="21"/>
                <w:highlight w:val="none"/>
                <w:lang w:val="en-US"/>
              </w:rPr>
              <w:t>N</w:t>
            </w:r>
          </w:p>
        </w:tc>
        <w:tc>
          <w:tcPr>
            <w:tcW w:w="584" w:type="pct"/>
            <w:vAlign w:val="center"/>
          </w:tcPr>
          <w:p w14:paraId="6BEDE75B">
            <w:pPr>
              <w:jc w:val="center"/>
              <w:rPr>
                <w:snapToGrid w:val="0"/>
                <w:color w:val="auto"/>
                <w:kern w:val="21"/>
                <w:szCs w:val="21"/>
                <w:highlight w:val="none"/>
              </w:rPr>
            </w:pPr>
            <w:r>
              <w:rPr>
                <w:snapToGrid w:val="0"/>
                <w:color w:val="auto"/>
                <w:kern w:val="21"/>
                <w:szCs w:val="21"/>
                <w:highlight w:val="none"/>
              </w:rPr>
              <w:t>0.12</w:t>
            </w:r>
          </w:p>
        </w:tc>
        <w:tc>
          <w:tcPr>
            <w:tcW w:w="419" w:type="pct"/>
            <w:vAlign w:val="center"/>
          </w:tcPr>
          <w:p w14:paraId="6940F5D2">
            <w:pPr>
              <w:jc w:val="center"/>
              <w:rPr>
                <w:snapToGrid w:val="0"/>
                <w:color w:val="auto"/>
                <w:kern w:val="21"/>
                <w:szCs w:val="21"/>
                <w:highlight w:val="none"/>
              </w:rPr>
            </w:pPr>
            <w:r>
              <w:rPr>
                <w:snapToGrid w:val="0"/>
                <w:color w:val="auto"/>
                <w:kern w:val="21"/>
                <w:szCs w:val="21"/>
                <w:highlight w:val="none"/>
              </w:rPr>
              <w:t>0.12</w:t>
            </w:r>
          </w:p>
        </w:tc>
        <w:tc>
          <w:tcPr>
            <w:tcW w:w="626" w:type="pct"/>
            <w:vAlign w:val="center"/>
          </w:tcPr>
          <w:p w14:paraId="1587BEFB">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33F51BC5">
            <w:pPr>
              <w:widowControl/>
              <w:jc w:val="center"/>
              <w:textAlignment w:val="center"/>
              <w:rPr>
                <w:snapToGrid w:val="0"/>
                <w:color w:val="auto"/>
                <w:kern w:val="21"/>
                <w:szCs w:val="21"/>
                <w:highlight w:val="none"/>
              </w:rPr>
            </w:pPr>
            <w:r>
              <w:rPr>
                <w:color w:val="auto"/>
                <w:kern w:val="0"/>
                <w:szCs w:val="21"/>
                <w:highlight w:val="none"/>
                <w:lang w:bidi="ar"/>
              </w:rPr>
              <w:t xml:space="preserve">0.0540 </w:t>
            </w:r>
          </w:p>
        </w:tc>
        <w:tc>
          <w:tcPr>
            <w:tcW w:w="625" w:type="pct"/>
            <w:vAlign w:val="center"/>
          </w:tcPr>
          <w:p w14:paraId="19F0667F">
            <w:pPr>
              <w:jc w:val="center"/>
              <w:rPr>
                <w:snapToGrid w:val="0"/>
                <w:color w:val="auto"/>
                <w:kern w:val="21"/>
                <w:szCs w:val="21"/>
                <w:highlight w:val="none"/>
              </w:rPr>
            </w:pPr>
            <w:r>
              <w:rPr>
                <w:snapToGrid w:val="0"/>
                <w:color w:val="auto"/>
                <w:kern w:val="21"/>
                <w:szCs w:val="21"/>
                <w:highlight w:val="none"/>
              </w:rPr>
              <w:t>0.12</w:t>
            </w:r>
          </w:p>
        </w:tc>
        <w:tc>
          <w:tcPr>
            <w:tcW w:w="626" w:type="pct"/>
            <w:vAlign w:val="center"/>
          </w:tcPr>
          <w:p w14:paraId="2FD0E2EA">
            <w:pPr>
              <w:widowControl/>
              <w:jc w:val="center"/>
              <w:textAlignment w:val="center"/>
              <w:rPr>
                <w:snapToGrid w:val="0"/>
                <w:color w:val="auto"/>
                <w:kern w:val="21"/>
                <w:szCs w:val="21"/>
                <w:highlight w:val="none"/>
              </w:rPr>
            </w:pPr>
            <w:r>
              <w:rPr>
                <w:color w:val="auto"/>
                <w:kern w:val="0"/>
                <w:szCs w:val="21"/>
                <w:highlight w:val="none"/>
                <w:lang w:bidi="ar"/>
              </w:rPr>
              <w:t xml:space="preserve">0.0540 </w:t>
            </w:r>
          </w:p>
        </w:tc>
        <w:tc>
          <w:tcPr>
            <w:tcW w:w="419" w:type="pct"/>
            <w:vAlign w:val="center"/>
          </w:tcPr>
          <w:p w14:paraId="508ED86C">
            <w:pPr>
              <w:widowControl/>
              <w:jc w:val="center"/>
              <w:textAlignment w:val="center"/>
              <w:rPr>
                <w:color w:val="auto"/>
                <w:kern w:val="0"/>
                <w:szCs w:val="21"/>
                <w:highlight w:val="none"/>
              </w:rPr>
            </w:pPr>
            <w:r>
              <w:rPr>
                <w:rFonts w:hint="eastAsia"/>
                <w:color w:val="auto"/>
                <w:kern w:val="0"/>
                <w:szCs w:val="21"/>
                <w:highlight w:val="none"/>
              </w:rPr>
              <w:t>-0.066</w:t>
            </w:r>
          </w:p>
        </w:tc>
      </w:tr>
      <w:tr w14:paraId="1158E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711914AA">
            <w:pPr>
              <w:pStyle w:val="60"/>
              <w:spacing w:beforeLines="0" w:afterLines="0" w:line="240" w:lineRule="auto"/>
              <w:rPr>
                <w:rFonts w:ascii="Times New Roman"/>
                <w:snapToGrid w:val="0"/>
                <w:color w:val="auto"/>
                <w:kern w:val="21"/>
                <w:szCs w:val="21"/>
                <w:highlight w:val="none"/>
                <w:lang w:val="en-US"/>
              </w:rPr>
            </w:pPr>
          </w:p>
        </w:tc>
        <w:tc>
          <w:tcPr>
            <w:tcW w:w="741" w:type="pct"/>
            <w:gridSpan w:val="2"/>
            <w:vAlign w:val="center"/>
          </w:tcPr>
          <w:p w14:paraId="730A2356">
            <w:pPr>
              <w:pStyle w:val="60"/>
              <w:spacing w:beforeLines="0" w:afterLines="0" w:line="240" w:lineRule="auto"/>
              <w:rPr>
                <w:rFonts w:ascii="Times New Roman"/>
                <w:snapToGrid w:val="0"/>
                <w:color w:val="auto"/>
                <w:kern w:val="21"/>
                <w:szCs w:val="21"/>
                <w:highlight w:val="none"/>
                <w:lang w:val="en-US"/>
              </w:rPr>
            </w:pPr>
            <w:r>
              <w:rPr>
                <w:rFonts w:ascii="Times New Roman"/>
                <w:snapToGrid w:val="0"/>
                <w:color w:val="auto"/>
                <w:kern w:val="21"/>
                <w:szCs w:val="21"/>
                <w:highlight w:val="none"/>
                <w:lang w:val="en-US"/>
              </w:rPr>
              <w:t>TP</w:t>
            </w:r>
          </w:p>
        </w:tc>
        <w:tc>
          <w:tcPr>
            <w:tcW w:w="584" w:type="pct"/>
            <w:vAlign w:val="center"/>
          </w:tcPr>
          <w:p w14:paraId="458F2E05">
            <w:pPr>
              <w:jc w:val="center"/>
              <w:rPr>
                <w:snapToGrid w:val="0"/>
                <w:color w:val="auto"/>
                <w:kern w:val="21"/>
                <w:szCs w:val="21"/>
                <w:highlight w:val="none"/>
              </w:rPr>
            </w:pPr>
            <w:r>
              <w:rPr>
                <w:snapToGrid w:val="0"/>
                <w:color w:val="auto"/>
                <w:kern w:val="21"/>
                <w:szCs w:val="21"/>
                <w:highlight w:val="none"/>
              </w:rPr>
              <w:t>0.012</w:t>
            </w:r>
          </w:p>
        </w:tc>
        <w:tc>
          <w:tcPr>
            <w:tcW w:w="419" w:type="pct"/>
            <w:vAlign w:val="center"/>
          </w:tcPr>
          <w:p w14:paraId="622C18CB">
            <w:pPr>
              <w:jc w:val="center"/>
              <w:rPr>
                <w:snapToGrid w:val="0"/>
                <w:color w:val="auto"/>
                <w:kern w:val="21"/>
                <w:szCs w:val="21"/>
                <w:highlight w:val="none"/>
              </w:rPr>
            </w:pPr>
            <w:r>
              <w:rPr>
                <w:snapToGrid w:val="0"/>
                <w:color w:val="auto"/>
                <w:kern w:val="21"/>
                <w:szCs w:val="21"/>
                <w:highlight w:val="none"/>
              </w:rPr>
              <w:t>0.012</w:t>
            </w:r>
          </w:p>
        </w:tc>
        <w:tc>
          <w:tcPr>
            <w:tcW w:w="626" w:type="pct"/>
            <w:vAlign w:val="center"/>
          </w:tcPr>
          <w:p w14:paraId="191DD221">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5D34AA3A">
            <w:pPr>
              <w:widowControl/>
              <w:jc w:val="center"/>
              <w:textAlignment w:val="center"/>
              <w:rPr>
                <w:snapToGrid w:val="0"/>
                <w:color w:val="auto"/>
                <w:kern w:val="21"/>
                <w:szCs w:val="21"/>
                <w:highlight w:val="none"/>
              </w:rPr>
            </w:pPr>
            <w:r>
              <w:rPr>
                <w:color w:val="auto"/>
                <w:kern w:val="0"/>
                <w:szCs w:val="21"/>
                <w:highlight w:val="none"/>
                <w:lang w:bidi="ar"/>
              </w:rPr>
              <w:t xml:space="preserve">0.0060 </w:t>
            </w:r>
          </w:p>
        </w:tc>
        <w:tc>
          <w:tcPr>
            <w:tcW w:w="625" w:type="pct"/>
            <w:vAlign w:val="center"/>
          </w:tcPr>
          <w:p w14:paraId="7B04FAB7">
            <w:pPr>
              <w:jc w:val="center"/>
              <w:rPr>
                <w:snapToGrid w:val="0"/>
                <w:color w:val="auto"/>
                <w:kern w:val="21"/>
                <w:szCs w:val="21"/>
                <w:highlight w:val="none"/>
              </w:rPr>
            </w:pPr>
            <w:r>
              <w:rPr>
                <w:snapToGrid w:val="0"/>
                <w:color w:val="auto"/>
                <w:kern w:val="21"/>
                <w:szCs w:val="21"/>
                <w:highlight w:val="none"/>
              </w:rPr>
              <w:t>0.012</w:t>
            </w:r>
          </w:p>
        </w:tc>
        <w:tc>
          <w:tcPr>
            <w:tcW w:w="626" w:type="pct"/>
            <w:vAlign w:val="center"/>
          </w:tcPr>
          <w:p w14:paraId="5CF15266">
            <w:pPr>
              <w:widowControl/>
              <w:jc w:val="center"/>
              <w:textAlignment w:val="center"/>
              <w:rPr>
                <w:snapToGrid w:val="0"/>
                <w:color w:val="auto"/>
                <w:kern w:val="21"/>
                <w:szCs w:val="21"/>
                <w:highlight w:val="none"/>
              </w:rPr>
            </w:pPr>
            <w:r>
              <w:rPr>
                <w:color w:val="auto"/>
                <w:kern w:val="0"/>
                <w:szCs w:val="21"/>
                <w:highlight w:val="none"/>
                <w:lang w:bidi="ar"/>
              </w:rPr>
              <w:t xml:space="preserve">0.0060 </w:t>
            </w:r>
          </w:p>
        </w:tc>
        <w:tc>
          <w:tcPr>
            <w:tcW w:w="419" w:type="pct"/>
            <w:vAlign w:val="center"/>
          </w:tcPr>
          <w:p w14:paraId="78973FC5">
            <w:pPr>
              <w:widowControl/>
              <w:jc w:val="center"/>
              <w:textAlignment w:val="center"/>
              <w:rPr>
                <w:color w:val="auto"/>
                <w:kern w:val="0"/>
                <w:szCs w:val="21"/>
                <w:highlight w:val="none"/>
              </w:rPr>
            </w:pPr>
            <w:r>
              <w:rPr>
                <w:rFonts w:hint="eastAsia"/>
                <w:color w:val="auto"/>
                <w:kern w:val="0"/>
                <w:szCs w:val="21"/>
                <w:highlight w:val="none"/>
              </w:rPr>
              <w:t>-0.006</w:t>
            </w:r>
          </w:p>
        </w:tc>
      </w:tr>
      <w:tr w14:paraId="6B973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restart"/>
            <w:vAlign w:val="center"/>
          </w:tcPr>
          <w:p w14:paraId="00B5B810">
            <w:pPr>
              <w:pStyle w:val="60"/>
              <w:spacing w:beforeLines="0" w:afterLines="0" w:line="240" w:lineRule="auto"/>
              <w:rPr>
                <w:rFonts w:ascii="Times New Roman"/>
                <w:snapToGrid w:val="0"/>
                <w:color w:val="auto"/>
                <w:kern w:val="21"/>
                <w:szCs w:val="21"/>
                <w:highlight w:val="none"/>
                <w:lang w:val="en-US"/>
              </w:rPr>
            </w:pPr>
            <w:r>
              <w:rPr>
                <w:rFonts w:ascii="Times New Roman" w:hAnsi="宋体"/>
                <w:snapToGrid w:val="0"/>
                <w:color w:val="auto"/>
                <w:kern w:val="21"/>
                <w:szCs w:val="21"/>
                <w:highlight w:val="none"/>
                <w:lang w:val="en-US"/>
              </w:rPr>
              <w:t>一般</w:t>
            </w:r>
            <w:r>
              <w:rPr>
                <w:rFonts w:hint="eastAsia" w:ascii="Times New Roman"/>
                <w:snapToGrid w:val="0"/>
                <w:color w:val="auto"/>
                <w:kern w:val="21"/>
                <w:szCs w:val="21"/>
                <w:highlight w:val="none"/>
                <w:lang w:val="en-US"/>
              </w:rPr>
              <w:t>固废</w:t>
            </w:r>
          </w:p>
        </w:tc>
        <w:tc>
          <w:tcPr>
            <w:tcW w:w="741" w:type="pct"/>
            <w:gridSpan w:val="2"/>
            <w:vAlign w:val="center"/>
          </w:tcPr>
          <w:p w14:paraId="4CE6F16E">
            <w:pPr>
              <w:snapToGrid w:val="0"/>
              <w:jc w:val="center"/>
              <w:rPr>
                <w:snapToGrid w:val="0"/>
                <w:color w:val="auto"/>
                <w:kern w:val="21"/>
                <w:szCs w:val="21"/>
                <w:highlight w:val="none"/>
              </w:rPr>
            </w:pPr>
            <w:r>
              <w:rPr>
                <w:snapToGrid w:val="0"/>
                <w:color w:val="auto"/>
                <w:kern w:val="21"/>
                <w:szCs w:val="21"/>
                <w:highlight w:val="none"/>
              </w:rPr>
              <w:t>生活垃圾</w:t>
            </w:r>
          </w:p>
        </w:tc>
        <w:tc>
          <w:tcPr>
            <w:tcW w:w="584" w:type="pct"/>
            <w:vAlign w:val="center"/>
          </w:tcPr>
          <w:p w14:paraId="278B78E0">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15</w:t>
            </w:r>
          </w:p>
        </w:tc>
        <w:tc>
          <w:tcPr>
            <w:tcW w:w="419" w:type="pct"/>
            <w:vAlign w:val="center"/>
          </w:tcPr>
          <w:p w14:paraId="5B6C3FF2">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626" w:type="pct"/>
            <w:vAlign w:val="center"/>
          </w:tcPr>
          <w:p w14:paraId="0D3791B3">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2D79BDB3">
            <w:pPr>
              <w:adjustRightInd w:val="0"/>
              <w:snapToGrid w:val="0"/>
              <w:jc w:val="center"/>
              <w:rPr>
                <w:color w:val="auto"/>
                <w:szCs w:val="21"/>
                <w:highlight w:val="none"/>
              </w:rPr>
            </w:pPr>
            <w:r>
              <w:rPr>
                <w:rFonts w:hint="eastAsia"/>
                <w:color w:val="auto"/>
                <w:szCs w:val="21"/>
                <w:highlight w:val="none"/>
              </w:rPr>
              <w:t>7.2</w:t>
            </w:r>
          </w:p>
        </w:tc>
        <w:tc>
          <w:tcPr>
            <w:tcW w:w="625" w:type="pct"/>
            <w:vAlign w:val="center"/>
          </w:tcPr>
          <w:p w14:paraId="04A696D5">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7.2</w:t>
            </w:r>
          </w:p>
        </w:tc>
        <w:tc>
          <w:tcPr>
            <w:tcW w:w="626" w:type="pct"/>
            <w:vAlign w:val="center"/>
          </w:tcPr>
          <w:p w14:paraId="3678E0FC">
            <w:pPr>
              <w:adjustRightInd w:val="0"/>
              <w:snapToGrid w:val="0"/>
              <w:jc w:val="center"/>
              <w:rPr>
                <w:color w:val="auto"/>
                <w:szCs w:val="21"/>
                <w:highlight w:val="none"/>
              </w:rPr>
            </w:pPr>
            <w:r>
              <w:rPr>
                <w:rFonts w:hint="eastAsia"/>
                <w:color w:val="auto"/>
                <w:szCs w:val="21"/>
                <w:highlight w:val="none"/>
              </w:rPr>
              <w:t>15</w:t>
            </w:r>
          </w:p>
        </w:tc>
        <w:tc>
          <w:tcPr>
            <w:tcW w:w="419" w:type="pct"/>
            <w:vAlign w:val="center"/>
          </w:tcPr>
          <w:p w14:paraId="09F425ED">
            <w:pPr>
              <w:widowControl/>
              <w:jc w:val="center"/>
              <w:textAlignment w:val="center"/>
              <w:rPr>
                <w:color w:val="auto"/>
                <w:szCs w:val="21"/>
                <w:highlight w:val="none"/>
              </w:rPr>
            </w:pPr>
            <w:r>
              <w:rPr>
                <w:color w:val="auto"/>
                <w:kern w:val="0"/>
                <w:szCs w:val="21"/>
                <w:highlight w:val="none"/>
              </w:rPr>
              <w:t>0</w:t>
            </w:r>
          </w:p>
        </w:tc>
      </w:tr>
      <w:tr w14:paraId="5291F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2EC03924">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613EE6E0">
            <w:pPr>
              <w:snapToGrid w:val="0"/>
              <w:jc w:val="center"/>
              <w:rPr>
                <w:snapToGrid w:val="0"/>
                <w:color w:val="auto"/>
                <w:kern w:val="21"/>
                <w:szCs w:val="21"/>
                <w:highlight w:val="none"/>
              </w:rPr>
            </w:pPr>
            <w:r>
              <w:rPr>
                <w:snapToGrid w:val="0"/>
                <w:color w:val="auto"/>
                <w:kern w:val="21"/>
                <w:szCs w:val="21"/>
                <w:highlight w:val="none"/>
              </w:rPr>
              <w:t>废铜线</w:t>
            </w:r>
          </w:p>
        </w:tc>
        <w:tc>
          <w:tcPr>
            <w:tcW w:w="584" w:type="pct"/>
            <w:vAlign w:val="center"/>
          </w:tcPr>
          <w:p w14:paraId="6D6BACEC">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0.2</w:t>
            </w:r>
          </w:p>
        </w:tc>
        <w:tc>
          <w:tcPr>
            <w:tcW w:w="419" w:type="pct"/>
            <w:vAlign w:val="center"/>
          </w:tcPr>
          <w:p w14:paraId="650CABD2">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55ED968D">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50D2434B">
            <w:pPr>
              <w:adjustRightInd w:val="0"/>
              <w:snapToGrid w:val="0"/>
              <w:jc w:val="center"/>
              <w:rPr>
                <w:color w:val="auto"/>
                <w:szCs w:val="21"/>
                <w:highlight w:val="none"/>
              </w:rPr>
            </w:pPr>
            <w:r>
              <w:rPr>
                <w:rFonts w:hint="eastAsia"/>
                <w:color w:val="auto"/>
                <w:szCs w:val="21"/>
                <w:highlight w:val="none"/>
              </w:rPr>
              <w:t>0.2</w:t>
            </w:r>
          </w:p>
        </w:tc>
        <w:tc>
          <w:tcPr>
            <w:tcW w:w="625" w:type="pct"/>
            <w:vAlign w:val="center"/>
          </w:tcPr>
          <w:p w14:paraId="4D8C75FD">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049F2E5C">
            <w:pPr>
              <w:adjustRightInd w:val="0"/>
              <w:snapToGrid w:val="0"/>
              <w:jc w:val="center"/>
              <w:rPr>
                <w:color w:val="auto"/>
                <w:szCs w:val="21"/>
                <w:highlight w:val="none"/>
              </w:rPr>
            </w:pPr>
            <w:r>
              <w:rPr>
                <w:rFonts w:hint="eastAsia"/>
                <w:color w:val="auto"/>
                <w:szCs w:val="21"/>
                <w:highlight w:val="none"/>
              </w:rPr>
              <w:t>0.4</w:t>
            </w:r>
          </w:p>
        </w:tc>
        <w:tc>
          <w:tcPr>
            <w:tcW w:w="419" w:type="pct"/>
            <w:vAlign w:val="center"/>
          </w:tcPr>
          <w:p w14:paraId="7422C0DF">
            <w:pPr>
              <w:widowControl/>
              <w:jc w:val="center"/>
              <w:textAlignment w:val="center"/>
              <w:rPr>
                <w:color w:val="auto"/>
                <w:szCs w:val="21"/>
                <w:highlight w:val="none"/>
              </w:rPr>
            </w:pPr>
            <w:r>
              <w:rPr>
                <w:rFonts w:hint="eastAsia"/>
                <w:color w:val="auto"/>
                <w:kern w:val="0"/>
                <w:szCs w:val="21"/>
                <w:highlight w:val="none"/>
              </w:rPr>
              <w:t>+0.2</w:t>
            </w:r>
          </w:p>
        </w:tc>
      </w:tr>
      <w:tr w14:paraId="5AD22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7668AA23">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6E889D92">
            <w:pPr>
              <w:snapToGrid w:val="0"/>
              <w:jc w:val="center"/>
              <w:rPr>
                <w:rFonts w:ascii="Times New Roman" w:hAnsi="Times New Roman" w:eastAsia="宋体" w:cs="Times New Roman"/>
                <w:snapToGrid w:val="0"/>
                <w:color w:val="auto"/>
                <w:kern w:val="21"/>
                <w:sz w:val="21"/>
                <w:szCs w:val="21"/>
                <w:highlight w:val="none"/>
                <w:lang w:val="en-US" w:eastAsia="zh-CN" w:bidi="ar-SA"/>
              </w:rPr>
            </w:pPr>
            <w:r>
              <w:rPr>
                <w:snapToGrid w:val="0"/>
                <w:color w:val="auto"/>
                <w:kern w:val="21"/>
                <w:szCs w:val="21"/>
                <w:highlight w:val="none"/>
              </w:rPr>
              <w:t>废边角料</w:t>
            </w:r>
          </w:p>
        </w:tc>
        <w:tc>
          <w:tcPr>
            <w:tcW w:w="584" w:type="pct"/>
            <w:vAlign w:val="center"/>
          </w:tcPr>
          <w:p w14:paraId="0FF8627D">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0.1</w:t>
            </w:r>
          </w:p>
        </w:tc>
        <w:tc>
          <w:tcPr>
            <w:tcW w:w="419" w:type="pct"/>
            <w:vAlign w:val="center"/>
          </w:tcPr>
          <w:p w14:paraId="6BB8BA25">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7F93D760">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w:t>
            </w:r>
          </w:p>
        </w:tc>
        <w:tc>
          <w:tcPr>
            <w:tcW w:w="577" w:type="pct"/>
            <w:vAlign w:val="center"/>
          </w:tcPr>
          <w:p w14:paraId="41C31300">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625" w:type="pct"/>
            <w:vAlign w:val="center"/>
          </w:tcPr>
          <w:p w14:paraId="67DB88BD">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24D43EFF">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r>
              <w:rPr>
                <w:color w:val="auto"/>
                <w:szCs w:val="21"/>
                <w:highlight w:val="none"/>
              </w:rPr>
              <w:t>1</w:t>
            </w:r>
          </w:p>
        </w:tc>
        <w:tc>
          <w:tcPr>
            <w:tcW w:w="419" w:type="pct"/>
            <w:vAlign w:val="center"/>
          </w:tcPr>
          <w:p w14:paraId="4724E9F2">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0</w:t>
            </w:r>
          </w:p>
        </w:tc>
      </w:tr>
      <w:tr w14:paraId="4A681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0F59CDED">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15E55484">
            <w:pPr>
              <w:snapToGrid w:val="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焊接烟尘净化器收集粉尘</w:t>
            </w:r>
          </w:p>
        </w:tc>
        <w:tc>
          <w:tcPr>
            <w:tcW w:w="584" w:type="pct"/>
            <w:vAlign w:val="center"/>
          </w:tcPr>
          <w:p w14:paraId="6CBDCEFF">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0.23</w:t>
            </w:r>
          </w:p>
        </w:tc>
        <w:tc>
          <w:tcPr>
            <w:tcW w:w="419" w:type="pct"/>
            <w:vAlign w:val="center"/>
          </w:tcPr>
          <w:p w14:paraId="3DE9BCE6">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4DFF68DA">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w:t>
            </w:r>
          </w:p>
        </w:tc>
        <w:tc>
          <w:tcPr>
            <w:tcW w:w="577" w:type="pct"/>
            <w:vAlign w:val="center"/>
          </w:tcPr>
          <w:p w14:paraId="59F59F04">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0.288</w:t>
            </w:r>
          </w:p>
        </w:tc>
        <w:tc>
          <w:tcPr>
            <w:tcW w:w="625" w:type="pct"/>
            <w:vAlign w:val="center"/>
          </w:tcPr>
          <w:p w14:paraId="1D9F1B5D">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473E9588">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0.518</w:t>
            </w:r>
          </w:p>
        </w:tc>
        <w:tc>
          <w:tcPr>
            <w:tcW w:w="419" w:type="pct"/>
            <w:vAlign w:val="center"/>
          </w:tcPr>
          <w:p w14:paraId="188BB3D5">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rPr>
              <w:t>+</w:t>
            </w:r>
            <w:r>
              <w:rPr>
                <w:color w:val="auto"/>
                <w:kern w:val="0"/>
                <w:szCs w:val="21"/>
                <w:highlight w:val="none"/>
              </w:rPr>
              <w:t>0.</w:t>
            </w:r>
            <w:r>
              <w:rPr>
                <w:rFonts w:hint="eastAsia"/>
                <w:color w:val="auto"/>
                <w:kern w:val="0"/>
                <w:szCs w:val="21"/>
                <w:highlight w:val="none"/>
              </w:rPr>
              <w:t>288</w:t>
            </w:r>
          </w:p>
        </w:tc>
      </w:tr>
      <w:tr w14:paraId="00580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607F1563">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55EC25D5">
            <w:pPr>
              <w:snapToGrid w:val="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泥渣</w:t>
            </w:r>
          </w:p>
        </w:tc>
        <w:tc>
          <w:tcPr>
            <w:tcW w:w="584" w:type="pct"/>
            <w:vAlign w:val="center"/>
          </w:tcPr>
          <w:p w14:paraId="4FDD9545">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5</w:t>
            </w:r>
          </w:p>
        </w:tc>
        <w:tc>
          <w:tcPr>
            <w:tcW w:w="419" w:type="pct"/>
            <w:vAlign w:val="center"/>
          </w:tcPr>
          <w:p w14:paraId="01B21D22">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36797AA2">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w:t>
            </w:r>
          </w:p>
        </w:tc>
        <w:tc>
          <w:tcPr>
            <w:tcW w:w="577" w:type="pct"/>
            <w:vAlign w:val="center"/>
          </w:tcPr>
          <w:p w14:paraId="34CDFDA2">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625" w:type="pct"/>
            <w:vAlign w:val="center"/>
          </w:tcPr>
          <w:p w14:paraId="2C0A1031">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7986BAC4">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w:t>
            </w:r>
          </w:p>
        </w:tc>
        <w:tc>
          <w:tcPr>
            <w:tcW w:w="419" w:type="pct"/>
            <w:vAlign w:val="center"/>
          </w:tcPr>
          <w:p w14:paraId="4BABBA59">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kern w:val="0"/>
                <w:szCs w:val="21"/>
                <w:highlight w:val="none"/>
              </w:rPr>
              <w:t>0</w:t>
            </w:r>
          </w:p>
        </w:tc>
      </w:tr>
      <w:tr w14:paraId="03FC6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22F5D0C7">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4C8459BC">
            <w:pPr>
              <w:snapToGrid w:val="0"/>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废包装袋</w:t>
            </w:r>
          </w:p>
        </w:tc>
        <w:tc>
          <w:tcPr>
            <w:tcW w:w="584" w:type="pct"/>
            <w:vAlign w:val="center"/>
          </w:tcPr>
          <w:p w14:paraId="24D04557">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w:t>
            </w:r>
          </w:p>
        </w:tc>
        <w:tc>
          <w:tcPr>
            <w:tcW w:w="419" w:type="pct"/>
            <w:vAlign w:val="center"/>
          </w:tcPr>
          <w:p w14:paraId="40935C31">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54B85F40">
            <w:pPr>
              <w:pStyle w:val="60"/>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rPr>
              <w:t>0</w:t>
            </w:r>
          </w:p>
        </w:tc>
        <w:tc>
          <w:tcPr>
            <w:tcW w:w="577" w:type="pct"/>
            <w:vAlign w:val="center"/>
          </w:tcPr>
          <w:p w14:paraId="1CCB8884">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0.03</w:t>
            </w:r>
          </w:p>
        </w:tc>
        <w:tc>
          <w:tcPr>
            <w:tcW w:w="625" w:type="pct"/>
            <w:vAlign w:val="center"/>
          </w:tcPr>
          <w:p w14:paraId="2A782480">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rPr>
              <w:t>0</w:t>
            </w:r>
          </w:p>
        </w:tc>
        <w:tc>
          <w:tcPr>
            <w:tcW w:w="626" w:type="pct"/>
            <w:vAlign w:val="center"/>
          </w:tcPr>
          <w:p w14:paraId="2D67707D">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0.03</w:t>
            </w:r>
          </w:p>
        </w:tc>
        <w:tc>
          <w:tcPr>
            <w:tcW w:w="419" w:type="pct"/>
            <w:vAlign w:val="center"/>
          </w:tcPr>
          <w:p w14:paraId="242A8569">
            <w:pPr>
              <w:widowControl/>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+0.03</w:t>
            </w:r>
          </w:p>
        </w:tc>
      </w:tr>
      <w:tr w14:paraId="34BC7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restart"/>
            <w:vAlign w:val="center"/>
          </w:tcPr>
          <w:p w14:paraId="301F0D52">
            <w:pPr>
              <w:pStyle w:val="60"/>
              <w:spacing w:beforeLines="0" w:afterLines="0" w:line="240" w:lineRule="auto"/>
              <w:rPr>
                <w:rFonts w:ascii="Times New Roman" w:hAnsi="宋体"/>
                <w:snapToGrid w:val="0"/>
                <w:color w:val="auto"/>
                <w:kern w:val="21"/>
                <w:szCs w:val="21"/>
                <w:highlight w:val="none"/>
                <w:lang w:val="en-US"/>
              </w:rPr>
            </w:pPr>
            <w:r>
              <w:rPr>
                <w:rFonts w:ascii="Times New Roman" w:hAnsi="宋体"/>
                <w:snapToGrid w:val="0"/>
                <w:color w:val="auto"/>
                <w:kern w:val="21"/>
                <w:szCs w:val="21"/>
                <w:highlight w:val="none"/>
                <w:lang w:val="en-US"/>
              </w:rPr>
              <w:t>危险</w:t>
            </w:r>
            <w:r>
              <w:rPr>
                <w:rFonts w:hint="eastAsia" w:ascii="Times New Roman" w:hAnsi="宋体"/>
                <w:snapToGrid w:val="0"/>
                <w:color w:val="auto"/>
                <w:kern w:val="21"/>
                <w:szCs w:val="21"/>
                <w:highlight w:val="none"/>
                <w:lang w:val="en-US"/>
              </w:rPr>
              <w:t>固废</w:t>
            </w:r>
          </w:p>
        </w:tc>
        <w:tc>
          <w:tcPr>
            <w:tcW w:w="741" w:type="pct"/>
            <w:gridSpan w:val="2"/>
            <w:vAlign w:val="center"/>
          </w:tcPr>
          <w:p w14:paraId="1F521435">
            <w:pPr>
              <w:snapToGrid w:val="0"/>
              <w:jc w:val="center"/>
              <w:rPr>
                <w:snapToGrid w:val="0"/>
                <w:color w:val="auto"/>
                <w:kern w:val="21"/>
                <w:szCs w:val="21"/>
                <w:highlight w:val="none"/>
              </w:rPr>
            </w:pPr>
            <w:r>
              <w:rPr>
                <w:rFonts w:hint="eastAsia"/>
                <w:snapToGrid w:val="0"/>
                <w:color w:val="auto"/>
                <w:kern w:val="21"/>
                <w:szCs w:val="21"/>
                <w:highlight w:val="none"/>
              </w:rPr>
              <w:t>废粉</w:t>
            </w:r>
          </w:p>
        </w:tc>
        <w:tc>
          <w:tcPr>
            <w:tcW w:w="584" w:type="pct"/>
            <w:vAlign w:val="center"/>
          </w:tcPr>
          <w:p w14:paraId="69D0E9B0">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419" w:type="pct"/>
            <w:vAlign w:val="center"/>
          </w:tcPr>
          <w:p w14:paraId="2361DBD4">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7353170A">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6D25F5A6">
            <w:pPr>
              <w:adjustRightInd w:val="0"/>
              <w:snapToGrid w:val="0"/>
              <w:jc w:val="center"/>
              <w:rPr>
                <w:color w:val="auto"/>
                <w:szCs w:val="21"/>
                <w:highlight w:val="none"/>
              </w:rPr>
            </w:pPr>
            <w:r>
              <w:rPr>
                <w:rFonts w:hint="default"/>
                <w:color w:val="auto"/>
                <w:szCs w:val="21"/>
                <w:highlight w:val="none"/>
              </w:rPr>
              <w:t>2.139</w:t>
            </w:r>
          </w:p>
        </w:tc>
        <w:tc>
          <w:tcPr>
            <w:tcW w:w="625" w:type="pct"/>
            <w:vAlign w:val="center"/>
          </w:tcPr>
          <w:p w14:paraId="43D4F85B">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51A8A3C0">
            <w:pPr>
              <w:adjustRightInd w:val="0"/>
              <w:snapToGrid w:val="0"/>
              <w:jc w:val="center"/>
              <w:rPr>
                <w:color w:val="auto"/>
                <w:szCs w:val="21"/>
                <w:highlight w:val="none"/>
              </w:rPr>
            </w:pPr>
            <w:r>
              <w:rPr>
                <w:rFonts w:hint="default"/>
                <w:color w:val="auto"/>
                <w:szCs w:val="21"/>
                <w:highlight w:val="none"/>
              </w:rPr>
              <w:t>2.139</w:t>
            </w:r>
          </w:p>
        </w:tc>
        <w:tc>
          <w:tcPr>
            <w:tcW w:w="419" w:type="pct"/>
            <w:vAlign w:val="center"/>
          </w:tcPr>
          <w:p w14:paraId="59585385">
            <w:pPr>
              <w:widowControl/>
              <w:jc w:val="center"/>
              <w:textAlignment w:val="center"/>
              <w:rPr>
                <w:color w:val="auto"/>
                <w:kern w:val="0"/>
                <w:szCs w:val="21"/>
                <w:highlight w:val="none"/>
              </w:rPr>
            </w:pPr>
            <w:r>
              <w:rPr>
                <w:rFonts w:hint="eastAsia"/>
                <w:color w:val="auto"/>
                <w:kern w:val="0"/>
                <w:szCs w:val="21"/>
                <w:highlight w:val="none"/>
              </w:rPr>
              <w:t>+</w:t>
            </w:r>
            <w:r>
              <w:rPr>
                <w:rFonts w:hint="default"/>
                <w:color w:val="auto"/>
                <w:kern w:val="0"/>
                <w:szCs w:val="21"/>
                <w:highlight w:val="none"/>
              </w:rPr>
              <w:t>2.139</w:t>
            </w:r>
          </w:p>
        </w:tc>
      </w:tr>
      <w:tr w14:paraId="7FF36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3818BF8B">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0F69A9BA">
            <w:pPr>
              <w:snapToGrid w:val="0"/>
              <w:jc w:val="center"/>
              <w:rPr>
                <w:snapToGrid w:val="0"/>
                <w:color w:val="auto"/>
                <w:kern w:val="21"/>
                <w:szCs w:val="21"/>
                <w:highlight w:val="none"/>
              </w:rPr>
            </w:pPr>
            <w:r>
              <w:rPr>
                <w:snapToGrid w:val="0"/>
                <w:color w:val="auto"/>
                <w:kern w:val="21"/>
                <w:szCs w:val="21"/>
                <w:highlight w:val="none"/>
              </w:rPr>
              <w:t>废胶</w:t>
            </w:r>
          </w:p>
        </w:tc>
        <w:tc>
          <w:tcPr>
            <w:tcW w:w="584" w:type="pct"/>
            <w:vAlign w:val="center"/>
          </w:tcPr>
          <w:p w14:paraId="5F323236">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0.1</w:t>
            </w:r>
          </w:p>
        </w:tc>
        <w:tc>
          <w:tcPr>
            <w:tcW w:w="419" w:type="pct"/>
            <w:vAlign w:val="center"/>
          </w:tcPr>
          <w:p w14:paraId="1E9C79B7">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0C5A41A9">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66DBB7F0">
            <w:pPr>
              <w:adjustRightInd w:val="0"/>
              <w:snapToGrid w:val="0"/>
              <w:jc w:val="center"/>
              <w:rPr>
                <w:color w:val="auto"/>
                <w:szCs w:val="21"/>
                <w:highlight w:val="none"/>
              </w:rPr>
            </w:pPr>
            <w:r>
              <w:rPr>
                <w:rFonts w:hint="default"/>
                <w:color w:val="auto"/>
                <w:szCs w:val="21"/>
                <w:highlight w:val="none"/>
              </w:rPr>
              <w:t>1.11</w:t>
            </w:r>
          </w:p>
        </w:tc>
        <w:tc>
          <w:tcPr>
            <w:tcW w:w="625" w:type="pct"/>
            <w:vAlign w:val="center"/>
          </w:tcPr>
          <w:p w14:paraId="4D00EE2F">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43C8B328">
            <w:pPr>
              <w:adjustRightInd w:val="0"/>
              <w:snapToGrid w:val="0"/>
              <w:jc w:val="center"/>
              <w:rPr>
                <w:color w:val="auto"/>
                <w:szCs w:val="21"/>
                <w:highlight w:val="none"/>
              </w:rPr>
            </w:pPr>
            <w:r>
              <w:rPr>
                <w:rFonts w:hint="default"/>
                <w:color w:val="auto"/>
                <w:szCs w:val="21"/>
                <w:highlight w:val="none"/>
              </w:rPr>
              <w:t>1.21</w:t>
            </w:r>
          </w:p>
        </w:tc>
        <w:tc>
          <w:tcPr>
            <w:tcW w:w="419" w:type="pct"/>
            <w:vAlign w:val="center"/>
          </w:tcPr>
          <w:p w14:paraId="5FEE852F">
            <w:pPr>
              <w:widowControl/>
              <w:jc w:val="center"/>
              <w:textAlignment w:val="center"/>
              <w:rPr>
                <w:color w:val="auto"/>
                <w:szCs w:val="21"/>
                <w:highlight w:val="none"/>
              </w:rPr>
            </w:pPr>
            <w:r>
              <w:rPr>
                <w:rFonts w:hint="eastAsia"/>
                <w:color w:val="auto"/>
                <w:kern w:val="0"/>
                <w:szCs w:val="21"/>
                <w:highlight w:val="none"/>
              </w:rPr>
              <w:t>+</w:t>
            </w:r>
            <w:r>
              <w:rPr>
                <w:color w:val="auto"/>
                <w:kern w:val="0"/>
                <w:szCs w:val="21"/>
                <w:highlight w:val="none"/>
              </w:rPr>
              <w:t>1.1</w:t>
            </w:r>
          </w:p>
        </w:tc>
      </w:tr>
      <w:tr w14:paraId="4E159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47315B01">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61A7E083">
            <w:pPr>
              <w:snapToGrid w:val="0"/>
              <w:jc w:val="center"/>
              <w:rPr>
                <w:snapToGrid w:val="0"/>
                <w:color w:val="auto"/>
                <w:kern w:val="21"/>
                <w:szCs w:val="21"/>
                <w:highlight w:val="none"/>
              </w:rPr>
            </w:pPr>
            <w:r>
              <w:rPr>
                <w:snapToGrid w:val="0"/>
                <w:color w:val="auto"/>
                <w:kern w:val="21"/>
                <w:szCs w:val="21"/>
                <w:highlight w:val="none"/>
              </w:rPr>
              <w:t>废活性炭</w:t>
            </w:r>
          </w:p>
        </w:tc>
        <w:tc>
          <w:tcPr>
            <w:tcW w:w="584" w:type="pct"/>
            <w:vAlign w:val="center"/>
          </w:tcPr>
          <w:p w14:paraId="1F43C4D3">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0.26</w:t>
            </w:r>
          </w:p>
        </w:tc>
        <w:tc>
          <w:tcPr>
            <w:tcW w:w="419" w:type="pct"/>
            <w:vAlign w:val="center"/>
          </w:tcPr>
          <w:p w14:paraId="6D6A541C">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34BC3C0F">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6DCF0872">
            <w:pPr>
              <w:adjustRightInd w:val="0"/>
              <w:snapToGrid w:val="0"/>
              <w:jc w:val="center"/>
              <w:rPr>
                <w:color w:val="auto"/>
                <w:szCs w:val="21"/>
                <w:highlight w:val="none"/>
              </w:rPr>
            </w:pPr>
            <w:r>
              <w:rPr>
                <w:rFonts w:hint="default"/>
                <w:color w:val="auto"/>
                <w:szCs w:val="21"/>
                <w:highlight w:val="none"/>
              </w:rPr>
              <w:t>44.0901</w:t>
            </w:r>
          </w:p>
        </w:tc>
        <w:tc>
          <w:tcPr>
            <w:tcW w:w="625" w:type="pct"/>
            <w:vAlign w:val="center"/>
          </w:tcPr>
          <w:p w14:paraId="6C6FA386">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3E26D00E">
            <w:pPr>
              <w:adjustRightInd w:val="0"/>
              <w:snapToGrid w:val="0"/>
              <w:jc w:val="center"/>
              <w:rPr>
                <w:color w:val="auto"/>
                <w:szCs w:val="21"/>
                <w:highlight w:val="none"/>
              </w:rPr>
            </w:pPr>
            <w:r>
              <w:rPr>
                <w:rFonts w:hint="default"/>
                <w:color w:val="auto"/>
                <w:szCs w:val="21"/>
                <w:highlight w:val="none"/>
              </w:rPr>
              <w:t>44.0901</w:t>
            </w:r>
          </w:p>
        </w:tc>
        <w:tc>
          <w:tcPr>
            <w:tcW w:w="419" w:type="pct"/>
            <w:vAlign w:val="center"/>
          </w:tcPr>
          <w:p w14:paraId="72E06A7A">
            <w:pPr>
              <w:widowControl/>
              <w:jc w:val="center"/>
              <w:textAlignment w:val="center"/>
              <w:rPr>
                <w:color w:val="auto"/>
                <w:szCs w:val="21"/>
                <w:highlight w:val="none"/>
              </w:rPr>
            </w:pPr>
            <w:r>
              <w:rPr>
                <w:rFonts w:hint="eastAsia"/>
                <w:color w:val="auto"/>
                <w:kern w:val="0"/>
                <w:szCs w:val="21"/>
                <w:highlight w:val="none"/>
              </w:rPr>
              <w:t>+</w:t>
            </w:r>
            <w:r>
              <w:rPr>
                <w:color w:val="auto"/>
                <w:kern w:val="0"/>
                <w:szCs w:val="21"/>
                <w:highlight w:val="none"/>
              </w:rPr>
              <w:t>44.0901</w:t>
            </w:r>
          </w:p>
        </w:tc>
      </w:tr>
      <w:tr w14:paraId="73006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0A4A6783">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5241E3DF">
            <w:pPr>
              <w:snapToGrid w:val="0"/>
              <w:jc w:val="center"/>
              <w:rPr>
                <w:snapToGrid w:val="0"/>
                <w:color w:val="auto"/>
                <w:kern w:val="21"/>
                <w:szCs w:val="21"/>
                <w:highlight w:val="none"/>
              </w:rPr>
            </w:pPr>
            <w:r>
              <w:rPr>
                <w:snapToGrid w:val="0"/>
                <w:color w:val="auto"/>
                <w:kern w:val="21"/>
                <w:szCs w:val="21"/>
                <w:highlight w:val="none"/>
              </w:rPr>
              <w:t>废包装桶</w:t>
            </w:r>
          </w:p>
        </w:tc>
        <w:tc>
          <w:tcPr>
            <w:tcW w:w="584" w:type="pct"/>
            <w:vAlign w:val="center"/>
          </w:tcPr>
          <w:p w14:paraId="18A6104F">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0.3</w:t>
            </w:r>
          </w:p>
        </w:tc>
        <w:tc>
          <w:tcPr>
            <w:tcW w:w="419" w:type="pct"/>
            <w:vAlign w:val="center"/>
          </w:tcPr>
          <w:p w14:paraId="76615C6C">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103F4940">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2A6D7BF7">
            <w:pPr>
              <w:adjustRightInd w:val="0"/>
              <w:snapToGrid w:val="0"/>
              <w:jc w:val="center"/>
              <w:rPr>
                <w:color w:val="auto"/>
                <w:szCs w:val="21"/>
                <w:highlight w:val="none"/>
              </w:rPr>
            </w:pPr>
            <w:r>
              <w:rPr>
                <w:rFonts w:hint="eastAsia"/>
                <w:color w:val="auto"/>
                <w:szCs w:val="21"/>
                <w:highlight w:val="none"/>
              </w:rPr>
              <w:t>0.2</w:t>
            </w:r>
            <w:r>
              <w:rPr>
                <w:rFonts w:hint="default"/>
                <w:color w:val="auto"/>
                <w:szCs w:val="21"/>
                <w:highlight w:val="none"/>
              </w:rPr>
              <w:t>5</w:t>
            </w:r>
          </w:p>
        </w:tc>
        <w:tc>
          <w:tcPr>
            <w:tcW w:w="625" w:type="pct"/>
            <w:vAlign w:val="center"/>
          </w:tcPr>
          <w:p w14:paraId="38C1B7B1">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7AD4CF40">
            <w:pPr>
              <w:adjustRightInd w:val="0"/>
              <w:snapToGrid w:val="0"/>
              <w:jc w:val="center"/>
              <w:rPr>
                <w:color w:val="auto"/>
                <w:szCs w:val="21"/>
                <w:highlight w:val="none"/>
              </w:rPr>
            </w:pPr>
            <w:r>
              <w:rPr>
                <w:rFonts w:hint="eastAsia"/>
                <w:color w:val="auto"/>
                <w:szCs w:val="21"/>
                <w:highlight w:val="none"/>
              </w:rPr>
              <w:t>0.5</w:t>
            </w:r>
            <w:r>
              <w:rPr>
                <w:rFonts w:hint="default"/>
                <w:color w:val="auto"/>
                <w:szCs w:val="21"/>
                <w:highlight w:val="none"/>
              </w:rPr>
              <w:t>5</w:t>
            </w:r>
          </w:p>
        </w:tc>
        <w:tc>
          <w:tcPr>
            <w:tcW w:w="419" w:type="pct"/>
            <w:vAlign w:val="center"/>
          </w:tcPr>
          <w:p w14:paraId="3D3C8964">
            <w:pPr>
              <w:widowControl/>
              <w:jc w:val="center"/>
              <w:textAlignment w:val="center"/>
              <w:rPr>
                <w:color w:val="auto"/>
                <w:szCs w:val="21"/>
                <w:highlight w:val="none"/>
              </w:rPr>
            </w:pPr>
            <w:r>
              <w:rPr>
                <w:rFonts w:hint="eastAsia"/>
                <w:color w:val="auto"/>
                <w:kern w:val="0"/>
                <w:szCs w:val="21"/>
                <w:highlight w:val="none"/>
              </w:rPr>
              <w:t>+0.2</w:t>
            </w:r>
            <w:r>
              <w:rPr>
                <w:rFonts w:hint="default"/>
                <w:color w:val="auto"/>
                <w:kern w:val="0"/>
                <w:szCs w:val="21"/>
                <w:highlight w:val="none"/>
              </w:rPr>
              <w:t>5</w:t>
            </w:r>
          </w:p>
        </w:tc>
      </w:tr>
      <w:tr w14:paraId="05B56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9" w:type="pct"/>
            <w:vMerge w:val="continue"/>
            <w:vAlign w:val="center"/>
          </w:tcPr>
          <w:p w14:paraId="04FEFB3C">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7AA1BAFA">
            <w:pPr>
              <w:snapToGrid w:val="0"/>
              <w:jc w:val="center"/>
              <w:rPr>
                <w:snapToGrid w:val="0"/>
                <w:color w:val="auto"/>
                <w:kern w:val="21"/>
                <w:szCs w:val="21"/>
                <w:highlight w:val="none"/>
              </w:rPr>
            </w:pPr>
            <w:r>
              <w:rPr>
                <w:snapToGrid w:val="0"/>
                <w:color w:val="auto"/>
                <w:kern w:val="21"/>
                <w:szCs w:val="21"/>
                <w:highlight w:val="none"/>
              </w:rPr>
              <w:t>废UV灯管</w:t>
            </w:r>
          </w:p>
        </w:tc>
        <w:tc>
          <w:tcPr>
            <w:tcW w:w="584" w:type="pct"/>
            <w:vAlign w:val="center"/>
          </w:tcPr>
          <w:p w14:paraId="30407A48">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0.1</w:t>
            </w:r>
          </w:p>
        </w:tc>
        <w:tc>
          <w:tcPr>
            <w:tcW w:w="419" w:type="pct"/>
            <w:vAlign w:val="center"/>
          </w:tcPr>
          <w:p w14:paraId="105F8B8A">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782FF607">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2D5BA655">
            <w:pPr>
              <w:adjustRightInd w:val="0"/>
              <w:snapToGrid w:val="0"/>
              <w:jc w:val="center"/>
              <w:rPr>
                <w:color w:val="auto"/>
                <w:szCs w:val="21"/>
                <w:highlight w:val="none"/>
              </w:rPr>
            </w:pPr>
            <w:r>
              <w:rPr>
                <w:rFonts w:hint="eastAsia"/>
                <w:color w:val="auto"/>
                <w:szCs w:val="21"/>
                <w:highlight w:val="none"/>
              </w:rPr>
              <w:t>0</w:t>
            </w:r>
          </w:p>
        </w:tc>
        <w:tc>
          <w:tcPr>
            <w:tcW w:w="625" w:type="pct"/>
            <w:vAlign w:val="center"/>
          </w:tcPr>
          <w:p w14:paraId="50571E25">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7AF742A7">
            <w:pPr>
              <w:adjustRightInd w:val="0"/>
              <w:snapToGrid w:val="0"/>
              <w:jc w:val="center"/>
              <w:rPr>
                <w:color w:val="auto"/>
                <w:szCs w:val="21"/>
                <w:highlight w:val="none"/>
              </w:rPr>
            </w:pPr>
            <w:r>
              <w:rPr>
                <w:rFonts w:hint="eastAsia"/>
                <w:color w:val="auto"/>
                <w:szCs w:val="21"/>
                <w:highlight w:val="none"/>
              </w:rPr>
              <w:t>0.1</w:t>
            </w:r>
          </w:p>
        </w:tc>
        <w:tc>
          <w:tcPr>
            <w:tcW w:w="419" w:type="pct"/>
            <w:vAlign w:val="center"/>
          </w:tcPr>
          <w:p w14:paraId="102FD603">
            <w:pPr>
              <w:widowControl/>
              <w:jc w:val="center"/>
              <w:textAlignment w:val="center"/>
              <w:rPr>
                <w:color w:val="auto"/>
                <w:szCs w:val="21"/>
                <w:highlight w:val="none"/>
              </w:rPr>
            </w:pPr>
            <w:r>
              <w:rPr>
                <w:rFonts w:hint="eastAsia"/>
                <w:color w:val="auto"/>
                <w:szCs w:val="21"/>
                <w:highlight w:val="none"/>
              </w:rPr>
              <w:t>0</w:t>
            </w:r>
          </w:p>
        </w:tc>
      </w:tr>
      <w:tr w14:paraId="02737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14C91276">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60380871">
            <w:pPr>
              <w:snapToGrid w:val="0"/>
              <w:jc w:val="center"/>
              <w:rPr>
                <w:snapToGrid w:val="0"/>
                <w:color w:val="auto"/>
                <w:kern w:val="21"/>
                <w:szCs w:val="21"/>
                <w:highlight w:val="none"/>
              </w:rPr>
            </w:pPr>
            <w:r>
              <w:rPr>
                <w:rFonts w:hint="eastAsia"/>
                <w:snapToGrid w:val="0"/>
                <w:color w:val="auto"/>
                <w:kern w:val="21"/>
                <w:szCs w:val="21"/>
                <w:highlight w:val="none"/>
              </w:rPr>
              <w:t>废手套</w:t>
            </w:r>
          </w:p>
        </w:tc>
        <w:tc>
          <w:tcPr>
            <w:tcW w:w="584" w:type="pct"/>
            <w:vAlign w:val="center"/>
          </w:tcPr>
          <w:p w14:paraId="613A7DF4">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419" w:type="pct"/>
            <w:vAlign w:val="center"/>
          </w:tcPr>
          <w:p w14:paraId="6929C577">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34034C9F">
            <w:pPr>
              <w:pStyle w:val="60"/>
              <w:spacing w:beforeLines="0" w:afterLines="0" w:line="240" w:lineRule="auto"/>
              <w:rPr>
                <w:rFonts w:ascii="Times New Roman"/>
                <w:snapToGrid w:val="0"/>
                <w:color w:val="auto"/>
                <w:kern w:val="21"/>
                <w:szCs w:val="21"/>
                <w:highlight w:val="none"/>
                <w:lang w:val="en-US"/>
              </w:rPr>
            </w:pPr>
            <w:r>
              <w:rPr>
                <w:rFonts w:hint="eastAsia" w:ascii="Times New Roman"/>
                <w:snapToGrid w:val="0"/>
                <w:color w:val="auto"/>
                <w:kern w:val="21"/>
                <w:szCs w:val="21"/>
                <w:highlight w:val="none"/>
                <w:lang w:val="en-US"/>
              </w:rPr>
              <w:t>0</w:t>
            </w:r>
          </w:p>
        </w:tc>
        <w:tc>
          <w:tcPr>
            <w:tcW w:w="577" w:type="pct"/>
            <w:vAlign w:val="center"/>
          </w:tcPr>
          <w:p w14:paraId="6D19EA5E">
            <w:pPr>
              <w:adjustRightInd w:val="0"/>
              <w:snapToGrid w:val="0"/>
              <w:jc w:val="center"/>
              <w:rPr>
                <w:color w:val="auto"/>
                <w:szCs w:val="21"/>
                <w:highlight w:val="none"/>
              </w:rPr>
            </w:pPr>
            <w:r>
              <w:rPr>
                <w:rFonts w:hint="eastAsia"/>
                <w:color w:val="auto"/>
                <w:szCs w:val="21"/>
                <w:highlight w:val="none"/>
              </w:rPr>
              <w:t>0.02</w:t>
            </w:r>
          </w:p>
        </w:tc>
        <w:tc>
          <w:tcPr>
            <w:tcW w:w="625" w:type="pct"/>
            <w:vAlign w:val="center"/>
          </w:tcPr>
          <w:p w14:paraId="0C2EA1CA">
            <w:pPr>
              <w:jc w:val="center"/>
              <w:rPr>
                <w:snapToGrid w:val="0"/>
                <w:color w:val="auto"/>
                <w:kern w:val="21"/>
                <w:szCs w:val="21"/>
                <w:highlight w:val="none"/>
              </w:rPr>
            </w:pPr>
            <w:r>
              <w:rPr>
                <w:rFonts w:hint="eastAsia"/>
                <w:snapToGrid w:val="0"/>
                <w:color w:val="auto"/>
                <w:kern w:val="21"/>
                <w:szCs w:val="21"/>
                <w:highlight w:val="none"/>
              </w:rPr>
              <w:t>0</w:t>
            </w:r>
          </w:p>
        </w:tc>
        <w:tc>
          <w:tcPr>
            <w:tcW w:w="626" w:type="pct"/>
            <w:vAlign w:val="center"/>
          </w:tcPr>
          <w:p w14:paraId="6D4D3FBD">
            <w:pPr>
              <w:adjustRightInd w:val="0"/>
              <w:snapToGrid w:val="0"/>
              <w:jc w:val="center"/>
              <w:rPr>
                <w:color w:val="auto"/>
                <w:szCs w:val="21"/>
                <w:highlight w:val="none"/>
              </w:rPr>
            </w:pPr>
            <w:r>
              <w:rPr>
                <w:rFonts w:hint="eastAsia"/>
                <w:color w:val="auto"/>
                <w:szCs w:val="21"/>
                <w:highlight w:val="none"/>
              </w:rPr>
              <w:t>0.02</w:t>
            </w:r>
          </w:p>
        </w:tc>
        <w:tc>
          <w:tcPr>
            <w:tcW w:w="419" w:type="pct"/>
            <w:vAlign w:val="center"/>
          </w:tcPr>
          <w:p w14:paraId="1F6AE933">
            <w:pPr>
              <w:widowControl/>
              <w:jc w:val="center"/>
              <w:textAlignment w:val="center"/>
              <w:rPr>
                <w:color w:val="auto"/>
                <w:szCs w:val="21"/>
                <w:highlight w:val="none"/>
              </w:rPr>
            </w:pPr>
            <w:r>
              <w:rPr>
                <w:rFonts w:hint="eastAsia"/>
                <w:color w:val="auto"/>
                <w:szCs w:val="21"/>
                <w:highlight w:val="none"/>
              </w:rPr>
              <w:t>+0.02</w:t>
            </w:r>
          </w:p>
        </w:tc>
      </w:tr>
      <w:tr w14:paraId="14CA1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9" w:type="pct"/>
            <w:vMerge w:val="continue"/>
            <w:vAlign w:val="center"/>
          </w:tcPr>
          <w:p w14:paraId="6AA24E07">
            <w:pPr>
              <w:pStyle w:val="60"/>
              <w:spacing w:beforeLines="0" w:afterLines="0" w:line="240" w:lineRule="auto"/>
              <w:rPr>
                <w:rFonts w:ascii="Times New Roman" w:hAnsi="宋体"/>
                <w:snapToGrid w:val="0"/>
                <w:color w:val="auto"/>
                <w:kern w:val="21"/>
                <w:szCs w:val="21"/>
                <w:highlight w:val="none"/>
                <w:lang w:val="en-US"/>
              </w:rPr>
            </w:pPr>
          </w:p>
        </w:tc>
        <w:tc>
          <w:tcPr>
            <w:tcW w:w="741" w:type="pct"/>
            <w:gridSpan w:val="2"/>
            <w:vAlign w:val="center"/>
          </w:tcPr>
          <w:p w14:paraId="3503D3EB">
            <w:pPr>
              <w:snapToGrid w:val="0"/>
              <w:jc w:val="center"/>
              <w:rPr>
                <w:rFonts w:hint="eastAsia" w:eastAsia="宋体"/>
                <w:snapToGrid w:val="0"/>
                <w:color w:val="auto"/>
                <w:kern w:val="21"/>
                <w:szCs w:val="21"/>
                <w:highlight w:val="none"/>
                <w:lang w:val="en-US" w:eastAsia="zh-Hans"/>
              </w:rPr>
            </w:pPr>
            <w:r>
              <w:rPr>
                <w:rFonts w:hint="eastAsia"/>
                <w:snapToGrid w:val="0"/>
                <w:color w:val="auto"/>
                <w:kern w:val="21"/>
                <w:szCs w:val="21"/>
                <w:highlight w:val="none"/>
                <w:lang w:val="en-US" w:eastAsia="zh-Hans"/>
              </w:rPr>
              <w:t>废润滑油</w:t>
            </w:r>
          </w:p>
        </w:tc>
        <w:tc>
          <w:tcPr>
            <w:tcW w:w="584" w:type="pct"/>
            <w:vAlign w:val="center"/>
          </w:tcPr>
          <w:p w14:paraId="42DD791F">
            <w:pPr>
              <w:pStyle w:val="60"/>
              <w:spacing w:beforeLines="0" w:afterLines="0" w:line="240" w:lineRule="auto"/>
              <w:rPr>
                <w:rFonts w:hint="eastAsia" w:ascii="Times New Roman"/>
                <w:snapToGrid w:val="0"/>
                <w:color w:val="auto"/>
                <w:kern w:val="21"/>
                <w:szCs w:val="21"/>
                <w:highlight w:val="none"/>
              </w:rPr>
            </w:pPr>
            <w:r>
              <w:rPr>
                <w:rFonts w:hint="default" w:ascii="Times New Roman"/>
                <w:snapToGrid w:val="0"/>
                <w:color w:val="auto"/>
                <w:kern w:val="21"/>
                <w:szCs w:val="21"/>
                <w:highlight w:val="none"/>
              </w:rPr>
              <w:t>0</w:t>
            </w:r>
          </w:p>
        </w:tc>
        <w:tc>
          <w:tcPr>
            <w:tcW w:w="419" w:type="pct"/>
            <w:vAlign w:val="center"/>
          </w:tcPr>
          <w:p w14:paraId="42ED291E">
            <w:pPr>
              <w:jc w:val="center"/>
              <w:rPr>
                <w:rFonts w:hint="eastAsia"/>
                <w:snapToGrid w:val="0"/>
                <w:color w:val="auto"/>
                <w:kern w:val="21"/>
                <w:szCs w:val="21"/>
                <w:highlight w:val="none"/>
              </w:rPr>
            </w:pPr>
            <w:r>
              <w:rPr>
                <w:rFonts w:hint="default"/>
                <w:snapToGrid w:val="0"/>
                <w:color w:val="auto"/>
                <w:kern w:val="21"/>
                <w:szCs w:val="21"/>
                <w:highlight w:val="none"/>
              </w:rPr>
              <w:t>0</w:t>
            </w:r>
          </w:p>
        </w:tc>
        <w:tc>
          <w:tcPr>
            <w:tcW w:w="626" w:type="pct"/>
            <w:vAlign w:val="center"/>
          </w:tcPr>
          <w:p w14:paraId="79DDF3CB">
            <w:pPr>
              <w:pStyle w:val="60"/>
              <w:spacing w:beforeLines="0" w:afterLines="0" w:line="240" w:lineRule="auto"/>
              <w:rPr>
                <w:rFonts w:hint="eastAsia" w:ascii="Times New Roman"/>
                <w:snapToGrid w:val="0"/>
                <w:color w:val="auto"/>
                <w:kern w:val="21"/>
                <w:szCs w:val="21"/>
                <w:highlight w:val="none"/>
              </w:rPr>
            </w:pPr>
            <w:r>
              <w:rPr>
                <w:rFonts w:hint="default" w:ascii="Times New Roman"/>
                <w:snapToGrid w:val="0"/>
                <w:color w:val="auto"/>
                <w:kern w:val="21"/>
                <w:szCs w:val="21"/>
                <w:highlight w:val="none"/>
              </w:rPr>
              <w:t>0</w:t>
            </w:r>
          </w:p>
        </w:tc>
        <w:tc>
          <w:tcPr>
            <w:tcW w:w="577" w:type="pct"/>
            <w:vAlign w:val="center"/>
          </w:tcPr>
          <w:p w14:paraId="52B67506">
            <w:pPr>
              <w:adjustRightInd w:val="0"/>
              <w:snapToGrid w:val="0"/>
              <w:jc w:val="center"/>
              <w:rPr>
                <w:rFonts w:hint="eastAsia"/>
                <w:color w:val="auto"/>
                <w:szCs w:val="21"/>
                <w:highlight w:val="none"/>
              </w:rPr>
            </w:pPr>
            <w:r>
              <w:rPr>
                <w:rFonts w:hint="default"/>
                <w:color w:val="auto"/>
                <w:szCs w:val="21"/>
                <w:highlight w:val="none"/>
              </w:rPr>
              <w:t>0.0868</w:t>
            </w:r>
          </w:p>
        </w:tc>
        <w:tc>
          <w:tcPr>
            <w:tcW w:w="625" w:type="pct"/>
            <w:vAlign w:val="center"/>
          </w:tcPr>
          <w:p w14:paraId="4D1A7811">
            <w:pPr>
              <w:jc w:val="center"/>
              <w:rPr>
                <w:rFonts w:hint="eastAsia"/>
                <w:snapToGrid w:val="0"/>
                <w:color w:val="auto"/>
                <w:kern w:val="21"/>
                <w:szCs w:val="21"/>
                <w:highlight w:val="none"/>
              </w:rPr>
            </w:pPr>
            <w:r>
              <w:rPr>
                <w:rFonts w:hint="default"/>
                <w:snapToGrid w:val="0"/>
                <w:color w:val="auto"/>
                <w:kern w:val="21"/>
                <w:szCs w:val="21"/>
                <w:highlight w:val="none"/>
              </w:rPr>
              <w:t>0</w:t>
            </w:r>
          </w:p>
        </w:tc>
        <w:tc>
          <w:tcPr>
            <w:tcW w:w="626" w:type="pct"/>
            <w:vAlign w:val="center"/>
          </w:tcPr>
          <w:p w14:paraId="66568A4B">
            <w:pPr>
              <w:adjustRightInd w:val="0"/>
              <w:snapToGrid w:val="0"/>
              <w:jc w:val="center"/>
              <w:rPr>
                <w:rFonts w:hint="eastAsia"/>
                <w:color w:val="auto"/>
                <w:szCs w:val="21"/>
                <w:highlight w:val="none"/>
              </w:rPr>
            </w:pPr>
            <w:r>
              <w:rPr>
                <w:rFonts w:hint="default"/>
                <w:color w:val="auto"/>
                <w:szCs w:val="21"/>
                <w:highlight w:val="none"/>
              </w:rPr>
              <w:t>0.0868</w:t>
            </w:r>
          </w:p>
        </w:tc>
        <w:tc>
          <w:tcPr>
            <w:tcW w:w="419" w:type="pct"/>
            <w:vAlign w:val="center"/>
          </w:tcPr>
          <w:p w14:paraId="67207A52">
            <w:pPr>
              <w:widowControl/>
              <w:jc w:val="center"/>
              <w:textAlignment w:val="center"/>
              <w:rPr>
                <w:rFonts w:hint="eastAsia"/>
                <w:color w:val="auto"/>
                <w:szCs w:val="21"/>
                <w:highlight w:val="none"/>
              </w:rPr>
            </w:pPr>
            <w:r>
              <w:rPr>
                <w:rFonts w:hint="default"/>
                <w:color w:val="auto"/>
                <w:szCs w:val="21"/>
                <w:highlight w:val="none"/>
              </w:rPr>
              <w:t>+0.0868</w:t>
            </w:r>
          </w:p>
        </w:tc>
      </w:tr>
    </w:tbl>
    <w:p w14:paraId="0BA90E77">
      <w:pPr>
        <w:pStyle w:val="60"/>
        <w:spacing w:beforeLines="0" w:afterLines="0" w:line="240" w:lineRule="auto"/>
        <w:jc w:val="left"/>
        <w:rPr>
          <w:color w:val="auto"/>
          <w:highlight w:val="none"/>
        </w:rPr>
      </w:pPr>
      <w:r>
        <w:rPr>
          <w:rFonts w:ascii="Times New Roman" w:hAnsi="宋体"/>
          <w:snapToGrid w:val="0"/>
          <w:color w:val="auto"/>
          <w:kern w:val="21"/>
          <w:szCs w:val="21"/>
          <w:highlight w:val="none"/>
        </w:rPr>
        <w:t>注</w:t>
      </w:r>
      <w:r>
        <w:rPr>
          <w:rFonts w:ascii="Times New Roman" w:hAnsi="宋体"/>
          <w:snapToGrid w:val="0"/>
          <w:color w:val="auto"/>
          <w:kern w:val="21"/>
          <w:szCs w:val="21"/>
          <w:highlight w:val="none"/>
          <w:lang w:val="en-US"/>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lang w:val="en-US"/>
        </w:rPr>
        <w:instrText xml:space="preserve"> = 6 \* GB3 \* MERGEFORMAT </w:instrText>
      </w:r>
      <w:r>
        <w:rPr>
          <w:rFonts w:ascii="Times New Roman"/>
          <w:snapToGrid w:val="0"/>
          <w:color w:val="auto"/>
          <w:spacing w:val="-16"/>
          <w:kern w:val="21"/>
          <w:szCs w:val="21"/>
          <w:highlight w:val="none"/>
        </w:rPr>
        <w:fldChar w:fldCharType="separate"/>
      </w:r>
      <w:r>
        <w:rPr>
          <w:rFonts w:hAnsi="宋体"/>
          <w:color w:val="auto"/>
          <w:szCs w:val="21"/>
          <w:highlight w:val="none"/>
          <w:lang w:val="en-US"/>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lang w:val="en-US"/>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lang w:val="en-US"/>
        </w:rPr>
        <w:instrText xml:space="preserve"> = 1 \* GB3 \* MERGEFORMAT </w:instrText>
      </w:r>
      <w:r>
        <w:rPr>
          <w:rFonts w:ascii="Times New Roman"/>
          <w:snapToGrid w:val="0"/>
          <w:color w:val="auto"/>
          <w:spacing w:val="-6"/>
          <w:kern w:val="21"/>
          <w:szCs w:val="21"/>
          <w:highlight w:val="none"/>
        </w:rPr>
        <w:fldChar w:fldCharType="separate"/>
      </w:r>
      <w:r>
        <w:rPr>
          <w:rFonts w:hAnsi="宋体"/>
          <w:color w:val="auto"/>
          <w:szCs w:val="21"/>
          <w:highlight w:val="none"/>
          <w:lang w:val="en-US"/>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lang w:val="en-US"/>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lang w:val="en-US"/>
        </w:rPr>
        <w:instrText xml:space="preserve"> = 3 \* GB3 \* MERGEFORMAT </w:instrText>
      </w:r>
      <w:r>
        <w:rPr>
          <w:rFonts w:ascii="Times New Roman"/>
          <w:snapToGrid w:val="0"/>
          <w:color w:val="auto"/>
          <w:spacing w:val="-6"/>
          <w:kern w:val="21"/>
          <w:szCs w:val="21"/>
          <w:highlight w:val="none"/>
        </w:rPr>
        <w:fldChar w:fldCharType="separate"/>
      </w:r>
      <w:r>
        <w:rPr>
          <w:rFonts w:hAnsi="宋体"/>
          <w:color w:val="auto"/>
          <w:szCs w:val="21"/>
          <w:highlight w:val="none"/>
          <w:lang w:val="en-US"/>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lang w:val="en-US"/>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lang w:val="en-US"/>
        </w:rPr>
        <w:instrText xml:space="preserve"> = 4 \* GB3 \* MERGEFORMAT </w:instrText>
      </w:r>
      <w:r>
        <w:rPr>
          <w:rFonts w:ascii="Times New Roman"/>
          <w:snapToGrid w:val="0"/>
          <w:color w:val="auto"/>
          <w:spacing w:val="-6"/>
          <w:kern w:val="21"/>
          <w:szCs w:val="21"/>
          <w:highlight w:val="none"/>
        </w:rPr>
        <w:fldChar w:fldCharType="separate"/>
      </w:r>
      <w:r>
        <w:rPr>
          <w:rFonts w:hAnsi="宋体"/>
          <w:color w:val="auto"/>
          <w:szCs w:val="21"/>
          <w:highlight w:val="none"/>
          <w:lang w:val="en-US"/>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lang w:val="en-US"/>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lang w:val="en-US"/>
        </w:rPr>
        <w:instrText xml:space="preserve"> = 5 \* GB3 \* MERGEFORMAT </w:instrText>
      </w:r>
      <w:r>
        <w:rPr>
          <w:rFonts w:ascii="Times New Roman"/>
          <w:snapToGrid w:val="0"/>
          <w:color w:val="auto"/>
          <w:spacing w:val="-16"/>
          <w:kern w:val="21"/>
          <w:szCs w:val="21"/>
          <w:highlight w:val="none"/>
        </w:rPr>
        <w:fldChar w:fldCharType="separate"/>
      </w:r>
      <w:r>
        <w:rPr>
          <w:rFonts w:hAnsi="宋体"/>
          <w:color w:val="auto"/>
          <w:szCs w:val="21"/>
          <w:highlight w:val="none"/>
          <w:lang w:val="en-US"/>
        </w:rPr>
        <w:t>⑤</w:t>
      </w:r>
      <w:r>
        <w:rPr>
          <w:rFonts w:ascii="Times New Roman"/>
          <w:snapToGrid w:val="0"/>
          <w:color w:val="auto"/>
          <w:spacing w:val="-16"/>
          <w:kern w:val="21"/>
          <w:szCs w:val="21"/>
          <w:highlight w:val="none"/>
        </w:rPr>
        <w:fldChar w:fldCharType="end"/>
      </w:r>
      <w:r>
        <w:rPr>
          <w:rFonts w:ascii="Times New Roman" w:hAnsi="宋体"/>
          <w:snapToGrid w:val="0"/>
          <w:color w:val="auto"/>
          <w:spacing w:val="-16"/>
          <w:kern w:val="21"/>
          <w:szCs w:val="21"/>
          <w:highlight w:val="none"/>
          <w:lang w:val="en-US"/>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lang w:val="en-US"/>
        </w:rPr>
        <w:instrText xml:space="preserve"> = 7 \* GB3 \* MERGEFORMAT </w:instrText>
      </w:r>
      <w:r>
        <w:rPr>
          <w:rFonts w:ascii="Times New Roman"/>
          <w:snapToGrid w:val="0"/>
          <w:color w:val="auto"/>
          <w:spacing w:val="-6"/>
          <w:kern w:val="21"/>
          <w:szCs w:val="21"/>
          <w:highlight w:val="none"/>
        </w:rPr>
        <w:fldChar w:fldCharType="separate"/>
      </w:r>
      <w:r>
        <w:rPr>
          <w:rFonts w:hAnsi="宋体"/>
          <w:color w:val="auto"/>
          <w:szCs w:val="21"/>
          <w:highlight w:val="none"/>
          <w:lang w:val="en-US"/>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lang w:val="en-US"/>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lang w:val="en-US"/>
        </w:rPr>
        <w:instrText xml:space="preserve"> = 6 \* GB3 \* MERGEFORMAT </w:instrText>
      </w:r>
      <w:r>
        <w:rPr>
          <w:rFonts w:ascii="Times New Roman"/>
          <w:snapToGrid w:val="0"/>
          <w:color w:val="auto"/>
          <w:spacing w:val="-16"/>
          <w:kern w:val="21"/>
          <w:szCs w:val="21"/>
          <w:highlight w:val="none"/>
        </w:rPr>
        <w:fldChar w:fldCharType="separate"/>
      </w:r>
      <w:r>
        <w:rPr>
          <w:rFonts w:hAnsi="宋体"/>
          <w:color w:val="auto"/>
          <w:szCs w:val="21"/>
          <w:highlight w:val="none"/>
          <w:lang w:val="en-US"/>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lang w:val="en-US"/>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lang w:val="en-US"/>
        </w:rPr>
        <w:instrText xml:space="preserve"> = 1 \* GB3 \* MERGEFORMAT </w:instrText>
      </w:r>
      <w:r>
        <w:rPr>
          <w:rFonts w:ascii="Times New Roman"/>
          <w:snapToGrid w:val="0"/>
          <w:color w:val="auto"/>
          <w:spacing w:val="-6"/>
          <w:kern w:val="21"/>
          <w:szCs w:val="21"/>
          <w:highlight w:val="none"/>
        </w:rPr>
        <w:fldChar w:fldCharType="separate"/>
      </w:r>
      <w:r>
        <w:rPr>
          <w:rFonts w:hAnsi="宋体"/>
          <w:color w:val="auto"/>
          <w:szCs w:val="21"/>
          <w:highlight w:val="none"/>
          <w:lang w:val="en-US"/>
        </w:rPr>
        <w:t>①</w:t>
      </w:r>
      <w:r>
        <w:rPr>
          <w:rFonts w:ascii="Times New Roman"/>
          <w:snapToGrid w:val="0"/>
          <w:color w:val="auto"/>
          <w:spacing w:val="-6"/>
          <w:kern w:val="21"/>
          <w:szCs w:val="21"/>
          <w:highlight w:val="none"/>
        </w:rPr>
        <w:fldChar w:fldCharType="end"/>
      </w:r>
    </w:p>
    <w:sectPr>
      <w:footerReference r:id="rId5" w:type="default"/>
      <w:pgSz w:w="16838" w:h="11906" w:orient="landscape"/>
      <w:pgMar w:top="1077" w:right="1440" w:bottom="1077" w:left="144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仿宋体">
    <w:altName w:val="仿宋"/>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0002009F" w:csb1="00000000"/>
  </w:font>
  <w:font w:name="Times New Roman Regular">
    <w:altName w:val="Times New Roman"/>
    <w:panose1 w:val="02020603050405020304"/>
    <w:charset w:val="00"/>
    <w:family w:val="auto"/>
    <w:pitch w:val="default"/>
    <w:sig w:usb0="00000000" w:usb1="00000000"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8DDD0">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EAC98">
    <w:pPr>
      <w:pStyle w:val="17"/>
      <w:framePr w:wrap="around" w:vAnchor="text" w:hAnchor="margin" w:xAlign="outside" w:y="1"/>
      <w:rPr>
        <w:rStyle w:val="27"/>
        <w:sz w:val="21"/>
        <w:szCs w:val="21"/>
      </w:rPr>
    </w:pPr>
    <w:r>
      <w:rPr>
        <w:rStyle w:val="27"/>
        <w:sz w:val="21"/>
        <w:szCs w:val="21"/>
      </w:rPr>
      <w:t xml:space="preserve">—  </w:t>
    </w:r>
    <w:r>
      <w:rPr>
        <w:sz w:val="21"/>
        <w:szCs w:val="21"/>
      </w:rPr>
      <w:fldChar w:fldCharType="begin"/>
    </w:r>
    <w:r>
      <w:rPr>
        <w:rStyle w:val="27"/>
        <w:sz w:val="21"/>
        <w:szCs w:val="21"/>
      </w:rPr>
      <w:instrText xml:space="preserve">PAGE  </w:instrText>
    </w:r>
    <w:r>
      <w:rPr>
        <w:sz w:val="21"/>
        <w:szCs w:val="21"/>
      </w:rPr>
      <w:fldChar w:fldCharType="separate"/>
    </w:r>
    <w:r>
      <w:rPr>
        <w:rStyle w:val="27"/>
        <w:sz w:val="21"/>
        <w:szCs w:val="21"/>
      </w:rPr>
      <w:t>83</w:t>
    </w:r>
    <w:r>
      <w:rPr>
        <w:sz w:val="21"/>
        <w:szCs w:val="21"/>
      </w:rPr>
      <w:fldChar w:fldCharType="end"/>
    </w:r>
    <w:r>
      <w:rPr>
        <w:rStyle w:val="27"/>
        <w:sz w:val="21"/>
        <w:szCs w:val="21"/>
      </w:rPr>
      <w:t xml:space="preserve">  —</w:t>
    </w:r>
  </w:p>
  <w:p w14:paraId="6709D1E1">
    <w:pPr>
      <w:pStyle w:val="1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539AE">
    <w:pPr>
      <w:pStyle w:val="17"/>
      <w:framePr w:wrap="around" w:vAnchor="text" w:hAnchor="margin" w:xAlign="outside" w:y="1"/>
      <w:rPr>
        <w:rStyle w:val="27"/>
        <w:rFonts w:ascii="宋体" w:hAnsi="宋体"/>
        <w:sz w:val="21"/>
        <w:szCs w:val="21"/>
      </w:rPr>
    </w:pPr>
    <w:r>
      <w:rPr>
        <w:rStyle w:val="27"/>
        <w:sz w:val="21"/>
        <w:szCs w:val="21"/>
      </w:rPr>
      <w:t xml:space="preserve">—  </w:t>
    </w:r>
    <w:r>
      <w:rPr>
        <w:sz w:val="21"/>
        <w:szCs w:val="21"/>
      </w:rPr>
      <w:fldChar w:fldCharType="begin"/>
    </w:r>
    <w:r>
      <w:rPr>
        <w:rStyle w:val="27"/>
        <w:sz w:val="21"/>
        <w:szCs w:val="21"/>
      </w:rPr>
      <w:instrText xml:space="preserve">PAGE  </w:instrText>
    </w:r>
    <w:r>
      <w:rPr>
        <w:sz w:val="21"/>
        <w:szCs w:val="21"/>
      </w:rPr>
      <w:fldChar w:fldCharType="separate"/>
    </w:r>
    <w:r>
      <w:rPr>
        <w:rStyle w:val="27"/>
        <w:sz w:val="21"/>
        <w:szCs w:val="21"/>
      </w:rPr>
      <w:t>84</w:t>
    </w:r>
    <w:r>
      <w:rPr>
        <w:sz w:val="21"/>
        <w:szCs w:val="21"/>
      </w:rPr>
      <w:fldChar w:fldCharType="end"/>
    </w:r>
    <w:r>
      <w:rPr>
        <w:rStyle w:val="27"/>
        <w:rFonts w:hint="eastAsia" w:ascii="宋体" w:hAnsi="宋体"/>
        <w:sz w:val="21"/>
        <w:szCs w:val="21"/>
      </w:rPr>
      <w:t xml:space="preserve">  —</w:t>
    </w:r>
  </w:p>
  <w:p w14:paraId="18BB444D">
    <w:pPr>
      <w:pStyle w:val="17"/>
      <w:ind w:right="360" w:firstLine="360"/>
      <w:jc w:val="both"/>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A7DA14"/>
    <w:multiLevelType w:val="singleLevel"/>
    <w:tmpl w:val="C4A7DA14"/>
    <w:lvl w:ilvl="0" w:tentative="0">
      <w:start w:val="4"/>
      <w:numFmt w:val="decimal"/>
      <w:pStyle w:val="6"/>
      <w:suff w:val="nothing"/>
      <w:lvlText w:val="（%1）"/>
      <w:lvlJc w:val="left"/>
      <w:rPr>
        <w:rFonts w:cs="Times New Roman"/>
      </w:rPr>
    </w:lvl>
  </w:abstractNum>
  <w:abstractNum w:abstractNumId="1">
    <w:nsid w:val="F6098FCC"/>
    <w:multiLevelType w:val="singleLevel"/>
    <w:tmpl w:val="F6098FCC"/>
    <w:lvl w:ilvl="0" w:tentative="0">
      <w:start w:val="5"/>
      <w:numFmt w:val="decimal"/>
      <w:suff w:val="nothing"/>
      <w:lvlText w:val="%1、"/>
      <w:lvlJc w:val="left"/>
    </w:lvl>
  </w:abstractNum>
  <w:abstractNum w:abstractNumId="2">
    <w:nsid w:val="28C3687F"/>
    <w:multiLevelType w:val="multilevel"/>
    <w:tmpl w:val="28C3687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F06111F"/>
    <w:multiLevelType w:val="singleLevel"/>
    <w:tmpl w:val="2F06111F"/>
    <w:lvl w:ilvl="0" w:tentative="0">
      <w:start w:val="3"/>
      <w:numFmt w:val="decimal"/>
      <w:suff w:val="nothing"/>
      <w:lvlText w:val="%1、"/>
      <w:lvlJc w:val="left"/>
    </w:lvl>
  </w:abstractNum>
  <w:abstractNum w:abstractNumId="4">
    <w:nsid w:val="44E4D753"/>
    <w:multiLevelType w:val="singleLevel"/>
    <w:tmpl w:val="44E4D753"/>
    <w:lvl w:ilvl="0" w:tentative="0">
      <w:start w:val="4"/>
      <w:numFmt w:val="decimal"/>
      <w:suff w:val="nothing"/>
      <w:lvlText w:val="（%1）"/>
      <w:lvlJc w:val="left"/>
    </w:lvl>
  </w:abstractNum>
  <w:abstractNum w:abstractNumId="5">
    <w:nsid w:val="516D9DA1"/>
    <w:multiLevelType w:val="singleLevel"/>
    <w:tmpl w:val="516D9DA1"/>
    <w:lvl w:ilvl="0" w:tentative="0">
      <w:start w:val="5"/>
      <w:numFmt w:val="decimal"/>
      <w:lvlText w:val="%1."/>
      <w:lvlJc w:val="left"/>
      <w:pPr>
        <w:tabs>
          <w:tab w:val="left" w:pos="312"/>
        </w:tabs>
      </w:pPr>
    </w:lvl>
  </w:abstractNum>
  <w:abstractNum w:abstractNumId="6">
    <w:nsid w:val="60DC2046"/>
    <w:multiLevelType w:val="singleLevel"/>
    <w:tmpl w:val="60DC2046"/>
    <w:lvl w:ilvl="0" w:tentative="0">
      <w:start w:val="1"/>
      <w:numFmt w:val="decimal"/>
      <w:suff w:val="nothing"/>
      <w:lvlText w:val="%1、"/>
      <w:lvlJc w:val="left"/>
    </w:lvl>
  </w:abstractNum>
  <w:abstractNum w:abstractNumId="7">
    <w:nsid w:val="60DD281F"/>
    <w:multiLevelType w:val="singleLevel"/>
    <w:tmpl w:val="60DD281F"/>
    <w:lvl w:ilvl="0" w:tentative="0">
      <w:start w:val="4"/>
      <w:numFmt w:val="decimal"/>
      <w:suff w:val="nothing"/>
      <w:lvlText w:val="（%1）"/>
      <w:lvlJc w:val="left"/>
    </w:lvl>
  </w:abstractNum>
  <w:abstractNum w:abstractNumId="8">
    <w:nsid w:val="60DD6CB2"/>
    <w:multiLevelType w:val="singleLevel"/>
    <w:tmpl w:val="60DD6CB2"/>
    <w:lvl w:ilvl="0" w:tentative="0">
      <w:start w:val="4"/>
      <w:numFmt w:val="decimal"/>
      <w:suff w:val="nothing"/>
      <w:lvlText w:val="%1."/>
      <w:lvlJc w:val="left"/>
    </w:lvl>
  </w:abstractNum>
  <w:abstractNum w:abstractNumId="9">
    <w:nsid w:val="60EBEBF6"/>
    <w:multiLevelType w:val="singleLevel"/>
    <w:tmpl w:val="60EBEBF6"/>
    <w:lvl w:ilvl="0" w:tentative="0">
      <w:start w:val="8"/>
      <w:numFmt w:val="decimal"/>
      <w:suff w:val="nothing"/>
      <w:lvlText w:val="（%1）"/>
      <w:lvlJc w:val="left"/>
    </w:lvl>
  </w:abstractNum>
  <w:abstractNum w:abstractNumId="10">
    <w:nsid w:val="70594ADA"/>
    <w:multiLevelType w:val="singleLevel"/>
    <w:tmpl w:val="70594ADA"/>
    <w:lvl w:ilvl="0" w:tentative="0">
      <w:start w:val="2"/>
      <w:numFmt w:val="decimal"/>
      <w:lvlText w:val="%1."/>
      <w:lvlJc w:val="left"/>
      <w:pPr>
        <w:tabs>
          <w:tab w:val="left" w:pos="312"/>
        </w:tabs>
      </w:pPr>
    </w:lvl>
  </w:abstractNum>
  <w:abstractNum w:abstractNumId="11">
    <w:nsid w:val="7D8F06C1"/>
    <w:multiLevelType w:val="singleLevel"/>
    <w:tmpl w:val="7D8F06C1"/>
    <w:lvl w:ilvl="0" w:tentative="0">
      <w:start w:val="1"/>
      <w:numFmt w:val="decimal"/>
      <w:suff w:val="nothing"/>
      <w:lvlText w:val="（%1）"/>
      <w:lvlJc w:val="left"/>
    </w:lvl>
  </w:abstractNum>
  <w:num w:numId="1">
    <w:abstractNumId w:val="0"/>
  </w:num>
  <w:num w:numId="2">
    <w:abstractNumId w:val="2"/>
  </w:num>
  <w:num w:numId="3">
    <w:abstractNumId w:val="6"/>
  </w:num>
  <w:num w:numId="4">
    <w:abstractNumId w:val="1"/>
  </w:num>
  <w:num w:numId="5">
    <w:abstractNumId w:val="7"/>
  </w:num>
  <w:num w:numId="6">
    <w:abstractNumId w:val="11"/>
  </w:num>
  <w:num w:numId="7">
    <w:abstractNumId w:val="4"/>
  </w:num>
  <w:num w:numId="8">
    <w:abstractNumId w:val="3"/>
  </w:num>
  <w:num w:numId="9">
    <w:abstractNumId w:val="8"/>
  </w:num>
  <w:num w:numId="10">
    <w:abstractNumId w:val="10"/>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2ODZiMjQ2MzMwZjI2MzlkNjJhMDllZmUwNjk5ZmIifQ=="/>
  </w:docVars>
  <w:rsids>
    <w:rsidRoot w:val="00172A27"/>
    <w:rsid w:val="00000C6B"/>
    <w:rsid w:val="000060B3"/>
    <w:rsid w:val="0001355B"/>
    <w:rsid w:val="0001365F"/>
    <w:rsid w:val="00014931"/>
    <w:rsid w:val="00016E1D"/>
    <w:rsid w:val="0002075B"/>
    <w:rsid w:val="00030437"/>
    <w:rsid w:val="00030933"/>
    <w:rsid w:val="00034BA5"/>
    <w:rsid w:val="0004364B"/>
    <w:rsid w:val="0005238F"/>
    <w:rsid w:val="00052D9E"/>
    <w:rsid w:val="000550F8"/>
    <w:rsid w:val="00061B1F"/>
    <w:rsid w:val="00063595"/>
    <w:rsid w:val="00070468"/>
    <w:rsid w:val="000733C4"/>
    <w:rsid w:val="00074783"/>
    <w:rsid w:val="00077EB1"/>
    <w:rsid w:val="0008070B"/>
    <w:rsid w:val="000810AC"/>
    <w:rsid w:val="00081A02"/>
    <w:rsid w:val="00082231"/>
    <w:rsid w:val="0008233B"/>
    <w:rsid w:val="00092D38"/>
    <w:rsid w:val="0009377B"/>
    <w:rsid w:val="00095F17"/>
    <w:rsid w:val="000A0647"/>
    <w:rsid w:val="000A20C9"/>
    <w:rsid w:val="000A5749"/>
    <w:rsid w:val="000A636B"/>
    <w:rsid w:val="000B058F"/>
    <w:rsid w:val="000B2535"/>
    <w:rsid w:val="000B3C7F"/>
    <w:rsid w:val="000B4467"/>
    <w:rsid w:val="000B44E8"/>
    <w:rsid w:val="000B4DB9"/>
    <w:rsid w:val="000C09AC"/>
    <w:rsid w:val="000C767F"/>
    <w:rsid w:val="000D5A44"/>
    <w:rsid w:val="000E3ED2"/>
    <w:rsid w:val="000F16C8"/>
    <w:rsid w:val="00112EBB"/>
    <w:rsid w:val="00115E5C"/>
    <w:rsid w:val="00116E3B"/>
    <w:rsid w:val="001274C1"/>
    <w:rsid w:val="00131F42"/>
    <w:rsid w:val="00134867"/>
    <w:rsid w:val="001357F1"/>
    <w:rsid w:val="0013590B"/>
    <w:rsid w:val="001361FE"/>
    <w:rsid w:val="00140FA8"/>
    <w:rsid w:val="00142FEB"/>
    <w:rsid w:val="00143A2D"/>
    <w:rsid w:val="001459C9"/>
    <w:rsid w:val="00145A41"/>
    <w:rsid w:val="0015013E"/>
    <w:rsid w:val="00151675"/>
    <w:rsid w:val="00157435"/>
    <w:rsid w:val="001614A6"/>
    <w:rsid w:val="00161937"/>
    <w:rsid w:val="0016365C"/>
    <w:rsid w:val="00163EC1"/>
    <w:rsid w:val="001652E2"/>
    <w:rsid w:val="00167136"/>
    <w:rsid w:val="0016739C"/>
    <w:rsid w:val="00172A27"/>
    <w:rsid w:val="0017504D"/>
    <w:rsid w:val="00175BEA"/>
    <w:rsid w:val="0017671A"/>
    <w:rsid w:val="00177422"/>
    <w:rsid w:val="00177C43"/>
    <w:rsid w:val="00184590"/>
    <w:rsid w:val="00186F7B"/>
    <w:rsid w:val="001870D1"/>
    <w:rsid w:val="0018781E"/>
    <w:rsid w:val="0019262D"/>
    <w:rsid w:val="00194881"/>
    <w:rsid w:val="00196E5E"/>
    <w:rsid w:val="001A1B35"/>
    <w:rsid w:val="001A48A2"/>
    <w:rsid w:val="001A6F61"/>
    <w:rsid w:val="001A7502"/>
    <w:rsid w:val="001A7FD9"/>
    <w:rsid w:val="001B131C"/>
    <w:rsid w:val="001B3EDF"/>
    <w:rsid w:val="001B72B8"/>
    <w:rsid w:val="001B7E16"/>
    <w:rsid w:val="001C69B3"/>
    <w:rsid w:val="001D3117"/>
    <w:rsid w:val="001D5595"/>
    <w:rsid w:val="001D7874"/>
    <w:rsid w:val="001D7F22"/>
    <w:rsid w:val="001E3600"/>
    <w:rsid w:val="001E41EB"/>
    <w:rsid w:val="001F0F17"/>
    <w:rsid w:val="001F1C2D"/>
    <w:rsid w:val="001F3347"/>
    <w:rsid w:val="001F4CF1"/>
    <w:rsid w:val="001F66A8"/>
    <w:rsid w:val="001F69E4"/>
    <w:rsid w:val="00200612"/>
    <w:rsid w:val="00200AE3"/>
    <w:rsid w:val="002105FD"/>
    <w:rsid w:val="002110C2"/>
    <w:rsid w:val="002125B4"/>
    <w:rsid w:val="002139C7"/>
    <w:rsid w:val="002155B8"/>
    <w:rsid w:val="0021739B"/>
    <w:rsid w:val="00223571"/>
    <w:rsid w:val="00223D78"/>
    <w:rsid w:val="0022436B"/>
    <w:rsid w:val="00224839"/>
    <w:rsid w:val="002249B2"/>
    <w:rsid w:val="00226574"/>
    <w:rsid w:val="00226637"/>
    <w:rsid w:val="002278EC"/>
    <w:rsid w:val="0023280E"/>
    <w:rsid w:val="00237673"/>
    <w:rsid w:val="002377D1"/>
    <w:rsid w:val="00243164"/>
    <w:rsid w:val="00244C7F"/>
    <w:rsid w:val="00245E50"/>
    <w:rsid w:val="002462AB"/>
    <w:rsid w:val="00250657"/>
    <w:rsid w:val="002506BC"/>
    <w:rsid w:val="00252B89"/>
    <w:rsid w:val="0025348B"/>
    <w:rsid w:val="00254345"/>
    <w:rsid w:val="00257987"/>
    <w:rsid w:val="00262275"/>
    <w:rsid w:val="00264557"/>
    <w:rsid w:val="00266F93"/>
    <w:rsid w:val="00273F26"/>
    <w:rsid w:val="00277DB5"/>
    <w:rsid w:val="002805AB"/>
    <w:rsid w:val="00284204"/>
    <w:rsid w:val="00291773"/>
    <w:rsid w:val="00293C12"/>
    <w:rsid w:val="00295915"/>
    <w:rsid w:val="00296712"/>
    <w:rsid w:val="002A168C"/>
    <w:rsid w:val="002A24CF"/>
    <w:rsid w:val="002A3DC7"/>
    <w:rsid w:val="002B1935"/>
    <w:rsid w:val="002B49E2"/>
    <w:rsid w:val="002B513B"/>
    <w:rsid w:val="002B7B00"/>
    <w:rsid w:val="002B7C44"/>
    <w:rsid w:val="002C2B17"/>
    <w:rsid w:val="002D11B8"/>
    <w:rsid w:val="002D2223"/>
    <w:rsid w:val="002D3477"/>
    <w:rsid w:val="002D3DD0"/>
    <w:rsid w:val="002D52F7"/>
    <w:rsid w:val="002D5959"/>
    <w:rsid w:val="002D6E73"/>
    <w:rsid w:val="002E1DCE"/>
    <w:rsid w:val="002E1F3A"/>
    <w:rsid w:val="002E298A"/>
    <w:rsid w:val="002E4AE8"/>
    <w:rsid w:val="002E52C5"/>
    <w:rsid w:val="002F2AAA"/>
    <w:rsid w:val="00301978"/>
    <w:rsid w:val="003028F1"/>
    <w:rsid w:val="00302BA0"/>
    <w:rsid w:val="0030332C"/>
    <w:rsid w:val="003051C2"/>
    <w:rsid w:val="003075BD"/>
    <w:rsid w:val="00307A31"/>
    <w:rsid w:val="00312296"/>
    <w:rsid w:val="003138CB"/>
    <w:rsid w:val="00314F0E"/>
    <w:rsid w:val="00316515"/>
    <w:rsid w:val="003219A3"/>
    <w:rsid w:val="00321D8E"/>
    <w:rsid w:val="00325928"/>
    <w:rsid w:val="0032704C"/>
    <w:rsid w:val="00332863"/>
    <w:rsid w:val="00332E1A"/>
    <w:rsid w:val="0033684D"/>
    <w:rsid w:val="00336CAB"/>
    <w:rsid w:val="00337742"/>
    <w:rsid w:val="00337B42"/>
    <w:rsid w:val="00341B42"/>
    <w:rsid w:val="0034348F"/>
    <w:rsid w:val="0034799D"/>
    <w:rsid w:val="00350956"/>
    <w:rsid w:val="00356653"/>
    <w:rsid w:val="0035743F"/>
    <w:rsid w:val="00357BE2"/>
    <w:rsid w:val="0036170C"/>
    <w:rsid w:val="003658E3"/>
    <w:rsid w:val="00366E0F"/>
    <w:rsid w:val="003733B9"/>
    <w:rsid w:val="003757B5"/>
    <w:rsid w:val="00381A72"/>
    <w:rsid w:val="00384676"/>
    <w:rsid w:val="003906D4"/>
    <w:rsid w:val="00390857"/>
    <w:rsid w:val="003A4BF3"/>
    <w:rsid w:val="003A52D3"/>
    <w:rsid w:val="003A6711"/>
    <w:rsid w:val="003A7F68"/>
    <w:rsid w:val="003B19E9"/>
    <w:rsid w:val="003B420D"/>
    <w:rsid w:val="003B4B21"/>
    <w:rsid w:val="003B77F1"/>
    <w:rsid w:val="003C3001"/>
    <w:rsid w:val="003C3331"/>
    <w:rsid w:val="003C6C16"/>
    <w:rsid w:val="003C7F4A"/>
    <w:rsid w:val="003D7881"/>
    <w:rsid w:val="003D794D"/>
    <w:rsid w:val="003E09CE"/>
    <w:rsid w:val="003E3058"/>
    <w:rsid w:val="003E57B2"/>
    <w:rsid w:val="003E76A9"/>
    <w:rsid w:val="003F0809"/>
    <w:rsid w:val="003F5ABC"/>
    <w:rsid w:val="003F6A8C"/>
    <w:rsid w:val="003F755C"/>
    <w:rsid w:val="003F76B7"/>
    <w:rsid w:val="004017D6"/>
    <w:rsid w:val="00403381"/>
    <w:rsid w:val="00406F01"/>
    <w:rsid w:val="00415274"/>
    <w:rsid w:val="00416D50"/>
    <w:rsid w:val="00416FD5"/>
    <w:rsid w:val="00417772"/>
    <w:rsid w:val="00420E6A"/>
    <w:rsid w:val="00423FB4"/>
    <w:rsid w:val="0042471B"/>
    <w:rsid w:val="00425A9E"/>
    <w:rsid w:val="00426D6B"/>
    <w:rsid w:val="00431E6C"/>
    <w:rsid w:val="00433CE7"/>
    <w:rsid w:val="00436423"/>
    <w:rsid w:val="004442BB"/>
    <w:rsid w:val="00444FB0"/>
    <w:rsid w:val="00452738"/>
    <w:rsid w:val="00456091"/>
    <w:rsid w:val="00466321"/>
    <w:rsid w:val="004758FF"/>
    <w:rsid w:val="00476737"/>
    <w:rsid w:val="004800A4"/>
    <w:rsid w:val="004822C3"/>
    <w:rsid w:val="004827EE"/>
    <w:rsid w:val="00483A77"/>
    <w:rsid w:val="00484B9B"/>
    <w:rsid w:val="004855F6"/>
    <w:rsid w:val="0048661E"/>
    <w:rsid w:val="0049272D"/>
    <w:rsid w:val="00494670"/>
    <w:rsid w:val="0049585D"/>
    <w:rsid w:val="0049636E"/>
    <w:rsid w:val="00497605"/>
    <w:rsid w:val="004A3823"/>
    <w:rsid w:val="004C1F33"/>
    <w:rsid w:val="004D2F0B"/>
    <w:rsid w:val="004D4623"/>
    <w:rsid w:val="004D5861"/>
    <w:rsid w:val="004D5B35"/>
    <w:rsid w:val="004D6717"/>
    <w:rsid w:val="004E42E7"/>
    <w:rsid w:val="004E6946"/>
    <w:rsid w:val="004F1AD8"/>
    <w:rsid w:val="004F51F1"/>
    <w:rsid w:val="004F6A50"/>
    <w:rsid w:val="00500878"/>
    <w:rsid w:val="005039CB"/>
    <w:rsid w:val="0050558F"/>
    <w:rsid w:val="00506286"/>
    <w:rsid w:val="0050646D"/>
    <w:rsid w:val="00507524"/>
    <w:rsid w:val="005102E6"/>
    <w:rsid w:val="00510813"/>
    <w:rsid w:val="00511990"/>
    <w:rsid w:val="00511AA9"/>
    <w:rsid w:val="00511DE0"/>
    <w:rsid w:val="005135F2"/>
    <w:rsid w:val="00514870"/>
    <w:rsid w:val="00514B9B"/>
    <w:rsid w:val="00517F02"/>
    <w:rsid w:val="00524303"/>
    <w:rsid w:val="00524D93"/>
    <w:rsid w:val="005258A2"/>
    <w:rsid w:val="00526B7B"/>
    <w:rsid w:val="005322FF"/>
    <w:rsid w:val="005324F8"/>
    <w:rsid w:val="00535EAA"/>
    <w:rsid w:val="0053633C"/>
    <w:rsid w:val="005401AE"/>
    <w:rsid w:val="0054298C"/>
    <w:rsid w:val="00542E07"/>
    <w:rsid w:val="00542ECE"/>
    <w:rsid w:val="00545424"/>
    <w:rsid w:val="00545B4D"/>
    <w:rsid w:val="005517AE"/>
    <w:rsid w:val="00554A7B"/>
    <w:rsid w:val="0055572C"/>
    <w:rsid w:val="00556592"/>
    <w:rsid w:val="0056106A"/>
    <w:rsid w:val="005623BE"/>
    <w:rsid w:val="005634E7"/>
    <w:rsid w:val="005720AE"/>
    <w:rsid w:val="00573372"/>
    <w:rsid w:val="005765DD"/>
    <w:rsid w:val="005815B0"/>
    <w:rsid w:val="005826D6"/>
    <w:rsid w:val="00585EB2"/>
    <w:rsid w:val="005948B7"/>
    <w:rsid w:val="00594D77"/>
    <w:rsid w:val="005965B0"/>
    <w:rsid w:val="005969E4"/>
    <w:rsid w:val="005A06B7"/>
    <w:rsid w:val="005A11D0"/>
    <w:rsid w:val="005A1759"/>
    <w:rsid w:val="005A65E6"/>
    <w:rsid w:val="005A68A7"/>
    <w:rsid w:val="005B36AF"/>
    <w:rsid w:val="005C58B9"/>
    <w:rsid w:val="005C68BD"/>
    <w:rsid w:val="005D36AB"/>
    <w:rsid w:val="005E1406"/>
    <w:rsid w:val="005E4198"/>
    <w:rsid w:val="005E6619"/>
    <w:rsid w:val="005F4214"/>
    <w:rsid w:val="005F68D5"/>
    <w:rsid w:val="00603B37"/>
    <w:rsid w:val="00605F40"/>
    <w:rsid w:val="0060784D"/>
    <w:rsid w:val="00617CC3"/>
    <w:rsid w:val="006377A6"/>
    <w:rsid w:val="00637A3D"/>
    <w:rsid w:val="00640BAB"/>
    <w:rsid w:val="006411EF"/>
    <w:rsid w:val="00645CFE"/>
    <w:rsid w:val="00645F4E"/>
    <w:rsid w:val="00651C9C"/>
    <w:rsid w:val="0065251D"/>
    <w:rsid w:val="0067021A"/>
    <w:rsid w:val="006748B8"/>
    <w:rsid w:val="006775C3"/>
    <w:rsid w:val="00680C1A"/>
    <w:rsid w:val="00681286"/>
    <w:rsid w:val="0069290A"/>
    <w:rsid w:val="00692F8F"/>
    <w:rsid w:val="0069775A"/>
    <w:rsid w:val="00697813"/>
    <w:rsid w:val="006A3A52"/>
    <w:rsid w:val="006A3EE8"/>
    <w:rsid w:val="006A72BF"/>
    <w:rsid w:val="006B03F2"/>
    <w:rsid w:val="006B37DC"/>
    <w:rsid w:val="006B3DEC"/>
    <w:rsid w:val="006B4F68"/>
    <w:rsid w:val="006C0037"/>
    <w:rsid w:val="006C0592"/>
    <w:rsid w:val="006C272E"/>
    <w:rsid w:val="006C5479"/>
    <w:rsid w:val="006D13B5"/>
    <w:rsid w:val="006D64FB"/>
    <w:rsid w:val="006D768E"/>
    <w:rsid w:val="006E12FF"/>
    <w:rsid w:val="006E1F65"/>
    <w:rsid w:val="006E2398"/>
    <w:rsid w:val="006E5890"/>
    <w:rsid w:val="006E607E"/>
    <w:rsid w:val="006F3575"/>
    <w:rsid w:val="006F6160"/>
    <w:rsid w:val="00700571"/>
    <w:rsid w:val="007060F9"/>
    <w:rsid w:val="007069C2"/>
    <w:rsid w:val="00706C5D"/>
    <w:rsid w:val="007215FB"/>
    <w:rsid w:val="00730E48"/>
    <w:rsid w:val="00732922"/>
    <w:rsid w:val="00734354"/>
    <w:rsid w:val="00740A24"/>
    <w:rsid w:val="00745C00"/>
    <w:rsid w:val="0075162E"/>
    <w:rsid w:val="00754034"/>
    <w:rsid w:val="007541FF"/>
    <w:rsid w:val="00756556"/>
    <w:rsid w:val="0076068B"/>
    <w:rsid w:val="007618C4"/>
    <w:rsid w:val="00764525"/>
    <w:rsid w:val="00767980"/>
    <w:rsid w:val="00770B19"/>
    <w:rsid w:val="007737BC"/>
    <w:rsid w:val="007745B7"/>
    <w:rsid w:val="0077463F"/>
    <w:rsid w:val="00775719"/>
    <w:rsid w:val="007800E2"/>
    <w:rsid w:val="007804D2"/>
    <w:rsid w:val="007836EA"/>
    <w:rsid w:val="00784B66"/>
    <w:rsid w:val="00784CDA"/>
    <w:rsid w:val="007852E6"/>
    <w:rsid w:val="007906C4"/>
    <w:rsid w:val="00793ACA"/>
    <w:rsid w:val="007940EA"/>
    <w:rsid w:val="0079440E"/>
    <w:rsid w:val="00795BA4"/>
    <w:rsid w:val="007967E8"/>
    <w:rsid w:val="007A0B39"/>
    <w:rsid w:val="007A1DD7"/>
    <w:rsid w:val="007A2170"/>
    <w:rsid w:val="007A22BF"/>
    <w:rsid w:val="007A3323"/>
    <w:rsid w:val="007B6DEB"/>
    <w:rsid w:val="007B72B8"/>
    <w:rsid w:val="007B7A58"/>
    <w:rsid w:val="007C0A1A"/>
    <w:rsid w:val="007C21B5"/>
    <w:rsid w:val="007C774F"/>
    <w:rsid w:val="007D0EE0"/>
    <w:rsid w:val="007D44AD"/>
    <w:rsid w:val="007D6B41"/>
    <w:rsid w:val="007D7A86"/>
    <w:rsid w:val="007E16C4"/>
    <w:rsid w:val="007E4BD2"/>
    <w:rsid w:val="007E4FD9"/>
    <w:rsid w:val="007F0590"/>
    <w:rsid w:val="007F1C3F"/>
    <w:rsid w:val="007F1C8F"/>
    <w:rsid w:val="007F2EC3"/>
    <w:rsid w:val="007F4E76"/>
    <w:rsid w:val="007F557F"/>
    <w:rsid w:val="00800468"/>
    <w:rsid w:val="00801393"/>
    <w:rsid w:val="00802F88"/>
    <w:rsid w:val="00803A37"/>
    <w:rsid w:val="00806BF9"/>
    <w:rsid w:val="0081293E"/>
    <w:rsid w:val="00812DB7"/>
    <w:rsid w:val="008152EA"/>
    <w:rsid w:val="00815465"/>
    <w:rsid w:val="0081743D"/>
    <w:rsid w:val="008175E5"/>
    <w:rsid w:val="00817E9A"/>
    <w:rsid w:val="008306BD"/>
    <w:rsid w:val="00831840"/>
    <w:rsid w:val="00831A80"/>
    <w:rsid w:val="00833743"/>
    <w:rsid w:val="008340A4"/>
    <w:rsid w:val="00836C7E"/>
    <w:rsid w:val="00843CEC"/>
    <w:rsid w:val="00852FA9"/>
    <w:rsid w:val="00860BEC"/>
    <w:rsid w:val="008653C5"/>
    <w:rsid w:val="008678E2"/>
    <w:rsid w:val="00871225"/>
    <w:rsid w:val="0087135F"/>
    <w:rsid w:val="0087187A"/>
    <w:rsid w:val="00871F66"/>
    <w:rsid w:val="0087287F"/>
    <w:rsid w:val="00872B6C"/>
    <w:rsid w:val="00872D94"/>
    <w:rsid w:val="00880364"/>
    <w:rsid w:val="008803B0"/>
    <w:rsid w:val="00885F4D"/>
    <w:rsid w:val="00891592"/>
    <w:rsid w:val="00891E9E"/>
    <w:rsid w:val="008925C9"/>
    <w:rsid w:val="00892826"/>
    <w:rsid w:val="00897663"/>
    <w:rsid w:val="008A226D"/>
    <w:rsid w:val="008A2F68"/>
    <w:rsid w:val="008A3DD8"/>
    <w:rsid w:val="008A45E9"/>
    <w:rsid w:val="008B30EF"/>
    <w:rsid w:val="008B4FA6"/>
    <w:rsid w:val="008B5282"/>
    <w:rsid w:val="008B6FBA"/>
    <w:rsid w:val="008B728F"/>
    <w:rsid w:val="008B7C17"/>
    <w:rsid w:val="008C2B6C"/>
    <w:rsid w:val="008C2D01"/>
    <w:rsid w:val="008C40E6"/>
    <w:rsid w:val="008C489D"/>
    <w:rsid w:val="008C7D10"/>
    <w:rsid w:val="008D0F7A"/>
    <w:rsid w:val="008D5702"/>
    <w:rsid w:val="008D68E4"/>
    <w:rsid w:val="008D75CB"/>
    <w:rsid w:val="008E0506"/>
    <w:rsid w:val="008E09A5"/>
    <w:rsid w:val="008E0CFF"/>
    <w:rsid w:val="008E5D6B"/>
    <w:rsid w:val="008E76F0"/>
    <w:rsid w:val="008F15FE"/>
    <w:rsid w:val="008F2D29"/>
    <w:rsid w:val="008F5187"/>
    <w:rsid w:val="008F5AE8"/>
    <w:rsid w:val="008F60D8"/>
    <w:rsid w:val="00902727"/>
    <w:rsid w:val="0090312B"/>
    <w:rsid w:val="009078C5"/>
    <w:rsid w:val="00914624"/>
    <w:rsid w:val="0091736D"/>
    <w:rsid w:val="00921380"/>
    <w:rsid w:val="00921DFE"/>
    <w:rsid w:val="00927986"/>
    <w:rsid w:val="0093037A"/>
    <w:rsid w:val="00934261"/>
    <w:rsid w:val="00936537"/>
    <w:rsid w:val="0094154D"/>
    <w:rsid w:val="009454B8"/>
    <w:rsid w:val="0095084F"/>
    <w:rsid w:val="0095155F"/>
    <w:rsid w:val="00954429"/>
    <w:rsid w:val="009563CE"/>
    <w:rsid w:val="0096006E"/>
    <w:rsid w:val="00960236"/>
    <w:rsid w:val="00960547"/>
    <w:rsid w:val="00966F89"/>
    <w:rsid w:val="009677F4"/>
    <w:rsid w:val="0097378B"/>
    <w:rsid w:val="00975C59"/>
    <w:rsid w:val="00976328"/>
    <w:rsid w:val="0097680D"/>
    <w:rsid w:val="0098099A"/>
    <w:rsid w:val="00982438"/>
    <w:rsid w:val="00982CC2"/>
    <w:rsid w:val="0098404C"/>
    <w:rsid w:val="00985283"/>
    <w:rsid w:val="009908F3"/>
    <w:rsid w:val="009941A3"/>
    <w:rsid w:val="00995992"/>
    <w:rsid w:val="00997ACC"/>
    <w:rsid w:val="009A03E5"/>
    <w:rsid w:val="009A0F3B"/>
    <w:rsid w:val="009A1BB4"/>
    <w:rsid w:val="009A2628"/>
    <w:rsid w:val="009A266D"/>
    <w:rsid w:val="009A3200"/>
    <w:rsid w:val="009A4ABB"/>
    <w:rsid w:val="009A611F"/>
    <w:rsid w:val="009B03DC"/>
    <w:rsid w:val="009B0897"/>
    <w:rsid w:val="009B6899"/>
    <w:rsid w:val="009B7BD9"/>
    <w:rsid w:val="009C025E"/>
    <w:rsid w:val="009C43BD"/>
    <w:rsid w:val="009C6875"/>
    <w:rsid w:val="009C76BA"/>
    <w:rsid w:val="009C7DD5"/>
    <w:rsid w:val="009D291E"/>
    <w:rsid w:val="009E1F6D"/>
    <w:rsid w:val="009E227D"/>
    <w:rsid w:val="009E5019"/>
    <w:rsid w:val="009F2969"/>
    <w:rsid w:val="00A01174"/>
    <w:rsid w:val="00A046EC"/>
    <w:rsid w:val="00A04F1B"/>
    <w:rsid w:val="00A0501B"/>
    <w:rsid w:val="00A11344"/>
    <w:rsid w:val="00A14947"/>
    <w:rsid w:val="00A1499D"/>
    <w:rsid w:val="00A15FAA"/>
    <w:rsid w:val="00A209EB"/>
    <w:rsid w:val="00A26192"/>
    <w:rsid w:val="00A32A83"/>
    <w:rsid w:val="00A368DB"/>
    <w:rsid w:val="00A4003E"/>
    <w:rsid w:val="00A40CE4"/>
    <w:rsid w:val="00A41FF5"/>
    <w:rsid w:val="00A423AA"/>
    <w:rsid w:val="00A4250E"/>
    <w:rsid w:val="00A42BD7"/>
    <w:rsid w:val="00A467D9"/>
    <w:rsid w:val="00A475FE"/>
    <w:rsid w:val="00A5031D"/>
    <w:rsid w:val="00A51972"/>
    <w:rsid w:val="00A533F7"/>
    <w:rsid w:val="00A53EC6"/>
    <w:rsid w:val="00A55C0F"/>
    <w:rsid w:val="00A6697B"/>
    <w:rsid w:val="00A705B3"/>
    <w:rsid w:val="00A74A58"/>
    <w:rsid w:val="00A766CC"/>
    <w:rsid w:val="00A833A9"/>
    <w:rsid w:val="00A84A59"/>
    <w:rsid w:val="00A8713F"/>
    <w:rsid w:val="00A90BA1"/>
    <w:rsid w:val="00A94CE9"/>
    <w:rsid w:val="00A97A9A"/>
    <w:rsid w:val="00AA0671"/>
    <w:rsid w:val="00AA12E2"/>
    <w:rsid w:val="00AA2531"/>
    <w:rsid w:val="00AA4648"/>
    <w:rsid w:val="00AA6F42"/>
    <w:rsid w:val="00AA761C"/>
    <w:rsid w:val="00AB1E09"/>
    <w:rsid w:val="00AB275C"/>
    <w:rsid w:val="00AB5330"/>
    <w:rsid w:val="00AB7747"/>
    <w:rsid w:val="00AC14CE"/>
    <w:rsid w:val="00AC2A56"/>
    <w:rsid w:val="00AC69E6"/>
    <w:rsid w:val="00AD055E"/>
    <w:rsid w:val="00AD47A7"/>
    <w:rsid w:val="00AD4847"/>
    <w:rsid w:val="00AD496B"/>
    <w:rsid w:val="00AD666C"/>
    <w:rsid w:val="00AD6EDF"/>
    <w:rsid w:val="00AE15C6"/>
    <w:rsid w:val="00AE74B9"/>
    <w:rsid w:val="00AF0CBF"/>
    <w:rsid w:val="00AF257F"/>
    <w:rsid w:val="00AF33CF"/>
    <w:rsid w:val="00AF4D50"/>
    <w:rsid w:val="00AF6179"/>
    <w:rsid w:val="00B053FD"/>
    <w:rsid w:val="00B0629E"/>
    <w:rsid w:val="00B1295A"/>
    <w:rsid w:val="00B20A45"/>
    <w:rsid w:val="00B221FC"/>
    <w:rsid w:val="00B22C5C"/>
    <w:rsid w:val="00B24F30"/>
    <w:rsid w:val="00B276D5"/>
    <w:rsid w:val="00B31ABF"/>
    <w:rsid w:val="00B32BDB"/>
    <w:rsid w:val="00B33BE3"/>
    <w:rsid w:val="00B37D35"/>
    <w:rsid w:val="00B510FD"/>
    <w:rsid w:val="00B52286"/>
    <w:rsid w:val="00B53B5D"/>
    <w:rsid w:val="00B57DA2"/>
    <w:rsid w:val="00B6055E"/>
    <w:rsid w:val="00B6317D"/>
    <w:rsid w:val="00B63FF4"/>
    <w:rsid w:val="00B65140"/>
    <w:rsid w:val="00B66952"/>
    <w:rsid w:val="00B76CAD"/>
    <w:rsid w:val="00B7723F"/>
    <w:rsid w:val="00B80534"/>
    <w:rsid w:val="00B8433C"/>
    <w:rsid w:val="00B87491"/>
    <w:rsid w:val="00B90284"/>
    <w:rsid w:val="00B90FBB"/>
    <w:rsid w:val="00B93D7F"/>
    <w:rsid w:val="00BA0001"/>
    <w:rsid w:val="00BA0F8C"/>
    <w:rsid w:val="00BA29E9"/>
    <w:rsid w:val="00BA7142"/>
    <w:rsid w:val="00BB237C"/>
    <w:rsid w:val="00BB41A3"/>
    <w:rsid w:val="00BC18AB"/>
    <w:rsid w:val="00BC32DC"/>
    <w:rsid w:val="00BC35B6"/>
    <w:rsid w:val="00BC5310"/>
    <w:rsid w:val="00BD16AD"/>
    <w:rsid w:val="00BD1B51"/>
    <w:rsid w:val="00BD384D"/>
    <w:rsid w:val="00BD4596"/>
    <w:rsid w:val="00BE1405"/>
    <w:rsid w:val="00BE2351"/>
    <w:rsid w:val="00BE312D"/>
    <w:rsid w:val="00BE3D71"/>
    <w:rsid w:val="00BE452B"/>
    <w:rsid w:val="00BF1BA7"/>
    <w:rsid w:val="00BF1C20"/>
    <w:rsid w:val="00C056A2"/>
    <w:rsid w:val="00C10578"/>
    <w:rsid w:val="00C135BC"/>
    <w:rsid w:val="00C15888"/>
    <w:rsid w:val="00C158F9"/>
    <w:rsid w:val="00C15C95"/>
    <w:rsid w:val="00C2069B"/>
    <w:rsid w:val="00C247AF"/>
    <w:rsid w:val="00C2596A"/>
    <w:rsid w:val="00C27537"/>
    <w:rsid w:val="00C279D0"/>
    <w:rsid w:val="00C328FE"/>
    <w:rsid w:val="00C33507"/>
    <w:rsid w:val="00C43B73"/>
    <w:rsid w:val="00C4409D"/>
    <w:rsid w:val="00C44E72"/>
    <w:rsid w:val="00C45A06"/>
    <w:rsid w:val="00C47E5B"/>
    <w:rsid w:val="00C50A14"/>
    <w:rsid w:val="00C5415D"/>
    <w:rsid w:val="00C61E4B"/>
    <w:rsid w:val="00C643B8"/>
    <w:rsid w:val="00C64BFF"/>
    <w:rsid w:val="00C704E9"/>
    <w:rsid w:val="00C73015"/>
    <w:rsid w:val="00C74EB7"/>
    <w:rsid w:val="00C763C9"/>
    <w:rsid w:val="00C76F24"/>
    <w:rsid w:val="00C80057"/>
    <w:rsid w:val="00C80943"/>
    <w:rsid w:val="00C82232"/>
    <w:rsid w:val="00C82913"/>
    <w:rsid w:val="00C82C49"/>
    <w:rsid w:val="00C82EB8"/>
    <w:rsid w:val="00C875F3"/>
    <w:rsid w:val="00C93062"/>
    <w:rsid w:val="00C95FE0"/>
    <w:rsid w:val="00C972B1"/>
    <w:rsid w:val="00C9798A"/>
    <w:rsid w:val="00C97FB2"/>
    <w:rsid w:val="00CA2CCE"/>
    <w:rsid w:val="00CA2E4A"/>
    <w:rsid w:val="00CA43FD"/>
    <w:rsid w:val="00CA6D30"/>
    <w:rsid w:val="00CA7EF8"/>
    <w:rsid w:val="00CB72D3"/>
    <w:rsid w:val="00CC489B"/>
    <w:rsid w:val="00CC49C4"/>
    <w:rsid w:val="00CC79C3"/>
    <w:rsid w:val="00CD2472"/>
    <w:rsid w:val="00CD2BCD"/>
    <w:rsid w:val="00CD3A4C"/>
    <w:rsid w:val="00CE10E9"/>
    <w:rsid w:val="00CE2910"/>
    <w:rsid w:val="00CE5393"/>
    <w:rsid w:val="00CE6D26"/>
    <w:rsid w:val="00CE76B0"/>
    <w:rsid w:val="00CF0BFF"/>
    <w:rsid w:val="00CF36BE"/>
    <w:rsid w:val="00CF461F"/>
    <w:rsid w:val="00CF6000"/>
    <w:rsid w:val="00D003F3"/>
    <w:rsid w:val="00D00954"/>
    <w:rsid w:val="00D012FD"/>
    <w:rsid w:val="00D01EAF"/>
    <w:rsid w:val="00D0364F"/>
    <w:rsid w:val="00D06834"/>
    <w:rsid w:val="00D10673"/>
    <w:rsid w:val="00D21A4E"/>
    <w:rsid w:val="00D22754"/>
    <w:rsid w:val="00D23896"/>
    <w:rsid w:val="00D258AC"/>
    <w:rsid w:val="00D27A33"/>
    <w:rsid w:val="00D308ED"/>
    <w:rsid w:val="00D30AF7"/>
    <w:rsid w:val="00D3358D"/>
    <w:rsid w:val="00D36D86"/>
    <w:rsid w:val="00D428AA"/>
    <w:rsid w:val="00D4416E"/>
    <w:rsid w:val="00D44753"/>
    <w:rsid w:val="00D463D9"/>
    <w:rsid w:val="00D50A34"/>
    <w:rsid w:val="00D53EFA"/>
    <w:rsid w:val="00D569A4"/>
    <w:rsid w:val="00D57355"/>
    <w:rsid w:val="00D62389"/>
    <w:rsid w:val="00D6626E"/>
    <w:rsid w:val="00D806F0"/>
    <w:rsid w:val="00D81371"/>
    <w:rsid w:val="00D874AD"/>
    <w:rsid w:val="00D87EB3"/>
    <w:rsid w:val="00D902C9"/>
    <w:rsid w:val="00D94A7C"/>
    <w:rsid w:val="00D94D04"/>
    <w:rsid w:val="00D95896"/>
    <w:rsid w:val="00D97FC7"/>
    <w:rsid w:val="00DA594D"/>
    <w:rsid w:val="00DB240E"/>
    <w:rsid w:val="00DB2983"/>
    <w:rsid w:val="00DB368F"/>
    <w:rsid w:val="00DB76C6"/>
    <w:rsid w:val="00DB7B89"/>
    <w:rsid w:val="00DC1257"/>
    <w:rsid w:val="00DC3DC0"/>
    <w:rsid w:val="00DC47B7"/>
    <w:rsid w:val="00DC5B2B"/>
    <w:rsid w:val="00DC761E"/>
    <w:rsid w:val="00DD015C"/>
    <w:rsid w:val="00DD1099"/>
    <w:rsid w:val="00DD318D"/>
    <w:rsid w:val="00DE2D36"/>
    <w:rsid w:val="00DE62F2"/>
    <w:rsid w:val="00DF2A91"/>
    <w:rsid w:val="00DF2E12"/>
    <w:rsid w:val="00DF365D"/>
    <w:rsid w:val="00DF514A"/>
    <w:rsid w:val="00DF6286"/>
    <w:rsid w:val="00DF6690"/>
    <w:rsid w:val="00DF6804"/>
    <w:rsid w:val="00E0108D"/>
    <w:rsid w:val="00E0125F"/>
    <w:rsid w:val="00E024E9"/>
    <w:rsid w:val="00E0358D"/>
    <w:rsid w:val="00E04323"/>
    <w:rsid w:val="00E070A2"/>
    <w:rsid w:val="00E1484B"/>
    <w:rsid w:val="00E17C80"/>
    <w:rsid w:val="00E22A9B"/>
    <w:rsid w:val="00E23E7A"/>
    <w:rsid w:val="00E24529"/>
    <w:rsid w:val="00E2656A"/>
    <w:rsid w:val="00E33017"/>
    <w:rsid w:val="00E35B48"/>
    <w:rsid w:val="00E37AA1"/>
    <w:rsid w:val="00E412D0"/>
    <w:rsid w:val="00E4158D"/>
    <w:rsid w:val="00E41B98"/>
    <w:rsid w:val="00E446DE"/>
    <w:rsid w:val="00E45B2F"/>
    <w:rsid w:val="00E47A22"/>
    <w:rsid w:val="00E56322"/>
    <w:rsid w:val="00E563DA"/>
    <w:rsid w:val="00E60982"/>
    <w:rsid w:val="00E62C62"/>
    <w:rsid w:val="00E654C1"/>
    <w:rsid w:val="00E65AAE"/>
    <w:rsid w:val="00E65D97"/>
    <w:rsid w:val="00E71168"/>
    <w:rsid w:val="00E72A5A"/>
    <w:rsid w:val="00E73188"/>
    <w:rsid w:val="00E73354"/>
    <w:rsid w:val="00E734A8"/>
    <w:rsid w:val="00E8274A"/>
    <w:rsid w:val="00E82D01"/>
    <w:rsid w:val="00E840CE"/>
    <w:rsid w:val="00E90F41"/>
    <w:rsid w:val="00E91B1B"/>
    <w:rsid w:val="00E9242D"/>
    <w:rsid w:val="00E975FF"/>
    <w:rsid w:val="00EB06BC"/>
    <w:rsid w:val="00EB1AFB"/>
    <w:rsid w:val="00EB31A0"/>
    <w:rsid w:val="00EB3935"/>
    <w:rsid w:val="00EB5255"/>
    <w:rsid w:val="00EB5C47"/>
    <w:rsid w:val="00ED0639"/>
    <w:rsid w:val="00ED522D"/>
    <w:rsid w:val="00EE0D6B"/>
    <w:rsid w:val="00EE2211"/>
    <w:rsid w:val="00EF4755"/>
    <w:rsid w:val="00EF577C"/>
    <w:rsid w:val="00EF5902"/>
    <w:rsid w:val="00EF7135"/>
    <w:rsid w:val="00F015EF"/>
    <w:rsid w:val="00F027DB"/>
    <w:rsid w:val="00F105C2"/>
    <w:rsid w:val="00F14A7A"/>
    <w:rsid w:val="00F16334"/>
    <w:rsid w:val="00F174C1"/>
    <w:rsid w:val="00F208DD"/>
    <w:rsid w:val="00F22985"/>
    <w:rsid w:val="00F25A7E"/>
    <w:rsid w:val="00F33582"/>
    <w:rsid w:val="00F3383E"/>
    <w:rsid w:val="00F41FFF"/>
    <w:rsid w:val="00F4356D"/>
    <w:rsid w:val="00F43832"/>
    <w:rsid w:val="00F465A7"/>
    <w:rsid w:val="00F50B7C"/>
    <w:rsid w:val="00F532CD"/>
    <w:rsid w:val="00F53960"/>
    <w:rsid w:val="00F550E6"/>
    <w:rsid w:val="00F57F6D"/>
    <w:rsid w:val="00F64587"/>
    <w:rsid w:val="00F71AE7"/>
    <w:rsid w:val="00F74345"/>
    <w:rsid w:val="00F77EC4"/>
    <w:rsid w:val="00F80A0A"/>
    <w:rsid w:val="00F81365"/>
    <w:rsid w:val="00F8205E"/>
    <w:rsid w:val="00F82B19"/>
    <w:rsid w:val="00F843DD"/>
    <w:rsid w:val="00F9212D"/>
    <w:rsid w:val="00F945AA"/>
    <w:rsid w:val="00F95639"/>
    <w:rsid w:val="00F96297"/>
    <w:rsid w:val="00F965DA"/>
    <w:rsid w:val="00F96CFF"/>
    <w:rsid w:val="00F971CD"/>
    <w:rsid w:val="00FA27FC"/>
    <w:rsid w:val="00FA3B7E"/>
    <w:rsid w:val="00FA406A"/>
    <w:rsid w:val="00FA6BDE"/>
    <w:rsid w:val="00FB124D"/>
    <w:rsid w:val="00FB3372"/>
    <w:rsid w:val="00FB4495"/>
    <w:rsid w:val="00FB503A"/>
    <w:rsid w:val="00FB516C"/>
    <w:rsid w:val="00FB6415"/>
    <w:rsid w:val="00FB7446"/>
    <w:rsid w:val="00FC3102"/>
    <w:rsid w:val="00FC7B2B"/>
    <w:rsid w:val="00FD0236"/>
    <w:rsid w:val="00FD18F4"/>
    <w:rsid w:val="00FD1F4B"/>
    <w:rsid w:val="00FD208F"/>
    <w:rsid w:val="00FD4EBD"/>
    <w:rsid w:val="00FD54DB"/>
    <w:rsid w:val="00FD619F"/>
    <w:rsid w:val="00FD79ED"/>
    <w:rsid w:val="00FE0B58"/>
    <w:rsid w:val="00FE5379"/>
    <w:rsid w:val="00FF22FB"/>
    <w:rsid w:val="00FF4E00"/>
    <w:rsid w:val="00FF7432"/>
    <w:rsid w:val="011754D2"/>
    <w:rsid w:val="01290F7E"/>
    <w:rsid w:val="013B6330"/>
    <w:rsid w:val="015148D0"/>
    <w:rsid w:val="015D1E09"/>
    <w:rsid w:val="01684DE9"/>
    <w:rsid w:val="016E377B"/>
    <w:rsid w:val="01705A04"/>
    <w:rsid w:val="017E7DED"/>
    <w:rsid w:val="0198508D"/>
    <w:rsid w:val="019B3EFB"/>
    <w:rsid w:val="019D4A88"/>
    <w:rsid w:val="01B54832"/>
    <w:rsid w:val="01BA3CC7"/>
    <w:rsid w:val="01BA70ED"/>
    <w:rsid w:val="022375D5"/>
    <w:rsid w:val="024115CD"/>
    <w:rsid w:val="024C572B"/>
    <w:rsid w:val="02571BFE"/>
    <w:rsid w:val="02697903"/>
    <w:rsid w:val="026A0137"/>
    <w:rsid w:val="028D3DCD"/>
    <w:rsid w:val="02913E97"/>
    <w:rsid w:val="02AC1F3B"/>
    <w:rsid w:val="02AD12B7"/>
    <w:rsid w:val="02DB673A"/>
    <w:rsid w:val="02E123AB"/>
    <w:rsid w:val="02E613F5"/>
    <w:rsid w:val="02F13950"/>
    <w:rsid w:val="02F96569"/>
    <w:rsid w:val="031C7542"/>
    <w:rsid w:val="034E68F6"/>
    <w:rsid w:val="035D2397"/>
    <w:rsid w:val="036978F5"/>
    <w:rsid w:val="03A60F4D"/>
    <w:rsid w:val="03AC6899"/>
    <w:rsid w:val="03BA3AC5"/>
    <w:rsid w:val="03C2188E"/>
    <w:rsid w:val="03C84E03"/>
    <w:rsid w:val="03D8346F"/>
    <w:rsid w:val="03DB1C41"/>
    <w:rsid w:val="03DE5E9C"/>
    <w:rsid w:val="03E12574"/>
    <w:rsid w:val="03EA7B21"/>
    <w:rsid w:val="042753B6"/>
    <w:rsid w:val="042B391E"/>
    <w:rsid w:val="042D6C15"/>
    <w:rsid w:val="04342C94"/>
    <w:rsid w:val="0462103D"/>
    <w:rsid w:val="04632862"/>
    <w:rsid w:val="047D03EB"/>
    <w:rsid w:val="0484010C"/>
    <w:rsid w:val="049375BC"/>
    <w:rsid w:val="049C200B"/>
    <w:rsid w:val="04AE20F8"/>
    <w:rsid w:val="04BD1328"/>
    <w:rsid w:val="04D8175D"/>
    <w:rsid w:val="04F71D48"/>
    <w:rsid w:val="04FF5660"/>
    <w:rsid w:val="0501174F"/>
    <w:rsid w:val="05156461"/>
    <w:rsid w:val="054C5E3F"/>
    <w:rsid w:val="054F34AA"/>
    <w:rsid w:val="05720AB2"/>
    <w:rsid w:val="05774131"/>
    <w:rsid w:val="05841149"/>
    <w:rsid w:val="05972F4D"/>
    <w:rsid w:val="05B37629"/>
    <w:rsid w:val="05DC507A"/>
    <w:rsid w:val="05E94765"/>
    <w:rsid w:val="05F368F3"/>
    <w:rsid w:val="05F83EAE"/>
    <w:rsid w:val="060C7211"/>
    <w:rsid w:val="0611385B"/>
    <w:rsid w:val="061752DA"/>
    <w:rsid w:val="062244E0"/>
    <w:rsid w:val="063A6690"/>
    <w:rsid w:val="063B3A49"/>
    <w:rsid w:val="063C3D06"/>
    <w:rsid w:val="063E2767"/>
    <w:rsid w:val="063E7D85"/>
    <w:rsid w:val="0643183B"/>
    <w:rsid w:val="064D188C"/>
    <w:rsid w:val="06577287"/>
    <w:rsid w:val="068B358D"/>
    <w:rsid w:val="06905C34"/>
    <w:rsid w:val="069764ED"/>
    <w:rsid w:val="069B2501"/>
    <w:rsid w:val="06A066D1"/>
    <w:rsid w:val="06CB27B9"/>
    <w:rsid w:val="06D825CB"/>
    <w:rsid w:val="06F715DF"/>
    <w:rsid w:val="06FD1E61"/>
    <w:rsid w:val="07082416"/>
    <w:rsid w:val="07145D49"/>
    <w:rsid w:val="07161268"/>
    <w:rsid w:val="07287774"/>
    <w:rsid w:val="07293586"/>
    <w:rsid w:val="07295285"/>
    <w:rsid w:val="073F38CF"/>
    <w:rsid w:val="07636392"/>
    <w:rsid w:val="07770C56"/>
    <w:rsid w:val="078E7E42"/>
    <w:rsid w:val="079909A4"/>
    <w:rsid w:val="07AC143E"/>
    <w:rsid w:val="07B34749"/>
    <w:rsid w:val="07C1145E"/>
    <w:rsid w:val="07D23FE3"/>
    <w:rsid w:val="07F15CE1"/>
    <w:rsid w:val="07F23771"/>
    <w:rsid w:val="07FA6761"/>
    <w:rsid w:val="081906DE"/>
    <w:rsid w:val="08261093"/>
    <w:rsid w:val="08437449"/>
    <w:rsid w:val="08460023"/>
    <w:rsid w:val="084F4B67"/>
    <w:rsid w:val="086A48F9"/>
    <w:rsid w:val="086E081A"/>
    <w:rsid w:val="088F599C"/>
    <w:rsid w:val="08981EA5"/>
    <w:rsid w:val="08B016CF"/>
    <w:rsid w:val="08B032DA"/>
    <w:rsid w:val="08C56E50"/>
    <w:rsid w:val="08C6368D"/>
    <w:rsid w:val="08E7534D"/>
    <w:rsid w:val="08F74ABF"/>
    <w:rsid w:val="08FE4A13"/>
    <w:rsid w:val="09100918"/>
    <w:rsid w:val="0914184D"/>
    <w:rsid w:val="091713E5"/>
    <w:rsid w:val="092217DD"/>
    <w:rsid w:val="093A7294"/>
    <w:rsid w:val="095D2626"/>
    <w:rsid w:val="096B3248"/>
    <w:rsid w:val="096F61BC"/>
    <w:rsid w:val="097671EE"/>
    <w:rsid w:val="097A6B3C"/>
    <w:rsid w:val="09953BDB"/>
    <w:rsid w:val="099A5951"/>
    <w:rsid w:val="099C5D70"/>
    <w:rsid w:val="09AC7434"/>
    <w:rsid w:val="09AD61CC"/>
    <w:rsid w:val="09AF1A0C"/>
    <w:rsid w:val="09D25AA4"/>
    <w:rsid w:val="09D56AD4"/>
    <w:rsid w:val="09DB6CBD"/>
    <w:rsid w:val="09DF7A12"/>
    <w:rsid w:val="0A146147"/>
    <w:rsid w:val="0A263993"/>
    <w:rsid w:val="0A2D3AC2"/>
    <w:rsid w:val="0A2E6EE3"/>
    <w:rsid w:val="0A33760B"/>
    <w:rsid w:val="0A366037"/>
    <w:rsid w:val="0A613D36"/>
    <w:rsid w:val="0A813D22"/>
    <w:rsid w:val="0A8E5A62"/>
    <w:rsid w:val="0A8F6DCA"/>
    <w:rsid w:val="0A924996"/>
    <w:rsid w:val="0A963674"/>
    <w:rsid w:val="0AA755DF"/>
    <w:rsid w:val="0AAF47AB"/>
    <w:rsid w:val="0AD212CC"/>
    <w:rsid w:val="0ADE4874"/>
    <w:rsid w:val="0AF50036"/>
    <w:rsid w:val="0AF776FB"/>
    <w:rsid w:val="0AFA5DEF"/>
    <w:rsid w:val="0B07663C"/>
    <w:rsid w:val="0B085D76"/>
    <w:rsid w:val="0B0C363D"/>
    <w:rsid w:val="0B120D44"/>
    <w:rsid w:val="0B2B33A8"/>
    <w:rsid w:val="0B3B0024"/>
    <w:rsid w:val="0B433A1F"/>
    <w:rsid w:val="0B460484"/>
    <w:rsid w:val="0B581F86"/>
    <w:rsid w:val="0B6FCFBF"/>
    <w:rsid w:val="0B755BC7"/>
    <w:rsid w:val="0B84631A"/>
    <w:rsid w:val="0BC37CDF"/>
    <w:rsid w:val="0BC9248E"/>
    <w:rsid w:val="0BCC46D0"/>
    <w:rsid w:val="0BD23B24"/>
    <w:rsid w:val="0BD27BF6"/>
    <w:rsid w:val="0BFD250E"/>
    <w:rsid w:val="0C1D77F0"/>
    <w:rsid w:val="0C207F6B"/>
    <w:rsid w:val="0C213134"/>
    <w:rsid w:val="0C3B3C7D"/>
    <w:rsid w:val="0C50018B"/>
    <w:rsid w:val="0C801CA8"/>
    <w:rsid w:val="0C816D20"/>
    <w:rsid w:val="0C9E2E5B"/>
    <w:rsid w:val="0C9F01FE"/>
    <w:rsid w:val="0CA2652C"/>
    <w:rsid w:val="0CAB2EAE"/>
    <w:rsid w:val="0CAF5BB2"/>
    <w:rsid w:val="0CCA5EE9"/>
    <w:rsid w:val="0CD33B63"/>
    <w:rsid w:val="0CFA3847"/>
    <w:rsid w:val="0D1D6844"/>
    <w:rsid w:val="0D232552"/>
    <w:rsid w:val="0D2513B1"/>
    <w:rsid w:val="0D393DCC"/>
    <w:rsid w:val="0D3A1F0A"/>
    <w:rsid w:val="0D3D5DBE"/>
    <w:rsid w:val="0D446042"/>
    <w:rsid w:val="0D4804BE"/>
    <w:rsid w:val="0D543AAA"/>
    <w:rsid w:val="0D621C7D"/>
    <w:rsid w:val="0D751A19"/>
    <w:rsid w:val="0D822456"/>
    <w:rsid w:val="0D993D42"/>
    <w:rsid w:val="0DAD340F"/>
    <w:rsid w:val="0DB25569"/>
    <w:rsid w:val="0DC005E9"/>
    <w:rsid w:val="0DC738AE"/>
    <w:rsid w:val="0DE94970"/>
    <w:rsid w:val="0DEA7725"/>
    <w:rsid w:val="0DEF7AA3"/>
    <w:rsid w:val="0E0120A7"/>
    <w:rsid w:val="0E0F6774"/>
    <w:rsid w:val="0E216CE3"/>
    <w:rsid w:val="0E407C20"/>
    <w:rsid w:val="0E4A1FB5"/>
    <w:rsid w:val="0E5C0827"/>
    <w:rsid w:val="0E73034D"/>
    <w:rsid w:val="0E927A90"/>
    <w:rsid w:val="0E9F4F34"/>
    <w:rsid w:val="0EB65B15"/>
    <w:rsid w:val="0EBA3DA2"/>
    <w:rsid w:val="0EC83D6C"/>
    <w:rsid w:val="0ED6A1BB"/>
    <w:rsid w:val="0ED83C05"/>
    <w:rsid w:val="0EDF3022"/>
    <w:rsid w:val="0EEE322A"/>
    <w:rsid w:val="0F13775A"/>
    <w:rsid w:val="0F3015C6"/>
    <w:rsid w:val="0F347EC8"/>
    <w:rsid w:val="0F3F748B"/>
    <w:rsid w:val="0F4535CC"/>
    <w:rsid w:val="0F5A320B"/>
    <w:rsid w:val="0F5F45FE"/>
    <w:rsid w:val="0F9A112B"/>
    <w:rsid w:val="0F9C5CF3"/>
    <w:rsid w:val="0FD72CDD"/>
    <w:rsid w:val="0FDE78E8"/>
    <w:rsid w:val="1007525C"/>
    <w:rsid w:val="10091499"/>
    <w:rsid w:val="101C3494"/>
    <w:rsid w:val="101D6A28"/>
    <w:rsid w:val="102C1D32"/>
    <w:rsid w:val="10347D82"/>
    <w:rsid w:val="10365CB0"/>
    <w:rsid w:val="104132DB"/>
    <w:rsid w:val="10492A9F"/>
    <w:rsid w:val="10677ED6"/>
    <w:rsid w:val="106D2F64"/>
    <w:rsid w:val="108174C1"/>
    <w:rsid w:val="10952C1B"/>
    <w:rsid w:val="10AF0565"/>
    <w:rsid w:val="10B63710"/>
    <w:rsid w:val="10F10820"/>
    <w:rsid w:val="10F41F51"/>
    <w:rsid w:val="10FC4AD9"/>
    <w:rsid w:val="10FF7204"/>
    <w:rsid w:val="110557E4"/>
    <w:rsid w:val="11161B12"/>
    <w:rsid w:val="111C2F7A"/>
    <w:rsid w:val="11214761"/>
    <w:rsid w:val="11245735"/>
    <w:rsid w:val="112E217B"/>
    <w:rsid w:val="11364052"/>
    <w:rsid w:val="11475310"/>
    <w:rsid w:val="11506B63"/>
    <w:rsid w:val="11576914"/>
    <w:rsid w:val="11665CA1"/>
    <w:rsid w:val="116C447F"/>
    <w:rsid w:val="116C74A3"/>
    <w:rsid w:val="1177239A"/>
    <w:rsid w:val="11935376"/>
    <w:rsid w:val="11AC2545"/>
    <w:rsid w:val="11B41CF1"/>
    <w:rsid w:val="11B73E98"/>
    <w:rsid w:val="11B7602E"/>
    <w:rsid w:val="11C3797D"/>
    <w:rsid w:val="11D14EBE"/>
    <w:rsid w:val="11DB49F4"/>
    <w:rsid w:val="11F07B2E"/>
    <w:rsid w:val="12044714"/>
    <w:rsid w:val="120608EE"/>
    <w:rsid w:val="121B1E93"/>
    <w:rsid w:val="123213D4"/>
    <w:rsid w:val="124521CE"/>
    <w:rsid w:val="1250410E"/>
    <w:rsid w:val="12787CA6"/>
    <w:rsid w:val="12836954"/>
    <w:rsid w:val="128552A7"/>
    <w:rsid w:val="128808C6"/>
    <w:rsid w:val="12941E2E"/>
    <w:rsid w:val="1294251E"/>
    <w:rsid w:val="12CA0093"/>
    <w:rsid w:val="12E338BA"/>
    <w:rsid w:val="12FB1DA6"/>
    <w:rsid w:val="130B0C9B"/>
    <w:rsid w:val="132566C8"/>
    <w:rsid w:val="13291A23"/>
    <w:rsid w:val="132B33D9"/>
    <w:rsid w:val="1338050E"/>
    <w:rsid w:val="13425AE4"/>
    <w:rsid w:val="134B3C53"/>
    <w:rsid w:val="134D713E"/>
    <w:rsid w:val="136E019A"/>
    <w:rsid w:val="13750005"/>
    <w:rsid w:val="13842B7F"/>
    <w:rsid w:val="13875C70"/>
    <w:rsid w:val="138A00E7"/>
    <w:rsid w:val="138A2739"/>
    <w:rsid w:val="138C08A6"/>
    <w:rsid w:val="13951726"/>
    <w:rsid w:val="13C25AEF"/>
    <w:rsid w:val="13D65067"/>
    <w:rsid w:val="13D87E56"/>
    <w:rsid w:val="13E137DB"/>
    <w:rsid w:val="140F4333"/>
    <w:rsid w:val="14396509"/>
    <w:rsid w:val="14434ABD"/>
    <w:rsid w:val="14496FFC"/>
    <w:rsid w:val="14525533"/>
    <w:rsid w:val="14567EFF"/>
    <w:rsid w:val="1484549B"/>
    <w:rsid w:val="14A96268"/>
    <w:rsid w:val="14AB58BF"/>
    <w:rsid w:val="14AE2A0F"/>
    <w:rsid w:val="14B94A6F"/>
    <w:rsid w:val="14BB535A"/>
    <w:rsid w:val="14DD2C3C"/>
    <w:rsid w:val="14FC6C9F"/>
    <w:rsid w:val="150263D7"/>
    <w:rsid w:val="15276EC5"/>
    <w:rsid w:val="152C4919"/>
    <w:rsid w:val="153A5BCC"/>
    <w:rsid w:val="154425A3"/>
    <w:rsid w:val="1558078B"/>
    <w:rsid w:val="15821E62"/>
    <w:rsid w:val="159F03AB"/>
    <w:rsid w:val="15A31F76"/>
    <w:rsid w:val="15AB6D63"/>
    <w:rsid w:val="15B35B74"/>
    <w:rsid w:val="15D5720C"/>
    <w:rsid w:val="15EE0209"/>
    <w:rsid w:val="15F45BF4"/>
    <w:rsid w:val="15FE28A3"/>
    <w:rsid w:val="16087E1D"/>
    <w:rsid w:val="161162A5"/>
    <w:rsid w:val="16243D1D"/>
    <w:rsid w:val="163723BD"/>
    <w:rsid w:val="16520C7B"/>
    <w:rsid w:val="166A627C"/>
    <w:rsid w:val="16882AB7"/>
    <w:rsid w:val="16A236C6"/>
    <w:rsid w:val="16A93490"/>
    <w:rsid w:val="16AE6166"/>
    <w:rsid w:val="16B25737"/>
    <w:rsid w:val="16B96D29"/>
    <w:rsid w:val="16C115B9"/>
    <w:rsid w:val="16C85ACD"/>
    <w:rsid w:val="16E0083E"/>
    <w:rsid w:val="16E51A25"/>
    <w:rsid w:val="16F077D6"/>
    <w:rsid w:val="17006289"/>
    <w:rsid w:val="1717485E"/>
    <w:rsid w:val="17197A86"/>
    <w:rsid w:val="172622C1"/>
    <w:rsid w:val="172E0798"/>
    <w:rsid w:val="17422CBC"/>
    <w:rsid w:val="174918EC"/>
    <w:rsid w:val="174934C8"/>
    <w:rsid w:val="175D5FEA"/>
    <w:rsid w:val="17612417"/>
    <w:rsid w:val="17701D14"/>
    <w:rsid w:val="17735226"/>
    <w:rsid w:val="177E7FE9"/>
    <w:rsid w:val="177F22CA"/>
    <w:rsid w:val="17844DEA"/>
    <w:rsid w:val="17B3414D"/>
    <w:rsid w:val="17B62E7C"/>
    <w:rsid w:val="17C47662"/>
    <w:rsid w:val="17C47DDE"/>
    <w:rsid w:val="17DA581E"/>
    <w:rsid w:val="17E317B5"/>
    <w:rsid w:val="17E53810"/>
    <w:rsid w:val="17F27EA5"/>
    <w:rsid w:val="180F6929"/>
    <w:rsid w:val="18173C77"/>
    <w:rsid w:val="18210C06"/>
    <w:rsid w:val="18231DA3"/>
    <w:rsid w:val="182A58F2"/>
    <w:rsid w:val="182B4C83"/>
    <w:rsid w:val="1835755F"/>
    <w:rsid w:val="184339E1"/>
    <w:rsid w:val="18451C52"/>
    <w:rsid w:val="1862370A"/>
    <w:rsid w:val="187FDCC9"/>
    <w:rsid w:val="188F36B7"/>
    <w:rsid w:val="189F624C"/>
    <w:rsid w:val="18AE0546"/>
    <w:rsid w:val="18DB3F07"/>
    <w:rsid w:val="191002BD"/>
    <w:rsid w:val="19227FBE"/>
    <w:rsid w:val="19234396"/>
    <w:rsid w:val="19290568"/>
    <w:rsid w:val="193363F3"/>
    <w:rsid w:val="19387639"/>
    <w:rsid w:val="193B7C3D"/>
    <w:rsid w:val="19672C4A"/>
    <w:rsid w:val="196813B4"/>
    <w:rsid w:val="196D4FE3"/>
    <w:rsid w:val="198E4855"/>
    <w:rsid w:val="19925864"/>
    <w:rsid w:val="19AF6F31"/>
    <w:rsid w:val="19B13FC1"/>
    <w:rsid w:val="19B77CB0"/>
    <w:rsid w:val="19D705C4"/>
    <w:rsid w:val="19DC6623"/>
    <w:rsid w:val="19E165DA"/>
    <w:rsid w:val="19E36EE4"/>
    <w:rsid w:val="19EC43CD"/>
    <w:rsid w:val="19FA0556"/>
    <w:rsid w:val="1A192FDB"/>
    <w:rsid w:val="1A1C66C0"/>
    <w:rsid w:val="1A200515"/>
    <w:rsid w:val="1A362749"/>
    <w:rsid w:val="1A42393B"/>
    <w:rsid w:val="1A4C2050"/>
    <w:rsid w:val="1A601BE5"/>
    <w:rsid w:val="1A8257A9"/>
    <w:rsid w:val="1A85679E"/>
    <w:rsid w:val="1A8C6C29"/>
    <w:rsid w:val="1A9C0E26"/>
    <w:rsid w:val="1AAD45DE"/>
    <w:rsid w:val="1AD46BCF"/>
    <w:rsid w:val="1AD846A8"/>
    <w:rsid w:val="1AE25E5E"/>
    <w:rsid w:val="1AED5CE5"/>
    <w:rsid w:val="1AEF5D24"/>
    <w:rsid w:val="1AF05BE1"/>
    <w:rsid w:val="1AFC363E"/>
    <w:rsid w:val="1B046F80"/>
    <w:rsid w:val="1B0A7FB8"/>
    <w:rsid w:val="1B122CF1"/>
    <w:rsid w:val="1B256097"/>
    <w:rsid w:val="1B3267B5"/>
    <w:rsid w:val="1B330999"/>
    <w:rsid w:val="1B40161D"/>
    <w:rsid w:val="1B441859"/>
    <w:rsid w:val="1B485816"/>
    <w:rsid w:val="1B4E6D13"/>
    <w:rsid w:val="1B604A4D"/>
    <w:rsid w:val="1B6606B1"/>
    <w:rsid w:val="1B7C27FE"/>
    <w:rsid w:val="1B7E2B32"/>
    <w:rsid w:val="1B920B45"/>
    <w:rsid w:val="1B9A2F34"/>
    <w:rsid w:val="1BA1046A"/>
    <w:rsid w:val="1BB30A04"/>
    <w:rsid w:val="1BC21552"/>
    <w:rsid w:val="1BCF4540"/>
    <w:rsid w:val="1BF65648"/>
    <w:rsid w:val="1BF7C499"/>
    <w:rsid w:val="1C0032BA"/>
    <w:rsid w:val="1C344353"/>
    <w:rsid w:val="1C5E7925"/>
    <w:rsid w:val="1C6D6E60"/>
    <w:rsid w:val="1C8C6376"/>
    <w:rsid w:val="1C9759B9"/>
    <w:rsid w:val="1CA97B8C"/>
    <w:rsid w:val="1CD50BCA"/>
    <w:rsid w:val="1CDC1333"/>
    <w:rsid w:val="1CE95F5A"/>
    <w:rsid w:val="1CF11F04"/>
    <w:rsid w:val="1CFD070F"/>
    <w:rsid w:val="1D0C424A"/>
    <w:rsid w:val="1D105B6F"/>
    <w:rsid w:val="1D1C6A69"/>
    <w:rsid w:val="1D2F7858"/>
    <w:rsid w:val="1D3D5064"/>
    <w:rsid w:val="1D5C7A05"/>
    <w:rsid w:val="1D5F6196"/>
    <w:rsid w:val="1D6132A5"/>
    <w:rsid w:val="1D700F91"/>
    <w:rsid w:val="1D8E56D5"/>
    <w:rsid w:val="1D9108CF"/>
    <w:rsid w:val="1DA6014D"/>
    <w:rsid w:val="1DB21226"/>
    <w:rsid w:val="1DBD10B2"/>
    <w:rsid w:val="1DC326D1"/>
    <w:rsid w:val="1DCF37AF"/>
    <w:rsid w:val="1DD15622"/>
    <w:rsid w:val="1DDB5506"/>
    <w:rsid w:val="1DE34C4C"/>
    <w:rsid w:val="1DED4A2A"/>
    <w:rsid w:val="1DEF5560"/>
    <w:rsid w:val="1DF8619B"/>
    <w:rsid w:val="1E1B6CEA"/>
    <w:rsid w:val="1E292042"/>
    <w:rsid w:val="1E380409"/>
    <w:rsid w:val="1E567A45"/>
    <w:rsid w:val="1E7A43DA"/>
    <w:rsid w:val="1E9753F3"/>
    <w:rsid w:val="1E9E8B3C"/>
    <w:rsid w:val="1EA45769"/>
    <w:rsid w:val="1EADC4D7"/>
    <w:rsid w:val="1EC96B73"/>
    <w:rsid w:val="1EE124FD"/>
    <w:rsid w:val="1EE6206C"/>
    <w:rsid w:val="1EEB2114"/>
    <w:rsid w:val="1EF4786E"/>
    <w:rsid w:val="1EF50688"/>
    <w:rsid w:val="1EF50BD6"/>
    <w:rsid w:val="1EFD09A8"/>
    <w:rsid w:val="1F0F7DED"/>
    <w:rsid w:val="1F127183"/>
    <w:rsid w:val="1F1D4AC4"/>
    <w:rsid w:val="1F1F28B7"/>
    <w:rsid w:val="1F210428"/>
    <w:rsid w:val="1F326391"/>
    <w:rsid w:val="1F3E599A"/>
    <w:rsid w:val="1F410642"/>
    <w:rsid w:val="1F431DEE"/>
    <w:rsid w:val="1F440ADE"/>
    <w:rsid w:val="1F50136A"/>
    <w:rsid w:val="1F562526"/>
    <w:rsid w:val="1F7A47ED"/>
    <w:rsid w:val="1F8B529D"/>
    <w:rsid w:val="1FAE5CB2"/>
    <w:rsid w:val="1FBA11CB"/>
    <w:rsid w:val="1FBB7DC6"/>
    <w:rsid w:val="1FCB61D7"/>
    <w:rsid w:val="1FD67833"/>
    <w:rsid w:val="1FDB29E7"/>
    <w:rsid w:val="1FE7539E"/>
    <w:rsid w:val="20033E9B"/>
    <w:rsid w:val="20075F63"/>
    <w:rsid w:val="201F2100"/>
    <w:rsid w:val="2022244C"/>
    <w:rsid w:val="203027ED"/>
    <w:rsid w:val="203C255A"/>
    <w:rsid w:val="20671BE0"/>
    <w:rsid w:val="20681A05"/>
    <w:rsid w:val="206903C6"/>
    <w:rsid w:val="20963CB8"/>
    <w:rsid w:val="20A81A1B"/>
    <w:rsid w:val="20B07FB6"/>
    <w:rsid w:val="20B646FB"/>
    <w:rsid w:val="20CB1A99"/>
    <w:rsid w:val="20CF7553"/>
    <w:rsid w:val="20D11C74"/>
    <w:rsid w:val="20D90A64"/>
    <w:rsid w:val="20F74B0C"/>
    <w:rsid w:val="210A6201"/>
    <w:rsid w:val="212B1C33"/>
    <w:rsid w:val="213B74B1"/>
    <w:rsid w:val="213D458D"/>
    <w:rsid w:val="2153723E"/>
    <w:rsid w:val="215A2310"/>
    <w:rsid w:val="21C4432D"/>
    <w:rsid w:val="21DE318A"/>
    <w:rsid w:val="21EF5B80"/>
    <w:rsid w:val="21F72D1F"/>
    <w:rsid w:val="220E16BF"/>
    <w:rsid w:val="22257A55"/>
    <w:rsid w:val="22424299"/>
    <w:rsid w:val="2244120F"/>
    <w:rsid w:val="224F13A7"/>
    <w:rsid w:val="22576990"/>
    <w:rsid w:val="225B32CC"/>
    <w:rsid w:val="225F7853"/>
    <w:rsid w:val="22671A44"/>
    <w:rsid w:val="229C0C5F"/>
    <w:rsid w:val="22B10873"/>
    <w:rsid w:val="22CA38A0"/>
    <w:rsid w:val="22E50FF1"/>
    <w:rsid w:val="22F47480"/>
    <w:rsid w:val="22F97B7C"/>
    <w:rsid w:val="231E2931"/>
    <w:rsid w:val="23210627"/>
    <w:rsid w:val="23427DEC"/>
    <w:rsid w:val="235F3583"/>
    <w:rsid w:val="236206ED"/>
    <w:rsid w:val="23734752"/>
    <w:rsid w:val="237555F9"/>
    <w:rsid w:val="237B0A6D"/>
    <w:rsid w:val="23926AFE"/>
    <w:rsid w:val="23B013DC"/>
    <w:rsid w:val="23B644CD"/>
    <w:rsid w:val="23BF4674"/>
    <w:rsid w:val="23C25336"/>
    <w:rsid w:val="23CDB5A4"/>
    <w:rsid w:val="23D4D56A"/>
    <w:rsid w:val="23DE1C48"/>
    <w:rsid w:val="23F02397"/>
    <w:rsid w:val="23FFD092"/>
    <w:rsid w:val="240210CD"/>
    <w:rsid w:val="24113FC2"/>
    <w:rsid w:val="241B1ED8"/>
    <w:rsid w:val="241D364C"/>
    <w:rsid w:val="242711B9"/>
    <w:rsid w:val="242D34CA"/>
    <w:rsid w:val="24464D55"/>
    <w:rsid w:val="2448623F"/>
    <w:rsid w:val="24562E61"/>
    <w:rsid w:val="2492271F"/>
    <w:rsid w:val="24A24E71"/>
    <w:rsid w:val="24AE6BA0"/>
    <w:rsid w:val="24BF02BB"/>
    <w:rsid w:val="24BF09F7"/>
    <w:rsid w:val="24E35469"/>
    <w:rsid w:val="25175588"/>
    <w:rsid w:val="252213F8"/>
    <w:rsid w:val="25233E89"/>
    <w:rsid w:val="252D53FE"/>
    <w:rsid w:val="25320B86"/>
    <w:rsid w:val="25344778"/>
    <w:rsid w:val="25416F8E"/>
    <w:rsid w:val="255B3402"/>
    <w:rsid w:val="25701A5B"/>
    <w:rsid w:val="25702928"/>
    <w:rsid w:val="25861C5C"/>
    <w:rsid w:val="25884519"/>
    <w:rsid w:val="258C3755"/>
    <w:rsid w:val="25941F58"/>
    <w:rsid w:val="25966AB9"/>
    <w:rsid w:val="25E906E2"/>
    <w:rsid w:val="25EC2D81"/>
    <w:rsid w:val="25EF16CA"/>
    <w:rsid w:val="264E22B4"/>
    <w:rsid w:val="264F47F1"/>
    <w:rsid w:val="2653192E"/>
    <w:rsid w:val="26685F90"/>
    <w:rsid w:val="2673154F"/>
    <w:rsid w:val="26817816"/>
    <w:rsid w:val="26900487"/>
    <w:rsid w:val="26AB5D61"/>
    <w:rsid w:val="26B06054"/>
    <w:rsid w:val="26F2154D"/>
    <w:rsid w:val="26F5406B"/>
    <w:rsid w:val="26F70788"/>
    <w:rsid w:val="270E21C9"/>
    <w:rsid w:val="27147F7A"/>
    <w:rsid w:val="271A7403"/>
    <w:rsid w:val="271E2333"/>
    <w:rsid w:val="27205974"/>
    <w:rsid w:val="2723503D"/>
    <w:rsid w:val="272845F2"/>
    <w:rsid w:val="27381A83"/>
    <w:rsid w:val="273C7B85"/>
    <w:rsid w:val="277057A2"/>
    <w:rsid w:val="277B31BC"/>
    <w:rsid w:val="27952D8D"/>
    <w:rsid w:val="2797286B"/>
    <w:rsid w:val="279D2695"/>
    <w:rsid w:val="27B66974"/>
    <w:rsid w:val="27DE427C"/>
    <w:rsid w:val="28445763"/>
    <w:rsid w:val="28692488"/>
    <w:rsid w:val="28765297"/>
    <w:rsid w:val="288C0D41"/>
    <w:rsid w:val="28927C40"/>
    <w:rsid w:val="289633FE"/>
    <w:rsid w:val="28BB62FE"/>
    <w:rsid w:val="28D233AA"/>
    <w:rsid w:val="28D65406"/>
    <w:rsid w:val="28DD08A1"/>
    <w:rsid w:val="28E96CAC"/>
    <w:rsid w:val="28EE0921"/>
    <w:rsid w:val="28FA0A5F"/>
    <w:rsid w:val="29091D25"/>
    <w:rsid w:val="29111CC7"/>
    <w:rsid w:val="29206EB8"/>
    <w:rsid w:val="292C7EDC"/>
    <w:rsid w:val="292E64B2"/>
    <w:rsid w:val="292F6E3E"/>
    <w:rsid w:val="29424C3E"/>
    <w:rsid w:val="294F54BE"/>
    <w:rsid w:val="29595666"/>
    <w:rsid w:val="295E33EE"/>
    <w:rsid w:val="29620D8D"/>
    <w:rsid w:val="29874881"/>
    <w:rsid w:val="29A64F81"/>
    <w:rsid w:val="29DA6DA0"/>
    <w:rsid w:val="29E325E0"/>
    <w:rsid w:val="2A034CBA"/>
    <w:rsid w:val="2A0706E4"/>
    <w:rsid w:val="2A077BD2"/>
    <w:rsid w:val="2A0E661D"/>
    <w:rsid w:val="2A11325B"/>
    <w:rsid w:val="2A3002DC"/>
    <w:rsid w:val="2A3F3F33"/>
    <w:rsid w:val="2A436310"/>
    <w:rsid w:val="2A452503"/>
    <w:rsid w:val="2A6C365F"/>
    <w:rsid w:val="2AB83094"/>
    <w:rsid w:val="2AF056AF"/>
    <w:rsid w:val="2B176F4B"/>
    <w:rsid w:val="2B344E56"/>
    <w:rsid w:val="2B61096C"/>
    <w:rsid w:val="2B652DAD"/>
    <w:rsid w:val="2B735E6E"/>
    <w:rsid w:val="2B77600D"/>
    <w:rsid w:val="2B7A5B1B"/>
    <w:rsid w:val="2B8B130A"/>
    <w:rsid w:val="2B8D1C0E"/>
    <w:rsid w:val="2B9874CC"/>
    <w:rsid w:val="2BA56892"/>
    <w:rsid w:val="2BA7509E"/>
    <w:rsid w:val="2BA936A8"/>
    <w:rsid w:val="2BBE9BD2"/>
    <w:rsid w:val="2BC60884"/>
    <w:rsid w:val="2BD322F8"/>
    <w:rsid w:val="2BD80985"/>
    <w:rsid w:val="2C315A5A"/>
    <w:rsid w:val="2C406BFA"/>
    <w:rsid w:val="2C4B1C25"/>
    <w:rsid w:val="2C4C0EE3"/>
    <w:rsid w:val="2C675061"/>
    <w:rsid w:val="2C805B8B"/>
    <w:rsid w:val="2C8E0435"/>
    <w:rsid w:val="2C901714"/>
    <w:rsid w:val="2C91777F"/>
    <w:rsid w:val="2CA63503"/>
    <w:rsid w:val="2CB41703"/>
    <w:rsid w:val="2CB56D3B"/>
    <w:rsid w:val="2CC207BA"/>
    <w:rsid w:val="2CD60C0E"/>
    <w:rsid w:val="2CE24668"/>
    <w:rsid w:val="2CFE7F58"/>
    <w:rsid w:val="2D130B2A"/>
    <w:rsid w:val="2D33345B"/>
    <w:rsid w:val="2D536899"/>
    <w:rsid w:val="2D8C3F40"/>
    <w:rsid w:val="2D8D1D10"/>
    <w:rsid w:val="2D990AD5"/>
    <w:rsid w:val="2D9E56F5"/>
    <w:rsid w:val="2DA3143D"/>
    <w:rsid w:val="2DAE7963"/>
    <w:rsid w:val="2DB66159"/>
    <w:rsid w:val="2DB777D1"/>
    <w:rsid w:val="2DC0665A"/>
    <w:rsid w:val="2DC737D4"/>
    <w:rsid w:val="2DF7C1C4"/>
    <w:rsid w:val="2DFA700A"/>
    <w:rsid w:val="2DFEB066"/>
    <w:rsid w:val="2E1173A2"/>
    <w:rsid w:val="2E3D3EBA"/>
    <w:rsid w:val="2E3D6557"/>
    <w:rsid w:val="2E5B3E96"/>
    <w:rsid w:val="2E5D0B22"/>
    <w:rsid w:val="2E667F96"/>
    <w:rsid w:val="2E7C6363"/>
    <w:rsid w:val="2E7FFF60"/>
    <w:rsid w:val="2E8226AB"/>
    <w:rsid w:val="2ECB0F77"/>
    <w:rsid w:val="2ED6165D"/>
    <w:rsid w:val="2EEC6F70"/>
    <w:rsid w:val="2EF01C09"/>
    <w:rsid w:val="2EF0311D"/>
    <w:rsid w:val="2EF57DB0"/>
    <w:rsid w:val="2EFF32EF"/>
    <w:rsid w:val="2F097D89"/>
    <w:rsid w:val="2F2514FD"/>
    <w:rsid w:val="2F264E9E"/>
    <w:rsid w:val="2F380FF5"/>
    <w:rsid w:val="2F3D76DF"/>
    <w:rsid w:val="2F4A11F9"/>
    <w:rsid w:val="2F4C33A8"/>
    <w:rsid w:val="2F8421A7"/>
    <w:rsid w:val="2F85755B"/>
    <w:rsid w:val="2F9A7D49"/>
    <w:rsid w:val="2FA855EC"/>
    <w:rsid w:val="2FAF4F0D"/>
    <w:rsid w:val="2FD065E6"/>
    <w:rsid w:val="2FD868AE"/>
    <w:rsid w:val="2FD96870"/>
    <w:rsid w:val="2FED0F44"/>
    <w:rsid w:val="2FEE2B1A"/>
    <w:rsid w:val="3000760D"/>
    <w:rsid w:val="300751FC"/>
    <w:rsid w:val="30325036"/>
    <w:rsid w:val="30562430"/>
    <w:rsid w:val="30580BC9"/>
    <w:rsid w:val="307A1631"/>
    <w:rsid w:val="30891BA3"/>
    <w:rsid w:val="30925D4C"/>
    <w:rsid w:val="30C018FB"/>
    <w:rsid w:val="30DF04E5"/>
    <w:rsid w:val="30F501D7"/>
    <w:rsid w:val="30F629E8"/>
    <w:rsid w:val="30FF1BA4"/>
    <w:rsid w:val="31050CD3"/>
    <w:rsid w:val="31131872"/>
    <w:rsid w:val="311E2ED7"/>
    <w:rsid w:val="31260BA2"/>
    <w:rsid w:val="31323CAC"/>
    <w:rsid w:val="315619EE"/>
    <w:rsid w:val="31563675"/>
    <w:rsid w:val="315C449C"/>
    <w:rsid w:val="317720B2"/>
    <w:rsid w:val="317E00D9"/>
    <w:rsid w:val="318B55D4"/>
    <w:rsid w:val="31920949"/>
    <w:rsid w:val="319A7972"/>
    <w:rsid w:val="319F5D57"/>
    <w:rsid w:val="31B82709"/>
    <w:rsid w:val="31C363DC"/>
    <w:rsid w:val="31D05482"/>
    <w:rsid w:val="31E34330"/>
    <w:rsid w:val="31EBA1B4"/>
    <w:rsid w:val="320D2371"/>
    <w:rsid w:val="32172CD1"/>
    <w:rsid w:val="323B4CB4"/>
    <w:rsid w:val="323C7A0F"/>
    <w:rsid w:val="323F2B3A"/>
    <w:rsid w:val="32400B34"/>
    <w:rsid w:val="32420644"/>
    <w:rsid w:val="324C69B1"/>
    <w:rsid w:val="325D33D3"/>
    <w:rsid w:val="32676276"/>
    <w:rsid w:val="32706B9C"/>
    <w:rsid w:val="327C45F4"/>
    <w:rsid w:val="329E6876"/>
    <w:rsid w:val="32B35B99"/>
    <w:rsid w:val="32BB2BB0"/>
    <w:rsid w:val="32BF364D"/>
    <w:rsid w:val="32D359B2"/>
    <w:rsid w:val="32D42E69"/>
    <w:rsid w:val="32E90E78"/>
    <w:rsid w:val="330272BA"/>
    <w:rsid w:val="33045CDE"/>
    <w:rsid w:val="331F0A30"/>
    <w:rsid w:val="33257B21"/>
    <w:rsid w:val="333015F2"/>
    <w:rsid w:val="333547A6"/>
    <w:rsid w:val="334B6320"/>
    <w:rsid w:val="334F3E61"/>
    <w:rsid w:val="336053F3"/>
    <w:rsid w:val="336B163B"/>
    <w:rsid w:val="338620B2"/>
    <w:rsid w:val="338D5AF7"/>
    <w:rsid w:val="338E6CE1"/>
    <w:rsid w:val="33934BB1"/>
    <w:rsid w:val="33945A43"/>
    <w:rsid w:val="33993364"/>
    <w:rsid w:val="339D6897"/>
    <w:rsid w:val="33B5113C"/>
    <w:rsid w:val="33B97DC9"/>
    <w:rsid w:val="33D934D4"/>
    <w:rsid w:val="33F1696A"/>
    <w:rsid w:val="33FE2F6A"/>
    <w:rsid w:val="340B2DCD"/>
    <w:rsid w:val="340E07E5"/>
    <w:rsid w:val="34172FB6"/>
    <w:rsid w:val="34235BF7"/>
    <w:rsid w:val="34303C43"/>
    <w:rsid w:val="343666A0"/>
    <w:rsid w:val="343B4709"/>
    <w:rsid w:val="344E72D2"/>
    <w:rsid w:val="34660569"/>
    <w:rsid w:val="346B6BEC"/>
    <w:rsid w:val="3471089E"/>
    <w:rsid w:val="349F693B"/>
    <w:rsid w:val="349FDC96"/>
    <w:rsid w:val="34A17702"/>
    <w:rsid w:val="34B57890"/>
    <w:rsid w:val="34BF2104"/>
    <w:rsid w:val="34C66DB9"/>
    <w:rsid w:val="34CC6448"/>
    <w:rsid w:val="34E47C24"/>
    <w:rsid w:val="34E71852"/>
    <w:rsid w:val="34F103B6"/>
    <w:rsid w:val="34F24C6C"/>
    <w:rsid w:val="35055041"/>
    <w:rsid w:val="3507194A"/>
    <w:rsid w:val="35095201"/>
    <w:rsid w:val="35121600"/>
    <w:rsid w:val="351C359C"/>
    <w:rsid w:val="351C6499"/>
    <w:rsid w:val="35393837"/>
    <w:rsid w:val="35484781"/>
    <w:rsid w:val="358212DA"/>
    <w:rsid w:val="358C5FA8"/>
    <w:rsid w:val="35907F2A"/>
    <w:rsid w:val="35980BB2"/>
    <w:rsid w:val="359A1A9B"/>
    <w:rsid w:val="359A368E"/>
    <w:rsid w:val="35AE412A"/>
    <w:rsid w:val="35C15DF1"/>
    <w:rsid w:val="35C32BE8"/>
    <w:rsid w:val="35C9684B"/>
    <w:rsid w:val="35FF0260"/>
    <w:rsid w:val="36007FAA"/>
    <w:rsid w:val="36074A7F"/>
    <w:rsid w:val="36215B31"/>
    <w:rsid w:val="36232D8E"/>
    <w:rsid w:val="363E2FB6"/>
    <w:rsid w:val="364F6A34"/>
    <w:rsid w:val="367519D8"/>
    <w:rsid w:val="367670BC"/>
    <w:rsid w:val="368D1E56"/>
    <w:rsid w:val="36923549"/>
    <w:rsid w:val="36927A45"/>
    <w:rsid w:val="369F9F8A"/>
    <w:rsid w:val="36A70552"/>
    <w:rsid w:val="36B12EE2"/>
    <w:rsid w:val="36B75FBF"/>
    <w:rsid w:val="36B82930"/>
    <w:rsid w:val="36BD0C45"/>
    <w:rsid w:val="36CD4366"/>
    <w:rsid w:val="36D53158"/>
    <w:rsid w:val="36E70D2C"/>
    <w:rsid w:val="36F14D15"/>
    <w:rsid w:val="36F363C5"/>
    <w:rsid w:val="36F66602"/>
    <w:rsid w:val="36F93F72"/>
    <w:rsid w:val="3703108A"/>
    <w:rsid w:val="3732699E"/>
    <w:rsid w:val="374E74AE"/>
    <w:rsid w:val="37727B6E"/>
    <w:rsid w:val="37755F1A"/>
    <w:rsid w:val="37876709"/>
    <w:rsid w:val="3789491B"/>
    <w:rsid w:val="378D507F"/>
    <w:rsid w:val="37A81E61"/>
    <w:rsid w:val="37D253B5"/>
    <w:rsid w:val="37D81A12"/>
    <w:rsid w:val="37DB5201"/>
    <w:rsid w:val="37E00298"/>
    <w:rsid w:val="37E34AF5"/>
    <w:rsid w:val="37E874F6"/>
    <w:rsid w:val="37E90C3B"/>
    <w:rsid w:val="37EF0B40"/>
    <w:rsid w:val="37F25031"/>
    <w:rsid w:val="37F86D00"/>
    <w:rsid w:val="37F93759"/>
    <w:rsid w:val="38101780"/>
    <w:rsid w:val="381D5E42"/>
    <w:rsid w:val="38386391"/>
    <w:rsid w:val="38432998"/>
    <w:rsid w:val="388E0EF2"/>
    <w:rsid w:val="38A5739C"/>
    <w:rsid w:val="38A72440"/>
    <w:rsid w:val="38B302F9"/>
    <w:rsid w:val="38CC2CC6"/>
    <w:rsid w:val="38E84D55"/>
    <w:rsid w:val="38F12CD3"/>
    <w:rsid w:val="38F94775"/>
    <w:rsid w:val="3908355A"/>
    <w:rsid w:val="390D6053"/>
    <w:rsid w:val="3910101F"/>
    <w:rsid w:val="392971ED"/>
    <w:rsid w:val="392C2341"/>
    <w:rsid w:val="39325651"/>
    <w:rsid w:val="393E2040"/>
    <w:rsid w:val="395D748E"/>
    <w:rsid w:val="398D143B"/>
    <w:rsid w:val="39AF4E55"/>
    <w:rsid w:val="39B8720A"/>
    <w:rsid w:val="39D3470D"/>
    <w:rsid w:val="39D921E3"/>
    <w:rsid w:val="39DF69E9"/>
    <w:rsid w:val="39FB2570"/>
    <w:rsid w:val="3A015E88"/>
    <w:rsid w:val="3A0B044C"/>
    <w:rsid w:val="3A1568D7"/>
    <w:rsid w:val="3A1D518D"/>
    <w:rsid w:val="3A244E9D"/>
    <w:rsid w:val="3A28140B"/>
    <w:rsid w:val="3A2B5EC8"/>
    <w:rsid w:val="3A341667"/>
    <w:rsid w:val="3A4F2168"/>
    <w:rsid w:val="3A5319D3"/>
    <w:rsid w:val="3A581AAC"/>
    <w:rsid w:val="3A5A672B"/>
    <w:rsid w:val="3A800433"/>
    <w:rsid w:val="3A872856"/>
    <w:rsid w:val="3A8A3078"/>
    <w:rsid w:val="3A962A56"/>
    <w:rsid w:val="3A9E7B66"/>
    <w:rsid w:val="3AA5458B"/>
    <w:rsid w:val="3AA571F0"/>
    <w:rsid w:val="3ABA6A4E"/>
    <w:rsid w:val="3AC023DB"/>
    <w:rsid w:val="3AC344B2"/>
    <w:rsid w:val="3AD71606"/>
    <w:rsid w:val="3AE223DF"/>
    <w:rsid w:val="3AE87C80"/>
    <w:rsid w:val="3B051AA7"/>
    <w:rsid w:val="3B260CD4"/>
    <w:rsid w:val="3B373A3D"/>
    <w:rsid w:val="3B3763D1"/>
    <w:rsid w:val="3B3E659D"/>
    <w:rsid w:val="3B6F7055"/>
    <w:rsid w:val="3B776D22"/>
    <w:rsid w:val="3B7F2667"/>
    <w:rsid w:val="3B8C46C0"/>
    <w:rsid w:val="3BA96572"/>
    <w:rsid w:val="3BAC18BC"/>
    <w:rsid w:val="3BAE5C14"/>
    <w:rsid w:val="3BB4F002"/>
    <w:rsid w:val="3BBB475B"/>
    <w:rsid w:val="3BC1518D"/>
    <w:rsid w:val="3BCF35CA"/>
    <w:rsid w:val="3BD46A8E"/>
    <w:rsid w:val="3BE67BF3"/>
    <w:rsid w:val="3BF37029"/>
    <w:rsid w:val="3BF978F3"/>
    <w:rsid w:val="3BFF11AB"/>
    <w:rsid w:val="3C047AC2"/>
    <w:rsid w:val="3C2E2CB3"/>
    <w:rsid w:val="3C2F6E1E"/>
    <w:rsid w:val="3C4F64BA"/>
    <w:rsid w:val="3C5F58F3"/>
    <w:rsid w:val="3C6B05E2"/>
    <w:rsid w:val="3C700DB5"/>
    <w:rsid w:val="3C7A5568"/>
    <w:rsid w:val="3C7C4B2B"/>
    <w:rsid w:val="3C9F163D"/>
    <w:rsid w:val="3CA13DC4"/>
    <w:rsid w:val="3CAE596C"/>
    <w:rsid w:val="3CC75DD6"/>
    <w:rsid w:val="3CCF0D42"/>
    <w:rsid w:val="3CDA245A"/>
    <w:rsid w:val="3CFF4160"/>
    <w:rsid w:val="3D0568EF"/>
    <w:rsid w:val="3D066D74"/>
    <w:rsid w:val="3D1E06B7"/>
    <w:rsid w:val="3D2F6EBE"/>
    <w:rsid w:val="3D3954FD"/>
    <w:rsid w:val="3D3B3A18"/>
    <w:rsid w:val="3D761A62"/>
    <w:rsid w:val="3D7E43C5"/>
    <w:rsid w:val="3D986B97"/>
    <w:rsid w:val="3DA53C16"/>
    <w:rsid w:val="3DA94DF4"/>
    <w:rsid w:val="3DB02132"/>
    <w:rsid w:val="3DB647B0"/>
    <w:rsid w:val="3DB844C8"/>
    <w:rsid w:val="3DBE51EB"/>
    <w:rsid w:val="3DE37D1B"/>
    <w:rsid w:val="3DEB201B"/>
    <w:rsid w:val="3DEECE78"/>
    <w:rsid w:val="3DF95185"/>
    <w:rsid w:val="3DFA3EBB"/>
    <w:rsid w:val="3E0110DD"/>
    <w:rsid w:val="3E0651E0"/>
    <w:rsid w:val="3E083DA3"/>
    <w:rsid w:val="3E13486D"/>
    <w:rsid w:val="3E3A7E13"/>
    <w:rsid w:val="3E58781A"/>
    <w:rsid w:val="3E6D2826"/>
    <w:rsid w:val="3E7803AA"/>
    <w:rsid w:val="3E7C3FCF"/>
    <w:rsid w:val="3E8F3A23"/>
    <w:rsid w:val="3EA44713"/>
    <w:rsid w:val="3EA75128"/>
    <w:rsid w:val="3EA96AE4"/>
    <w:rsid w:val="3ED40B2A"/>
    <w:rsid w:val="3EDA0523"/>
    <w:rsid w:val="3EDF7ABE"/>
    <w:rsid w:val="3EE131F8"/>
    <w:rsid w:val="3EE46F80"/>
    <w:rsid w:val="3EE81ED2"/>
    <w:rsid w:val="3EF60A31"/>
    <w:rsid w:val="3EFD357B"/>
    <w:rsid w:val="3F164429"/>
    <w:rsid w:val="3F2D35BD"/>
    <w:rsid w:val="3F2E534A"/>
    <w:rsid w:val="3F433464"/>
    <w:rsid w:val="3F524954"/>
    <w:rsid w:val="3F595FC8"/>
    <w:rsid w:val="3F5C2C79"/>
    <w:rsid w:val="3F605630"/>
    <w:rsid w:val="3F6251B2"/>
    <w:rsid w:val="3F7777B1"/>
    <w:rsid w:val="3F7F7DB5"/>
    <w:rsid w:val="3F8F21AA"/>
    <w:rsid w:val="3F972993"/>
    <w:rsid w:val="3F9A09D6"/>
    <w:rsid w:val="3FA66B77"/>
    <w:rsid w:val="3FAF49C8"/>
    <w:rsid w:val="3FDAFE29"/>
    <w:rsid w:val="3FDE4EB0"/>
    <w:rsid w:val="3FF96A55"/>
    <w:rsid w:val="3FFACBE1"/>
    <w:rsid w:val="3FFB187A"/>
    <w:rsid w:val="3FFB6669"/>
    <w:rsid w:val="3FFF1C71"/>
    <w:rsid w:val="3FFF4028"/>
    <w:rsid w:val="3FFF6A4A"/>
    <w:rsid w:val="40045D6E"/>
    <w:rsid w:val="400D4A91"/>
    <w:rsid w:val="40447C55"/>
    <w:rsid w:val="4048738B"/>
    <w:rsid w:val="406D1D78"/>
    <w:rsid w:val="407A6407"/>
    <w:rsid w:val="407B47B0"/>
    <w:rsid w:val="40987A9C"/>
    <w:rsid w:val="40B840B6"/>
    <w:rsid w:val="40C82E23"/>
    <w:rsid w:val="40D1407A"/>
    <w:rsid w:val="41191245"/>
    <w:rsid w:val="411A6BA1"/>
    <w:rsid w:val="411C146A"/>
    <w:rsid w:val="412176FD"/>
    <w:rsid w:val="41270034"/>
    <w:rsid w:val="41375F97"/>
    <w:rsid w:val="414A36EA"/>
    <w:rsid w:val="415829CF"/>
    <w:rsid w:val="417C2F47"/>
    <w:rsid w:val="41941B24"/>
    <w:rsid w:val="41D77A20"/>
    <w:rsid w:val="41DE35B6"/>
    <w:rsid w:val="41EB0EE8"/>
    <w:rsid w:val="41FA0C99"/>
    <w:rsid w:val="4200449D"/>
    <w:rsid w:val="420E6B46"/>
    <w:rsid w:val="423579D1"/>
    <w:rsid w:val="42372762"/>
    <w:rsid w:val="423A3BCC"/>
    <w:rsid w:val="42407562"/>
    <w:rsid w:val="424E57D2"/>
    <w:rsid w:val="4255735A"/>
    <w:rsid w:val="426126BF"/>
    <w:rsid w:val="427F7A72"/>
    <w:rsid w:val="428561DF"/>
    <w:rsid w:val="428F5C68"/>
    <w:rsid w:val="42960D6F"/>
    <w:rsid w:val="4299287B"/>
    <w:rsid w:val="429C2007"/>
    <w:rsid w:val="42A01816"/>
    <w:rsid w:val="42B26C49"/>
    <w:rsid w:val="42C61E9B"/>
    <w:rsid w:val="42C97185"/>
    <w:rsid w:val="42CD74C5"/>
    <w:rsid w:val="42DD2670"/>
    <w:rsid w:val="42E477F8"/>
    <w:rsid w:val="42E834DD"/>
    <w:rsid w:val="42E91E17"/>
    <w:rsid w:val="42F22B87"/>
    <w:rsid w:val="43023698"/>
    <w:rsid w:val="43042B34"/>
    <w:rsid w:val="430A38BB"/>
    <w:rsid w:val="43171C30"/>
    <w:rsid w:val="4318127C"/>
    <w:rsid w:val="431926A1"/>
    <w:rsid w:val="433845D2"/>
    <w:rsid w:val="433924E5"/>
    <w:rsid w:val="433A6FE6"/>
    <w:rsid w:val="433B1739"/>
    <w:rsid w:val="43480868"/>
    <w:rsid w:val="4350713C"/>
    <w:rsid w:val="436653E0"/>
    <w:rsid w:val="43732B17"/>
    <w:rsid w:val="437A3DF2"/>
    <w:rsid w:val="43817395"/>
    <w:rsid w:val="43914610"/>
    <w:rsid w:val="43BF1F52"/>
    <w:rsid w:val="43C4431A"/>
    <w:rsid w:val="43E81CA2"/>
    <w:rsid w:val="43F95251"/>
    <w:rsid w:val="43FD609F"/>
    <w:rsid w:val="441D12EC"/>
    <w:rsid w:val="4422572C"/>
    <w:rsid w:val="442C4A53"/>
    <w:rsid w:val="4442787E"/>
    <w:rsid w:val="44597DC9"/>
    <w:rsid w:val="44765B8C"/>
    <w:rsid w:val="449304C3"/>
    <w:rsid w:val="449B6694"/>
    <w:rsid w:val="44A70A82"/>
    <w:rsid w:val="44AA6852"/>
    <w:rsid w:val="44B3499B"/>
    <w:rsid w:val="44B951CC"/>
    <w:rsid w:val="44CD14E0"/>
    <w:rsid w:val="44D05930"/>
    <w:rsid w:val="44F20B0B"/>
    <w:rsid w:val="450374FA"/>
    <w:rsid w:val="4519414E"/>
    <w:rsid w:val="451D17CC"/>
    <w:rsid w:val="452805B8"/>
    <w:rsid w:val="452C5829"/>
    <w:rsid w:val="452E5F4C"/>
    <w:rsid w:val="45370DA0"/>
    <w:rsid w:val="454416DE"/>
    <w:rsid w:val="455520B7"/>
    <w:rsid w:val="45612018"/>
    <w:rsid w:val="456460E8"/>
    <w:rsid w:val="4566722B"/>
    <w:rsid w:val="458946E9"/>
    <w:rsid w:val="458E0241"/>
    <w:rsid w:val="45A47C0E"/>
    <w:rsid w:val="45B3BD94"/>
    <w:rsid w:val="45B4207B"/>
    <w:rsid w:val="45B66B52"/>
    <w:rsid w:val="45BB37C9"/>
    <w:rsid w:val="45BE314C"/>
    <w:rsid w:val="45BF773E"/>
    <w:rsid w:val="45C71430"/>
    <w:rsid w:val="45D4655B"/>
    <w:rsid w:val="45DB5FBB"/>
    <w:rsid w:val="45E71184"/>
    <w:rsid w:val="46233C4F"/>
    <w:rsid w:val="4628519C"/>
    <w:rsid w:val="462B7922"/>
    <w:rsid w:val="464E48DF"/>
    <w:rsid w:val="46577FD6"/>
    <w:rsid w:val="465F6B68"/>
    <w:rsid w:val="466C1213"/>
    <w:rsid w:val="466E1FBD"/>
    <w:rsid w:val="467B60E6"/>
    <w:rsid w:val="46B44DDB"/>
    <w:rsid w:val="46C34088"/>
    <w:rsid w:val="46C50DF3"/>
    <w:rsid w:val="46D955A7"/>
    <w:rsid w:val="46F55A81"/>
    <w:rsid w:val="46F5FBFF"/>
    <w:rsid w:val="470072B5"/>
    <w:rsid w:val="470C6187"/>
    <w:rsid w:val="470E6C87"/>
    <w:rsid w:val="47133957"/>
    <w:rsid w:val="47277519"/>
    <w:rsid w:val="47555C43"/>
    <w:rsid w:val="475975DF"/>
    <w:rsid w:val="47A07E0C"/>
    <w:rsid w:val="47B85C10"/>
    <w:rsid w:val="47CB2B36"/>
    <w:rsid w:val="47E27C38"/>
    <w:rsid w:val="47F70074"/>
    <w:rsid w:val="47F84DE1"/>
    <w:rsid w:val="47F9409B"/>
    <w:rsid w:val="47FD6926"/>
    <w:rsid w:val="48203CCD"/>
    <w:rsid w:val="483268AB"/>
    <w:rsid w:val="48387694"/>
    <w:rsid w:val="484B675E"/>
    <w:rsid w:val="4862659A"/>
    <w:rsid w:val="486F35FA"/>
    <w:rsid w:val="4870272E"/>
    <w:rsid w:val="48735D98"/>
    <w:rsid w:val="4877785D"/>
    <w:rsid w:val="487E0FF2"/>
    <w:rsid w:val="489C3849"/>
    <w:rsid w:val="48A51A8A"/>
    <w:rsid w:val="48AC6C7D"/>
    <w:rsid w:val="48C965B2"/>
    <w:rsid w:val="48F56EC4"/>
    <w:rsid w:val="490512A3"/>
    <w:rsid w:val="49071F4D"/>
    <w:rsid w:val="492E3527"/>
    <w:rsid w:val="49720536"/>
    <w:rsid w:val="498D3ACC"/>
    <w:rsid w:val="49B86C58"/>
    <w:rsid w:val="49DA2D68"/>
    <w:rsid w:val="49DC7715"/>
    <w:rsid w:val="49F3739B"/>
    <w:rsid w:val="49F6E33F"/>
    <w:rsid w:val="4A023139"/>
    <w:rsid w:val="4A0427D1"/>
    <w:rsid w:val="4A085073"/>
    <w:rsid w:val="4A0F20FC"/>
    <w:rsid w:val="4A4B7B50"/>
    <w:rsid w:val="4A7B576F"/>
    <w:rsid w:val="4A9A5474"/>
    <w:rsid w:val="4AAB2D1D"/>
    <w:rsid w:val="4ACC5E3F"/>
    <w:rsid w:val="4AEF04EE"/>
    <w:rsid w:val="4AF561A9"/>
    <w:rsid w:val="4AF610CD"/>
    <w:rsid w:val="4B132EBE"/>
    <w:rsid w:val="4B1F3F76"/>
    <w:rsid w:val="4B284B25"/>
    <w:rsid w:val="4B302849"/>
    <w:rsid w:val="4B400798"/>
    <w:rsid w:val="4B557CF8"/>
    <w:rsid w:val="4B577D35"/>
    <w:rsid w:val="4B6651E3"/>
    <w:rsid w:val="4B666835"/>
    <w:rsid w:val="4B855642"/>
    <w:rsid w:val="4BB67C55"/>
    <w:rsid w:val="4BD148E4"/>
    <w:rsid w:val="4BD75704"/>
    <w:rsid w:val="4BFD39F2"/>
    <w:rsid w:val="4C077669"/>
    <w:rsid w:val="4C2A4314"/>
    <w:rsid w:val="4C2D7223"/>
    <w:rsid w:val="4C4A0649"/>
    <w:rsid w:val="4C4A72EE"/>
    <w:rsid w:val="4C7E5ECA"/>
    <w:rsid w:val="4C824C28"/>
    <w:rsid w:val="4C876AA5"/>
    <w:rsid w:val="4CBD5112"/>
    <w:rsid w:val="4CFA4ACD"/>
    <w:rsid w:val="4CFC39F4"/>
    <w:rsid w:val="4D0C38C3"/>
    <w:rsid w:val="4D0E00FB"/>
    <w:rsid w:val="4D176606"/>
    <w:rsid w:val="4D1B4482"/>
    <w:rsid w:val="4D2052B5"/>
    <w:rsid w:val="4D246D3C"/>
    <w:rsid w:val="4D3301DA"/>
    <w:rsid w:val="4D3705B3"/>
    <w:rsid w:val="4D457BD3"/>
    <w:rsid w:val="4D4FD224"/>
    <w:rsid w:val="4D510533"/>
    <w:rsid w:val="4D5207A3"/>
    <w:rsid w:val="4D524DD0"/>
    <w:rsid w:val="4D634FBB"/>
    <w:rsid w:val="4D737FF2"/>
    <w:rsid w:val="4D774A3F"/>
    <w:rsid w:val="4D9D12AD"/>
    <w:rsid w:val="4DAF61A6"/>
    <w:rsid w:val="4DB83074"/>
    <w:rsid w:val="4DDB55E6"/>
    <w:rsid w:val="4DEC4FB0"/>
    <w:rsid w:val="4DEC7670"/>
    <w:rsid w:val="4DF9EB35"/>
    <w:rsid w:val="4DFE5E80"/>
    <w:rsid w:val="4E075D8A"/>
    <w:rsid w:val="4E247644"/>
    <w:rsid w:val="4E333845"/>
    <w:rsid w:val="4E426649"/>
    <w:rsid w:val="4E4C6580"/>
    <w:rsid w:val="4E5C4FF1"/>
    <w:rsid w:val="4E8B0DA2"/>
    <w:rsid w:val="4E971A9B"/>
    <w:rsid w:val="4E975183"/>
    <w:rsid w:val="4E9B1971"/>
    <w:rsid w:val="4EBA31C7"/>
    <w:rsid w:val="4EC00FAD"/>
    <w:rsid w:val="4EE47153"/>
    <w:rsid w:val="4EEC24D4"/>
    <w:rsid w:val="4F160F56"/>
    <w:rsid w:val="4F412384"/>
    <w:rsid w:val="4F621914"/>
    <w:rsid w:val="4F67AA23"/>
    <w:rsid w:val="4F6C79F1"/>
    <w:rsid w:val="4F8F14D2"/>
    <w:rsid w:val="4F9843DC"/>
    <w:rsid w:val="4FA060CA"/>
    <w:rsid w:val="4FAA61AD"/>
    <w:rsid w:val="4FB14C45"/>
    <w:rsid w:val="4FC62A8C"/>
    <w:rsid w:val="4FCA226D"/>
    <w:rsid w:val="4FCF7B02"/>
    <w:rsid w:val="4FD04077"/>
    <w:rsid w:val="4FD64477"/>
    <w:rsid w:val="4FE20F0D"/>
    <w:rsid w:val="4FE51552"/>
    <w:rsid w:val="4FEB1418"/>
    <w:rsid w:val="4FEC74B1"/>
    <w:rsid w:val="4FEF67FD"/>
    <w:rsid w:val="4FF46A81"/>
    <w:rsid w:val="4FF769B2"/>
    <w:rsid w:val="4FFF2D8B"/>
    <w:rsid w:val="500322C9"/>
    <w:rsid w:val="50036112"/>
    <w:rsid w:val="5004664E"/>
    <w:rsid w:val="50504C4B"/>
    <w:rsid w:val="50505AB5"/>
    <w:rsid w:val="50505FCF"/>
    <w:rsid w:val="505E0229"/>
    <w:rsid w:val="508277CC"/>
    <w:rsid w:val="50942807"/>
    <w:rsid w:val="509C6E7C"/>
    <w:rsid w:val="50A812C1"/>
    <w:rsid w:val="50C815D2"/>
    <w:rsid w:val="50DF4907"/>
    <w:rsid w:val="50FE3EA7"/>
    <w:rsid w:val="51013967"/>
    <w:rsid w:val="510536F0"/>
    <w:rsid w:val="510E3808"/>
    <w:rsid w:val="512306D6"/>
    <w:rsid w:val="51324BE5"/>
    <w:rsid w:val="51452622"/>
    <w:rsid w:val="515C7ABF"/>
    <w:rsid w:val="5162104E"/>
    <w:rsid w:val="51623D5E"/>
    <w:rsid w:val="516301D7"/>
    <w:rsid w:val="517765D5"/>
    <w:rsid w:val="517B23EF"/>
    <w:rsid w:val="518A3F3A"/>
    <w:rsid w:val="518C6428"/>
    <w:rsid w:val="519629D7"/>
    <w:rsid w:val="51A10213"/>
    <w:rsid w:val="51A64763"/>
    <w:rsid w:val="51CC03D4"/>
    <w:rsid w:val="51E9106C"/>
    <w:rsid w:val="51EB75AC"/>
    <w:rsid w:val="521200B9"/>
    <w:rsid w:val="52160818"/>
    <w:rsid w:val="5222121D"/>
    <w:rsid w:val="5233519D"/>
    <w:rsid w:val="523F0C2D"/>
    <w:rsid w:val="5270017F"/>
    <w:rsid w:val="528939D4"/>
    <w:rsid w:val="52BE0A9C"/>
    <w:rsid w:val="52D22436"/>
    <w:rsid w:val="52DF6BE8"/>
    <w:rsid w:val="52E5600B"/>
    <w:rsid w:val="52F70DD8"/>
    <w:rsid w:val="52F80B75"/>
    <w:rsid w:val="52F844F2"/>
    <w:rsid w:val="530052C4"/>
    <w:rsid w:val="530F11FB"/>
    <w:rsid w:val="531E1BC3"/>
    <w:rsid w:val="531F2B09"/>
    <w:rsid w:val="53230D18"/>
    <w:rsid w:val="53247D8D"/>
    <w:rsid w:val="534025D5"/>
    <w:rsid w:val="53471C8E"/>
    <w:rsid w:val="53482A37"/>
    <w:rsid w:val="535426BE"/>
    <w:rsid w:val="53601788"/>
    <w:rsid w:val="53643EC7"/>
    <w:rsid w:val="53647F06"/>
    <w:rsid w:val="536D6D03"/>
    <w:rsid w:val="53964019"/>
    <w:rsid w:val="539824A0"/>
    <w:rsid w:val="53A039CC"/>
    <w:rsid w:val="53A13FC9"/>
    <w:rsid w:val="53A1505A"/>
    <w:rsid w:val="53A53D6F"/>
    <w:rsid w:val="53BD6BD9"/>
    <w:rsid w:val="53C20D8A"/>
    <w:rsid w:val="53C83337"/>
    <w:rsid w:val="53D351E7"/>
    <w:rsid w:val="53E12AE3"/>
    <w:rsid w:val="53E95E3E"/>
    <w:rsid w:val="53EB3B33"/>
    <w:rsid w:val="54063E08"/>
    <w:rsid w:val="54241F53"/>
    <w:rsid w:val="543437E8"/>
    <w:rsid w:val="5451703B"/>
    <w:rsid w:val="545E195E"/>
    <w:rsid w:val="546B2420"/>
    <w:rsid w:val="546B54AB"/>
    <w:rsid w:val="5474727E"/>
    <w:rsid w:val="547E6595"/>
    <w:rsid w:val="54820FBD"/>
    <w:rsid w:val="548E522F"/>
    <w:rsid w:val="549701BD"/>
    <w:rsid w:val="54997B48"/>
    <w:rsid w:val="54A26E7A"/>
    <w:rsid w:val="54A6100A"/>
    <w:rsid w:val="54A77211"/>
    <w:rsid w:val="54A85C90"/>
    <w:rsid w:val="54B21C7D"/>
    <w:rsid w:val="54D75DFD"/>
    <w:rsid w:val="54D830FD"/>
    <w:rsid w:val="54E62A8C"/>
    <w:rsid w:val="54E64D28"/>
    <w:rsid w:val="54F565AB"/>
    <w:rsid w:val="54F73313"/>
    <w:rsid w:val="54F76959"/>
    <w:rsid w:val="54F80955"/>
    <w:rsid w:val="55103535"/>
    <w:rsid w:val="551C1907"/>
    <w:rsid w:val="555060F2"/>
    <w:rsid w:val="555170A7"/>
    <w:rsid w:val="55520EF9"/>
    <w:rsid w:val="555B4F27"/>
    <w:rsid w:val="5562180A"/>
    <w:rsid w:val="5587536D"/>
    <w:rsid w:val="55961CE0"/>
    <w:rsid w:val="559B174B"/>
    <w:rsid w:val="559E5558"/>
    <w:rsid w:val="55A17C9F"/>
    <w:rsid w:val="55A538AC"/>
    <w:rsid w:val="55B5476D"/>
    <w:rsid w:val="55B976DF"/>
    <w:rsid w:val="55CE0CF4"/>
    <w:rsid w:val="55CE289F"/>
    <w:rsid w:val="55EF0F42"/>
    <w:rsid w:val="55FDEBF0"/>
    <w:rsid w:val="560254E5"/>
    <w:rsid w:val="56035848"/>
    <w:rsid w:val="563D1CB1"/>
    <w:rsid w:val="564414E1"/>
    <w:rsid w:val="565A238A"/>
    <w:rsid w:val="566D553B"/>
    <w:rsid w:val="566D7CF8"/>
    <w:rsid w:val="56743299"/>
    <w:rsid w:val="567B5084"/>
    <w:rsid w:val="5692373C"/>
    <w:rsid w:val="56961AE2"/>
    <w:rsid w:val="56AD3BF1"/>
    <w:rsid w:val="56B22A9C"/>
    <w:rsid w:val="56B842EA"/>
    <w:rsid w:val="56C17830"/>
    <w:rsid w:val="56D253E4"/>
    <w:rsid w:val="56E05DC8"/>
    <w:rsid w:val="56FE4519"/>
    <w:rsid w:val="570D4C44"/>
    <w:rsid w:val="57386D27"/>
    <w:rsid w:val="574853FA"/>
    <w:rsid w:val="57577A48"/>
    <w:rsid w:val="577EDC15"/>
    <w:rsid w:val="57800F2E"/>
    <w:rsid w:val="57897842"/>
    <w:rsid w:val="578B41B3"/>
    <w:rsid w:val="578D091A"/>
    <w:rsid w:val="579513DC"/>
    <w:rsid w:val="57A47D5E"/>
    <w:rsid w:val="57AF386C"/>
    <w:rsid w:val="57B5B1CE"/>
    <w:rsid w:val="57B72A76"/>
    <w:rsid w:val="57BE4FB2"/>
    <w:rsid w:val="57C3426C"/>
    <w:rsid w:val="57CD7944"/>
    <w:rsid w:val="57CE1F93"/>
    <w:rsid w:val="57DE6003"/>
    <w:rsid w:val="57E41E0A"/>
    <w:rsid w:val="57EFCEAB"/>
    <w:rsid w:val="57F3482A"/>
    <w:rsid w:val="58117E51"/>
    <w:rsid w:val="581429F0"/>
    <w:rsid w:val="581A086F"/>
    <w:rsid w:val="58206A8A"/>
    <w:rsid w:val="582D4F09"/>
    <w:rsid w:val="58330DBE"/>
    <w:rsid w:val="584F0AF0"/>
    <w:rsid w:val="585C7637"/>
    <w:rsid w:val="587E1DC9"/>
    <w:rsid w:val="588743D1"/>
    <w:rsid w:val="5887701A"/>
    <w:rsid w:val="589A1CBB"/>
    <w:rsid w:val="58A631AA"/>
    <w:rsid w:val="58B846E3"/>
    <w:rsid w:val="58BD4B3E"/>
    <w:rsid w:val="58BE1BC1"/>
    <w:rsid w:val="58C76943"/>
    <w:rsid w:val="58CC7F92"/>
    <w:rsid w:val="58CF19B2"/>
    <w:rsid w:val="58D819B7"/>
    <w:rsid w:val="58E36D78"/>
    <w:rsid w:val="58F33D5F"/>
    <w:rsid w:val="58F81001"/>
    <w:rsid w:val="58FA7AE6"/>
    <w:rsid w:val="5942239F"/>
    <w:rsid w:val="5946610B"/>
    <w:rsid w:val="59706DA5"/>
    <w:rsid w:val="597D29E8"/>
    <w:rsid w:val="598B5F37"/>
    <w:rsid w:val="599010C5"/>
    <w:rsid w:val="59BC1801"/>
    <w:rsid w:val="59BC1B8F"/>
    <w:rsid w:val="59C0439F"/>
    <w:rsid w:val="59C61C37"/>
    <w:rsid w:val="59CF51F6"/>
    <w:rsid w:val="59D3353B"/>
    <w:rsid w:val="59D7499C"/>
    <w:rsid w:val="59E11244"/>
    <w:rsid w:val="59EE3DE8"/>
    <w:rsid w:val="5A0405D0"/>
    <w:rsid w:val="5A179053"/>
    <w:rsid w:val="5A491BBB"/>
    <w:rsid w:val="5A5E3E21"/>
    <w:rsid w:val="5A704B40"/>
    <w:rsid w:val="5A86369D"/>
    <w:rsid w:val="5A8913BE"/>
    <w:rsid w:val="5A8D0207"/>
    <w:rsid w:val="5AA269FF"/>
    <w:rsid w:val="5AB5127E"/>
    <w:rsid w:val="5ABE2233"/>
    <w:rsid w:val="5ACE79FA"/>
    <w:rsid w:val="5AE50928"/>
    <w:rsid w:val="5AF148FC"/>
    <w:rsid w:val="5AFCE9A8"/>
    <w:rsid w:val="5B0B24CD"/>
    <w:rsid w:val="5B151761"/>
    <w:rsid w:val="5B15348E"/>
    <w:rsid w:val="5B1C7309"/>
    <w:rsid w:val="5B1F21AC"/>
    <w:rsid w:val="5B2557FD"/>
    <w:rsid w:val="5B2940FB"/>
    <w:rsid w:val="5B2E1CAF"/>
    <w:rsid w:val="5B6B70FE"/>
    <w:rsid w:val="5B6C149E"/>
    <w:rsid w:val="5B77283B"/>
    <w:rsid w:val="5B77ADA9"/>
    <w:rsid w:val="5B8C0423"/>
    <w:rsid w:val="5BBF3ECA"/>
    <w:rsid w:val="5BBFB13D"/>
    <w:rsid w:val="5BD76A08"/>
    <w:rsid w:val="5BDF5D95"/>
    <w:rsid w:val="5BE54028"/>
    <w:rsid w:val="5BEC0B5D"/>
    <w:rsid w:val="5BF77F95"/>
    <w:rsid w:val="5BFB8984"/>
    <w:rsid w:val="5BFCF726"/>
    <w:rsid w:val="5BFE7528"/>
    <w:rsid w:val="5C2061D1"/>
    <w:rsid w:val="5C293221"/>
    <w:rsid w:val="5C3955FF"/>
    <w:rsid w:val="5C575AF6"/>
    <w:rsid w:val="5C5D474D"/>
    <w:rsid w:val="5C6D31DB"/>
    <w:rsid w:val="5C815DFF"/>
    <w:rsid w:val="5C9367F6"/>
    <w:rsid w:val="5CA22834"/>
    <w:rsid w:val="5CB11FE9"/>
    <w:rsid w:val="5CB149E8"/>
    <w:rsid w:val="5CBC76EB"/>
    <w:rsid w:val="5CC43F1B"/>
    <w:rsid w:val="5CC550F3"/>
    <w:rsid w:val="5CC97EDD"/>
    <w:rsid w:val="5CE223DF"/>
    <w:rsid w:val="5CF792F4"/>
    <w:rsid w:val="5D0C421F"/>
    <w:rsid w:val="5D24372A"/>
    <w:rsid w:val="5D2545DD"/>
    <w:rsid w:val="5D2B70C4"/>
    <w:rsid w:val="5D33643E"/>
    <w:rsid w:val="5D3A1702"/>
    <w:rsid w:val="5D4E2985"/>
    <w:rsid w:val="5D5A54CC"/>
    <w:rsid w:val="5D6928DD"/>
    <w:rsid w:val="5D75596C"/>
    <w:rsid w:val="5D9F0BD3"/>
    <w:rsid w:val="5DBD7EEF"/>
    <w:rsid w:val="5DE71A62"/>
    <w:rsid w:val="5DF9398A"/>
    <w:rsid w:val="5E03464A"/>
    <w:rsid w:val="5E0F0084"/>
    <w:rsid w:val="5E153A77"/>
    <w:rsid w:val="5E2467F1"/>
    <w:rsid w:val="5E3A113F"/>
    <w:rsid w:val="5E584998"/>
    <w:rsid w:val="5E5B4921"/>
    <w:rsid w:val="5E7F1B22"/>
    <w:rsid w:val="5E867845"/>
    <w:rsid w:val="5E9A0B59"/>
    <w:rsid w:val="5EAB06B4"/>
    <w:rsid w:val="5EAF0A8F"/>
    <w:rsid w:val="5ECF113F"/>
    <w:rsid w:val="5ED922EA"/>
    <w:rsid w:val="5EDA1C01"/>
    <w:rsid w:val="5EF50268"/>
    <w:rsid w:val="5EFF5929"/>
    <w:rsid w:val="5EFF99B9"/>
    <w:rsid w:val="5F1A2B43"/>
    <w:rsid w:val="5F2B609A"/>
    <w:rsid w:val="5F2DA8C8"/>
    <w:rsid w:val="5F363AEE"/>
    <w:rsid w:val="5F3924B1"/>
    <w:rsid w:val="5F3A55D6"/>
    <w:rsid w:val="5F4F6244"/>
    <w:rsid w:val="5F62216A"/>
    <w:rsid w:val="5F67F62A"/>
    <w:rsid w:val="5F6D6E0A"/>
    <w:rsid w:val="5F6F2A8D"/>
    <w:rsid w:val="5F7B59EA"/>
    <w:rsid w:val="5F7D5101"/>
    <w:rsid w:val="5F835551"/>
    <w:rsid w:val="5F875DB5"/>
    <w:rsid w:val="5F980C4B"/>
    <w:rsid w:val="5FA63199"/>
    <w:rsid w:val="5FB75C08"/>
    <w:rsid w:val="5FB7C981"/>
    <w:rsid w:val="5FB837BB"/>
    <w:rsid w:val="5FBE4243"/>
    <w:rsid w:val="5FBF7EEA"/>
    <w:rsid w:val="5FCB84F2"/>
    <w:rsid w:val="5FD1638D"/>
    <w:rsid w:val="5FD4EE56"/>
    <w:rsid w:val="5FDF4004"/>
    <w:rsid w:val="5FF23F7D"/>
    <w:rsid w:val="5FF62D2A"/>
    <w:rsid w:val="5FFED6D1"/>
    <w:rsid w:val="5FFF7B94"/>
    <w:rsid w:val="5FFFA553"/>
    <w:rsid w:val="601B3C0C"/>
    <w:rsid w:val="603E167F"/>
    <w:rsid w:val="60605750"/>
    <w:rsid w:val="6067408E"/>
    <w:rsid w:val="606939EC"/>
    <w:rsid w:val="60695519"/>
    <w:rsid w:val="60733C21"/>
    <w:rsid w:val="60747C0F"/>
    <w:rsid w:val="607C2823"/>
    <w:rsid w:val="6088610A"/>
    <w:rsid w:val="60930E7F"/>
    <w:rsid w:val="60B41861"/>
    <w:rsid w:val="60CC405A"/>
    <w:rsid w:val="60D31A68"/>
    <w:rsid w:val="60DF2385"/>
    <w:rsid w:val="60EF515B"/>
    <w:rsid w:val="60FF2EF6"/>
    <w:rsid w:val="610378E4"/>
    <w:rsid w:val="61146100"/>
    <w:rsid w:val="611B2D43"/>
    <w:rsid w:val="61250F45"/>
    <w:rsid w:val="612E2BC7"/>
    <w:rsid w:val="618E6B26"/>
    <w:rsid w:val="61A3774C"/>
    <w:rsid w:val="61AD1C87"/>
    <w:rsid w:val="61B66189"/>
    <w:rsid w:val="61BA6ABA"/>
    <w:rsid w:val="61E215D8"/>
    <w:rsid w:val="61F14653"/>
    <w:rsid w:val="61F3471E"/>
    <w:rsid w:val="62131ED9"/>
    <w:rsid w:val="621B3775"/>
    <w:rsid w:val="621F3635"/>
    <w:rsid w:val="6222709B"/>
    <w:rsid w:val="62246172"/>
    <w:rsid w:val="62364782"/>
    <w:rsid w:val="623C32F9"/>
    <w:rsid w:val="6246208E"/>
    <w:rsid w:val="6264389D"/>
    <w:rsid w:val="62882224"/>
    <w:rsid w:val="62915826"/>
    <w:rsid w:val="629A6B23"/>
    <w:rsid w:val="62A22B35"/>
    <w:rsid w:val="62CD5428"/>
    <w:rsid w:val="62D84B02"/>
    <w:rsid w:val="62DC63F1"/>
    <w:rsid w:val="62F3054D"/>
    <w:rsid w:val="630515C9"/>
    <w:rsid w:val="630F22CD"/>
    <w:rsid w:val="631A4DCF"/>
    <w:rsid w:val="632D62A3"/>
    <w:rsid w:val="63526AA0"/>
    <w:rsid w:val="63547DD7"/>
    <w:rsid w:val="635E3FC7"/>
    <w:rsid w:val="6394356A"/>
    <w:rsid w:val="63AE2993"/>
    <w:rsid w:val="63C500BE"/>
    <w:rsid w:val="63C61B2C"/>
    <w:rsid w:val="63D33966"/>
    <w:rsid w:val="63D40BE9"/>
    <w:rsid w:val="63D71D75"/>
    <w:rsid w:val="63DD211B"/>
    <w:rsid w:val="63DE52CD"/>
    <w:rsid w:val="63E37E47"/>
    <w:rsid w:val="63F57D2F"/>
    <w:rsid w:val="63F61EEA"/>
    <w:rsid w:val="63FB4637"/>
    <w:rsid w:val="63FF4CE6"/>
    <w:rsid w:val="64067FCE"/>
    <w:rsid w:val="640F3E1F"/>
    <w:rsid w:val="64102431"/>
    <w:rsid w:val="64214487"/>
    <w:rsid w:val="64252420"/>
    <w:rsid w:val="64595BF9"/>
    <w:rsid w:val="646A337C"/>
    <w:rsid w:val="646A7518"/>
    <w:rsid w:val="648321C5"/>
    <w:rsid w:val="64863AEC"/>
    <w:rsid w:val="648752EF"/>
    <w:rsid w:val="64996762"/>
    <w:rsid w:val="64A5243A"/>
    <w:rsid w:val="64A61D3C"/>
    <w:rsid w:val="64A73723"/>
    <w:rsid w:val="64C84E08"/>
    <w:rsid w:val="64CB164A"/>
    <w:rsid w:val="64DA3C51"/>
    <w:rsid w:val="64E3754C"/>
    <w:rsid w:val="64E47D0C"/>
    <w:rsid w:val="64E76FDF"/>
    <w:rsid w:val="64F230DB"/>
    <w:rsid w:val="64F531DE"/>
    <w:rsid w:val="64FD218D"/>
    <w:rsid w:val="65002801"/>
    <w:rsid w:val="65160E43"/>
    <w:rsid w:val="652C62EE"/>
    <w:rsid w:val="652C7612"/>
    <w:rsid w:val="6530491E"/>
    <w:rsid w:val="65373578"/>
    <w:rsid w:val="655A7DEC"/>
    <w:rsid w:val="657329D2"/>
    <w:rsid w:val="657E6C54"/>
    <w:rsid w:val="657F7318"/>
    <w:rsid w:val="658033D7"/>
    <w:rsid w:val="65AB62E5"/>
    <w:rsid w:val="65AD115D"/>
    <w:rsid w:val="65C300BD"/>
    <w:rsid w:val="65CD367D"/>
    <w:rsid w:val="65E111B2"/>
    <w:rsid w:val="65EE13DD"/>
    <w:rsid w:val="65F761D0"/>
    <w:rsid w:val="66175308"/>
    <w:rsid w:val="662E3679"/>
    <w:rsid w:val="66312BF0"/>
    <w:rsid w:val="66596F36"/>
    <w:rsid w:val="66655251"/>
    <w:rsid w:val="666C6F5C"/>
    <w:rsid w:val="669353C3"/>
    <w:rsid w:val="669E5CF2"/>
    <w:rsid w:val="66AA2F45"/>
    <w:rsid w:val="66B11D61"/>
    <w:rsid w:val="66BE129B"/>
    <w:rsid w:val="66BF6944"/>
    <w:rsid w:val="66C02EE4"/>
    <w:rsid w:val="66CC3D89"/>
    <w:rsid w:val="66EB11A7"/>
    <w:rsid w:val="66ED4351"/>
    <w:rsid w:val="66F5541E"/>
    <w:rsid w:val="670841FC"/>
    <w:rsid w:val="671326D1"/>
    <w:rsid w:val="671649B2"/>
    <w:rsid w:val="671C0829"/>
    <w:rsid w:val="671F124A"/>
    <w:rsid w:val="674A17CA"/>
    <w:rsid w:val="674A2C2B"/>
    <w:rsid w:val="67577B96"/>
    <w:rsid w:val="675A3F1D"/>
    <w:rsid w:val="675A5356"/>
    <w:rsid w:val="67615357"/>
    <w:rsid w:val="676E9624"/>
    <w:rsid w:val="677A33C6"/>
    <w:rsid w:val="67A07DBB"/>
    <w:rsid w:val="67B51127"/>
    <w:rsid w:val="67B935BA"/>
    <w:rsid w:val="67D10BDF"/>
    <w:rsid w:val="67DEAD66"/>
    <w:rsid w:val="67FFBDEE"/>
    <w:rsid w:val="680321E7"/>
    <w:rsid w:val="68195652"/>
    <w:rsid w:val="681F6961"/>
    <w:rsid w:val="682F77C9"/>
    <w:rsid w:val="685F4FE6"/>
    <w:rsid w:val="68610A2F"/>
    <w:rsid w:val="68727977"/>
    <w:rsid w:val="687F11F0"/>
    <w:rsid w:val="68805514"/>
    <w:rsid w:val="68866995"/>
    <w:rsid w:val="68B523B3"/>
    <w:rsid w:val="68BC51D2"/>
    <w:rsid w:val="68BD10F5"/>
    <w:rsid w:val="68C45A8B"/>
    <w:rsid w:val="68D865DF"/>
    <w:rsid w:val="68F7F3F1"/>
    <w:rsid w:val="69042543"/>
    <w:rsid w:val="69157D20"/>
    <w:rsid w:val="691A2C24"/>
    <w:rsid w:val="69316E2F"/>
    <w:rsid w:val="694124E6"/>
    <w:rsid w:val="694E04CB"/>
    <w:rsid w:val="694E2071"/>
    <w:rsid w:val="69641337"/>
    <w:rsid w:val="69766163"/>
    <w:rsid w:val="697A3B33"/>
    <w:rsid w:val="69802C8D"/>
    <w:rsid w:val="69853CE7"/>
    <w:rsid w:val="69862A05"/>
    <w:rsid w:val="698B24F6"/>
    <w:rsid w:val="698B353B"/>
    <w:rsid w:val="699C7BCE"/>
    <w:rsid w:val="69C0130B"/>
    <w:rsid w:val="69C13A23"/>
    <w:rsid w:val="69D44760"/>
    <w:rsid w:val="69EF34C2"/>
    <w:rsid w:val="69F63AC1"/>
    <w:rsid w:val="69F83469"/>
    <w:rsid w:val="69FF62D7"/>
    <w:rsid w:val="6A077737"/>
    <w:rsid w:val="6A0E4D83"/>
    <w:rsid w:val="6A2F2F89"/>
    <w:rsid w:val="6A4E4887"/>
    <w:rsid w:val="6A4E74A4"/>
    <w:rsid w:val="6A520EC7"/>
    <w:rsid w:val="6A577E1D"/>
    <w:rsid w:val="6A7EC421"/>
    <w:rsid w:val="6A8912EB"/>
    <w:rsid w:val="6A9A224E"/>
    <w:rsid w:val="6AA6321B"/>
    <w:rsid w:val="6ABA4A93"/>
    <w:rsid w:val="6ADC2A36"/>
    <w:rsid w:val="6AEB077B"/>
    <w:rsid w:val="6AED4253"/>
    <w:rsid w:val="6AF87E20"/>
    <w:rsid w:val="6AF94266"/>
    <w:rsid w:val="6AFDBFD1"/>
    <w:rsid w:val="6B09469E"/>
    <w:rsid w:val="6B0A614E"/>
    <w:rsid w:val="6B143390"/>
    <w:rsid w:val="6B200301"/>
    <w:rsid w:val="6B221536"/>
    <w:rsid w:val="6B2D3BE3"/>
    <w:rsid w:val="6B322639"/>
    <w:rsid w:val="6B4A26E6"/>
    <w:rsid w:val="6B4D3348"/>
    <w:rsid w:val="6B4F0395"/>
    <w:rsid w:val="6B4F33DA"/>
    <w:rsid w:val="6B510871"/>
    <w:rsid w:val="6B60643D"/>
    <w:rsid w:val="6B6C40AD"/>
    <w:rsid w:val="6B8D7E9D"/>
    <w:rsid w:val="6B9069DB"/>
    <w:rsid w:val="6B97191F"/>
    <w:rsid w:val="6B9E7D6E"/>
    <w:rsid w:val="6BA05A6B"/>
    <w:rsid w:val="6BA863AF"/>
    <w:rsid w:val="6BB351A6"/>
    <w:rsid w:val="6BBC6454"/>
    <w:rsid w:val="6BBFCDEF"/>
    <w:rsid w:val="6BCB620A"/>
    <w:rsid w:val="6BCF4456"/>
    <w:rsid w:val="6BD637E8"/>
    <w:rsid w:val="6BDB2E57"/>
    <w:rsid w:val="6BE138E8"/>
    <w:rsid w:val="6BF16839"/>
    <w:rsid w:val="6BF78B73"/>
    <w:rsid w:val="6C2F3757"/>
    <w:rsid w:val="6C483C18"/>
    <w:rsid w:val="6C4B2C1A"/>
    <w:rsid w:val="6C521E83"/>
    <w:rsid w:val="6C636C38"/>
    <w:rsid w:val="6C81554B"/>
    <w:rsid w:val="6C880D2D"/>
    <w:rsid w:val="6CCA3AA5"/>
    <w:rsid w:val="6CCB7040"/>
    <w:rsid w:val="6CD04D6D"/>
    <w:rsid w:val="6CD44AE3"/>
    <w:rsid w:val="6CDECCD2"/>
    <w:rsid w:val="6CDF0FA0"/>
    <w:rsid w:val="6CEF754F"/>
    <w:rsid w:val="6CF7261C"/>
    <w:rsid w:val="6D0F3AB0"/>
    <w:rsid w:val="6D3C291F"/>
    <w:rsid w:val="6D4D1956"/>
    <w:rsid w:val="6D4D5768"/>
    <w:rsid w:val="6D516750"/>
    <w:rsid w:val="6D524D73"/>
    <w:rsid w:val="6D586868"/>
    <w:rsid w:val="6D603F2B"/>
    <w:rsid w:val="6DA771DD"/>
    <w:rsid w:val="6DB34098"/>
    <w:rsid w:val="6DB53144"/>
    <w:rsid w:val="6DB545B6"/>
    <w:rsid w:val="6DB7B97A"/>
    <w:rsid w:val="6DB82942"/>
    <w:rsid w:val="6DE02FB4"/>
    <w:rsid w:val="6DE3456F"/>
    <w:rsid w:val="6DE402E2"/>
    <w:rsid w:val="6DE82ED0"/>
    <w:rsid w:val="6DF94B12"/>
    <w:rsid w:val="6E51412E"/>
    <w:rsid w:val="6E514CED"/>
    <w:rsid w:val="6E7D7682"/>
    <w:rsid w:val="6E7D7E95"/>
    <w:rsid w:val="6E7E1A59"/>
    <w:rsid w:val="6E801DD4"/>
    <w:rsid w:val="6EA210A4"/>
    <w:rsid w:val="6EB563D5"/>
    <w:rsid w:val="6EC75F26"/>
    <w:rsid w:val="6ED20EFC"/>
    <w:rsid w:val="6ED72D09"/>
    <w:rsid w:val="6ED92677"/>
    <w:rsid w:val="6EE24E0E"/>
    <w:rsid w:val="6EEF4B6C"/>
    <w:rsid w:val="6EF709BD"/>
    <w:rsid w:val="6F012CFC"/>
    <w:rsid w:val="6F092C7C"/>
    <w:rsid w:val="6F1F54A1"/>
    <w:rsid w:val="6F225983"/>
    <w:rsid w:val="6F2A4E84"/>
    <w:rsid w:val="6F2A533D"/>
    <w:rsid w:val="6F353E5A"/>
    <w:rsid w:val="6F3859C3"/>
    <w:rsid w:val="6F412116"/>
    <w:rsid w:val="6F561A16"/>
    <w:rsid w:val="6F5F98C0"/>
    <w:rsid w:val="6F6E6AB0"/>
    <w:rsid w:val="6F6EC78D"/>
    <w:rsid w:val="6F782EEE"/>
    <w:rsid w:val="6F872224"/>
    <w:rsid w:val="6F91F971"/>
    <w:rsid w:val="6FA4396B"/>
    <w:rsid w:val="6FAF1BFC"/>
    <w:rsid w:val="6FAF787B"/>
    <w:rsid w:val="6FB70F44"/>
    <w:rsid w:val="6FBF5213"/>
    <w:rsid w:val="6FDFFDB4"/>
    <w:rsid w:val="6FF05908"/>
    <w:rsid w:val="6FFC5590"/>
    <w:rsid w:val="6FFF69AA"/>
    <w:rsid w:val="6FFF9DDD"/>
    <w:rsid w:val="70094EB6"/>
    <w:rsid w:val="7015032E"/>
    <w:rsid w:val="701A713B"/>
    <w:rsid w:val="706D1DD0"/>
    <w:rsid w:val="70856B87"/>
    <w:rsid w:val="708E23A0"/>
    <w:rsid w:val="70B40126"/>
    <w:rsid w:val="70B600F6"/>
    <w:rsid w:val="70BB2D09"/>
    <w:rsid w:val="70C516B5"/>
    <w:rsid w:val="70D527EE"/>
    <w:rsid w:val="70D607CC"/>
    <w:rsid w:val="70DC15C7"/>
    <w:rsid w:val="70E90E09"/>
    <w:rsid w:val="70F62626"/>
    <w:rsid w:val="70F740A6"/>
    <w:rsid w:val="710D5150"/>
    <w:rsid w:val="71266905"/>
    <w:rsid w:val="7138752A"/>
    <w:rsid w:val="71390786"/>
    <w:rsid w:val="714476BF"/>
    <w:rsid w:val="7152140A"/>
    <w:rsid w:val="715B5300"/>
    <w:rsid w:val="71975608"/>
    <w:rsid w:val="71A04255"/>
    <w:rsid w:val="71AF0C49"/>
    <w:rsid w:val="71B678F2"/>
    <w:rsid w:val="71CC3BC4"/>
    <w:rsid w:val="71CE1AA5"/>
    <w:rsid w:val="71D27F8A"/>
    <w:rsid w:val="71D90EE2"/>
    <w:rsid w:val="71DF7794"/>
    <w:rsid w:val="71E07EF8"/>
    <w:rsid w:val="71EFC083"/>
    <w:rsid w:val="71F15698"/>
    <w:rsid w:val="71FE4C6F"/>
    <w:rsid w:val="71FF1420"/>
    <w:rsid w:val="72052178"/>
    <w:rsid w:val="7206350B"/>
    <w:rsid w:val="72127A9E"/>
    <w:rsid w:val="72153905"/>
    <w:rsid w:val="721737C1"/>
    <w:rsid w:val="72245F93"/>
    <w:rsid w:val="72553024"/>
    <w:rsid w:val="72556171"/>
    <w:rsid w:val="72672579"/>
    <w:rsid w:val="727D591A"/>
    <w:rsid w:val="728B14D4"/>
    <w:rsid w:val="72990EFA"/>
    <w:rsid w:val="729C74E4"/>
    <w:rsid w:val="729D65D0"/>
    <w:rsid w:val="72B224F5"/>
    <w:rsid w:val="72B22808"/>
    <w:rsid w:val="72CB3968"/>
    <w:rsid w:val="72CD136C"/>
    <w:rsid w:val="72CD7790"/>
    <w:rsid w:val="72CE71BA"/>
    <w:rsid w:val="72D31501"/>
    <w:rsid w:val="72DF6DAA"/>
    <w:rsid w:val="73110D6F"/>
    <w:rsid w:val="73122968"/>
    <w:rsid w:val="731F3F3F"/>
    <w:rsid w:val="731F5D5E"/>
    <w:rsid w:val="7320786A"/>
    <w:rsid w:val="733A590D"/>
    <w:rsid w:val="733B056A"/>
    <w:rsid w:val="73496E41"/>
    <w:rsid w:val="7351206D"/>
    <w:rsid w:val="738A64B1"/>
    <w:rsid w:val="73A01C8D"/>
    <w:rsid w:val="73BB7CAC"/>
    <w:rsid w:val="73C000E5"/>
    <w:rsid w:val="73C51AD5"/>
    <w:rsid w:val="73CE4A73"/>
    <w:rsid w:val="73D06071"/>
    <w:rsid w:val="73D06260"/>
    <w:rsid w:val="73EA53FD"/>
    <w:rsid w:val="73EE3EF4"/>
    <w:rsid w:val="73EFC752"/>
    <w:rsid w:val="73F35D07"/>
    <w:rsid w:val="73FD2306"/>
    <w:rsid w:val="7403719D"/>
    <w:rsid w:val="741E793C"/>
    <w:rsid w:val="74250D9C"/>
    <w:rsid w:val="7430595B"/>
    <w:rsid w:val="74342FB1"/>
    <w:rsid w:val="74494400"/>
    <w:rsid w:val="745E3944"/>
    <w:rsid w:val="746218A2"/>
    <w:rsid w:val="74637AF8"/>
    <w:rsid w:val="747B0BF2"/>
    <w:rsid w:val="74A62613"/>
    <w:rsid w:val="74A840FE"/>
    <w:rsid w:val="74B25E87"/>
    <w:rsid w:val="74B446B2"/>
    <w:rsid w:val="74BF2874"/>
    <w:rsid w:val="74DF15AC"/>
    <w:rsid w:val="7504025C"/>
    <w:rsid w:val="750E2150"/>
    <w:rsid w:val="7518714C"/>
    <w:rsid w:val="754D3F3D"/>
    <w:rsid w:val="755E733F"/>
    <w:rsid w:val="756030D7"/>
    <w:rsid w:val="75775529"/>
    <w:rsid w:val="75A22245"/>
    <w:rsid w:val="75B9EF27"/>
    <w:rsid w:val="75BD56C1"/>
    <w:rsid w:val="75BF4FA2"/>
    <w:rsid w:val="75C27695"/>
    <w:rsid w:val="75CF5369"/>
    <w:rsid w:val="75DC73FC"/>
    <w:rsid w:val="75DF0CBA"/>
    <w:rsid w:val="75E3CEAA"/>
    <w:rsid w:val="75E663C7"/>
    <w:rsid w:val="75EB5AEA"/>
    <w:rsid w:val="75FB082E"/>
    <w:rsid w:val="760C1D67"/>
    <w:rsid w:val="7616798B"/>
    <w:rsid w:val="7635099D"/>
    <w:rsid w:val="76385B8B"/>
    <w:rsid w:val="763C7081"/>
    <w:rsid w:val="765E1390"/>
    <w:rsid w:val="766132D1"/>
    <w:rsid w:val="766E1289"/>
    <w:rsid w:val="76753931"/>
    <w:rsid w:val="7675DC55"/>
    <w:rsid w:val="76B531F8"/>
    <w:rsid w:val="76BB3006"/>
    <w:rsid w:val="76C53546"/>
    <w:rsid w:val="76DC12D5"/>
    <w:rsid w:val="76DF2791"/>
    <w:rsid w:val="76F05D3B"/>
    <w:rsid w:val="76FBBB21"/>
    <w:rsid w:val="76FE7858"/>
    <w:rsid w:val="77245F85"/>
    <w:rsid w:val="772B182A"/>
    <w:rsid w:val="77450DE3"/>
    <w:rsid w:val="77473593"/>
    <w:rsid w:val="774A31D4"/>
    <w:rsid w:val="77562474"/>
    <w:rsid w:val="776F52AD"/>
    <w:rsid w:val="77762421"/>
    <w:rsid w:val="77AF1E8E"/>
    <w:rsid w:val="77B56B1F"/>
    <w:rsid w:val="77D41168"/>
    <w:rsid w:val="77DA99C5"/>
    <w:rsid w:val="77DBCB96"/>
    <w:rsid w:val="77E3B803"/>
    <w:rsid w:val="77EBE9E6"/>
    <w:rsid w:val="77EEEDD5"/>
    <w:rsid w:val="77EFAE5D"/>
    <w:rsid w:val="77F3116D"/>
    <w:rsid w:val="77F4E865"/>
    <w:rsid w:val="77F95519"/>
    <w:rsid w:val="77FE3A1D"/>
    <w:rsid w:val="77FFFCFD"/>
    <w:rsid w:val="780809C1"/>
    <w:rsid w:val="780F09F4"/>
    <w:rsid w:val="7816529D"/>
    <w:rsid w:val="78166B72"/>
    <w:rsid w:val="7822784A"/>
    <w:rsid w:val="78301ADC"/>
    <w:rsid w:val="78394FD1"/>
    <w:rsid w:val="783A2F7E"/>
    <w:rsid w:val="783E3239"/>
    <w:rsid w:val="78420ED4"/>
    <w:rsid w:val="784250D8"/>
    <w:rsid w:val="784876B9"/>
    <w:rsid w:val="784B0C16"/>
    <w:rsid w:val="784E6549"/>
    <w:rsid w:val="78624232"/>
    <w:rsid w:val="786C61C3"/>
    <w:rsid w:val="78702E24"/>
    <w:rsid w:val="788A6955"/>
    <w:rsid w:val="78A90480"/>
    <w:rsid w:val="78AC432F"/>
    <w:rsid w:val="78B16EA0"/>
    <w:rsid w:val="78C16DBE"/>
    <w:rsid w:val="78CD69AA"/>
    <w:rsid w:val="78D430B0"/>
    <w:rsid w:val="78E23960"/>
    <w:rsid w:val="78E451CF"/>
    <w:rsid w:val="791F1AD5"/>
    <w:rsid w:val="792B5F85"/>
    <w:rsid w:val="792F6733"/>
    <w:rsid w:val="79393C81"/>
    <w:rsid w:val="794D279B"/>
    <w:rsid w:val="79530F71"/>
    <w:rsid w:val="797D10F2"/>
    <w:rsid w:val="797EAD8D"/>
    <w:rsid w:val="797EE4D5"/>
    <w:rsid w:val="798F6494"/>
    <w:rsid w:val="7996096C"/>
    <w:rsid w:val="799FB9C9"/>
    <w:rsid w:val="79BA5D36"/>
    <w:rsid w:val="79BFAFD7"/>
    <w:rsid w:val="79E625A4"/>
    <w:rsid w:val="79EFFC3A"/>
    <w:rsid w:val="79F86E36"/>
    <w:rsid w:val="79FEC7E3"/>
    <w:rsid w:val="7A0E2365"/>
    <w:rsid w:val="7A0E5850"/>
    <w:rsid w:val="7A223D05"/>
    <w:rsid w:val="7A364017"/>
    <w:rsid w:val="7A36687C"/>
    <w:rsid w:val="7A38246A"/>
    <w:rsid w:val="7A397BED"/>
    <w:rsid w:val="7A422B12"/>
    <w:rsid w:val="7A447811"/>
    <w:rsid w:val="7A507B01"/>
    <w:rsid w:val="7A812671"/>
    <w:rsid w:val="7A8265E1"/>
    <w:rsid w:val="7A844C66"/>
    <w:rsid w:val="7A862234"/>
    <w:rsid w:val="7A9A1174"/>
    <w:rsid w:val="7AA07174"/>
    <w:rsid w:val="7AB71F90"/>
    <w:rsid w:val="7AB7AD8E"/>
    <w:rsid w:val="7ABB1AA7"/>
    <w:rsid w:val="7AFE323D"/>
    <w:rsid w:val="7B11209A"/>
    <w:rsid w:val="7B1413CA"/>
    <w:rsid w:val="7B233C99"/>
    <w:rsid w:val="7B2C6B82"/>
    <w:rsid w:val="7B394135"/>
    <w:rsid w:val="7B3FA342"/>
    <w:rsid w:val="7B4BEAE1"/>
    <w:rsid w:val="7B686D42"/>
    <w:rsid w:val="7B6B0139"/>
    <w:rsid w:val="7B7A1B5B"/>
    <w:rsid w:val="7B7C53E7"/>
    <w:rsid w:val="7B8155AB"/>
    <w:rsid w:val="7B841746"/>
    <w:rsid w:val="7B8A30FD"/>
    <w:rsid w:val="7B8D5FEF"/>
    <w:rsid w:val="7BAFCDB5"/>
    <w:rsid w:val="7BB33289"/>
    <w:rsid w:val="7BBE1E73"/>
    <w:rsid w:val="7BC30875"/>
    <w:rsid w:val="7BD27195"/>
    <w:rsid w:val="7BDF414A"/>
    <w:rsid w:val="7BE24D9D"/>
    <w:rsid w:val="7BF35FDB"/>
    <w:rsid w:val="7BF7210E"/>
    <w:rsid w:val="7BFB7F31"/>
    <w:rsid w:val="7BFB9A83"/>
    <w:rsid w:val="7BFD3152"/>
    <w:rsid w:val="7BFF1EA9"/>
    <w:rsid w:val="7C1A30EA"/>
    <w:rsid w:val="7C1E5BE4"/>
    <w:rsid w:val="7C21464E"/>
    <w:rsid w:val="7C2A0EBD"/>
    <w:rsid w:val="7C2B6AAE"/>
    <w:rsid w:val="7C3BEA15"/>
    <w:rsid w:val="7C4D8166"/>
    <w:rsid w:val="7C577267"/>
    <w:rsid w:val="7C6C5AC7"/>
    <w:rsid w:val="7C852F3C"/>
    <w:rsid w:val="7C8E3CD9"/>
    <w:rsid w:val="7CB5548E"/>
    <w:rsid w:val="7CC304D0"/>
    <w:rsid w:val="7CC6544B"/>
    <w:rsid w:val="7CEA33B9"/>
    <w:rsid w:val="7CFAE96E"/>
    <w:rsid w:val="7CFFF7D3"/>
    <w:rsid w:val="7D0034D5"/>
    <w:rsid w:val="7D0239FF"/>
    <w:rsid w:val="7D157F32"/>
    <w:rsid w:val="7D204B71"/>
    <w:rsid w:val="7D211C22"/>
    <w:rsid w:val="7D25795A"/>
    <w:rsid w:val="7D332670"/>
    <w:rsid w:val="7D375958"/>
    <w:rsid w:val="7D516F70"/>
    <w:rsid w:val="7D5E40CD"/>
    <w:rsid w:val="7D63289E"/>
    <w:rsid w:val="7D6B15E3"/>
    <w:rsid w:val="7D7954F5"/>
    <w:rsid w:val="7D847DFF"/>
    <w:rsid w:val="7D970F6F"/>
    <w:rsid w:val="7D983966"/>
    <w:rsid w:val="7DBE45FB"/>
    <w:rsid w:val="7DC10DC7"/>
    <w:rsid w:val="7DC56066"/>
    <w:rsid w:val="7DCD56F2"/>
    <w:rsid w:val="7DCE6622"/>
    <w:rsid w:val="7DCF76AB"/>
    <w:rsid w:val="7DDD6A3A"/>
    <w:rsid w:val="7DDFF883"/>
    <w:rsid w:val="7DEB2F8D"/>
    <w:rsid w:val="7DEB736F"/>
    <w:rsid w:val="7DEBB279"/>
    <w:rsid w:val="7DEEDA04"/>
    <w:rsid w:val="7DF22E8B"/>
    <w:rsid w:val="7DF9F812"/>
    <w:rsid w:val="7DFA9559"/>
    <w:rsid w:val="7DFF55E1"/>
    <w:rsid w:val="7DFF98C0"/>
    <w:rsid w:val="7E002110"/>
    <w:rsid w:val="7E201B43"/>
    <w:rsid w:val="7E2461F1"/>
    <w:rsid w:val="7E2827BC"/>
    <w:rsid w:val="7E344F7E"/>
    <w:rsid w:val="7E3B1F25"/>
    <w:rsid w:val="7E494643"/>
    <w:rsid w:val="7E4B6CC4"/>
    <w:rsid w:val="7E5533CB"/>
    <w:rsid w:val="7E5A63C5"/>
    <w:rsid w:val="7E7243E4"/>
    <w:rsid w:val="7E7D3B10"/>
    <w:rsid w:val="7E7EAD7F"/>
    <w:rsid w:val="7E7F3CD3"/>
    <w:rsid w:val="7E8733B1"/>
    <w:rsid w:val="7E8F671E"/>
    <w:rsid w:val="7EA547DA"/>
    <w:rsid w:val="7EB622E0"/>
    <w:rsid w:val="7EC55209"/>
    <w:rsid w:val="7EC652BE"/>
    <w:rsid w:val="7ECC54E7"/>
    <w:rsid w:val="7ECF2192"/>
    <w:rsid w:val="7ECF53D8"/>
    <w:rsid w:val="7ED30214"/>
    <w:rsid w:val="7ED8019D"/>
    <w:rsid w:val="7EE471E2"/>
    <w:rsid w:val="7EF65EDE"/>
    <w:rsid w:val="7F001CE7"/>
    <w:rsid w:val="7F186505"/>
    <w:rsid w:val="7F1A501A"/>
    <w:rsid w:val="7F1E08E6"/>
    <w:rsid w:val="7F1E8548"/>
    <w:rsid w:val="7F1EDF86"/>
    <w:rsid w:val="7F2022AD"/>
    <w:rsid w:val="7F2A126A"/>
    <w:rsid w:val="7F3458EC"/>
    <w:rsid w:val="7F3769F4"/>
    <w:rsid w:val="7F3E223B"/>
    <w:rsid w:val="7F3FBB9D"/>
    <w:rsid w:val="7F42222C"/>
    <w:rsid w:val="7F43426D"/>
    <w:rsid w:val="7F446BF0"/>
    <w:rsid w:val="7F474196"/>
    <w:rsid w:val="7F53DBBD"/>
    <w:rsid w:val="7F5D0439"/>
    <w:rsid w:val="7F5F6339"/>
    <w:rsid w:val="7F5F70BC"/>
    <w:rsid w:val="7F67B760"/>
    <w:rsid w:val="7F6FE5E5"/>
    <w:rsid w:val="7F75E6F9"/>
    <w:rsid w:val="7F7EEAE4"/>
    <w:rsid w:val="7F9A54A3"/>
    <w:rsid w:val="7F9C95BF"/>
    <w:rsid w:val="7FADCA92"/>
    <w:rsid w:val="7FB61169"/>
    <w:rsid w:val="7FBAF7D0"/>
    <w:rsid w:val="7FBF7CB0"/>
    <w:rsid w:val="7FBFDFF5"/>
    <w:rsid w:val="7FCE2363"/>
    <w:rsid w:val="7FD90EA6"/>
    <w:rsid w:val="7FE47E50"/>
    <w:rsid w:val="7FE96C06"/>
    <w:rsid w:val="7FEBBCD4"/>
    <w:rsid w:val="7FEBF0E1"/>
    <w:rsid w:val="7FEE7CB5"/>
    <w:rsid w:val="7FF5959F"/>
    <w:rsid w:val="7FF5EFD0"/>
    <w:rsid w:val="7FF76B0D"/>
    <w:rsid w:val="7FFA1D92"/>
    <w:rsid w:val="7FFB7E53"/>
    <w:rsid w:val="7FFE1399"/>
    <w:rsid w:val="7FFE787D"/>
    <w:rsid w:val="87F5F9CF"/>
    <w:rsid w:val="97FFEFD5"/>
    <w:rsid w:val="9B9F736F"/>
    <w:rsid w:val="9BF7CAF1"/>
    <w:rsid w:val="9DB4C992"/>
    <w:rsid w:val="9F580DF6"/>
    <w:rsid w:val="9FF5B9D6"/>
    <w:rsid w:val="9FFF49F5"/>
    <w:rsid w:val="A3758AC9"/>
    <w:rsid w:val="A6FF8C5E"/>
    <w:rsid w:val="A7536E3A"/>
    <w:rsid w:val="A8DB5A17"/>
    <w:rsid w:val="AB7D921C"/>
    <w:rsid w:val="ABDC183E"/>
    <w:rsid w:val="AEF9D7F7"/>
    <w:rsid w:val="AF7B907B"/>
    <w:rsid w:val="AFCC43C6"/>
    <w:rsid w:val="AFCEBAC8"/>
    <w:rsid w:val="AFE759D8"/>
    <w:rsid w:val="B0DA9A9C"/>
    <w:rsid w:val="B2FE6721"/>
    <w:rsid w:val="B2FF7C3D"/>
    <w:rsid w:val="B3FFC8DF"/>
    <w:rsid w:val="B4DF1008"/>
    <w:rsid w:val="B4FB7B4B"/>
    <w:rsid w:val="B60FE919"/>
    <w:rsid w:val="B6D77843"/>
    <w:rsid w:val="B75613A5"/>
    <w:rsid w:val="B776434E"/>
    <w:rsid w:val="B7B76C28"/>
    <w:rsid w:val="B9FD2A1C"/>
    <w:rsid w:val="BBBF464E"/>
    <w:rsid w:val="BBF96B32"/>
    <w:rsid w:val="BBFF631B"/>
    <w:rsid w:val="BBFF6AFF"/>
    <w:rsid w:val="BCFD6E68"/>
    <w:rsid w:val="BD379E38"/>
    <w:rsid w:val="BD7ED89E"/>
    <w:rsid w:val="BD920F22"/>
    <w:rsid w:val="BDEA69EE"/>
    <w:rsid w:val="BDFDED00"/>
    <w:rsid w:val="BDFF555E"/>
    <w:rsid w:val="BDFFEE99"/>
    <w:rsid w:val="BDFFFF0C"/>
    <w:rsid w:val="BECF6946"/>
    <w:rsid w:val="BED3D9A4"/>
    <w:rsid w:val="BF2F2D38"/>
    <w:rsid w:val="BF6EB92E"/>
    <w:rsid w:val="BF7E553F"/>
    <w:rsid w:val="BF7FEB0D"/>
    <w:rsid w:val="BFCFE08E"/>
    <w:rsid w:val="BFEF37BA"/>
    <w:rsid w:val="BFFD7CBE"/>
    <w:rsid w:val="BFFF573A"/>
    <w:rsid w:val="C3F643EE"/>
    <w:rsid w:val="C6B385F9"/>
    <w:rsid w:val="CAFEF61B"/>
    <w:rsid w:val="CD7B1A7C"/>
    <w:rsid w:val="CDDE64AD"/>
    <w:rsid w:val="CE7B60BE"/>
    <w:rsid w:val="CF37F4E7"/>
    <w:rsid w:val="CF50B15B"/>
    <w:rsid w:val="CFABE622"/>
    <w:rsid w:val="CFFFA673"/>
    <w:rsid w:val="D179EF9A"/>
    <w:rsid w:val="D19B200A"/>
    <w:rsid w:val="D21EE4CF"/>
    <w:rsid w:val="D2F79747"/>
    <w:rsid w:val="D5DFD593"/>
    <w:rsid w:val="D74FDD8B"/>
    <w:rsid w:val="D7767FA6"/>
    <w:rsid w:val="D7B37B0E"/>
    <w:rsid w:val="D7D995D1"/>
    <w:rsid w:val="D7EB005F"/>
    <w:rsid w:val="D7F5B07B"/>
    <w:rsid w:val="D87C0CAE"/>
    <w:rsid w:val="D9FF3745"/>
    <w:rsid w:val="DB77D32E"/>
    <w:rsid w:val="DBAFAA2E"/>
    <w:rsid w:val="DBBF0B44"/>
    <w:rsid w:val="DBBF4308"/>
    <w:rsid w:val="DBDF3F8F"/>
    <w:rsid w:val="DBE99FBF"/>
    <w:rsid w:val="DDBE3954"/>
    <w:rsid w:val="DDFF0FAF"/>
    <w:rsid w:val="DDFF123A"/>
    <w:rsid w:val="DEE919FB"/>
    <w:rsid w:val="DEFB719C"/>
    <w:rsid w:val="DEFF26A0"/>
    <w:rsid w:val="DF30B904"/>
    <w:rsid w:val="DF5F3116"/>
    <w:rsid w:val="DF7FBFE3"/>
    <w:rsid w:val="DF8CBD5F"/>
    <w:rsid w:val="DFAF9354"/>
    <w:rsid w:val="DFAFCCFC"/>
    <w:rsid w:val="DFDF662F"/>
    <w:rsid w:val="DFF9FD7C"/>
    <w:rsid w:val="DFFE1CA8"/>
    <w:rsid w:val="DFFFE55F"/>
    <w:rsid w:val="E2F7888D"/>
    <w:rsid w:val="E553BBEC"/>
    <w:rsid w:val="E5EB61EF"/>
    <w:rsid w:val="E79FD976"/>
    <w:rsid w:val="E7B404A1"/>
    <w:rsid w:val="E7BB02AD"/>
    <w:rsid w:val="E7BF51C7"/>
    <w:rsid w:val="E7CFA9EB"/>
    <w:rsid w:val="E7DD4D6E"/>
    <w:rsid w:val="E7DF821E"/>
    <w:rsid w:val="E7FF120A"/>
    <w:rsid w:val="E8FB7911"/>
    <w:rsid w:val="E9398E81"/>
    <w:rsid w:val="E9AF83D0"/>
    <w:rsid w:val="EACD2AC1"/>
    <w:rsid w:val="EBFDD580"/>
    <w:rsid w:val="EC7E7E68"/>
    <w:rsid w:val="ECD74300"/>
    <w:rsid w:val="ED6F5AD5"/>
    <w:rsid w:val="EDB7FC29"/>
    <w:rsid w:val="EDFF432A"/>
    <w:rsid w:val="EE7F88A0"/>
    <w:rsid w:val="EF1B93DA"/>
    <w:rsid w:val="EF732238"/>
    <w:rsid w:val="EF9F263D"/>
    <w:rsid w:val="EFBFC580"/>
    <w:rsid w:val="EFD3571B"/>
    <w:rsid w:val="EFD949A8"/>
    <w:rsid w:val="EFDBC161"/>
    <w:rsid w:val="EFE3F9DE"/>
    <w:rsid w:val="EFEEBAD8"/>
    <w:rsid w:val="F13EAE5B"/>
    <w:rsid w:val="F3FBE840"/>
    <w:rsid w:val="F4FD090C"/>
    <w:rsid w:val="F53C931B"/>
    <w:rsid w:val="F57E4968"/>
    <w:rsid w:val="F597AB42"/>
    <w:rsid w:val="F59FB30E"/>
    <w:rsid w:val="F5E9D838"/>
    <w:rsid w:val="F629279D"/>
    <w:rsid w:val="F63A27D7"/>
    <w:rsid w:val="F67B30B4"/>
    <w:rsid w:val="F6B62CA0"/>
    <w:rsid w:val="F729FA0A"/>
    <w:rsid w:val="F72BE5F6"/>
    <w:rsid w:val="F7360BAC"/>
    <w:rsid w:val="F7BB70A7"/>
    <w:rsid w:val="F7BF186C"/>
    <w:rsid w:val="F7DD248C"/>
    <w:rsid w:val="F7DF4F09"/>
    <w:rsid w:val="F7FF8B6A"/>
    <w:rsid w:val="F8F99BA6"/>
    <w:rsid w:val="F9D7E2FB"/>
    <w:rsid w:val="F9FFFB8C"/>
    <w:rsid w:val="FB5C3000"/>
    <w:rsid w:val="FB6B86B9"/>
    <w:rsid w:val="FBB53A9F"/>
    <w:rsid w:val="FBE7A31B"/>
    <w:rsid w:val="FBEFF477"/>
    <w:rsid w:val="FBF7020E"/>
    <w:rsid w:val="FBF76B36"/>
    <w:rsid w:val="FBF7B13C"/>
    <w:rsid w:val="FBFBB8CE"/>
    <w:rsid w:val="FBFF31B3"/>
    <w:rsid w:val="FCDF60E7"/>
    <w:rsid w:val="FCEFD056"/>
    <w:rsid w:val="FCF3BDA0"/>
    <w:rsid w:val="FCFC0488"/>
    <w:rsid w:val="FCFE5BCF"/>
    <w:rsid w:val="FCFFB380"/>
    <w:rsid w:val="FD77A571"/>
    <w:rsid w:val="FDBE5AFA"/>
    <w:rsid w:val="FDCA7ADB"/>
    <w:rsid w:val="FDCF1159"/>
    <w:rsid w:val="FDDE50D4"/>
    <w:rsid w:val="FDEFC450"/>
    <w:rsid w:val="FDF3902A"/>
    <w:rsid w:val="FDF8D47B"/>
    <w:rsid w:val="FDFFED89"/>
    <w:rsid w:val="FE77DE2F"/>
    <w:rsid w:val="FE830FCA"/>
    <w:rsid w:val="FEEF2230"/>
    <w:rsid w:val="FEEF5B91"/>
    <w:rsid w:val="FEF7205D"/>
    <w:rsid w:val="FEFDBB41"/>
    <w:rsid w:val="FEFF20E6"/>
    <w:rsid w:val="FF36B0BB"/>
    <w:rsid w:val="FF66742E"/>
    <w:rsid w:val="FF6F13DB"/>
    <w:rsid w:val="FF7FAAAE"/>
    <w:rsid w:val="FF95FFA2"/>
    <w:rsid w:val="FF9718E6"/>
    <w:rsid w:val="FFB7DB36"/>
    <w:rsid w:val="FFBF0DB1"/>
    <w:rsid w:val="FFBF925F"/>
    <w:rsid w:val="FFD599C7"/>
    <w:rsid w:val="FFDE5CE9"/>
    <w:rsid w:val="FFDFC57E"/>
    <w:rsid w:val="FFE3FE18"/>
    <w:rsid w:val="FFED3E54"/>
    <w:rsid w:val="FFF34EAF"/>
    <w:rsid w:val="FFF5B48A"/>
    <w:rsid w:val="FFF79480"/>
    <w:rsid w:val="FFFD0137"/>
    <w:rsid w:val="FFFDCEB9"/>
    <w:rsid w:val="FFFE3382"/>
    <w:rsid w:val="FFFE452E"/>
    <w:rsid w:val="FFFFB81D"/>
    <w:rsid w:val="FFFFC5EE"/>
    <w:rsid w:val="FFFFF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99"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iPriority="99"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99"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3"/>
    <w:basedOn w:val="1"/>
    <w:next w:val="1"/>
    <w:qFormat/>
    <w:locked/>
    <w:uiPriority w:val="0"/>
    <w:pPr>
      <w:spacing w:before="200"/>
      <w:outlineLvl w:val="2"/>
    </w:pPr>
    <w:rPr>
      <w:rFonts w:eastAsia="仿宋"/>
      <w:b/>
      <w:iCs/>
      <w:smallCaps/>
      <w:spacing w:val="5"/>
      <w:sz w:val="28"/>
      <w:szCs w:val="26"/>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4"/>
    <w:qFormat/>
    <w:locked/>
    <w:uiPriority w:val="99"/>
    <w:pPr>
      <w:ind w:firstLine="420" w:firstLineChars="200"/>
    </w:pPr>
    <w:rPr>
      <w:sz w:val="21"/>
    </w:rPr>
  </w:style>
  <w:style w:type="paragraph" w:styleId="3">
    <w:name w:val="Body Text Indent"/>
    <w:basedOn w:val="1"/>
    <w:next w:val="1"/>
    <w:link w:val="97"/>
    <w:qFormat/>
    <w:uiPriority w:val="0"/>
    <w:pPr>
      <w:spacing w:after="120"/>
      <w:ind w:left="420" w:leftChars="200"/>
    </w:pPr>
    <w:rPr>
      <w:kern w:val="0"/>
      <w:sz w:val="24"/>
      <w:szCs w:val="20"/>
      <w:lang w:val="zh-CN"/>
    </w:rPr>
  </w:style>
  <w:style w:type="paragraph" w:styleId="4">
    <w:name w:val="Body Text First Indent"/>
    <w:basedOn w:val="5"/>
    <w:next w:val="1"/>
    <w:link w:val="43"/>
    <w:qFormat/>
    <w:locked/>
    <w:uiPriority w:val="0"/>
    <w:pPr>
      <w:widowControl w:val="0"/>
      <w:snapToGrid/>
      <w:spacing w:before="0" w:after="120" w:line="240" w:lineRule="auto"/>
      <w:ind w:right="0" w:firstLine="420" w:firstLineChars="100"/>
    </w:pPr>
    <w:rPr>
      <w:kern w:val="2"/>
      <w:sz w:val="21"/>
    </w:rPr>
  </w:style>
  <w:style w:type="paragraph" w:styleId="5">
    <w:name w:val="Body Text"/>
    <w:basedOn w:val="1"/>
    <w:next w:val="6"/>
    <w:link w:val="34"/>
    <w:qFormat/>
    <w:uiPriority w:val="0"/>
    <w:pPr>
      <w:widowControl/>
      <w:snapToGrid w:val="0"/>
      <w:spacing w:before="60" w:after="160" w:line="259" w:lineRule="auto"/>
      <w:ind w:right="113"/>
    </w:pPr>
    <w:rPr>
      <w:kern w:val="0"/>
      <w:sz w:val="18"/>
      <w:szCs w:val="20"/>
      <w:lang w:val="zh-CN"/>
    </w:rPr>
  </w:style>
  <w:style w:type="paragraph" w:styleId="6">
    <w:name w:val="List Bullet 5"/>
    <w:basedOn w:val="1"/>
    <w:unhideWhenUsed/>
    <w:qFormat/>
    <w:locked/>
    <w:uiPriority w:val="99"/>
    <w:pPr>
      <w:numPr>
        <w:ilvl w:val="0"/>
        <w:numId w:val="1"/>
      </w:numPr>
      <w:tabs>
        <w:tab w:val="left" w:pos="2040"/>
      </w:tabs>
    </w:pPr>
    <w:rPr>
      <w:rFonts w:ascii="Calibri" w:hAnsi="Calibri"/>
      <w:szCs w:val="20"/>
    </w:rPr>
  </w:style>
  <w:style w:type="paragraph" w:styleId="9">
    <w:name w:val="Normal Indent"/>
    <w:basedOn w:val="1"/>
    <w:link w:val="30"/>
    <w:qFormat/>
    <w:locked/>
    <w:uiPriority w:val="99"/>
    <w:pPr>
      <w:ind w:firstLine="200" w:firstLineChars="200"/>
    </w:pPr>
    <w:rPr>
      <w:sz w:val="28"/>
      <w:szCs w:val="20"/>
      <w:lang w:val="zh-CN"/>
    </w:rPr>
  </w:style>
  <w:style w:type="paragraph" w:styleId="10">
    <w:name w:val="caption"/>
    <w:basedOn w:val="1"/>
    <w:next w:val="1"/>
    <w:link w:val="31"/>
    <w:qFormat/>
    <w:locked/>
    <w:uiPriority w:val="0"/>
    <w:pPr>
      <w:keepNext/>
      <w:spacing w:beforeLines="50"/>
      <w:jc w:val="center"/>
    </w:pPr>
    <w:rPr>
      <w:rFonts w:eastAsia="黑体"/>
      <w:szCs w:val="20"/>
      <w:lang w:val="zh-CN"/>
    </w:rPr>
  </w:style>
  <w:style w:type="paragraph" w:styleId="11">
    <w:name w:val="Document Map"/>
    <w:basedOn w:val="1"/>
    <w:link w:val="32"/>
    <w:qFormat/>
    <w:locked/>
    <w:uiPriority w:val="0"/>
    <w:rPr>
      <w:rFonts w:ascii="宋体"/>
      <w:sz w:val="18"/>
      <w:szCs w:val="18"/>
    </w:rPr>
  </w:style>
  <w:style w:type="paragraph" w:styleId="12">
    <w:name w:val="toa heading"/>
    <w:basedOn w:val="1"/>
    <w:next w:val="1"/>
    <w:qFormat/>
    <w:locked/>
    <w:uiPriority w:val="99"/>
    <w:pPr>
      <w:spacing w:before="120"/>
    </w:pPr>
    <w:rPr>
      <w:rFonts w:ascii="Arial" w:hAnsi="Arial" w:cs="Arial"/>
      <w:sz w:val="24"/>
    </w:rPr>
  </w:style>
  <w:style w:type="paragraph" w:styleId="13">
    <w:name w:val="annotation text"/>
    <w:basedOn w:val="1"/>
    <w:link w:val="33"/>
    <w:qFormat/>
    <w:uiPriority w:val="0"/>
    <w:pPr>
      <w:jc w:val="left"/>
    </w:pPr>
    <w:rPr>
      <w:kern w:val="0"/>
      <w:sz w:val="24"/>
      <w:szCs w:val="20"/>
      <w:lang w:val="zh-CN"/>
    </w:rPr>
  </w:style>
  <w:style w:type="paragraph" w:styleId="14">
    <w:name w:val="Plain Text"/>
    <w:basedOn w:val="1"/>
    <w:link w:val="36"/>
    <w:qFormat/>
    <w:locked/>
    <w:uiPriority w:val="0"/>
    <w:rPr>
      <w:rFonts w:ascii="宋体" w:hAnsi="Courier New"/>
      <w:sz w:val="20"/>
      <w:szCs w:val="20"/>
      <w:lang w:val="zh-CN"/>
    </w:rPr>
  </w:style>
  <w:style w:type="paragraph" w:styleId="15">
    <w:name w:val="Date"/>
    <w:basedOn w:val="1"/>
    <w:next w:val="1"/>
    <w:link w:val="37"/>
    <w:qFormat/>
    <w:uiPriority w:val="0"/>
    <w:pPr>
      <w:ind w:left="100" w:leftChars="2500"/>
    </w:pPr>
    <w:rPr>
      <w:kern w:val="0"/>
      <w:sz w:val="24"/>
      <w:szCs w:val="20"/>
      <w:lang w:val="zh-CN"/>
    </w:rPr>
  </w:style>
  <w:style w:type="paragraph" w:styleId="16">
    <w:name w:val="Balloon Text"/>
    <w:basedOn w:val="1"/>
    <w:link w:val="38"/>
    <w:semiHidden/>
    <w:qFormat/>
    <w:uiPriority w:val="0"/>
    <w:rPr>
      <w:kern w:val="0"/>
      <w:sz w:val="18"/>
      <w:szCs w:val="20"/>
      <w:lang w:val="zh-CN"/>
    </w:rPr>
  </w:style>
  <w:style w:type="paragraph" w:styleId="17">
    <w:name w:val="footer"/>
    <w:basedOn w:val="1"/>
    <w:link w:val="39"/>
    <w:qFormat/>
    <w:uiPriority w:val="99"/>
    <w:pPr>
      <w:tabs>
        <w:tab w:val="center" w:pos="4153"/>
        <w:tab w:val="right" w:pos="8306"/>
      </w:tabs>
      <w:snapToGrid w:val="0"/>
      <w:jc w:val="left"/>
    </w:pPr>
    <w:rPr>
      <w:kern w:val="0"/>
      <w:sz w:val="18"/>
      <w:szCs w:val="20"/>
      <w:lang w:val="zh-CN"/>
    </w:rPr>
  </w:style>
  <w:style w:type="paragraph" w:styleId="18">
    <w:name w:val="header"/>
    <w:basedOn w:val="1"/>
    <w:link w:val="40"/>
    <w:qFormat/>
    <w:uiPriority w:val="0"/>
    <w:pPr>
      <w:pBdr>
        <w:bottom w:val="single" w:color="auto" w:sz="6" w:space="1"/>
      </w:pBdr>
      <w:tabs>
        <w:tab w:val="center" w:pos="4153"/>
        <w:tab w:val="right" w:pos="8306"/>
      </w:tabs>
      <w:snapToGrid w:val="0"/>
      <w:jc w:val="center"/>
    </w:pPr>
    <w:rPr>
      <w:kern w:val="0"/>
      <w:sz w:val="18"/>
      <w:szCs w:val="20"/>
      <w:lang w:val="zh-CN"/>
    </w:rPr>
  </w:style>
  <w:style w:type="paragraph" w:styleId="19">
    <w:name w:val="Subtitle"/>
    <w:basedOn w:val="1"/>
    <w:next w:val="1"/>
    <w:link w:val="83"/>
    <w:qFormat/>
    <w:locked/>
    <w:uiPriority w:val="99"/>
    <w:pPr>
      <w:spacing w:before="240" w:after="60" w:line="312" w:lineRule="auto"/>
      <w:jc w:val="center"/>
      <w:outlineLvl w:val="1"/>
    </w:pPr>
    <w:rPr>
      <w:rFonts w:ascii="Cambria" w:hAnsi="Cambria"/>
      <w:b/>
      <w:kern w:val="28"/>
      <w:sz w:val="32"/>
      <w:szCs w:val="20"/>
    </w:rPr>
  </w:style>
  <w:style w:type="paragraph" w:styleId="20">
    <w:name w:val="Body Text Indent 3"/>
    <w:basedOn w:val="1"/>
    <w:qFormat/>
    <w:locked/>
    <w:uiPriority w:val="0"/>
    <w:pPr>
      <w:tabs>
        <w:tab w:val="left" w:pos="604"/>
      </w:tabs>
      <w:spacing w:line="360" w:lineRule="auto"/>
      <w:ind w:firstLine="600"/>
    </w:pPr>
    <w:rPr>
      <w:sz w:val="24"/>
    </w:rPr>
  </w:style>
  <w:style w:type="paragraph" w:styleId="21">
    <w:name w:val="toc 2"/>
    <w:basedOn w:val="1"/>
    <w:next w:val="1"/>
    <w:qFormat/>
    <w:locked/>
    <w:uiPriority w:val="0"/>
    <w:pPr>
      <w:ind w:left="420"/>
    </w:pPr>
  </w:style>
  <w:style w:type="paragraph" w:styleId="22">
    <w:name w:val="Normal (Web)"/>
    <w:basedOn w:val="1"/>
    <w:link w:val="41"/>
    <w:qFormat/>
    <w:uiPriority w:val="0"/>
    <w:pPr>
      <w:widowControl/>
      <w:spacing w:before="100" w:beforeAutospacing="1" w:after="100" w:afterAutospacing="1"/>
      <w:jc w:val="left"/>
    </w:pPr>
    <w:rPr>
      <w:rFonts w:ascii="宋体" w:hAnsi="宋体"/>
      <w:kern w:val="0"/>
      <w:sz w:val="24"/>
      <w:szCs w:val="20"/>
      <w:lang w:val="zh-CN"/>
    </w:rPr>
  </w:style>
  <w:style w:type="paragraph" w:styleId="23">
    <w:name w:val="annotation subject"/>
    <w:basedOn w:val="13"/>
    <w:next w:val="13"/>
    <w:link w:val="42"/>
    <w:semiHidden/>
    <w:qFormat/>
    <w:uiPriority w:val="0"/>
    <w:rPr>
      <w:b/>
      <w:kern w:val="2"/>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qFormat/>
    <w:locked/>
    <w:uiPriority w:val="0"/>
  </w:style>
  <w:style w:type="character" w:styleId="28">
    <w:name w:val="Hyperlink"/>
    <w:basedOn w:val="26"/>
    <w:qFormat/>
    <w:locked/>
    <w:uiPriority w:val="0"/>
    <w:rPr>
      <w:color w:val="0000FF"/>
      <w:u w:val="single"/>
    </w:rPr>
  </w:style>
  <w:style w:type="character" w:styleId="29">
    <w:name w:val="annotation reference"/>
    <w:qFormat/>
    <w:uiPriority w:val="99"/>
    <w:rPr>
      <w:sz w:val="21"/>
    </w:rPr>
  </w:style>
  <w:style w:type="character" w:customStyle="1" w:styleId="30">
    <w:name w:val="正文缩进 Char"/>
    <w:link w:val="9"/>
    <w:qFormat/>
    <w:uiPriority w:val="0"/>
    <w:rPr>
      <w:kern w:val="2"/>
      <w:sz w:val="28"/>
    </w:rPr>
  </w:style>
  <w:style w:type="character" w:customStyle="1" w:styleId="31">
    <w:name w:val="题注 Char"/>
    <w:link w:val="10"/>
    <w:qFormat/>
    <w:uiPriority w:val="0"/>
    <w:rPr>
      <w:rFonts w:eastAsia="黑体"/>
      <w:kern w:val="2"/>
      <w:sz w:val="21"/>
    </w:rPr>
  </w:style>
  <w:style w:type="character" w:customStyle="1" w:styleId="32">
    <w:name w:val="文档结构图 Char"/>
    <w:link w:val="11"/>
    <w:qFormat/>
    <w:uiPriority w:val="0"/>
    <w:rPr>
      <w:rFonts w:ascii="宋体"/>
      <w:kern w:val="2"/>
      <w:sz w:val="18"/>
      <w:szCs w:val="18"/>
    </w:rPr>
  </w:style>
  <w:style w:type="character" w:customStyle="1" w:styleId="33">
    <w:name w:val="批注文字 Char"/>
    <w:link w:val="13"/>
    <w:qFormat/>
    <w:locked/>
    <w:uiPriority w:val="0"/>
    <w:rPr>
      <w:rFonts w:ascii="Times New Roman" w:hAnsi="Times New Roman" w:eastAsia="宋体"/>
      <w:sz w:val="24"/>
    </w:rPr>
  </w:style>
  <w:style w:type="character" w:customStyle="1" w:styleId="34">
    <w:name w:val="正文文本 Char"/>
    <w:link w:val="5"/>
    <w:qFormat/>
    <w:locked/>
    <w:uiPriority w:val="99"/>
    <w:rPr>
      <w:sz w:val="18"/>
    </w:rPr>
  </w:style>
  <w:style w:type="character" w:customStyle="1" w:styleId="35">
    <w:name w:val="正文文本缩进 Char"/>
    <w:semiHidden/>
    <w:qFormat/>
    <w:locked/>
    <w:uiPriority w:val="0"/>
    <w:rPr>
      <w:rFonts w:ascii="Times New Roman" w:hAnsi="Times New Roman" w:eastAsia="宋体"/>
      <w:sz w:val="24"/>
    </w:rPr>
  </w:style>
  <w:style w:type="character" w:customStyle="1" w:styleId="36">
    <w:name w:val="纯文本 Char"/>
    <w:link w:val="14"/>
    <w:qFormat/>
    <w:uiPriority w:val="0"/>
    <w:rPr>
      <w:rFonts w:ascii="宋体" w:hAnsi="Courier New"/>
      <w:kern w:val="2"/>
    </w:rPr>
  </w:style>
  <w:style w:type="character" w:customStyle="1" w:styleId="37">
    <w:name w:val="日期 Char"/>
    <w:link w:val="15"/>
    <w:qFormat/>
    <w:locked/>
    <w:uiPriority w:val="0"/>
    <w:rPr>
      <w:rFonts w:ascii="Times New Roman" w:hAnsi="Times New Roman" w:eastAsia="宋体"/>
      <w:sz w:val="24"/>
    </w:rPr>
  </w:style>
  <w:style w:type="character" w:customStyle="1" w:styleId="38">
    <w:name w:val="批注框文本 Char"/>
    <w:link w:val="16"/>
    <w:semiHidden/>
    <w:qFormat/>
    <w:locked/>
    <w:uiPriority w:val="0"/>
    <w:rPr>
      <w:rFonts w:ascii="Times New Roman" w:hAnsi="Times New Roman" w:eastAsia="宋体"/>
      <w:sz w:val="18"/>
    </w:rPr>
  </w:style>
  <w:style w:type="character" w:customStyle="1" w:styleId="39">
    <w:name w:val="页脚 Char"/>
    <w:link w:val="17"/>
    <w:qFormat/>
    <w:locked/>
    <w:uiPriority w:val="99"/>
    <w:rPr>
      <w:sz w:val="18"/>
    </w:rPr>
  </w:style>
  <w:style w:type="character" w:customStyle="1" w:styleId="40">
    <w:name w:val="页眉 Char"/>
    <w:link w:val="18"/>
    <w:qFormat/>
    <w:locked/>
    <w:uiPriority w:val="0"/>
    <w:rPr>
      <w:sz w:val="18"/>
    </w:rPr>
  </w:style>
  <w:style w:type="character" w:customStyle="1" w:styleId="41">
    <w:name w:val="普通(网站) Char"/>
    <w:link w:val="22"/>
    <w:qFormat/>
    <w:locked/>
    <w:uiPriority w:val="0"/>
    <w:rPr>
      <w:rFonts w:ascii="宋体" w:hAnsi="宋体" w:eastAsia="宋体"/>
      <w:sz w:val="24"/>
    </w:rPr>
  </w:style>
  <w:style w:type="character" w:customStyle="1" w:styleId="42">
    <w:name w:val="批注主题 Char"/>
    <w:link w:val="23"/>
    <w:semiHidden/>
    <w:qFormat/>
    <w:locked/>
    <w:uiPriority w:val="0"/>
    <w:rPr>
      <w:rFonts w:ascii="Times New Roman" w:hAnsi="Times New Roman" w:eastAsia="宋体"/>
      <w:b/>
      <w:kern w:val="2"/>
      <w:sz w:val="24"/>
    </w:rPr>
  </w:style>
  <w:style w:type="character" w:customStyle="1" w:styleId="43">
    <w:name w:val="正文首行缩进 Char"/>
    <w:link w:val="4"/>
    <w:qFormat/>
    <w:uiPriority w:val="0"/>
    <w:rPr>
      <w:kern w:val="2"/>
      <w:sz w:val="21"/>
    </w:rPr>
  </w:style>
  <w:style w:type="character" w:customStyle="1" w:styleId="44">
    <w:name w:val="表格文字 Char"/>
    <w:link w:val="45"/>
    <w:qFormat/>
    <w:uiPriority w:val="99"/>
    <w:rPr>
      <w:rFonts w:ascii="仿宋_GB2312" w:hAnsi="Arial Black" w:eastAsia="仿宋_GB2312"/>
      <w:kern w:val="44"/>
      <w:sz w:val="24"/>
    </w:rPr>
  </w:style>
  <w:style w:type="paragraph" w:customStyle="1" w:styleId="45">
    <w:name w:val="表格文字"/>
    <w:basedOn w:val="1"/>
    <w:link w:val="44"/>
    <w:qFormat/>
    <w:uiPriority w:val="99"/>
    <w:pPr>
      <w:jc w:val="center"/>
    </w:pPr>
    <w:rPr>
      <w:rFonts w:ascii="仿宋_GB2312" w:hAnsi="Arial Black" w:eastAsia="仿宋_GB2312"/>
      <w:kern w:val="44"/>
      <w:sz w:val="24"/>
      <w:szCs w:val="20"/>
      <w:lang w:val="zh-CN"/>
    </w:rPr>
  </w:style>
  <w:style w:type="character" w:customStyle="1" w:styleId="46">
    <w:name w:val="纯文本 字符1"/>
    <w:qFormat/>
    <w:uiPriority w:val="0"/>
    <w:rPr>
      <w:rFonts w:ascii="宋体" w:hAnsi="Courier New" w:cs="Courier New"/>
      <w:kern w:val="2"/>
      <w:sz w:val="21"/>
      <w:szCs w:val="21"/>
    </w:rPr>
  </w:style>
  <w:style w:type="character" w:customStyle="1" w:styleId="47">
    <w:name w:val="1.....正文 Char"/>
    <w:link w:val="48"/>
    <w:qFormat/>
    <w:uiPriority w:val="0"/>
    <w:rPr>
      <w:rFonts w:ascii="仿宋_GB2312" w:eastAsia="仿宋_GB2312"/>
      <w:kern w:val="2"/>
      <w:sz w:val="28"/>
      <w:szCs w:val="28"/>
    </w:rPr>
  </w:style>
  <w:style w:type="paragraph" w:customStyle="1" w:styleId="48">
    <w:name w:val="1.....正文"/>
    <w:basedOn w:val="1"/>
    <w:link w:val="47"/>
    <w:qFormat/>
    <w:uiPriority w:val="0"/>
    <w:pPr>
      <w:adjustRightInd w:val="0"/>
      <w:snapToGrid w:val="0"/>
      <w:ind w:firstLine="560" w:firstLineChars="200"/>
    </w:pPr>
    <w:rPr>
      <w:rFonts w:ascii="仿宋_GB2312" w:eastAsia="仿宋_GB2312"/>
      <w:sz w:val="28"/>
      <w:szCs w:val="28"/>
      <w:lang w:val="zh-CN"/>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YY表格正文 字符"/>
    <w:link w:val="51"/>
    <w:qFormat/>
    <w:uiPriority w:val="0"/>
    <w:rPr>
      <w:color w:val="000000"/>
      <w:kern w:val="2"/>
      <w:sz w:val="21"/>
      <w:szCs w:val="24"/>
    </w:rPr>
  </w:style>
  <w:style w:type="paragraph" w:customStyle="1" w:styleId="51">
    <w:name w:val="YY表格正文"/>
    <w:basedOn w:val="1"/>
    <w:link w:val="50"/>
    <w:qFormat/>
    <w:uiPriority w:val="0"/>
    <w:pPr>
      <w:tabs>
        <w:tab w:val="left" w:pos="0"/>
      </w:tabs>
      <w:adjustRightInd w:val="0"/>
      <w:snapToGrid w:val="0"/>
      <w:jc w:val="center"/>
    </w:pPr>
    <w:rPr>
      <w:color w:val="000000"/>
      <w:lang w:val="zh-CN"/>
    </w:rPr>
  </w:style>
  <w:style w:type="character" w:customStyle="1" w:styleId="52">
    <w:name w:val="页脚 字符"/>
    <w:qFormat/>
    <w:uiPriority w:val="99"/>
  </w:style>
  <w:style w:type="character" w:customStyle="1" w:styleId="53">
    <w:name w:val="批注文字 字符1"/>
    <w:semiHidden/>
    <w:qFormat/>
    <w:uiPriority w:val="0"/>
    <w:rPr>
      <w:rFonts w:ascii="Times New Roman" w:hAnsi="Times New Roman" w:eastAsia="宋体"/>
      <w:sz w:val="24"/>
    </w:rPr>
  </w:style>
  <w:style w:type="character" w:customStyle="1" w:styleId="54">
    <w:name w:val="日期 字符"/>
    <w:semiHidden/>
    <w:qFormat/>
    <w:uiPriority w:val="0"/>
    <w:rPr>
      <w:rFonts w:ascii="Times New Roman" w:hAnsi="Times New Roman" w:eastAsia="宋体"/>
      <w:sz w:val="24"/>
    </w:rPr>
  </w:style>
  <w:style w:type="character" w:customStyle="1" w:styleId="55">
    <w:name w:val="表标题 Char"/>
    <w:link w:val="56"/>
    <w:qFormat/>
    <w:uiPriority w:val="0"/>
    <w:rPr>
      <w:b/>
      <w:kern w:val="2"/>
      <w:sz w:val="24"/>
      <w:szCs w:val="24"/>
      <w:lang w:val="en-US" w:eastAsia="zh-CN" w:bidi="ar-SA"/>
    </w:rPr>
  </w:style>
  <w:style w:type="paragraph" w:customStyle="1" w:styleId="56">
    <w:name w:val="表标题"/>
    <w:next w:val="1"/>
    <w:link w:val="55"/>
    <w:qFormat/>
    <w:uiPriority w:val="0"/>
    <w:pPr>
      <w:spacing w:before="60"/>
      <w:jc w:val="center"/>
    </w:pPr>
    <w:rPr>
      <w:rFonts w:ascii="Times New Roman" w:hAnsi="Times New Roman" w:eastAsia="宋体" w:cs="Times New Roman"/>
      <w:b/>
      <w:kern w:val="2"/>
      <w:sz w:val="24"/>
      <w:szCs w:val="24"/>
      <w:lang w:val="en-US" w:eastAsia="zh-CN" w:bidi="ar-SA"/>
    </w:rPr>
  </w:style>
  <w:style w:type="character" w:customStyle="1" w:styleId="57">
    <w:name w:val="表格内容 Char"/>
    <w:link w:val="58"/>
    <w:qFormat/>
    <w:uiPriority w:val="0"/>
    <w:rPr>
      <w:rFonts w:ascii="Arial" w:hAnsi="Arial" w:eastAsia="仿宋_GB2312"/>
      <w:sz w:val="24"/>
    </w:rPr>
  </w:style>
  <w:style w:type="paragraph" w:customStyle="1" w:styleId="58">
    <w:name w:val="表格内容"/>
    <w:basedOn w:val="1"/>
    <w:link w:val="57"/>
    <w:qFormat/>
    <w:uiPriority w:val="0"/>
    <w:pPr>
      <w:overflowPunct w:val="0"/>
      <w:spacing w:before="40" w:after="60" w:line="200" w:lineRule="atLeast"/>
      <w:textAlignment w:val="baseline"/>
    </w:pPr>
    <w:rPr>
      <w:rFonts w:ascii="Arial" w:hAnsi="Arial" w:eastAsia="仿宋_GB2312"/>
      <w:kern w:val="0"/>
      <w:sz w:val="24"/>
      <w:szCs w:val="20"/>
      <w:lang w:val="zh-CN"/>
    </w:rPr>
  </w:style>
  <w:style w:type="character" w:customStyle="1" w:styleId="59">
    <w:name w:val="表格 Char"/>
    <w:link w:val="60"/>
    <w:qFormat/>
    <w:locked/>
    <w:uiPriority w:val="0"/>
    <w:rPr>
      <w:rFonts w:ascii="宋体"/>
      <w:sz w:val="21"/>
    </w:rPr>
  </w:style>
  <w:style w:type="paragraph" w:customStyle="1" w:styleId="60">
    <w:name w:val="表格"/>
    <w:basedOn w:val="1"/>
    <w:next w:val="1"/>
    <w:link w:val="59"/>
    <w:qFormat/>
    <w:uiPriority w:val="99"/>
    <w:pPr>
      <w:adjustRightInd w:val="0"/>
      <w:snapToGrid w:val="0"/>
      <w:spacing w:beforeLines="10" w:afterLines="10" w:line="259" w:lineRule="auto"/>
      <w:jc w:val="center"/>
    </w:pPr>
    <w:rPr>
      <w:rFonts w:ascii="宋体"/>
      <w:kern w:val="0"/>
      <w:szCs w:val="20"/>
      <w:lang w:val="zh-CN"/>
    </w:rPr>
  </w:style>
  <w:style w:type="character" w:customStyle="1" w:styleId="61">
    <w:name w:val="1表格 Char"/>
    <w:link w:val="62"/>
    <w:qFormat/>
    <w:locked/>
    <w:uiPriority w:val="0"/>
    <w:rPr>
      <w:spacing w:val="4"/>
      <w:szCs w:val="24"/>
    </w:rPr>
  </w:style>
  <w:style w:type="paragraph" w:customStyle="1" w:styleId="62">
    <w:name w:val="1表格"/>
    <w:basedOn w:val="1"/>
    <w:link w:val="61"/>
    <w:qFormat/>
    <w:uiPriority w:val="0"/>
    <w:pPr>
      <w:adjustRightInd w:val="0"/>
      <w:snapToGrid w:val="0"/>
      <w:jc w:val="center"/>
    </w:pPr>
    <w:rPr>
      <w:spacing w:val="4"/>
      <w:kern w:val="0"/>
      <w:sz w:val="20"/>
      <w:lang w:val="zh-CN"/>
    </w:rPr>
  </w:style>
  <w:style w:type="paragraph" w:customStyle="1" w:styleId="63">
    <w:name w:val="中文报告书样式"/>
    <w:basedOn w:val="1"/>
    <w:qFormat/>
    <w:uiPriority w:val="99"/>
    <w:pPr>
      <w:spacing w:line="360" w:lineRule="auto"/>
      <w:ind w:firstLine="480" w:firstLineChars="200"/>
      <w:textAlignment w:val="baseline"/>
    </w:pPr>
    <w:rPr>
      <w:kern w:val="24"/>
      <w:sz w:val="24"/>
      <w:szCs w:val="22"/>
    </w:rPr>
  </w:style>
  <w:style w:type="paragraph" w:customStyle="1" w:styleId="64">
    <w:name w:val="111表头"/>
    <w:basedOn w:val="1"/>
    <w:qFormat/>
    <w:uiPriority w:val="0"/>
    <w:pPr>
      <w:tabs>
        <w:tab w:val="left" w:pos="600"/>
      </w:tabs>
      <w:spacing w:line="400" w:lineRule="exact"/>
      <w:jc w:val="center"/>
    </w:pPr>
    <w:rPr>
      <w:rFonts w:ascii="Calibri" w:hAnsi="Calibri"/>
      <w:b/>
      <w:kern w:val="0"/>
      <w:sz w:val="24"/>
    </w:rPr>
  </w:style>
  <w:style w:type="paragraph" w:customStyle="1" w:styleId="65">
    <w:name w:val="正文4号"/>
    <w:basedOn w:val="1"/>
    <w:qFormat/>
    <w:uiPriority w:val="0"/>
    <w:pPr>
      <w:adjustRightInd w:val="0"/>
      <w:snapToGrid w:val="0"/>
      <w:spacing w:line="360" w:lineRule="auto"/>
      <w:ind w:firstLine="200" w:firstLineChars="200"/>
    </w:pPr>
    <w:rPr>
      <w:sz w:val="24"/>
    </w:rPr>
  </w:style>
  <w:style w:type="paragraph" w:customStyle="1" w:styleId="66">
    <w:name w:val="Body Text 21"/>
    <w:basedOn w:val="1"/>
    <w:qFormat/>
    <w:uiPriority w:val="99"/>
    <w:pPr>
      <w:adjustRightInd w:val="0"/>
      <w:textAlignment w:val="baseline"/>
    </w:pPr>
    <w:rPr>
      <w:rFonts w:ascii="仿宋_GB2312" w:hAnsi="Calibri" w:eastAsia="仿宋体"/>
      <w:sz w:val="24"/>
      <w:szCs w:val="20"/>
    </w:rPr>
  </w:style>
  <w:style w:type="paragraph" w:customStyle="1" w:styleId="67">
    <w:name w:val="Default"/>
    <w:link w:val="8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68">
    <w:name w:val="111正文"/>
    <w:basedOn w:val="1"/>
    <w:qFormat/>
    <w:uiPriority w:val="0"/>
    <w:pPr>
      <w:tabs>
        <w:tab w:val="left" w:pos="600"/>
      </w:tabs>
      <w:spacing w:line="360" w:lineRule="auto"/>
      <w:ind w:firstLine="200" w:firstLineChars="200"/>
    </w:pPr>
    <w:rPr>
      <w:rFonts w:ascii="Calibri" w:hAnsi="Calibri"/>
      <w:kern w:val="0"/>
      <w:sz w:val="24"/>
    </w:rPr>
  </w:style>
  <w:style w:type="paragraph" w:customStyle="1" w:styleId="6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
    <w:name w:val="1 正文"/>
    <w:basedOn w:val="1"/>
    <w:qFormat/>
    <w:uiPriority w:val="0"/>
    <w:pPr>
      <w:adjustRightInd w:val="0"/>
      <w:snapToGrid w:val="0"/>
      <w:spacing w:line="360" w:lineRule="auto"/>
      <w:ind w:firstLine="200" w:firstLineChars="200"/>
    </w:pPr>
    <w:rPr>
      <w:kern w:val="0"/>
      <w:sz w:val="24"/>
      <w:szCs w:val="20"/>
    </w:rPr>
  </w:style>
  <w:style w:type="paragraph" w:customStyle="1" w:styleId="71">
    <w:name w:val="正文-lcc"/>
    <w:basedOn w:val="1"/>
    <w:qFormat/>
    <w:uiPriority w:val="0"/>
    <w:pPr>
      <w:snapToGrid w:val="0"/>
      <w:spacing w:line="360" w:lineRule="auto"/>
      <w:ind w:firstLine="200" w:firstLineChars="200"/>
    </w:pPr>
    <w:rPr>
      <w:rFonts w:ascii="等线" w:hAnsi="等线" w:eastAsia="仿宋"/>
      <w:color w:val="000000"/>
      <w:sz w:val="24"/>
      <w:szCs w:val="20"/>
    </w:rPr>
  </w:style>
  <w:style w:type="paragraph" w:customStyle="1" w:styleId="72">
    <w:name w:val="正文 首行缩进:  2 字符"/>
    <w:basedOn w:val="1"/>
    <w:qFormat/>
    <w:uiPriority w:val="0"/>
    <w:pPr>
      <w:ind w:firstLine="579" w:firstLineChars="200"/>
    </w:pPr>
    <w:rPr>
      <w:rFonts w:eastAsia="等线" w:cs="宋体"/>
      <w:szCs w:val="20"/>
    </w:rPr>
  </w:style>
  <w:style w:type="paragraph" w:customStyle="1" w:styleId="7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4">
    <w:name w:val="正文缩进 Char1"/>
    <w:qFormat/>
    <w:uiPriority w:val="99"/>
    <w:rPr>
      <w:rFonts w:eastAsia="宋体"/>
      <w:kern w:val="2"/>
      <w:sz w:val="24"/>
      <w:lang w:val="en-US" w:eastAsia="zh-CN"/>
    </w:rPr>
  </w:style>
  <w:style w:type="paragraph" w:customStyle="1" w:styleId="75">
    <w:name w:val="列出段落1"/>
    <w:basedOn w:val="1"/>
    <w:qFormat/>
    <w:uiPriority w:val="99"/>
    <w:pPr>
      <w:spacing w:line="360" w:lineRule="auto"/>
      <w:ind w:firstLine="420" w:firstLineChars="200"/>
    </w:pPr>
    <w:rPr>
      <w:rFonts w:ascii="Calibri" w:hAnsi="Calibri"/>
      <w:sz w:val="24"/>
      <w:szCs w:val="20"/>
    </w:rPr>
  </w:style>
  <w:style w:type="character" w:customStyle="1" w:styleId="76">
    <w:name w:val="纯文本 Char1"/>
    <w:qFormat/>
    <w:uiPriority w:val="99"/>
    <w:rPr>
      <w:rFonts w:ascii="宋体" w:hAnsi="Courier New"/>
      <w:kern w:val="2"/>
    </w:rPr>
  </w:style>
  <w:style w:type="character" w:customStyle="1" w:styleId="77">
    <w:name w:val="表格 Char Char"/>
    <w:qFormat/>
    <w:uiPriority w:val="99"/>
    <w:rPr>
      <w:kern w:val="2"/>
      <w:sz w:val="24"/>
    </w:rPr>
  </w:style>
  <w:style w:type="character" w:customStyle="1" w:styleId="78">
    <w:name w:val="表格居中 Char"/>
    <w:link w:val="79"/>
    <w:qFormat/>
    <w:uiPriority w:val="99"/>
    <w:rPr>
      <w:rFonts w:ascii="宋体"/>
      <w:sz w:val="28"/>
    </w:rPr>
  </w:style>
  <w:style w:type="paragraph" w:customStyle="1" w:styleId="79">
    <w:name w:val="表格居中"/>
    <w:basedOn w:val="1"/>
    <w:link w:val="78"/>
    <w:qFormat/>
    <w:uiPriority w:val="99"/>
    <w:pPr>
      <w:adjustRightInd w:val="0"/>
      <w:snapToGrid w:val="0"/>
      <w:spacing w:line="400" w:lineRule="exact"/>
      <w:jc w:val="center"/>
    </w:pPr>
    <w:rPr>
      <w:rFonts w:ascii="宋体"/>
      <w:kern w:val="0"/>
      <w:sz w:val="28"/>
      <w:szCs w:val="20"/>
      <w:lang w:val="zh-CN"/>
    </w:rPr>
  </w:style>
  <w:style w:type="character" w:customStyle="1" w:styleId="80">
    <w:name w:val="font41"/>
    <w:qFormat/>
    <w:uiPriority w:val="99"/>
    <w:rPr>
      <w:rFonts w:ascii="宋体" w:hAnsi="宋体" w:eastAsia="宋体" w:cs="宋体"/>
      <w:b/>
      <w:color w:val="000000"/>
      <w:sz w:val="21"/>
      <w:szCs w:val="21"/>
      <w:u w:val="none"/>
    </w:rPr>
  </w:style>
  <w:style w:type="character" w:customStyle="1" w:styleId="81">
    <w:name w:val="font81"/>
    <w:qFormat/>
    <w:uiPriority w:val="99"/>
    <w:rPr>
      <w:rFonts w:ascii="Times New Roman" w:hAnsi="Times New Roman" w:cs="Times New Roman"/>
      <w:color w:val="000000"/>
      <w:sz w:val="21"/>
      <w:szCs w:val="21"/>
      <w:u w:val="none"/>
    </w:rPr>
  </w:style>
  <w:style w:type="character" w:customStyle="1" w:styleId="82">
    <w:name w:val="Default Char"/>
    <w:link w:val="67"/>
    <w:qFormat/>
    <w:uiPriority w:val="0"/>
    <w:rPr>
      <w:rFonts w:ascii="宋体"/>
      <w:color w:val="000000"/>
      <w:sz w:val="24"/>
      <w:szCs w:val="24"/>
      <w:lang w:bidi="ar-SA"/>
    </w:rPr>
  </w:style>
  <w:style w:type="character" w:customStyle="1" w:styleId="83">
    <w:name w:val="副标题 Char"/>
    <w:link w:val="19"/>
    <w:qFormat/>
    <w:uiPriority w:val="99"/>
    <w:rPr>
      <w:rFonts w:ascii="Cambria" w:hAnsi="Cambria"/>
      <w:b/>
      <w:kern w:val="28"/>
      <w:sz w:val="32"/>
    </w:rPr>
  </w:style>
  <w:style w:type="character" w:customStyle="1" w:styleId="84">
    <w:name w:val="副标题 字符"/>
    <w:qFormat/>
    <w:uiPriority w:val="0"/>
    <w:rPr>
      <w:rFonts w:ascii="等线 Light" w:hAnsi="等线 Light" w:cs="Times New Roman"/>
      <w:b/>
      <w:bCs/>
      <w:kern w:val="28"/>
      <w:sz w:val="32"/>
      <w:szCs w:val="32"/>
    </w:rPr>
  </w:style>
  <w:style w:type="character" w:customStyle="1" w:styleId="85">
    <w:name w:val="head121"/>
    <w:qFormat/>
    <w:uiPriority w:val="99"/>
    <w:rPr>
      <w:sz w:val="22"/>
    </w:rPr>
  </w:style>
  <w:style w:type="character" w:customStyle="1" w:styleId="86">
    <w:name w:val="正文文本 字符"/>
    <w:qFormat/>
    <w:locked/>
    <w:uiPriority w:val="0"/>
    <w:rPr>
      <w:sz w:val="18"/>
    </w:rPr>
  </w:style>
  <w:style w:type="paragraph" w:customStyle="1" w:styleId="87">
    <w:name w:val="Char Char1 Char"/>
    <w:basedOn w:val="1"/>
    <w:qFormat/>
    <w:uiPriority w:val="0"/>
    <w:rPr>
      <w:sz w:val="24"/>
    </w:rPr>
  </w:style>
  <w:style w:type="character" w:customStyle="1" w:styleId="88">
    <w:name w:val="表内表 字符"/>
    <w:link w:val="89"/>
    <w:qFormat/>
    <w:uiPriority w:val="0"/>
    <w:rPr>
      <w:bCs/>
      <w:kern w:val="2"/>
      <w:sz w:val="21"/>
      <w:szCs w:val="21"/>
    </w:rPr>
  </w:style>
  <w:style w:type="paragraph" w:customStyle="1" w:styleId="89">
    <w:name w:val="表内表"/>
    <w:basedOn w:val="1"/>
    <w:link w:val="88"/>
    <w:qFormat/>
    <w:uiPriority w:val="0"/>
    <w:pPr>
      <w:spacing w:line="240" w:lineRule="atLeast"/>
      <w:jc w:val="center"/>
    </w:pPr>
    <w:rPr>
      <w:bCs/>
      <w:szCs w:val="21"/>
    </w:rPr>
  </w:style>
  <w:style w:type="character" w:customStyle="1" w:styleId="90">
    <w:name w:val="font11"/>
    <w:basedOn w:val="26"/>
    <w:qFormat/>
    <w:uiPriority w:val="0"/>
    <w:rPr>
      <w:rFonts w:hint="eastAsia" w:ascii="宋体" w:hAnsi="宋体" w:eastAsia="宋体" w:cs="宋体"/>
      <w:color w:val="000000"/>
      <w:sz w:val="21"/>
      <w:szCs w:val="21"/>
      <w:u w:val="none"/>
    </w:rPr>
  </w:style>
  <w:style w:type="character" w:customStyle="1" w:styleId="91">
    <w:name w:val="font21"/>
    <w:basedOn w:val="26"/>
    <w:qFormat/>
    <w:uiPriority w:val="0"/>
    <w:rPr>
      <w:rFonts w:hint="default" w:ascii="Times New Roman" w:hAnsi="Times New Roman" w:cs="Times New Roman"/>
      <w:color w:val="000000"/>
      <w:sz w:val="21"/>
      <w:szCs w:val="21"/>
      <w:u w:val="none"/>
    </w:rPr>
  </w:style>
  <w:style w:type="character" w:customStyle="1" w:styleId="92">
    <w:name w:val="font31"/>
    <w:basedOn w:val="26"/>
    <w:qFormat/>
    <w:uiPriority w:val="0"/>
    <w:rPr>
      <w:rFonts w:hint="eastAsia" w:ascii="宋体" w:hAnsi="宋体" w:eastAsia="宋体" w:cs="宋体"/>
      <w:color w:val="000000"/>
      <w:sz w:val="21"/>
      <w:szCs w:val="21"/>
      <w:u w:val="none"/>
    </w:rPr>
  </w:style>
  <w:style w:type="paragraph" w:customStyle="1" w:styleId="93">
    <w:name w:val="List Paragraph1"/>
    <w:basedOn w:val="1"/>
    <w:qFormat/>
    <w:uiPriority w:val="34"/>
    <w:pPr>
      <w:ind w:firstLine="420" w:firstLineChars="200"/>
    </w:pPr>
    <w:rPr>
      <w:rFonts w:ascii="Calibri" w:hAnsi="Calibri"/>
      <w:szCs w:val="22"/>
    </w:rPr>
  </w:style>
  <w:style w:type="paragraph" w:customStyle="1" w:styleId="94">
    <w:name w:val="列出段落2"/>
    <w:basedOn w:val="1"/>
    <w:qFormat/>
    <w:uiPriority w:val="99"/>
    <w:pPr>
      <w:ind w:firstLine="420" w:firstLineChars="200"/>
    </w:pPr>
  </w:style>
  <w:style w:type="paragraph" w:customStyle="1" w:styleId="95">
    <w:name w:val="常用表格样式"/>
    <w:basedOn w:val="1"/>
    <w:link w:val="96"/>
    <w:qFormat/>
    <w:uiPriority w:val="0"/>
    <w:pPr>
      <w:adjustRightInd w:val="0"/>
      <w:jc w:val="center"/>
    </w:pPr>
    <w:rPr>
      <w:rFonts w:hint="eastAsia" w:ascii="宋体" w:hAnsi="宋体" w:eastAsia="仿宋"/>
      <w:color w:val="000000"/>
      <w:sz w:val="18"/>
      <w:szCs w:val="18"/>
    </w:rPr>
  </w:style>
  <w:style w:type="character" w:customStyle="1" w:styleId="96">
    <w:name w:val="常用表格样式 Char1"/>
    <w:basedOn w:val="26"/>
    <w:link w:val="95"/>
    <w:qFormat/>
    <w:uiPriority w:val="0"/>
    <w:rPr>
      <w:rFonts w:hint="eastAsia" w:ascii="宋体" w:hAnsi="宋体" w:eastAsia="仿宋" w:cs="宋体"/>
      <w:color w:val="000000"/>
      <w:kern w:val="2"/>
      <w:sz w:val="18"/>
      <w:szCs w:val="18"/>
    </w:rPr>
  </w:style>
  <w:style w:type="character" w:customStyle="1" w:styleId="97">
    <w:name w:val="正文文本缩进 Char1"/>
    <w:basedOn w:val="26"/>
    <w:link w:val="3"/>
    <w:qFormat/>
    <w:uiPriority w:val="0"/>
    <w:rPr>
      <w:kern w:val="2"/>
      <w:sz w:val="21"/>
      <w:szCs w:val="24"/>
    </w:rPr>
  </w:style>
  <w:style w:type="character" w:customStyle="1" w:styleId="98">
    <w:name w:val="正文文本首行缩进 2 字符"/>
    <w:basedOn w:val="97"/>
    <w:qFormat/>
    <w:uiPriority w:val="0"/>
    <w:rPr>
      <w:kern w:val="2"/>
      <w:sz w:val="21"/>
      <w:szCs w:val="24"/>
    </w:rPr>
  </w:style>
  <w:style w:type="paragraph" w:customStyle="1" w:styleId="99">
    <w:name w:val="p0"/>
    <w:basedOn w:val="1"/>
    <w:qFormat/>
    <w:uiPriority w:val="0"/>
    <w:pPr>
      <w:widowControl/>
    </w:pPr>
    <w:rPr>
      <w:kern w:val="0"/>
    </w:rPr>
  </w:style>
  <w:style w:type="paragraph" w:customStyle="1" w:styleId="100">
    <w:name w:val="无间隔11"/>
    <w:qFormat/>
    <w:uiPriority w:val="0"/>
    <w:pPr>
      <w:widowControl w:val="0"/>
    </w:pPr>
    <w:rPr>
      <w:rFonts w:ascii="宋体" w:hAnsi="Courier New" w:eastAsia="仿宋_GB2312" w:cs="Times New Roman"/>
      <w:kern w:val="2"/>
      <w:sz w:val="24"/>
      <w:lang w:val="en-US" w:eastAsia="zh-CN" w:bidi="ar-SA"/>
    </w:rPr>
  </w:style>
  <w:style w:type="character" w:customStyle="1" w:styleId="101">
    <w:name w:val="fontstyle01"/>
    <w:basedOn w:val="26"/>
    <w:qFormat/>
    <w:uiPriority w:val="0"/>
    <w:rPr>
      <w:rFonts w:hint="eastAsia" w:ascii="宋体" w:hAnsi="宋体" w:eastAsia="宋体" w:cs="宋体"/>
      <w:color w:val="000000"/>
      <w:kern w:val="0"/>
      <w:sz w:val="24"/>
      <w:szCs w:val="24"/>
    </w:rPr>
  </w:style>
  <w:style w:type="character" w:customStyle="1" w:styleId="102">
    <w:name w:val="font51"/>
    <w:basedOn w:val="26"/>
    <w:qFormat/>
    <w:uiPriority w:val="0"/>
    <w:rPr>
      <w:rFonts w:hint="default" w:ascii="Times New Roman" w:hAnsi="Times New Roman" w:cs="Times New Roman"/>
      <w:b/>
      <w:color w:val="000000"/>
      <w:sz w:val="18"/>
      <w:szCs w:val="18"/>
      <w:u w:val="none"/>
    </w:rPr>
  </w:style>
  <w:style w:type="paragraph" w:customStyle="1" w:styleId="103">
    <w:name w:val="5表格 仿宋5号"/>
    <w:basedOn w:val="1"/>
    <w:qFormat/>
    <w:uiPriority w:val="0"/>
    <w:pPr>
      <w:widowControl/>
      <w:adjustRightInd w:val="0"/>
      <w:snapToGrid w:val="0"/>
      <w:jc w:val="center"/>
    </w:pPr>
    <w:rPr>
      <w:rFonts w:eastAsia="仿宋"/>
      <w:color w:val="000000"/>
      <w:kern w:val="0"/>
      <w:sz w:val="20"/>
      <w:szCs w:val="21"/>
    </w:rPr>
  </w:style>
  <w:style w:type="paragraph" w:customStyle="1" w:styleId="104">
    <w:name w:val="！！"/>
    <w:basedOn w:val="105"/>
    <w:qFormat/>
    <w:uiPriority w:val="0"/>
    <w:pPr>
      <w:tabs>
        <w:tab w:val="left" w:pos="277"/>
        <w:tab w:val="left" w:pos="600"/>
        <w:tab w:val="left" w:pos="780"/>
        <w:tab w:val="left" w:pos="2517"/>
      </w:tabs>
    </w:pPr>
  </w:style>
  <w:style w:type="paragraph" w:customStyle="1" w:styleId="105">
    <w:name w:val="表格的文字"/>
    <w:basedOn w:val="106"/>
    <w:qFormat/>
    <w:uiPriority w:val="99"/>
    <w:pPr>
      <w:tabs>
        <w:tab w:val="left" w:pos="277"/>
        <w:tab w:val="left" w:pos="600"/>
        <w:tab w:val="left" w:pos="780"/>
        <w:tab w:val="left" w:pos="2517"/>
      </w:tabs>
    </w:pPr>
  </w:style>
  <w:style w:type="paragraph" w:customStyle="1" w:styleId="106">
    <w:name w:val="表格文字2"/>
    <w:basedOn w:val="1"/>
    <w:qFormat/>
    <w:uiPriority w:val="99"/>
    <w:pPr>
      <w:tabs>
        <w:tab w:val="left" w:pos="277"/>
        <w:tab w:val="left" w:pos="600"/>
        <w:tab w:val="left" w:pos="780"/>
        <w:tab w:val="left" w:pos="2517"/>
      </w:tabs>
      <w:adjustRightInd w:val="0"/>
      <w:snapToGrid w:val="0"/>
      <w:jc w:val="center"/>
      <w:textAlignment w:val="baseline"/>
    </w:pPr>
    <w:rPr>
      <w:szCs w:val="21"/>
    </w:rPr>
  </w:style>
  <w:style w:type="paragraph" w:customStyle="1" w:styleId="107">
    <w:name w:val="无间隔1"/>
    <w:qFormat/>
    <w:uiPriority w:val="0"/>
    <w:pPr>
      <w:widowControl w:val="0"/>
    </w:pPr>
    <w:rPr>
      <w:rFonts w:ascii="宋体" w:hAnsi="Courier New" w:eastAsia="仿宋_GB2312" w:cs="Times New Roman"/>
      <w:kern w:val="2"/>
      <w:sz w:val="24"/>
      <w:lang w:val="en-US" w:eastAsia="zh-CN" w:bidi="ar-SA"/>
    </w:rPr>
  </w:style>
  <w:style w:type="paragraph" w:customStyle="1" w:styleId="108">
    <w:name w:val="Char Char Char Char Char Char Char Char Char Char Char Char Char Char Char Char Char Char Char Char Char Char Char Char Char Char"/>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er" Target="footer1.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85</Pages>
  <Words>58252</Words>
  <Characters>69669</Characters>
  <Lines>518</Lines>
  <Paragraphs>146</Paragraphs>
  <TotalTime>0</TotalTime>
  <ScaleCrop>false</ScaleCrop>
  <LinksUpToDate>false</LinksUpToDate>
  <CharactersWithSpaces>70410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2021-07-21T19:09:00Z</dcterms:created>
  <dc:creator>lhj</dc:creator>
  <cp:lastModifiedBy>张翯</cp:lastModifiedBy>
  <cp:lastPrinted>2021-01-23T13:48:00Z</cp:lastPrinted>
  <dcterms:modified xsi:type="dcterms:W3CDTF">2024-09-19T08:30:10Z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AA513A2A45924C97BBD54B7E8AA7B49C</vt:lpwstr>
  </property>
</Properties>
</file>