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0F6E">
      <w:pPr>
        <w:jc w:val="center"/>
        <w:rPr>
          <w:rFonts w:hint="eastAsia" w:ascii="华文新魏" w:eastAsia="华文新魏"/>
          <w:b/>
          <w:sz w:val="84"/>
          <w:szCs w:val="84"/>
          <w:highlight w:val="none"/>
        </w:rPr>
      </w:pPr>
    </w:p>
    <w:p w14:paraId="1C7BE4E9">
      <w:pPr>
        <w:jc w:val="center"/>
        <w:rPr>
          <w:rFonts w:hint="eastAsia" w:ascii="宋体" w:hAnsi="宋体" w:cs="宋体"/>
          <w:b/>
          <w:sz w:val="84"/>
          <w:szCs w:val="84"/>
          <w:highlight w:val="none"/>
        </w:rPr>
      </w:pPr>
      <w:r>
        <w:rPr>
          <w:rFonts w:hint="eastAsia" w:ascii="宋体" w:hAnsi="宋体" w:cs="宋体"/>
          <w:b/>
          <w:sz w:val="84"/>
          <w:szCs w:val="84"/>
          <w:highlight w:val="none"/>
        </w:rPr>
        <w:t>政府采购招标文件</w:t>
      </w:r>
    </w:p>
    <w:p w14:paraId="668A277A">
      <w:pPr>
        <w:spacing w:line="360" w:lineRule="exact"/>
        <w:jc w:val="center"/>
        <w:rPr>
          <w:rFonts w:hint="eastAsia" w:ascii="宋体" w:hAnsi="宋体"/>
          <w:b/>
          <w:sz w:val="30"/>
          <w:highlight w:val="none"/>
        </w:rPr>
      </w:pPr>
    </w:p>
    <w:p w14:paraId="3E3968EA">
      <w:pPr>
        <w:spacing w:line="360" w:lineRule="exact"/>
        <w:jc w:val="center"/>
        <w:rPr>
          <w:rFonts w:hint="eastAsia" w:ascii="宋体" w:hAnsi="宋体"/>
          <w:b/>
          <w:sz w:val="30"/>
          <w:highlight w:val="none"/>
        </w:rPr>
      </w:pPr>
    </w:p>
    <w:p w14:paraId="1468BE87">
      <w:pPr>
        <w:spacing w:line="360" w:lineRule="exact"/>
        <w:jc w:val="center"/>
        <w:rPr>
          <w:rFonts w:hint="eastAsia" w:ascii="宋体" w:hAnsi="宋体"/>
          <w:b/>
          <w:sz w:val="30"/>
          <w:highlight w:val="none"/>
        </w:rPr>
      </w:pPr>
    </w:p>
    <w:p w14:paraId="2CFE26F0">
      <w:pPr>
        <w:spacing w:line="360" w:lineRule="exact"/>
        <w:jc w:val="center"/>
        <w:rPr>
          <w:rFonts w:hint="eastAsia" w:ascii="宋体" w:hAnsi="宋体"/>
          <w:b/>
          <w:sz w:val="30"/>
          <w:highlight w:val="none"/>
        </w:rPr>
      </w:pPr>
    </w:p>
    <w:p w14:paraId="1ABC43E2">
      <w:pPr>
        <w:spacing w:line="360" w:lineRule="exact"/>
        <w:jc w:val="center"/>
        <w:rPr>
          <w:rFonts w:hint="eastAsia" w:ascii="宋体" w:hAnsi="宋体"/>
          <w:b/>
          <w:sz w:val="30"/>
          <w:highlight w:val="none"/>
        </w:rPr>
      </w:pPr>
    </w:p>
    <w:p w14:paraId="46D902AA">
      <w:pPr>
        <w:spacing w:line="360" w:lineRule="exact"/>
        <w:jc w:val="center"/>
        <w:rPr>
          <w:rFonts w:hint="eastAsia" w:ascii="宋体" w:hAnsi="宋体"/>
          <w:b/>
          <w:sz w:val="30"/>
          <w:highlight w:val="none"/>
        </w:rPr>
      </w:pPr>
    </w:p>
    <w:p w14:paraId="60D84D50">
      <w:pPr>
        <w:spacing w:line="360" w:lineRule="exact"/>
        <w:jc w:val="center"/>
        <w:rPr>
          <w:rFonts w:hint="eastAsia" w:ascii="宋体" w:hAnsi="宋体"/>
          <w:b/>
          <w:sz w:val="30"/>
          <w:highlight w:val="none"/>
        </w:rPr>
      </w:pPr>
    </w:p>
    <w:p w14:paraId="7A237E26">
      <w:pPr>
        <w:spacing w:line="360" w:lineRule="exact"/>
        <w:jc w:val="center"/>
        <w:rPr>
          <w:rFonts w:hint="eastAsia" w:ascii="宋体" w:hAnsi="宋体"/>
          <w:b/>
          <w:sz w:val="30"/>
          <w:highlight w:val="none"/>
        </w:rPr>
      </w:pPr>
    </w:p>
    <w:p w14:paraId="50B4974E">
      <w:pPr>
        <w:spacing w:line="360" w:lineRule="exact"/>
        <w:jc w:val="center"/>
        <w:rPr>
          <w:rFonts w:hint="eastAsia" w:ascii="宋体" w:hAnsi="宋体"/>
          <w:b/>
          <w:sz w:val="30"/>
          <w:highlight w:val="none"/>
        </w:rPr>
      </w:pPr>
    </w:p>
    <w:p w14:paraId="2047F646">
      <w:pPr>
        <w:spacing w:line="360" w:lineRule="exact"/>
        <w:rPr>
          <w:rFonts w:hint="eastAsia" w:ascii="宋体" w:hAnsi="宋体"/>
          <w:b/>
          <w:sz w:val="30"/>
          <w:highlight w:val="none"/>
        </w:rPr>
      </w:pPr>
    </w:p>
    <w:p w14:paraId="4E0B0860">
      <w:pPr>
        <w:spacing w:line="360" w:lineRule="auto"/>
        <w:ind w:left="2560" w:hanging="2560" w:hangingChars="800"/>
        <w:rPr>
          <w:rFonts w:hint="eastAsia" w:ascii="宋体" w:hAnsi="宋体" w:eastAsia="宋体"/>
          <w:bCs/>
          <w:sz w:val="32"/>
          <w:szCs w:val="32"/>
          <w:highlight w:val="none"/>
          <w:u w:val="single"/>
          <w:lang w:eastAsia="zh-CN"/>
        </w:rPr>
      </w:pPr>
      <w:r>
        <w:rPr>
          <w:rFonts w:hint="eastAsia" w:ascii="宋体" w:hAnsi="宋体"/>
          <w:sz w:val="32"/>
          <w:szCs w:val="32"/>
          <w:highlight w:val="none"/>
        </w:rPr>
        <w:t xml:space="preserve">    项目名称</w:t>
      </w:r>
      <w:r>
        <w:rPr>
          <w:rFonts w:hint="eastAsia" w:ascii="宋体" w:hAnsi="宋体"/>
          <w:b/>
          <w:sz w:val="32"/>
          <w:szCs w:val="32"/>
          <w:highlight w:val="none"/>
        </w:rPr>
        <w:t>：</w:t>
      </w:r>
      <w:r>
        <w:rPr>
          <w:rFonts w:hint="eastAsia" w:ascii="宋体" w:hAnsi="宋体"/>
          <w:bCs/>
          <w:sz w:val="32"/>
          <w:szCs w:val="32"/>
          <w:highlight w:val="none"/>
          <w:u w:val="single"/>
        </w:rPr>
        <w:t xml:space="preserve"> </w:t>
      </w:r>
      <w:r>
        <w:rPr>
          <w:rFonts w:hint="eastAsia" w:ascii="宋体" w:hAnsi="宋体"/>
          <w:bCs/>
          <w:sz w:val="32"/>
          <w:szCs w:val="32"/>
          <w:highlight w:val="none"/>
          <w:u w:val="single"/>
          <w:lang w:eastAsia="zh-CN"/>
        </w:rPr>
        <w:t>南通市海门区应急管理局采购VR智能安全体验馆物业管理服务项目</w:t>
      </w:r>
    </w:p>
    <w:p w14:paraId="2EB4D371">
      <w:pPr>
        <w:spacing w:line="360" w:lineRule="auto"/>
        <w:ind w:left="2560" w:hanging="2560" w:hangingChars="800"/>
        <w:rPr>
          <w:rFonts w:ascii="宋体" w:hAnsi="宋体"/>
          <w:sz w:val="32"/>
          <w:szCs w:val="32"/>
          <w:highlight w:val="none"/>
        </w:rPr>
      </w:pPr>
    </w:p>
    <w:p w14:paraId="50204D55">
      <w:pPr>
        <w:spacing w:line="360" w:lineRule="auto"/>
        <w:ind w:firstLine="640" w:firstLineChars="200"/>
        <w:jc w:val="left"/>
        <w:rPr>
          <w:rFonts w:hint="eastAsia" w:ascii="宋体" w:hAnsi="宋体"/>
          <w:sz w:val="32"/>
          <w:szCs w:val="32"/>
          <w:highlight w:val="none"/>
          <w:u w:val="single"/>
        </w:rPr>
      </w:pPr>
      <w:r>
        <w:rPr>
          <w:rFonts w:hint="eastAsia" w:ascii="宋体" w:hAnsi="宋体"/>
          <w:sz w:val="32"/>
          <w:szCs w:val="32"/>
          <w:highlight w:val="none"/>
          <w:lang w:val="en-US" w:eastAsia="zh-CN"/>
        </w:rPr>
        <w:t>采购</w:t>
      </w:r>
      <w:r>
        <w:rPr>
          <w:rFonts w:hint="eastAsia" w:ascii="宋体" w:hAnsi="宋体"/>
          <w:sz w:val="32"/>
          <w:szCs w:val="32"/>
          <w:highlight w:val="none"/>
        </w:rPr>
        <w:t>单位：</w:t>
      </w:r>
      <w:r>
        <w:rPr>
          <w:rFonts w:hint="eastAsia" w:ascii="宋体" w:hAnsi="宋体"/>
          <w:sz w:val="32"/>
          <w:szCs w:val="32"/>
          <w:highlight w:val="none"/>
          <w:u w:val="single"/>
        </w:rPr>
        <w:t xml:space="preserve">       南通市海门区</w:t>
      </w:r>
      <w:r>
        <w:rPr>
          <w:rFonts w:hint="eastAsia" w:ascii="宋体" w:hAnsi="宋体"/>
          <w:sz w:val="32"/>
          <w:szCs w:val="32"/>
          <w:highlight w:val="none"/>
          <w:u w:val="single"/>
          <w:lang w:val="en-US" w:eastAsia="zh-CN"/>
        </w:rPr>
        <w:t>应急管理局</w:t>
      </w:r>
      <w:r>
        <w:rPr>
          <w:rFonts w:hint="eastAsia" w:ascii="宋体" w:hAnsi="宋体"/>
          <w:sz w:val="32"/>
          <w:szCs w:val="32"/>
          <w:highlight w:val="none"/>
          <w:u w:val="single"/>
        </w:rPr>
        <w:t xml:space="preserve">              </w:t>
      </w:r>
    </w:p>
    <w:p w14:paraId="51122F8A">
      <w:pPr>
        <w:spacing w:line="360" w:lineRule="exact"/>
        <w:jc w:val="center"/>
        <w:rPr>
          <w:rFonts w:hint="eastAsia" w:ascii="宋体" w:hAnsi="宋体"/>
          <w:sz w:val="30"/>
          <w:highlight w:val="none"/>
        </w:rPr>
      </w:pPr>
    </w:p>
    <w:p w14:paraId="15249656">
      <w:pPr>
        <w:spacing w:line="360" w:lineRule="exact"/>
        <w:jc w:val="center"/>
        <w:rPr>
          <w:rFonts w:hint="eastAsia" w:ascii="宋体" w:hAnsi="宋体"/>
          <w:sz w:val="30"/>
          <w:highlight w:val="none"/>
        </w:rPr>
      </w:pPr>
      <w:r>
        <w:rPr>
          <w:rFonts w:hint="eastAsia" w:ascii="宋体" w:hAnsi="宋体"/>
          <w:sz w:val="30"/>
          <w:highlight w:val="none"/>
        </w:rPr>
        <w:t xml:space="preserve"> </w:t>
      </w:r>
    </w:p>
    <w:p w14:paraId="1DE83901">
      <w:pPr>
        <w:spacing w:line="360" w:lineRule="exact"/>
        <w:jc w:val="center"/>
        <w:rPr>
          <w:rFonts w:hint="eastAsia" w:ascii="宋体" w:hAnsi="宋体"/>
          <w:sz w:val="30"/>
          <w:highlight w:val="none"/>
        </w:rPr>
      </w:pPr>
    </w:p>
    <w:p w14:paraId="7968493E">
      <w:pPr>
        <w:spacing w:line="360" w:lineRule="exact"/>
        <w:jc w:val="center"/>
        <w:rPr>
          <w:rFonts w:hint="eastAsia" w:ascii="宋体" w:hAnsi="宋体"/>
          <w:sz w:val="30"/>
          <w:highlight w:val="none"/>
        </w:rPr>
      </w:pPr>
    </w:p>
    <w:p w14:paraId="58285DF9">
      <w:pPr>
        <w:spacing w:line="360" w:lineRule="exact"/>
        <w:jc w:val="center"/>
        <w:rPr>
          <w:rFonts w:hint="eastAsia" w:ascii="宋体" w:hAnsi="宋体"/>
          <w:sz w:val="30"/>
          <w:highlight w:val="none"/>
        </w:rPr>
      </w:pPr>
    </w:p>
    <w:p w14:paraId="6901AE81">
      <w:pPr>
        <w:spacing w:line="360" w:lineRule="exact"/>
        <w:jc w:val="center"/>
        <w:rPr>
          <w:rFonts w:hint="eastAsia" w:ascii="宋体" w:hAnsi="宋体"/>
          <w:sz w:val="30"/>
          <w:highlight w:val="none"/>
        </w:rPr>
      </w:pPr>
    </w:p>
    <w:p w14:paraId="55DABC00">
      <w:pPr>
        <w:spacing w:line="360" w:lineRule="exact"/>
        <w:jc w:val="center"/>
        <w:rPr>
          <w:rFonts w:hint="eastAsia" w:ascii="宋体" w:hAnsi="宋体"/>
          <w:sz w:val="30"/>
          <w:highlight w:val="none"/>
        </w:rPr>
      </w:pPr>
    </w:p>
    <w:p w14:paraId="7A0EA327">
      <w:pPr>
        <w:spacing w:line="360" w:lineRule="exact"/>
        <w:jc w:val="center"/>
        <w:rPr>
          <w:rFonts w:hint="eastAsia" w:ascii="宋体" w:hAnsi="宋体"/>
          <w:sz w:val="30"/>
          <w:highlight w:val="none"/>
        </w:rPr>
      </w:pPr>
    </w:p>
    <w:p w14:paraId="67B7DB76">
      <w:pPr>
        <w:spacing w:line="360" w:lineRule="exact"/>
        <w:jc w:val="center"/>
        <w:rPr>
          <w:rFonts w:hint="eastAsia" w:ascii="宋体" w:hAnsi="宋体"/>
          <w:sz w:val="30"/>
          <w:highlight w:val="none"/>
        </w:rPr>
      </w:pPr>
    </w:p>
    <w:p w14:paraId="0905A564">
      <w:pPr>
        <w:spacing w:line="360" w:lineRule="auto"/>
        <w:ind w:right="2696" w:rightChars="1284" w:firstLine="2750" w:firstLineChars="856"/>
        <w:jc w:val="distribute"/>
        <w:rPr>
          <w:rFonts w:hint="eastAsia" w:ascii="宋体" w:hAnsi="宋体"/>
          <w:b/>
          <w:bCs/>
          <w:sz w:val="32"/>
          <w:highlight w:val="none"/>
          <w:u w:val="single"/>
        </w:rPr>
      </w:pPr>
    </w:p>
    <w:p w14:paraId="0B016615">
      <w:pPr>
        <w:spacing w:line="360" w:lineRule="auto"/>
        <w:ind w:right="2696" w:rightChars="1284" w:firstLine="2750" w:firstLineChars="856"/>
        <w:jc w:val="distribute"/>
        <w:rPr>
          <w:rFonts w:hint="eastAsia" w:ascii="宋体" w:hAnsi="宋体"/>
          <w:b/>
          <w:bCs/>
          <w:sz w:val="32"/>
          <w:highlight w:val="none"/>
          <w:u w:val="single"/>
        </w:rPr>
      </w:pPr>
    </w:p>
    <w:p w14:paraId="29A58FC6">
      <w:pPr>
        <w:spacing w:line="360" w:lineRule="auto"/>
        <w:ind w:right="2696" w:rightChars="1284" w:firstLine="2750" w:firstLineChars="856"/>
        <w:jc w:val="distribute"/>
        <w:rPr>
          <w:rFonts w:hint="eastAsia" w:ascii="宋体" w:hAnsi="宋体"/>
          <w:b/>
          <w:bCs/>
          <w:spacing w:val="2"/>
          <w:kern w:val="0"/>
          <w:sz w:val="32"/>
          <w:highlight w:val="none"/>
        </w:rPr>
      </w:pPr>
      <w:r>
        <w:rPr>
          <w:rFonts w:hint="eastAsia" w:ascii="宋体" w:hAnsi="宋体"/>
          <w:b/>
          <w:bCs/>
          <w:sz w:val="32"/>
          <w:highlight w:val="none"/>
          <w:u w:val="single"/>
        </w:rPr>
        <w:t>二○二</w:t>
      </w:r>
      <w:r>
        <w:rPr>
          <w:rFonts w:hint="eastAsia" w:ascii="宋体" w:hAnsi="宋体"/>
          <w:b/>
          <w:bCs/>
          <w:sz w:val="32"/>
          <w:highlight w:val="none"/>
          <w:u w:val="single"/>
          <w:lang w:val="en-US" w:eastAsia="zh-CN"/>
        </w:rPr>
        <w:t>四</w:t>
      </w:r>
      <w:r>
        <w:rPr>
          <w:rFonts w:hint="eastAsia" w:ascii="宋体" w:hAnsi="宋体"/>
          <w:b/>
          <w:bCs/>
          <w:sz w:val="32"/>
          <w:highlight w:val="none"/>
        </w:rPr>
        <w:t>年</w:t>
      </w:r>
      <w:r>
        <w:rPr>
          <w:rFonts w:hint="eastAsia" w:ascii="宋体" w:hAnsi="宋体"/>
          <w:b/>
          <w:bCs/>
          <w:sz w:val="32"/>
          <w:highlight w:val="none"/>
          <w:u w:val="single"/>
        </w:rPr>
        <w:t xml:space="preserve"> </w:t>
      </w:r>
      <w:r>
        <w:rPr>
          <w:rFonts w:hint="eastAsia" w:ascii="宋体" w:hAnsi="宋体"/>
          <w:b/>
          <w:bCs/>
          <w:sz w:val="32"/>
          <w:highlight w:val="none"/>
          <w:u w:val="single"/>
          <w:lang w:val="en-US" w:eastAsia="zh-CN"/>
        </w:rPr>
        <w:t xml:space="preserve">十一 </w:t>
      </w:r>
      <w:r>
        <w:rPr>
          <w:rFonts w:hint="eastAsia" w:ascii="宋体" w:hAnsi="宋体"/>
          <w:b/>
          <w:bCs/>
          <w:sz w:val="32"/>
          <w:highlight w:val="none"/>
          <w:u w:val="none"/>
          <w:lang w:val="en-US" w:eastAsia="zh-CN"/>
        </w:rPr>
        <w:t>月</w:t>
      </w:r>
      <w:r>
        <w:rPr>
          <w:rFonts w:hint="eastAsia" w:ascii="宋体" w:hAnsi="宋体"/>
          <w:b/>
          <w:bCs/>
          <w:sz w:val="32"/>
          <w:highlight w:val="none"/>
          <w:u w:val="single"/>
          <w:lang w:val="en-US" w:eastAsia="zh-CN"/>
        </w:rPr>
        <w:t xml:space="preserve"> 一 </w:t>
      </w:r>
      <w:r>
        <w:rPr>
          <w:rFonts w:hint="eastAsia" w:ascii="宋体" w:hAnsi="宋体"/>
          <w:b/>
          <w:bCs/>
          <w:sz w:val="32"/>
          <w:highlight w:val="none"/>
        </w:rPr>
        <w:t>日</w:t>
      </w:r>
    </w:p>
    <w:p w14:paraId="14600F93">
      <w:pPr>
        <w:spacing w:line="360" w:lineRule="auto"/>
        <w:rPr>
          <w:rFonts w:hint="eastAsia" w:ascii="宋体" w:hAnsi="宋体"/>
          <w:b/>
          <w:snapToGrid w:val="0"/>
          <w:color w:val="000000"/>
          <w:sz w:val="30"/>
          <w:szCs w:val="30"/>
          <w:highlight w:val="none"/>
        </w:rPr>
      </w:pPr>
    </w:p>
    <w:p w14:paraId="55A72660">
      <w:pPr>
        <w:spacing w:line="360" w:lineRule="auto"/>
        <w:rPr>
          <w:rFonts w:hint="eastAsia" w:ascii="宋体" w:hAnsi="宋体"/>
          <w:b/>
          <w:bCs/>
          <w:sz w:val="24"/>
          <w:highlight w:val="none"/>
        </w:rPr>
      </w:pPr>
      <w:r>
        <w:rPr>
          <w:rFonts w:hint="eastAsia" w:ascii="宋体" w:hAnsi="宋体"/>
          <w:b/>
          <w:snapToGrid w:val="0"/>
          <w:color w:val="000000"/>
          <w:sz w:val="30"/>
          <w:szCs w:val="30"/>
          <w:highlight w:val="none"/>
        </w:rPr>
        <w:t xml:space="preserve">    </w:t>
      </w:r>
    </w:p>
    <w:p w14:paraId="4A3C5892">
      <w:pPr>
        <w:numPr>
          <w:ilvl w:val="0"/>
          <w:numId w:val="2"/>
        </w:numPr>
        <w:spacing w:line="360" w:lineRule="auto"/>
        <w:jc w:val="center"/>
        <w:rPr>
          <w:rFonts w:hint="eastAsia" w:ascii="宋体" w:hAnsi="宋体"/>
          <w:b/>
          <w:bCs/>
          <w:sz w:val="36"/>
          <w:szCs w:val="36"/>
          <w:highlight w:val="none"/>
        </w:rPr>
      </w:pPr>
      <w:r>
        <w:rPr>
          <w:rFonts w:hint="eastAsia" w:ascii="宋体" w:hAnsi="宋体"/>
          <w:b/>
          <w:bCs/>
          <w:sz w:val="36"/>
          <w:szCs w:val="36"/>
          <w:highlight w:val="none"/>
        </w:rPr>
        <w:t xml:space="preserve"> </w:t>
      </w:r>
      <w:bookmarkStart w:id="0" w:name="_Toc5575584"/>
      <w:bookmarkStart w:id="1" w:name="_Toc20571334"/>
      <w:bookmarkStart w:id="2" w:name="_Toc5578647"/>
      <w:bookmarkStart w:id="3" w:name="_Toc20564500"/>
      <w:bookmarkStart w:id="4" w:name="_Toc20144954"/>
      <w:bookmarkStart w:id="5" w:name="_Toc20564588"/>
      <w:r>
        <w:rPr>
          <w:rFonts w:hint="eastAsia" w:ascii="宋体" w:hAnsi="宋体"/>
          <w:b/>
          <w:bCs/>
          <w:sz w:val="36"/>
          <w:szCs w:val="36"/>
          <w:highlight w:val="none"/>
        </w:rPr>
        <w:t>竞争性磋商公告</w:t>
      </w:r>
    </w:p>
    <w:p w14:paraId="431F326D">
      <w:pPr>
        <w:pStyle w:val="48"/>
        <w:rPr>
          <w:rFonts w:hint="eastAsia"/>
          <w:highlight w:val="none"/>
        </w:rPr>
      </w:pPr>
    </w:p>
    <w:bookmarkEnd w:id="0"/>
    <w:bookmarkEnd w:id="1"/>
    <w:bookmarkEnd w:id="2"/>
    <w:bookmarkEnd w:id="3"/>
    <w:bookmarkEnd w:id="4"/>
    <w:bookmarkEnd w:id="5"/>
    <w:p w14:paraId="7F98AEEB">
      <w:pPr>
        <w:widowControl/>
        <w:ind w:left="105" w:leftChars="5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根据政府服务相关法律法规的规定，就</w:t>
      </w:r>
      <w:r>
        <w:rPr>
          <w:rFonts w:hint="eastAsia" w:ascii="宋体" w:hAnsi="宋体" w:cs="宋体"/>
          <w:sz w:val="24"/>
          <w:szCs w:val="24"/>
          <w:highlight w:val="none"/>
          <w:u w:val="single"/>
          <w:lang w:eastAsia="zh-CN"/>
        </w:rPr>
        <w:t>南通市海门区应急管理局</w:t>
      </w:r>
      <w:r>
        <w:rPr>
          <w:rFonts w:hint="eastAsia" w:ascii="宋体" w:hAnsi="宋体" w:cs="宋体"/>
          <w:sz w:val="24"/>
          <w:szCs w:val="24"/>
          <w:highlight w:val="none"/>
          <w:u w:val="none"/>
          <w:lang w:val="en-US" w:eastAsia="zh-CN"/>
        </w:rPr>
        <w:t>的</w:t>
      </w:r>
      <w:r>
        <w:rPr>
          <w:rFonts w:hint="eastAsia" w:ascii="宋体" w:hAnsi="宋体" w:cs="宋体"/>
          <w:sz w:val="24"/>
          <w:szCs w:val="24"/>
          <w:highlight w:val="none"/>
          <w:u w:val="single"/>
          <w:lang w:eastAsia="zh-CN"/>
        </w:rPr>
        <w:t>南通市海门区应急管理局采购VR智能安全体验馆物业管理服务项目</w:t>
      </w:r>
      <w:r>
        <w:rPr>
          <w:rFonts w:hint="eastAsia" w:ascii="宋体" w:hAnsi="宋体" w:cs="宋体"/>
          <w:sz w:val="24"/>
          <w:szCs w:val="24"/>
          <w:highlight w:val="none"/>
        </w:rPr>
        <w:t>进行</w:t>
      </w:r>
      <w:r>
        <w:rPr>
          <w:rFonts w:hint="eastAsia" w:ascii="宋体" w:hAnsi="宋体" w:cs="宋体"/>
          <w:sz w:val="24"/>
          <w:szCs w:val="24"/>
          <w:highlight w:val="none"/>
          <w:u w:val="single"/>
        </w:rPr>
        <w:t>竞争性磋商</w:t>
      </w:r>
      <w:r>
        <w:rPr>
          <w:rFonts w:hint="eastAsia" w:ascii="宋体" w:hAnsi="宋体" w:cs="宋体"/>
          <w:sz w:val="24"/>
          <w:szCs w:val="24"/>
          <w:highlight w:val="none"/>
        </w:rPr>
        <w:t>，欢迎符合要求的单位前来参与竞争性磋商。</w:t>
      </w:r>
    </w:p>
    <w:p w14:paraId="3CF43EE0">
      <w:pPr>
        <w:numPr>
          <w:ilvl w:val="0"/>
          <w:numId w:val="3"/>
        </w:numPr>
        <w:ind w:firstLine="480" w:firstLineChars="200"/>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u w:val="single"/>
          <w:lang w:eastAsia="zh-CN"/>
        </w:rPr>
        <w:t>南通市海门区应急管理局采购VR智能安全体验馆物业管理服务项目</w:t>
      </w:r>
    </w:p>
    <w:p w14:paraId="771A740B">
      <w:pPr>
        <w:ind w:firstLine="960" w:firstLineChars="400"/>
        <w:rPr>
          <w:rFonts w:hint="eastAsia" w:ascii="宋体" w:hAnsi="宋体" w:cs="宋体"/>
          <w:sz w:val="24"/>
          <w:szCs w:val="24"/>
          <w:highlight w:val="none"/>
        </w:rPr>
      </w:pPr>
      <w:r>
        <w:rPr>
          <w:rFonts w:hint="eastAsia" w:ascii="宋体" w:hAnsi="宋体" w:cs="宋体"/>
          <w:sz w:val="24"/>
          <w:szCs w:val="24"/>
          <w:highlight w:val="none"/>
          <w:shd w:val="clear" w:color="auto" w:fill="FFFFFF"/>
        </w:rPr>
        <w:t>本项目主要内容简介：详见项目需求。</w:t>
      </w:r>
    </w:p>
    <w:p w14:paraId="3C543414">
      <w:pPr>
        <w:widowControl/>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二、本项目最高限价为</w:t>
      </w:r>
      <w:r>
        <w:rPr>
          <w:rFonts w:hint="eastAsia" w:ascii="宋体" w:hAnsi="宋体" w:cs="宋体"/>
          <w:sz w:val="24"/>
          <w:szCs w:val="24"/>
          <w:highlight w:val="none"/>
          <w:lang w:val="en-US" w:eastAsia="zh-CN"/>
        </w:rPr>
        <w:t>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23.9 </w:t>
      </w:r>
      <w:r>
        <w:rPr>
          <w:rFonts w:hint="eastAsia" w:ascii="宋体" w:hAnsi="宋体" w:cs="宋体"/>
          <w:sz w:val="24"/>
          <w:szCs w:val="24"/>
          <w:highlight w:val="none"/>
        </w:rPr>
        <w:t>万元，投标报价超过最高限价的视为无效报价。</w:t>
      </w:r>
    </w:p>
    <w:p w14:paraId="17C3CE3D">
      <w:pPr>
        <w:widowControl/>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三、投标供应商的资格要求</w:t>
      </w:r>
      <w:r>
        <w:rPr>
          <w:rFonts w:hint="eastAsia" w:ascii="宋体" w:hAnsi="宋体" w:cs="宋体"/>
          <w:sz w:val="24"/>
          <w:szCs w:val="24"/>
          <w:highlight w:val="none"/>
          <w:lang w:eastAsia="zh-CN"/>
        </w:rPr>
        <w:t>：</w:t>
      </w:r>
    </w:p>
    <w:p w14:paraId="75667757">
      <w:pPr>
        <w:ind w:firstLine="480" w:firstLineChars="200"/>
        <w:rPr>
          <w:rFonts w:hint="eastAsia" w:ascii="宋体" w:hAnsi="宋体" w:cs="宋体"/>
          <w:sz w:val="24"/>
          <w:szCs w:val="24"/>
          <w:highlight w:val="none"/>
        </w:rPr>
      </w:pPr>
      <w:r>
        <w:rPr>
          <w:rFonts w:hint="eastAsia" w:ascii="宋体" w:hAnsi="宋体" w:cs="宋体"/>
          <w:sz w:val="24"/>
          <w:szCs w:val="24"/>
          <w:highlight w:val="none"/>
        </w:rPr>
        <w:t>1.符合《中华人民共和国政府采购法》第二十二条对供应商的资格要求；</w:t>
      </w:r>
    </w:p>
    <w:p w14:paraId="6026EE2E">
      <w:pPr>
        <w:pStyle w:val="24"/>
        <w:numPr>
          <w:ilvl w:val="0"/>
          <w:numId w:val="4"/>
        </w:numPr>
        <w:shd w:val="clear" w:color="auto" w:fill="FFFFFF"/>
        <w:spacing w:before="0" w:beforeAutospacing="0" w:after="0" w:afterAutospacing="0"/>
        <w:ind w:firstLine="480" w:firstLineChars="200"/>
        <w:jc w:val="both"/>
        <w:rPr>
          <w:rFonts w:hint="eastAsia"/>
          <w:kern w:val="2"/>
          <w:highlight w:val="none"/>
        </w:rPr>
      </w:pPr>
      <w:r>
        <w:rPr>
          <w:rFonts w:hint="eastAsia"/>
          <w:kern w:val="2"/>
          <w:highlight w:val="none"/>
        </w:rPr>
        <w:t>本项目特定资格要求：</w:t>
      </w:r>
      <w:r>
        <w:rPr>
          <w:rFonts w:hint="eastAsia"/>
          <w:kern w:val="2"/>
          <w:highlight w:val="none"/>
          <w:lang w:val="en-US" w:eastAsia="zh-CN"/>
        </w:rPr>
        <w:t>无。</w:t>
      </w:r>
    </w:p>
    <w:p w14:paraId="6DC91366">
      <w:pPr>
        <w:widowControl/>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四、招标</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方式： 竞争性磋商。</w:t>
      </w:r>
    </w:p>
    <w:p w14:paraId="36F59FA4">
      <w:pPr>
        <w:widowControl/>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五、</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文件获取：</w:t>
      </w:r>
    </w:p>
    <w:p w14:paraId="2C903790">
      <w:pPr>
        <w:pStyle w:val="24"/>
        <w:shd w:val="clear" w:color="auto" w:fill="FFFFFF"/>
        <w:spacing w:before="0" w:beforeAutospacing="0" w:after="0" w:afterAutospacing="0"/>
        <w:ind w:firstLine="480" w:firstLineChars="200"/>
        <w:jc w:val="both"/>
        <w:rPr>
          <w:highlight w:val="none"/>
        </w:rPr>
      </w:pPr>
      <w:r>
        <w:rPr>
          <w:rFonts w:hint="eastAsia"/>
          <w:kern w:val="2"/>
          <w:highlight w:val="none"/>
        </w:rPr>
        <w:t>符合招标条件的供应商如决定参与投标，请登录</w:t>
      </w:r>
      <w:r>
        <w:rPr>
          <w:rFonts w:hint="eastAsia"/>
          <w:b/>
          <w:highlight w:val="none"/>
        </w:rPr>
        <w:t>南通市海门区人民政府官网（</w:t>
      </w:r>
      <w:r>
        <w:rPr>
          <w:b/>
          <w:highlight w:val="none"/>
        </w:rPr>
        <w:t>http://www.haimen.gov.cn</w:t>
      </w:r>
      <w:r>
        <w:rPr>
          <w:rFonts w:hint="eastAsia"/>
          <w:b/>
          <w:highlight w:val="none"/>
          <w:lang w:eastAsia="zh-CN"/>
        </w:rPr>
        <w:t>）－</w:t>
      </w:r>
      <w:r>
        <w:rPr>
          <w:rFonts w:hint="eastAsia"/>
          <w:b/>
          <w:highlight w:val="none"/>
        </w:rPr>
        <w:t>政府信息公开</w:t>
      </w:r>
      <w:r>
        <w:rPr>
          <w:rFonts w:hint="eastAsia"/>
          <w:b/>
          <w:highlight w:val="none"/>
          <w:lang w:eastAsia="zh-CN"/>
        </w:rPr>
        <w:t>－</w:t>
      </w:r>
      <w:r>
        <w:rPr>
          <w:rFonts w:hint="eastAsia"/>
          <w:b/>
          <w:highlight w:val="none"/>
          <w:lang w:val="en-US" w:eastAsia="zh-CN"/>
        </w:rPr>
        <w:t>应急管理</w:t>
      </w:r>
      <w:r>
        <w:rPr>
          <w:rFonts w:hint="eastAsia"/>
          <w:b/>
          <w:highlight w:val="none"/>
        </w:rPr>
        <w:t>局</w:t>
      </w:r>
      <w:r>
        <w:rPr>
          <w:rFonts w:hint="eastAsia"/>
          <w:highlight w:val="none"/>
        </w:rPr>
        <w:t>下载</w:t>
      </w:r>
      <w:r>
        <w:rPr>
          <w:rFonts w:hint="eastAsia"/>
          <w:kern w:val="2"/>
          <w:highlight w:val="none"/>
        </w:rPr>
        <w:t>。</w:t>
      </w:r>
    </w:p>
    <w:p w14:paraId="388A74A3">
      <w:pPr>
        <w:ind w:firstLine="480" w:firstLineChars="200"/>
        <w:rPr>
          <w:rFonts w:hint="eastAsia" w:ascii="宋体" w:hAnsi="宋体" w:cs="宋体"/>
          <w:sz w:val="24"/>
          <w:szCs w:val="24"/>
          <w:highlight w:val="none"/>
        </w:rPr>
      </w:pPr>
      <w:r>
        <w:rPr>
          <w:rFonts w:hint="eastAsia" w:ascii="宋体" w:hAnsi="宋体" w:cs="宋体"/>
          <w:sz w:val="24"/>
          <w:szCs w:val="24"/>
          <w:highlight w:val="none"/>
        </w:rPr>
        <w:t>六、投标保证金：免收取。</w:t>
      </w:r>
    </w:p>
    <w:p w14:paraId="6F6F5116">
      <w:pPr>
        <w:widowControl/>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七、投标截止及开标时间：202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11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12</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15:00</w:t>
      </w:r>
      <w:r>
        <w:rPr>
          <w:rFonts w:hint="eastAsia" w:ascii="宋体" w:hAnsi="宋体" w:cs="宋体"/>
          <w:color w:val="000000"/>
          <w:sz w:val="24"/>
          <w:szCs w:val="24"/>
          <w:highlight w:val="none"/>
        </w:rPr>
        <w:t>（北京时间）。</w:t>
      </w:r>
    </w:p>
    <w:p w14:paraId="08ED5A7F">
      <w:pPr>
        <w:widowControl/>
        <w:ind w:firstLine="480" w:firstLineChars="200"/>
        <w:jc w:val="left"/>
        <w:rPr>
          <w:rFonts w:hint="default" w:ascii="宋体" w:hAnsi="宋体" w:eastAsia="宋体" w:cs="宋体"/>
          <w:color w:val="000000"/>
          <w:sz w:val="24"/>
          <w:szCs w:val="24"/>
          <w:highlight w:val="none"/>
          <w:u w:val="single"/>
          <w:lang w:val="en-US" w:eastAsia="zh-CN"/>
        </w:rPr>
      </w:pPr>
      <w:r>
        <w:rPr>
          <w:rFonts w:hint="eastAsia" w:ascii="宋体" w:hAnsi="宋体" w:cs="宋体"/>
          <w:color w:val="000000"/>
          <w:sz w:val="24"/>
          <w:szCs w:val="24"/>
          <w:highlight w:val="none"/>
        </w:rPr>
        <w:t>八、递交投标文件、开标地点：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南通市海门区行政中心14楼东南角会议室。 </w:t>
      </w:r>
    </w:p>
    <w:p w14:paraId="3D778C9A">
      <w:pPr>
        <w:widowControl/>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九、联系方式：</w:t>
      </w:r>
    </w:p>
    <w:p w14:paraId="6D01DD84">
      <w:pPr>
        <w:pStyle w:val="60"/>
        <w:spacing w:before="0" w:beforeAutospacing="0" w:after="145" w:afterLines="50" w:afterAutospacing="0"/>
        <w:ind w:firstLine="482"/>
        <w:rPr>
          <w:rFonts w:hint="default" w:eastAsia="宋体"/>
          <w:highlight w:val="none"/>
          <w:lang w:val="en-US" w:eastAsia="zh-CN"/>
        </w:rPr>
      </w:pPr>
      <w:r>
        <w:rPr>
          <w:rFonts w:hint="eastAsia"/>
          <w:highlight w:val="none"/>
          <w:lang w:val="en-US" w:eastAsia="zh-CN"/>
        </w:rPr>
        <w:t>采购</w:t>
      </w:r>
      <w:r>
        <w:rPr>
          <w:rFonts w:hint="eastAsia"/>
          <w:highlight w:val="none"/>
        </w:rPr>
        <w:t>单位联系人：</w:t>
      </w:r>
      <w:r>
        <w:rPr>
          <w:rFonts w:hint="eastAsia"/>
          <w:highlight w:val="none"/>
          <w:lang w:val="en-US" w:eastAsia="zh-CN"/>
        </w:rPr>
        <w:t>吴</w:t>
      </w:r>
      <w:r>
        <w:rPr>
          <w:rFonts w:hint="eastAsia"/>
          <w:highlight w:val="none"/>
        </w:rPr>
        <w:t>先生 联系电话：17318300121</w:t>
      </w:r>
      <w:r>
        <w:rPr>
          <w:rFonts w:hint="eastAsia"/>
          <w:highlight w:val="none"/>
          <w:lang w:val="en-US" w:eastAsia="zh-CN"/>
        </w:rPr>
        <w:t>。</w:t>
      </w:r>
    </w:p>
    <w:p w14:paraId="558D9F18">
      <w:pPr>
        <w:widowControl/>
        <w:ind w:left="479" w:leftChars="228"/>
        <w:jc w:val="left"/>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采购</w:t>
      </w:r>
      <w:r>
        <w:rPr>
          <w:rFonts w:ascii="宋体" w:hAnsi="宋体" w:cs="宋体"/>
          <w:kern w:val="0"/>
          <w:sz w:val="24"/>
          <w:szCs w:val="24"/>
          <w:highlight w:val="none"/>
          <w:lang w:bidi="ar"/>
        </w:rPr>
        <w:t>单位联系地址：</w:t>
      </w:r>
      <w:r>
        <w:rPr>
          <w:rFonts w:hint="eastAsia" w:ascii="宋体" w:hAnsi="宋体" w:cs="宋体"/>
          <w:kern w:val="0"/>
          <w:sz w:val="24"/>
          <w:szCs w:val="24"/>
          <w:highlight w:val="none"/>
          <w:lang w:val="en-US" w:eastAsia="zh-CN" w:bidi="ar"/>
        </w:rPr>
        <w:t>南通市海门区北京中路600</w:t>
      </w:r>
      <w:del w:id="0" w:author="口天吴" w:date="2024-11-01T15:48:46Z">
        <w:r>
          <w:rPr>
            <w:rFonts w:hint="eastAsia" w:ascii="宋体" w:hAnsi="宋体" w:cs="宋体"/>
            <w:kern w:val="0"/>
            <w:sz w:val="24"/>
            <w:szCs w:val="24"/>
            <w:highlight w:val="none"/>
            <w:lang w:val="en-US" w:eastAsia="zh-CN" w:bidi="ar"/>
          </w:rPr>
          <w:delText xml:space="preserve">号行政中心 </w:delText>
        </w:r>
      </w:del>
      <w:r>
        <w:rPr>
          <w:rFonts w:hint="eastAsia" w:ascii="宋体" w:hAnsi="宋体" w:cs="宋体"/>
          <w:kern w:val="0"/>
          <w:sz w:val="24"/>
          <w:szCs w:val="24"/>
          <w:highlight w:val="none"/>
          <w:lang w:val="en-US" w:eastAsia="zh-CN" w:bidi="ar"/>
        </w:rPr>
        <w:t xml:space="preserve">    </w:t>
      </w:r>
    </w:p>
    <w:p w14:paraId="4A488D29">
      <w:pPr>
        <w:widowControl/>
        <w:jc w:val="left"/>
        <w:rPr>
          <w:rFonts w:hint="eastAsia" w:ascii="宋体" w:hAnsi="宋体" w:cs="宋体"/>
          <w:b/>
          <w:sz w:val="24"/>
          <w:szCs w:val="24"/>
          <w:highlight w:val="none"/>
        </w:rPr>
      </w:pPr>
      <w:r>
        <w:rPr>
          <w:rFonts w:hint="eastAsia" w:ascii="宋体" w:hAnsi="宋体" w:cs="宋体"/>
          <w:b/>
          <w:sz w:val="24"/>
          <w:szCs w:val="24"/>
          <w:highlight w:val="none"/>
        </w:rPr>
        <w:t>友情提醒：</w:t>
      </w:r>
    </w:p>
    <w:p w14:paraId="79CDEC8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1、请各供应商连续关注本网站可能发生的相关变化等信息。如没有及时获悉相关变化而引起的后果由供应商自负。</w:t>
      </w:r>
    </w:p>
    <w:p w14:paraId="280DD6D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2、请各供应商认真阅读招标文件，</w:t>
      </w:r>
      <w:r>
        <w:rPr>
          <w:rFonts w:hint="eastAsia" w:ascii="宋体" w:hAnsi="宋体" w:cs="宋体"/>
          <w:b/>
          <w:sz w:val="24"/>
          <w:szCs w:val="24"/>
          <w:highlight w:val="none"/>
        </w:rPr>
        <w:t>严格遵守时间</w:t>
      </w:r>
      <w:r>
        <w:rPr>
          <w:rFonts w:hint="eastAsia" w:ascii="宋体" w:hAnsi="宋体" w:cs="宋体"/>
          <w:sz w:val="24"/>
          <w:szCs w:val="24"/>
          <w:highlight w:val="none"/>
        </w:rPr>
        <w:t>、资料提供等相关约定。</w:t>
      </w:r>
    </w:p>
    <w:p w14:paraId="2C525E4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zh-CN"/>
        </w:rPr>
        <w:t>请各</w:t>
      </w:r>
      <w:r>
        <w:rPr>
          <w:rFonts w:hint="eastAsia" w:ascii="宋体" w:hAnsi="宋体" w:cs="宋体"/>
          <w:sz w:val="24"/>
          <w:szCs w:val="24"/>
          <w:highlight w:val="none"/>
        </w:rPr>
        <w:t>供应商认真对照资格要求，如不符合要求，无意或故意参与报名、投标所产生的一切后果由供应商自行承担。</w:t>
      </w:r>
    </w:p>
    <w:p w14:paraId="1E2F49F2">
      <w:pPr>
        <w:spacing w:line="400" w:lineRule="exact"/>
        <w:jc w:val="center"/>
        <w:rPr>
          <w:rFonts w:hint="eastAsia" w:ascii="宋体" w:hAnsi="宋体"/>
          <w:b/>
          <w:bCs/>
          <w:sz w:val="24"/>
          <w:szCs w:val="24"/>
          <w:highlight w:val="none"/>
        </w:rPr>
      </w:pPr>
    </w:p>
    <w:p w14:paraId="4DA72B63">
      <w:pPr>
        <w:jc w:val="center"/>
        <w:rPr>
          <w:rFonts w:hint="eastAsia" w:ascii="宋体" w:hAnsi="宋体"/>
          <w:b/>
          <w:bCs/>
          <w:sz w:val="44"/>
          <w:highlight w:val="none"/>
        </w:rPr>
      </w:pPr>
    </w:p>
    <w:p w14:paraId="6CC9C276">
      <w:pPr>
        <w:jc w:val="center"/>
        <w:rPr>
          <w:rFonts w:hint="eastAsia" w:ascii="宋体" w:hAnsi="宋体"/>
          <w:b/>
          <w:bCs/>
          <w:sz w:val="44"/>
          <w:highlight w:val="none"/>
        </w:rPr>
      </w:pPr>
    </w:p>
    <w:p w14:paraId="346AC29D">
      <w:pPr>
        <w:jc w:val="center"/>
        <w:rPr>
          <w:rFonts w:hint="eastAsia" w:ascii="宋体" w:hAnsi="宋体"/>
          <w:b/>
          <w:bCs/>
          <w:sz w:val="44"/>
          <w:highlight w:val="none"/>
        </w:rPr>
      </w:pPr>
    </w:p>
    <w:p w14:paraId="489F7CC7">
      <w:pPr>
        <w:jc w:val="center"/>
        <w:rPr>
          <w:rFonts w:hint="eastAsia" w:ascii="宋体" w:hAnsi="宋体"/>
          <w:b/>
          <w:bCs/>
          <w:sz w:val="44"/>
          <w:highlight w:val="none"/>
        </w:rPr>
      </w:pPr>
    </w:p>
    <w:p w14:paraId="0B37D781">
      <w:pPr>
        <w:jc w:val="center"/>
        <w:rPr>
          <w:rFonts w:hint="eastAsia" w:ascii="宋体" w:hAnsi="宋体"/>
          <w:b/>
          <w:bCs/>
          <w:sz w:val="44"/>
          <w:highlight w:val="none"/>
        </w:rPr>
      </w:pPr>
    </w:p>
    <w:p w14:paraId="486F15A4">
      <w:pPr>
        <w:pStyle w:val="15"/>
        <w:rPr>
          <w:rFonts w:hint="eastAsia" w:ascii="宋体" w:hAnsi="宋体"/>
          <w:b/>
          <w:bCs/>
          <w:sz w:val="44"/>
          <w:highlight w:val="none"/>
        </w:rPr>
      </w:pPr>
    </w:p>
    <w:p w14:paraId="7D682553">
      <w:pPr>
        <w:pStyle w:val="23"/>
        <w:rPr>
          <w:rFonts w:hint="eastAsia" w:ascii="宋体" w:hAnsi="宋体"/>
          <w:b/>
          <w:bCs/>
          <w:sz w:val="44"/>
          <w:highlight w:val="none"/>
        </w:rPr>
      </w:pPr>
    </w:p>
    <w:p w14:paraId="0338C593">
      <w:pPr>
        <w:pStyle w:val="15"/>
        <w:rPr>
          <w:rFonts w:hint="eastAsia" w:ascii="宋体" w:hAnsi="宋体"/>
          <w:b/>
          <w:bCs/>
          <w:sz w:val="44"/>
          <w:highlight w:val="none"/>
        </w:rPr>
      </w:pPr>
    </w:p>
    <w:p w14:paraId="7A9F7C0B">
      <w:pPr>
        <w:pStyle w:val="23"/>
        <w:rPr>
          <w:rFonts w:hint="eastAsia"/>
        </w:rPr>
      </w:pPr>
    </w:p>
    <w:p w14:paraId="77D4BB5C">
      <w:pPr>
        <w:jc w:val="center"/>
        <w:rPr>
          <w:rFonts w:hint="eastAsia" w:ascii="宋体" w:hAnsi="宋体"/>
          <w:b/>
          <w:bCs/>
          <w:sz w:val="44"/>
          <w:highlight w:val="none"/>
        </w:rPr>
      </w:pPr>
    </w:p>
    <w:p w14:paraId="681C3CD4">
      <w:pPr>
        <w:pStyle w:val="7"/>
        <w:rPr>
          <w:rFonts w:hint="eastAsia" w:ascii="宋体" w:hAnsi="宋体"/>
          <w:b/>
          <w:bCs/>
          <w:sz w:val="44"/>
          <w:highlight w:val="none"/>
        </w:rPr>
      </w:pPr>
    </w:p>
    <w:p w14:paraId="39751AAD">
      <w:pPr>
        <w:pStyle w:val="48"/>
        <w:rPr>
          <w:rFonts w:hint="eastAsia" w:ascii="宋体" w:hAnsi="宋体"/>
          <w:b/>
          <w:bCs/>
          <w:sz w:val="44"/>
          <w:highlight w:val="none"/>
        </w:rPr>
      </w:pPr>
    </w:p>
    <w:p w14:paraId="7027F801">
      <w:pPr>
        <w:pStyle w:val="48"/>
        <w:rPr>
          <w:rFonts w:hint="eastAsia" w:ascii="宋体" w:hAnsi="宋体"/>
          <w:b/>
          <w:bCs/>
          <w:sz w:val="44"/>
          <w:highlight w:val="none"/>
        </w:rPr>
      </w:pPr>
    </w:p>
    <w:p w14:paraId="0FA2131A">
      <w:pPr>
        <w:pStyle w:val="48"/>
        <w:rPr>
          <w:rFonts w:hint="eastAsia" w:ascii="宋体" w:hAnsi="宋体"/>
          <w:b/>
          <w:bCs/>
          <w:sz w:val="44"/>
          <w:highlight w:val="none"/>
        </w:rPr>
      </w:pPr>
    </w:p>
    <w:p w14:paraId="0D443F2F">
      <w:pPr>
        <w:pStyle w:val="48"/>
        <w:rPr>
          <w:rFonts w:hint="eastAsia" w:ascii="宋体" w:hAnsi="宋体"/>
          <w:b/>
          <w:bCs/>
          <w:sz w:val="44"/>
          <w:highlight w:val="none"/>
        </w:rPr>
      </w:pPr>
    </w:p>
    <w:p w14:paraId="1B39D357">
      <w:pPr>
        <w:pStyle w:val="48"/>
        <w:rPr>
          <w:rFonts w:hint="eastAsia" w:ascii="宋体" w:hAnsi="宋体"/>
          <w:b/>
          <w:bCs/>
          <w:sz w:val="44"/>
          <w:highlight w:val="none"/>
        </w:rPr>
      </w:pPr>
    </w:p>
    <w:p w14:paraId="5B8796AE">
      <w:pPr>
        <w:pStyle w:val="48"/>
        <w:rPr>
          <w:rFonts w:hint="eastAsia" w:ascii="宋体" w:hAnsi="宋体"/>
          <w:b/>
          <w:bCs/>
          <w:sz w:val="44"/>
          <w:highlight w:val="none"/>
        </w:rPr>
      </w:pPr>
    </w:p>
    <w:p w14:paraId="39F2DD2A">
      <w:pPr>
        <w:pStyle w:val="48"/>
        <w:rPr>
          <w:rFonts w:hint="eastAsia" w:ascii="宋体" w:hAnsi="宋体"/>
          <w:b/>
          <w:bCs/>
          <w:sz w:val="44"/>
          <w:highlight w:val="none"/>
        </w:rPr>
      </w:pPr>
    </w:p>
    <w:p w14:paraId="108C6245">
      <w:pPr>
        <w:pStyle w:val="48"/>
        <w:rPr>
          <w:rFonts w:hint="eastAsia" w:ascii="宋体" w:hAnsi="宋体"/>
          <w:b/>
          <w:bCs/>
          <w:sz w:val="44"/>
          <w:highlight w:val="none"/>
        </w:rPr>
      </w:pPr>
    </w:p>
    <w:p w14:paraId="7D464C90">
      <w:pPr>
        <w:pStyle w:val="48"/>
        <w:rPr>
          <w:rFonts w:hint="eastAsia" w:ascii="宋体" w:hAnsi="宋体"/>
          <w:b/>
          <w:bCs/>
          <w:sz w:val="44"/>
          <w:highlight w:val="none"/>
        </w:rPr>
      </w:pPr>
    </w:p>
    <w:p w14:paraId="0F9CCE5B">
      <w:pPr>
        <w:pStyle w:val="48"/>
        <w:rPr>
          <w:rFonts w:hint="eastAsia" w:ascii="宋体" w:hAnsi="宋体"/>
          <w:b/>
          <w:bCs/>
          <w:sz w:val="44"/>
          <w:highlight w:val="none"/>
        </w:rPr>
      </w:pPr>
    </w:p>
    <w:p w14:paraId="20C3AAF9">
      <w:pPr>
        <w:pStyle w:val="48"/>
        <w:rPr>
          <w:rFonts w:hint="eastAsia" w:ascii="宋体" w:hAnsi="宋体"/>
          <w:b/>
          <w:bCs/>
          <w:sz w:val="44"/>
          <w:highlight w:val="none"/>
        </w:rPr>
      </w:pPr>
    </w:p>
    <w:p w14:paraId="2FA465F0">
      <w:pPr>
        <w:numPr>
          <w:ilvl w:val="0"/>
          <w:numId w:val="2"/>
        </w:numPr>
        <w:spacing w:line="360" w:lineRule="auto"/>
        <w:jc w:val="center"/>
        <w:rPr>
          <w:rFonts w:hint="eastAsia" w:ascii="宋体" w:hAnsi="宋体"/>
          <w:b/>
          <w:bCs/>
          <w:sz w:val="36"/>
          <w:szCs w:val="36"/>
          <w:highlight w:val="none"/>
        </w:rPr>
      </w:pPr>
      <w:r>
        <w:rPr>
          <w:rFonts w:hint="eastAsia" w:ascii="宋体" w:hAnsi="宋体"/>
          <w:b/>
          <w:bCs/>
          <w:sz w:val="36"/>
          <w:szCs w:val="36"/>
          <w:highlight w:val="none"/>
        </w:rPr>
        <w:t xml:space="preserve"> </w:t>
      </w:r>
      <w:r>
        <w:rPr>
          <w:rFonts w:hint="eastAsia" w:ascii="宋体" w:hAnsi="宋体"/>
          <w:b/>
          <w:bCs/>
          <w:sz w:val="36"/>
          <w:szCs w:val="36"/>
          <w:highlight w:val="none"/>
          <w:lang w:val="en-US" w:eastAsia="zh-CN"/>
        </w:rPr>
        <w:t>采购</w:t>
      </w:r>
      <w:r>
        <w:rPr>
          <w:rFonts w:hint="eastAsia" w:ascii="宋体" w:hAnsi="宋体"/>
          <w:b/>
          <w:bCs/>
          <w:sz w:val="36"/>
          <w:szCs w:val="36"/>
          <w:highlight w:val="none"/>
        </w:rPr>
        <w:t>项目需求</w:t>
      </w:r>
    </w:p>
    <w:p w14:paraId="3B1ABF2B">
      <w:pPr>
        <w:pStyle w:val="7"/>
        <w:ind w:firstLine="0"/>
        <w:rPr>
          <w:rFonts w:hint="eastAsia"/>
          <w:highlight w:val="none"/>
        </w:rPr>
      </w:pPr>
    </w:p>
    <w:p w14:paraId="529EB193">
      <w:pPr>
        <w:adjustRightInd w:val="0"/>
        <w:snapToGrid w:val="0"/>
        <w:spacing w:line="500" w:lineRule="exact"/>
        <w:ind w:firstLine="482" w:firstLineChars="200"/>
        <w:rPr>
          <w:rFonts w:ascii="宋体" w:hAnsi="宋体" w:cs="宋体"/>
          <w:b/>
          <w:sz w:val="24"/>
          <w:szCs w:val="24"/>
          <w:highlight w:val="none"/>
        </w:rPr>
      </w:pPr>
      <w:bookmarkStart w:id="6" w:name="_Toc52352447"/>
      <w:r>
        <w:rPr>
          <w:rFonts w:hint="eastAsia" w:ascii="宋体" w:hAnsi="宋体" w:cs="宋体"/>
          <w:b/>
          <w:sz w:val="24"/>
          <w:szCs w:val="24"/>
          <w:highlight w:val="none"/>
          <w:lang w:val="en-US" w:eastAsia="zh-CN"/>
        </w:rPr>
        <w:t>一、</w:t>
      </w:r>
      <w:r>
        <w:rPr>
          <w:rFonts w:hint="eastAsia" w:ascii="宋体" w:hAnsi="宋体" w:cs="宋体"/>
          <w:b/>
          <w:sz w:val="24"/>
          <w:szCs w:val="24"/>
          <w:highlight w:val="none"/>
        </w:rPr>
        <w:t>项目概况</w:t>
      </w:r>
    </w:p>
    <w:p w14:paraId="019EA406">
      <w:pPr>
        <w:adjustRightInd w:val="0"/>
        <w:snapToGrid w:val="0"/>
        <w:spacing w:line="500" w:lineRule="exact"/>
        <w:ind w:firstLine="480" w:firstLineChars="200"/>
        <w:rPr>
          <w:rFonts w:hint="eastAsia" w:ascii="宋体" w:hAnsi="宋体" w:cs="宋体"/>
          <w:b w:val="0"/>
          <w:bCs/>
          <w:sz w:val="24"/>
          <w:szCs w:val="24"/>
          <w:highlight w:val="none"/>
        </w:rPr>
      </w:pPr>
      <w:r>
        <w:rPr>
          <w:rFonts w:hint="eastAsia" w:ascii="宋体" w:hAnsi="宋体" w:cs="宋体"/>
          <w:b w:val="0"/>
          <w:bCs/>
          <w:sz w:val="24"/>
          <w:szCs w:val="24"/>
          <w:highlight w:val="none"/>
        </w:rPr>
        <w:t>本次项目为南通市海门区VR智能安全体验馆的物业服务进行统一采购。投标人应根据招标要求，在对现场、周边环境全面了解的情况下编制科学合理、切实可行的组织实施计划以及具体的保障措施、工作程序等。投标人须依照现代企业制度，以合理的服务流程和服务人数、优良的服务质量、科学的物业养护、稳定的服务队伍、优惠的价格来制订详细的服务方案，充分体现自身的实力，发挥自身优势，用热心、爱心、专心、贴心服务，为</w:t>
      </w:r>
      <w:r>
        <w:rPr>
          <w:rFonts w:hint="eastAsia" w:ascii="宋体" w:hAnsi="宋体" w:cs="宋体"/>
          <w:b w:val="0"/>
          <w:bCs/>
          <w:sz w:val="24"/>
          <w:szCs w:val="24"/>
          <w:highlight w:val="none"/>
          <w:lang w:val="en-US" w:eastAsia="zh-CN"/>
        </w:rPr>
        <w:t>VR体验馆</w:t>
      </w:r>
      <w:r>
        <w:rPr>
          <w:rFonts w:hint="eastAsia" w:ascii="宋体" w:hAnsi="宋体" w:cs="宋体"/>
          <w:b w:val="0"/>
          <w:bCs/>
          <w:sz w:val="24"/>
          <w:szCs w:val="24"/>
          <w:highlight w:val="none"/>
        </w:rPr>
        <w:t>后勤社会化提供全方位、一体化的专业服务保障，保证</w:t>
      </w:r>
      <w:r>
        <w:rPr>
          <w:rFonts w:hint="eastAsia" w:ascii="宋体" w:hAnsi="宋体" w:cs="宋体"/>
          <w:b w:val="0"/>
          <w:bCs/>
          <w:sz w:val="24"/>
          <w:szCs w:val="24"/>
          <w:highlight w:val="none"/>
          <w:lang w:val="en-US" w:eastAsia="zh-CN"/>
        </w:rPr>
        <w:t>VR体验馆</w:t>
      </w:r>
      <w:r>
        <w:rPr>
          <w:rFonts w:hint="eastAsia" w:ascii="宋体" w:hAnsi="宋体" w:cs="宋体"/>
          <w:b w:val="0"/>
          <w:bCs/>
          <w:sz w:val="24"/>
          <w:szCs w:val="24"/>
          <w:highlight w:val="none"/>
        </w:rPr>
        <w:t>工作正常进行，各项重大活动顺利完成，并保证服务质量和形象上升一个新台阶。</w:t>
      </w:r>
    </w:p>
    <w:p w14:paraId="75EA49B4">
      <w:pPr>
        <w:adjustRightInd w:val="0"/>
        <w:snapToGrid w:val="0"/>
        <w:spacing w:line="500" w:lineRule="exact"/>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二、执行的国家相关标准、行业标准、地方标准或者其他标准、规范</w:t>
      </w:r>
    </w:p>
    <w:p w14:paraId="57114490">
      <w:pPr>
        <w:adjustRightInd w:val="0"/>
        <w:snapToGrid w:val="0"/>
        <w:spacing w:line="5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所有服务项目参照《</w:t>
      </w:r>
      <w:r>
        <w:rPr>
          <w:rFonts w:hint="eastAsia" w:ascii="宋体" w:hAnsi="宋体" w:cs="宋体"/>
          <w:b w:val="0"/>
          <w:bCs/>
          <w:sz w:val="24"/>
          <w:szCs w:val="24"/>
          <w:highlight w:val="none"/>
          <w:lang w:eastAsia="zh-CN"/>
        </w:rPr>
        <w:t>中华人民共和国民法典</w:t>
      </w:r>
      <w:r>
        <w:rPr>
          <w:rFonts w:hint="eastAsia" w:ascii="宋体" w:hAnsi="宋体" w:eastAsia="宋体" w:cs="宋体"/>
          <w:b w:val="0"/>
          <w:bCs/>
          <w:sz w:val="24"/>
          <w:szCs w:val="24"/>
          <w:highlight w:val="none"/>
        </w:rPr>
        <w:t>》、全国物业管理示范大楼标准及评分细则</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建住房物</w:t>
      </w:r>
      <w:r>
        <w:rPr>
          <w:rFonts w:hint="eastAsia" w:ascii="宋体" w:hAnsi="宋体" w:cs="宋体"/>
          <w:b w:val="0"/>
          <w:bCs/>
          <w:sz w:val="24"/>
          <w:szCs w:val="24"/>
          <w:highlight w:val="none"/>
          <w:lang w:eastAsia="zh-CN"/>
        </w:rPr>
        <w:t>〔2000〕8号）</w:t>
      </w:r>
      <w:r>
        <w:rPr>
          <w:rFonts w:hint="eastAsia" w:ascii="宋体" w:hAnsi="宋体" w:eastAsia="宋体" w:cs="宋体"/>
          <w:b w:val="0"/>
          <w:bCs/>
          <w:sz w:val="24"/>
          <w:szCs w:val="24"/>
          <w:highlight w:val="none"/>
        </w:rPr>
        <w:t>、城市房屋修缮管理规定（建设部第11号令）、物业管理企业资质管理试行办法（建设部）、全国物业管理从业人员岗位证书管理办法（建设部）、《中华人民共和国消防法</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公共卫生条例》。</w:t>
      </w:r>
    </w:p>
    <w:p w14:paraId="745D1AEE">
      <w:pPr>
        <w:numPr>
          <w:ilvl w:val="0"/>
          <w:numId w:val="0"/>
        </w:numPr>
        <w:adjustRightInd w:val="0"/>
        <w:snapToGrid w:val="0"/>
        <w:spacing w:line="500" w:lineRule="exact"/>
        <w:ind w:leftChars="200"/>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三、</w:t>
      </w:r>
      <w:r>
        <w:rPr>
          <w:rFonts w:hint="eastAsia" w:ascii="宋体" w:hAnsi="宋体" w:eastAsia="宋体" w:cs="宋体"/>
          <w:b/>
          <w:bCs w:val="0"/>
          <w:sz w:val="24"/>
          <w:szCs w:val="24"/>
          <w:highlight w:val="none"/>
          <w:lang w:val="en-US" w:eastAsia="zh-CN"/>
        </w:rPr>
        <w:t>需满足的质量、安全、技术规格、物理特性等要求</w:t>
      </w:r>
    </w:p>
    <w:p w14:paraId="53B12B1B">
      <w:pPr>
        <w:pStyle w:val="49"/>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Cs/>
          <w:color w:val="auto"/>
          <w:kern w:val="2"/>
          <w:sz w:val="24"/>
          <w:szCs w:val="24"/>
        </w:rPr>
      </w:pPr>
      <w:r>
        <w:rPr>
          <w:rFonts w:hint="eastAsia" w:ascii="宋体" w:hAnsi="宋体" w:eastAsia="宋体" w:cs="宋体"/>
          <w:sz w:val="24"/>
          <w:szCs w:val="24"/>
        </w:rPr>
        <w:t>1、</w:t>
      </w:r>
      <w:r>
        <w:rPr>
          <w:rFonts w:hint="eastAsia" w:ascii="宋体" w:hAnsi="宋体" w:eastAsia="宋体" w:cs="宋体"/>
          <w:bCs/>
          <w:color w:val="auto"/>
          <w:kern w:val="2"/>
          <w:sz w:val="24"/>
          <w:szCs w:val="24"/>
        </w:rPr>
        <w:t>在日常物业管理服务中尤其注意消防的安全，时刻做好消防安全意识，定期进行消防应急预案培训。</w:t>
      </w:r>
    </w:p>
    <w:p w14:paraId="02B3A842">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方按照自身的服务职责，围绕年服务保障目标和各项任务，制订工作计划并报业主审定后实施与备查。做到周有安排，月有计划，季有检查落实，年有目标。业主有权要求中标方提供各岗位工资、职责、人员配备数量及相应责任人名单，并每天进行考勤、考核、奖惩。</w:t>
      </w:r>
    </w:p>
    <w:p w14:paraId="70E5A660">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3、接受业主工作检查、指导和督促，认真参加业主组织的旨在加强服务质量，提高保障水平的各类会议与活动。如业主方要求加班，可视情给予一定补贴，但中标方必须加强管理，遵守业主方的相关规章制度。</w:t>
      </w:r>
    </w:p>
    <w:p w14:paraId="2CCFB2C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4、认真落实各类规章制度（包括处置突发问题应急预案）。</w:t>
      </w:r>
    </w:p>
    <w:p w14:paraId="1ABF8401">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5、做好设备检测、来访登记接待等各项记录，每月及时汇总，</w:t>
      </w:r>
      <w:r>
        <w:rPr>
          <w:rFonts w:hint="eastAsia" w:ascii="宋体" w:hAnsi="宋体" w:cs="宋体"/>
          <w:sz w:val="24"/>
          <w:szCs w:val="24"/>
          <w:lang w:val="en-US" w:eastAsia="zh-CN"/>
        </w:rPr>
        <w:t>年度</w:t>
      </w:r>
      <w:r>
        <w:rPr>
          <w:rFonts w:hint="eastAsia" w:ascii="宋体" w:hAnsi="宋体" w:eastAsia="宋体" w:cs="宋体"/>
          <w:sz w:val="24"/>
          <w:szCs w:val="24"/>
        </w:rPr>
        <w:t>整理归档。</w:t>
      </w:r>
    </w:p>
    <w:p w14:paraId="26FA4261">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6、各物业管理岗位加强巡逻检查，配备必要设备，如配足对讲机等，随时检查、调度、指挥。形成巡检</w:t>
      </w:r>
      <w:r>
        <w:rPr>
          <w:rFonts w:hint="eastAsia" w:ascii="宋体" w:hAnsi="宋体" w:cs="宋体"/>
          <w:sz w:val="24"/>
          <w:szCs w:val="24"/>
          <w:lang w:val="en-US" w:eastAsia="zh-CN"/>
        </w:rPr>
        <w:t>台账</w:t>
      </w:r>
      <w:r>
        <w:rPr>
          <w:rFonts w:hint="eastAsia" w:ascii="宋体" w:hAnsi="宋体" w:eastAsia="宋体" w:cs="宋体"/>
          <w:sz w:val="24"/>
          <w:szCs w:val="24"/>
        </w:rPr>
        <w:t>，发现问题，及时主动地解决。</w:t>
      </w:r>
    </w:p>
    <w:p w14:paraId="26CA67C4">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7、积极主动搞好节能降耗工作。如及时关闭空调、电灯照明、大厅显示屏等。</w:t>
      </w:r>
    </w:p>
    <w:p w14:paraId="5697EBD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物业管理人员按合同要求配置后，保持物业管理队伍基本稳定，不得擅自减少。管理骨干和技术人员调动，应事先通知业主，并在一周内配齐。员工因病事假而缺勤，应主动及时安排人员补岗。经抽查，发现物业管理服务人员减少，且无正当理由，业主有权按实际减少的人数扣除中标方次月相应的人均服务费，同时要求中标方补足人数。</w:t>
      </w:r>
    </w:p>
    <w:p w14:paraId="3F60CC9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中标方必须将服务费足额用于员工的工资、服装费和缴纳社保基金。业主将对中标方发放员工工资、服装费和缴纳社保基金的情况进行不定期抽查，发现违规问题，不仅要追回被挪用的金额，还将罚扣中标方年管理费的10%。</w:t>
      </w:r>
    </w:p>
    <w:p w14:paraId="12AB1CB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、外借设备检修、保洁等服务员工必须征得业主同意。</w:t>
      </w:r>
    </w:p>
    <w:p w14:paraId="1C018CC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接到投诉后，于10分钟内到达现场立即调查核实，当日或次日提出处理意见，1日内回电答复、书面答复或回访投诉人。如因客观原因而无法解决的，应在3日内向投诉人说明解释。根据处理情况，及时汇报结果给业主，及时进行整改，特殊情况实行回访制度。并要求记录完整，及时处理，件件落实。</w:t>
      </w:r>
    </w:p>
    <w:p w14:paraId="545D3A1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、中标方负责物业管理的财务管理及账务处理，业主方参与监督、管理、审计，对违规现象有权制止并提出整改意见。</w:t>
      </w:r>
    </w:p>
    <w:p w14:paraId="50F0EA11">
      <w:pPr>
        <w:keepNext w:val="0"/>
        <w:keepLines w:val="0"/>
        <w:pageBreakBefore w:val="0"/>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物业管理内容</w:t>
      </w:r>
    </w:p>
    <w:p w14:paraId="73D57C3D">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南通市海门区VR智能安全体验馆位于三厂工业园区大庆路25号，建筑面积约5000平方米，包含生产安全体验馆、公共安全体验馆、安全生产考试点、办公楼及辅房，是集展示、宣教、科普、培训等为一体的安全教育实践基地。</w:t>
      </w:r>
    </w:p>
    <w:p w14:paraId="7F9A0F43">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生产安全体验馆、公共安全体验（各约1000平方米），共有各类信息化体验设备71台，可为企业、学校、社区和社会公众提供免费体验式安全教育培训，年接待量约4万人次。</w:t>
      </w:r>
    </w:p>
    <w:p w14:paraId="25D4602C">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试点（约2000平方米）设置有高压电工、低压电工、焊工、登高架设和高处作业5个工种考场，承担全区企业“三项岗位”人员（企业主要负责人、安全管理人员、特种作业人员）的理论考试及实操作业考试工作。年考试能力近2万人次。</w:t>
      </w:r>
    </w:p>
    <w:p w14:paraId="03A397CC">
      <w:pPr>
        <w:adjustRightInd w:val="0"/>
        <w:snapToGrid w:val="0"/>
        <w:spacing w:line="500" w:lineRule="exact"/>
        <w:ind w:firstLine="480" w:firstLineChars="200"/>
        <w:rPr>
          <w:rFonts w:hint="default"/>
          <w:lang w:val="en-US" w:eastAsia="zh-CN"/>
        </w:rPr>
      </w:pPr>
      <w:r>
        <w:rPr>
          <w:rFonts w:hint="eastAsia" w:ascii="宋体" w:hAnsi="宋体" w:eastAsia="宋体" w:cs="宋体"/>
          <w:sz w:val="24"/>
          <w:szCs w:val="24"/>
        </w:rPr>
        <w:t>办公楼及辅房（约1000平方米）主要用于体验馆及考试点人员办公，一楼主要设置有机房、接待室、仓库；二楼设置的办公室、档案室；三楼设置的会议室、办公室。</w:t>
      </w:r>
    </w:p>
    <w:p w14:paraId="3D2B4BBA">
      <w:pPr>
        <w:keepNext w:val="0"/>
        <w:keepLines w:val="0"/>
        <w:pageBreakBefore w:val="0"/>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需满足的服务标准、期限、效率等要求；（应包括并不局限于以下内容）</w:t>
      </w:r>
    </w:p>
    <w:p w14:paraId="053E67FF">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房屋本体的管理、维修、养护。</w:t>
      </w:r>
    </w:p>
    <w:p w14:paraId="0DC04605">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设备管理服务</w:t>
      </w:r>
    </w:p>
    <w:p w14:paraId="6811604A">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1</w:t>
      </w:r>
      <w:r>
        <w:rPr>
          <w:rFonts w:hint="eastAsia" w:ascii="宋体" w:hAnsi="宋体" w:cs="宋体"/>
          <w:b/>
          <w:sz w:val="24"/>
          <w:szCs w:val="24"/>
          <w:lang w:eastAsia="zh-CN"/>
        </w:rPr>
        <w:t>）</w:t>
      </w:r>
      <w:r>
        <w:rPr>
          <w:rFonts w:hint="eastAsia" w:ascii="宋体" w:hAnsi="宋体" w:eastAsia="宋体" w:cs="宋体"/>
          <w:bCs/>
          <w:sz w:val="24"/>
          <w:szCs w:val="24"/>
        </w:rPr>
        <w:t>变配电系统的运行操作和养护。</w:t>
      </w:r>
    </w:p>
    <w:p w14:paraId="6FBB8866">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2</w:t>
      </w:r>
      <w:r>
        <w:rPr>
          <w:rFonts w:hint="eastAsia" w:ascii="宋体" w:hAnsi="宋体" w:cs="宋体"/>
          <w:b/>
          <w:sz w:val="24"/>
          <w:szCs w:val="24"/>
          <w:lang w:eastAsia="zh-CN"/>
        </w:rPr>
        <w:t>）</w:t>
      </w:r>
      <w:r>
        <w:rPr>
          <w:rFonts w:hint="eastAsia" w:ascii="宋体" w:hAnsi="宋体" w:eastAsia="宋体" w:cs="宋体"/>
          <w:bCs/>
          <w:sz w:val="24"/>
          <w:szCs w:val="24"/>
        </w:rPr>
        <w:t>低压电气设备系统的运行操作和养护。</w:t>
      </w:r>
    </w:p>
    <w:p w14:paraId="5EDB1A3A">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3</w:t>
      </w:r>
      <w:r>
        <w:rPr>
          <w:rFonts w:hint="eastAsia" w:ascii="宋体" w:hAnsi="宋体" w:cs="宋体"/>
          <w:b/>
          <w:sz w:val="24"/>
          <w:szCs w:val="24"/>
          <w:lang w:eastAsia="zh-CN"/>
        </w:rPr>
        <w:t>）</w:t>
      </w:r>
      <w:r>
        <w:rPr>
          <w:rFonts w:hint="eastAsia" w:ascii="宋体" w:hAnsi="宋体" w:eastAsia="宋体" w:cs="宋体"/>
          <w:bCs/>
          <w:sz w:val="24"/>
          <w:szCs w:val="24"/>
        </w:rPr>
        <w:t>空调设备系统的运行操作和养护。</w:t>
      </w:r>
    </w:p>
    <w:p w14:paraId="0A62EFCE">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4</w:t>
      </w:r>
      <w:r>
        <w:rPr>
          <w:rFonts w:hint="eastAsia" w:ascii="宋体" w:hAnsi="宋体" w:cs="宋体"/>
          <w:b/>
          <w:sz w:val="24"/>
          <w:szCs w:val="24"/>
          <w:lang w:eastAsia="zh-CN"/>
        </w:rPr>
        <w:t>）</w:t>
      </w:r>
      <w:r>
        <w:rPr>
          <w:rFonts w:hint="eastAsia" w:ascii="宋体" w:hAnsi="宋体" w:eastAsia="宋体" w:cs="宋体"/>
          <w:bCs/>
          <w:sz w:val="24"/>
          <w:szCs w:val="24"/>
        </w:rPr>
        <w:t>电梯设备系统的运行操作和养护。</w:t>
      </w:r>
    </w:p>
    <w:p w14:paraId="7E23B58B">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5</w:t>
      </w:r>
      <w:r>
        <w:rPr>
          <w:rFonts w:hint="eastAsia" w:ascii="宋体" w:hAnsi="宋体" w:cs="宋体"/>
          <w:b/>
          <w:sz w:val="24"/>
          <w:szCs w:val="24"/>
          <w:lang w:eastAsia="zh-CN"/>
        </w:rPr>
        <w:t>）</w:t>
      </w:r>
      <w:r>
        <w:rPr>
          <w:rFonts w:hint="eastAsia" w:ascii="宋体" w:hAnsi="宋体" w:eastAsia="宋体" w:cs="宋体"/>
          <w:bCs/>
          <w:sz w:val="24"/>
          <w:szCs w:val="24"/>
        </w:rPr>
        <w:t>给排水设备系统的运行操作和养护。</w:t>
      </w:r>
    </w:p>
    <w:p w14:paraId="46138C1A">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6</w:t>
      </w:r>
      <w:r>
        <w:rPr>
          <w:rFonts w:hint="eastAsia" w:ascii="宋体" w:hAnsi="宋体" w:cs="宋体"/>
          <w:b/>
          <w:sz w:val="24"/>
          <w:szCs w:val="24"/>
          <w:lang w:eastAsia="zh-CN"/>
        </w:rPr>
        <w:t>）</w:t>
      </w:r>
      <w:r>
        <w:rPr>
          <w:rFonts w:hint="eastAsia" w:ascii="宋体" w:hAnsi="宋体" w:eastAsia="宋体" w:cs="宋体"/>
          <w:bCs/>
          <w:sz w:val="24"/>
          <w:szCs w:val="24"/>
        </w:rPr>
        <w:t>消防设备系统的运行操作和养护。</w:t>
      </w:r>
    </w:p>
    <w:p w14:paraId="4C503E53">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7</w:t>
      </w:r>
      <w:r>
        <w:rPr>
          <w:rFonts w:hint="eastAsia" w:ascii="宋体" w:hAnsi="宋体" w:cs="宋体"/>
          <w:b/>
          <w:sz w:val="24"/>
          <w:szCs w:val="24"/>
          <w:lang w:eastAsia="zh-CN"/>
        </w:rPr>
        <w:t>）</w:t>
      </w:r>
      <w:r>
        <w:rPr>
          <w:rFonts w:hint="eastAsia" w:ascii="宋体" w:hAnsi="宋体" w:eastAsia="宋体" w:cs="宋体"/>
          <w:bCs/>
          <w:sz w:val="24"/>
          <w:szCs w:val="24"/>
        </w:rPr>
        <w:t>BA设备监控的运行操作和养护。</w:t>
      </w:r>
    </w:p>
    <w:p w14:paraId="23B604A3">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上述设备运行维护管理所需的备品备件、物料、辅料、能耗及有关主管部门规定收取的控制、测试等费用由业主方负责。各设备的大、中修及委外维保单位的落实由业主方负责，并支付相关费用；物业公司负责协调上述单位进行设备修理及维保工作，并参与业主对其考核。物业公司负责相关设备的日常维护，并做好和设备委外维保单位的联系、配合工作。</w:t>
      </w:r>
    </w:p>
    <w:p w14:paraId="1D5815E4">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2.</w:t>
      </w:r>
      <w:r>
        <w:rPr>
          <w:rFonts w:hint="eastAsia" w:ascii="宋体" w:hAnsi="宋体" w:eastAsia="宋体" w:cs="宋体"/>
          <w:b/>
          <w:sz w:val="24"/>
          <w:szCs w:val="24"/>
        </w:rPr>
        <w:t>管理服务目标</w:t>
      </w:r>
    </w:p>
    <w:p w14:paraId="1199B087">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1</w:t>
      </w:r>
      <w:r>
        <w:rPr>
          <w:rFonts w:hint="eastAsia" w:ascii="宋体" w:hAnsi="宋体" w:cs="宋体"/>
          <w:b/>
          <w:sz w:val="24"/>
          <w:szCs w:val="24"/>
          <w:lang w:eastAsia="zh-CN"/>
        </w:rPr>
        <w:t>）</w:t>
      </w:r>
      <w:r>
        <w:rPr>
          <w:rFonts w:hint="eastAsia" w:ascii="宋体" w:hAnsi="宋体" w:eastAsia="宋体" w:cs="宋体"/>
          <w:bCs/>
          <w:sz w:val="24"/>
          <w:szCs w:val="24"/>
        </w:rPr>
        <w:t>无安全与工伤事故，无设备损坏责任事故，无设备故障责任事故。</w:t>
      </w:r>
    </w:p>
    <w:p w14:paraId="6B198243">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2</w:t>
      </w:r>
      <w:r>
        <w:rPr>
          <w:rFonts w:hint="eastAsia" w:ascii="宋体" w:hAnsi="宋体" w:cs="宋体"/>
          <w:b/>
          <w:sz w:val="24"/>
          <w:szCs w:val="24"/>
          <w:lang w:eastAsia="zh-CN"/>
        </w:rPr>
        <w:t>）</w:t>
      </w:r>
      <w:r>
        <w:rPr>
          <w:rFonts w:hint="eastAsia" w:ascii="宋体" w:hAnsi="宋体" w:eastAsia="宋体" w:cs="宋体"/>
          <w:bCs/>
          <w:sz w:val="24"/>
          <w:szCs w:val="24"/>
        </w:rPr>
        <w:t>提高设备</w:t>
      </w:r>
      <w:r>
        <w:rPr>
          <w:rFonts w:hint="eastAsia" w:ascii="宋体" w:hAnsi="宋体" w:cs="宋体"/>
          <w:bCs/>
          <w:sz w:val="24"/>
          <w:szCs w:val="24"/>
          <w:lang w:val="en-US" w:eastAsia="zh-CN"/>
        </w:rPr>
        <w:t>使用</w:t>
      </w:r>
      <w:r>
        <w:rPr>
          <w:rFonts w:hint="eastAsia" w:ascii="宋体" w:hAnsi="宋体" w:eastAsia="宋体" w:cs="宋体"/>
          <w:bCs/>
          <w:sz w:val="24"/>
          <w:szCs w:val="24"/>
        </w:rPr>
        <w:t>效率，降低运行成本。</w:t>
      </w:r>
    </w:p>
    <w:p w14:paraId="6E378723">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3</w:t>
      </w:r>
      <w:r>
        <w:rPr>
          <w:rFonts w:hint="eastAsia" w:ascii="宋体" w:hAnsi="宋体" w:cs="宋体"/>
          <w:b/>
          <w:sz w:val="24"/>
          <w:szCs w:val="24"/>
          <w:lang w:eastAsia="zh-CN"/>
        </w:rPr>
        <w:t>）</w:t>
      </w:r>
      <w:r>
        <w:rPr>
          <w:rFonts w:hint="eastAsia" w:ascii="宋体" w:hAnsi="宋体" w:eastAsia="宋体" w:cs="宋体"/>
          <w:bCs/>
          <w:sz w:val="24"/>
          <w:szCs w:val="24"/>
        </w:rPr>
        <w:t>设备完好率达98%以上，报修及时率达100%，维修合格率达100%。</w:t>
      </w:r>
    </w:p>
    <w:p w14:paraId="36A1692B">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cs="宋体"/>
          <w:b/>
          <w:sz w:val="24"/>
          <w:szCs w:val="24"/>
          <w:lang w:val="en-US" w:eastAsia="zh-CN"/>
        </w:rPr>
        <w:t>3.</w:t>
      </w:r>
      <w:r>
        <w:rPr>
          <w:rFonts w:hint="eastAsia" w:ascii="宋体" w:hAnsi="宋体" w:eastAsia="宋体" w:cs="宋体"/>
          <w:b/>
          <w:sz w:val="24"/>
          <w:szCs w:val="24"/>
        </w:rPr>
        <w:t>管理服务要求</w:t>
      </w:r>
    </w:p>
    <w:p w14:paraId="0DDA04C8">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应按照国家标准，建立健全ISO9002质量保证体系，ISO14001环境质量保证体系，确保大楼设备和秩序的正常运行。</w:t>
      </w:r>
    </w:p>
    <w:p w14:paraId="5820918C">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管理服务</w:t>
      </w:r>
      <w:r>
        <w:rPr>
          <w:rFonts w:hint="eastAsia" w:ascii="宋体" w:hAnsi="宋体" w:eastAsia="宋体" w:cs="宋体"/>
          <w:b/>
          <w:sz w:val="24"/>
          <w:szCs w:val="24"/>
        </w:rPr>
        <w:t>标准</w:t>
      </w:r>
    </w:p>
    <w:p w14:paraId="5BDB6702">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需配备适量设备维修人员，均应具有相应专业上岗证书。</w:t>
      </w:r>
    </w:p>
    <w:p w14:paraId="62182A46">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各类设备运行良好，完好率达98%。</w:t>
      </w:r>
    </w:p>
    <w:p w14:paraId="4780345F">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A</w:t>
      </w:r>
      <w:r>
        <w:rPr>
          <w:rFonts w:hint="eastAsia" w:ascii="宋体" w:hAnsi="宋体" w:cs="宋体"/>
          <w:bCs/>
          <w:sz w:val="24"/>
          <w:szCs w:val="24"/>
          <w:lang w:eastAsia="zh-CN"/>
        </w:rPr>
        <w:t>.</w:t>
      </w:r>
      <w:r>
        <w:rPr>
          <w:rFonts w:hint="eastAsia" w:ascii="宋体" w:hAnsi="宋体" w:eastAsia="宋体" w:cs="宋体"/>
          <w:bCs/>
          <w:sz w:val="24"/>
          <w:szCs w:val="24"/>
        </w:rPr>
        <w:t>BA监控系统设备完好，运行正常。</w:t>
      </w:r>
    </w:p>
    <w:p w14:paraId="41A698CF">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B</w:t>
      </w:r>
      <w:r>
        <w:rPr>
          <w:rFonts w:hint="eastAsia" w:ascii="宋体" w:hAnsi="宋体" w:cs="宋体"/>
          <w:bCs/>
          <w:sz w:val="24"/>
          <w:szCs w:val="24"/>
          <w:lang w:eastAsia="zh-CN"/>
        </w:rPr>
        <w:t>.</w:t>
      </w:r>
      <w:r>
        <w:rPr>
          <w:rFonts w:hint="eastAsia" w:ascii="宋体" w:hAnsi="宋体" w:eastAsia="宋体" w:cs="宋体"/>
          <w:bCs/>
          <w:sz w:val="24"/>
          <w:szCs w:val="24"/>
        </w:rPr>
        <w:t>会议系统运行正常，设备完好，确保随时优质使用。</w:t>
      </w:r>
    </w:p>
    <w:p w14:paraId="1CB41CDA">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C</w:t>
      </w:r>
      <w:r>
        <w:rPr>
          <w:rFonts w:hint="eastAsia" w:ascii="宋体" w:hAnsi="宋体" w:cs="宋体"/>
          <w:bCs/>
          <w:sz w:val="24"/>
          <w:szCs w:val="24"/>
          <w:lang w:eastAsia="zh-CN"/>
        </w:rPr>
        <w:t>.</w:t>
      </w:r>
      <w:r>
        <w:rPr>
          <w:rFonts w:hint="eastAsia" w:ascii="宋体" w:hAnsi="宋体" w:eastAsia="宋体" w:cs="宋体"/>
          <w:bCs/>
          <w:sz w:val="24"/>
          <w:szCs w:val="24"/>
        </w:rPr>
        <w:t>保证供配电系统24小时正常运行，如出现停电故障，5分钟内查明原因，在配电设备无机械故障情况下，30分钟内恢复供电。重点区域、重大活动期间照明电气完好率达100%。</w:t>
      </w:r>
    </w:p>
    <w:p w14:paraId="6C48286E">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D</w:t>
      </w:r>
      <w:r>
        <w:rPr>
          <w:rFonts w:hint="eastAsia" w:ascii="宋体" w:hAnsi="宋体" w:cs="宋体"/>
          <w:bCs/>
          <w:sz w:val="24"/>
          <w:szCs w:val="24"/>
          <w:lang w:eastAsia="zh-CN"/>
        </w:rPr>
        <w:t>.</w:t>
      </w:r>
      <w:r>
        <w:rPr>
          <w:rFonts w:hint="eastAsia" w:ascii="宋体" w:hAnsi="宋体" w:eastAsia="宋体" w:cs="宋体"/>
          <w:bCs/>
          <w:sz w:val="24"/>
          <w:szCs w:val="24"/>
        </w:rPr>
        <w:t>电梯始终处于正常运行状态，安全措施齐全有效，通风、照明及</w:t>
      </w:r>
      <w:r>
        <w:rPr>
          <w:rFonts w:hint="eastAsia" w:ascii="宋体" w:hAnsi="宋体" w:cs="宋体"/>
          <w:bCs/>
          <w:sz w:val="24"/>
          <w:szCs w:val="24"/>
          <w:lang w:val="en-US" w:eastAsia="zh-CN"/>
        </w:rPr>
        <w:t>其他</w:t>
      </w:r>
      <w:r>
        <w:rPr>
          <w:rFonts w:hint="eastAsia" w:ascii="宋体" w:hAnsi="宋体" w:eastAsia="宋体" w:cs="宋体"/>
          <w:bCs/>
          <w:sz w:val="24"/>
          <w:szCs w:val="24"/>
        </w:rPr>
        <w:t>附属设施完好。如出现运行故障，接报修后10分钟内到现场处理；如遇电梯关人，接报修后30分钟内到达现场开展营救被困人员。</w:t>
      </w:r>
    </w:p>
    <w:p w14:paraId="0340CF77">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E</w:t>
      </w:r>
      <w:r>
        <w:rPr>
          <w:rFonts w:hint="eastAsia" w:ascii="宋体" w:hAnsi="宋体" w:cs="宋体"/>
          <w:bCs/>
          <w:sz w:val="24"/>
          <w:szCs w:val="24"/>
          <w:lang w:eastAsia="zh-CN"/>
        </w:rPr>
        <w:t>.</w:t>
      </w:r>
      <w:r>
        <w:rPr>
          <w:rFonts w:hint="eastAsia" w:ascii="宋体" w:hAnsi="宋体" w:eastAsia="宋体" w:cs="宋体"/>
          <w:bCs/>
          <w:sz w:val="24"/>
          <w:szCs w:val="24"/>
        </w:rPr>
        <w:t>排水系统通畅。遇有事故，接报后10分钟内处理，无大面积跑水、积水、长时间停水事故，若遇计划停水、停电应报业主，及时发出预告。</w:t>
      </w:r>
    </w:p>
    <w:p w14:paraId="22B1BDB8">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F</w:t>
      </w:r>
      <w:r>
        <w:rPr>
          <w:rFonts w:hint="eastAsia" w:ascii="宋体" w:hAnsi="宋体" w:cs="宋体"/>
          <w:bCs/>
          <w:sz w:val="24"/>
          <w:szCs w:val="24"/>
          <w:lang w:eastAsia="zh-CN"/>
        </w:rPr>
        <w:t>.</w:t>
      </w:r>
      <w:r>
        <w:rPr>
          <w:rFonts w:hint="eastAsia" w:ascii="宋体" w:hAnsi="宋体" w:eastAsia="宋体" w:cs="宋体"/>
          <w:bCs/>
          <w:sz w:val="24"/>
          <w:szCs w:val="24"/>
        </w:rPr>
        <w:t>生活饮用水箱水质</w:t>
      </w:r>
      <w:r>
        <w:rPr>
          <w:rFonts w:hint="eastAsia" w:ascii="宋体" w:hAnsi="宋体" w:cs="宋体"/>
          <w:bCs/>
          <w:sz w:val="24"/>
          <w:szCs w:val="24"/>
          <w:lang w:val="en-US" w:eastAsia="zh-CN"/>
        </w:rPr>
        <w:t>达到</w:t>
      </w:r>
      <w:r>
        <w:rPr>
          <w:rFonts w:hint="eastAsia" w:ascii="宋体" w:hAnsi="宋体" w:eastAsia="宋体" w:cs="宋体"/>
          <w:bCs/>
          <w:sz w:val="24"/>
          <w:szCs w:val="24"/>
        </w:rPr>
        <w:t>国家标准。</w:t>
      </w:r>
    </w:p>
    <w:p w14:paraId="62F16EAB">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G</w:t>
      </w:r>
      <w:r>
        <w:rPr>
          <w:rFonts w:hint="eastAsia" w:ascii="宋体" w:hAnsi="宋体" w:cs="宋体"/>
          <w:bCs/>
          <w:sz w:val="24"/>
          <w:szCs w:val="24"/>
          <w:lang w:eastAsia="zh-CN"/>
        </w:rPr>
        <w:t>.</w:t>
      </w:r>
      <w:r>
        <w:rPr>
          <w:rFonts w:hint="eastAsia" w:ascii="宋体" w:hAnsi="宋体" w:eastAsia="宋体" w:cs="宋体"/>
          <w:bCs/>
          <w:sz w:val="24"/>
          <w:szCs w:val="24"/>
        </w:rPr>
        <w:t>空调系统运行正常，</w:t>
      </w:r>
      <w:r>
        <w:rPr>
          <w:rFonts w:hint="eastAsia" w:ascii="宋体" w:hAnsi="宋体" w:cs="宋体"/>
          <w:bCs/>
          <w:sz w:val="24"/>
          <w:szCs w:val="24"/>
          <w:lang w:eastAsia="zh-CN"/>
        </w:rPr>
        <w:t>无噪声</w:t>
      </w:r>
      <w:r>
        <w:rPr>
          <w:rFonts w:hint="eastAsia" w:ascii="宋体" w:hAnsi="宋体" w:eastAsia="宋体" w:cs="宋体"/>
          <w:bCs/>
          <w:sz w:val="24"/>
          <w:szCs w:val="24"/>
        </w:rPr>
        <w:t>。出现运行故障后10分钟内到达现场处理。</w:t>
      </w:r>
    </w:p>
    <w:p w14:paraId="5E18F08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H</w:t>
      </w:r>
      <w:r>
        <w:rPr>
          <w:rFonts w:hint="eastAsia" w:ascii="宋体" w:hAnsi="宋体" w:cs="宋体"/>
          <w:bCs/>
          <w:sz w:val="24"/>
          <w:szCs w:val="24"/>
          <w:lang w:eastAsia="zh-CN"/>
        </w:rPr>
        <w:t>.</w:t>
      </w:r>
      <w:r>
        <w:rPr>
          <w:rFonts w:hint="eastAsia" w:ascii="宋体" w:hAnsi="宋体" w:eastAsia="宋体" w:cs="宋体"/>
          <w:bCs/>
          <w:sz w:val="24"/>
          <w:szCs w:val="24"/>
        </w:rPr>
        <w:t>定期配合消防维保单位对消防系统进行联动测试，确保完好、有效。应急指示灯、路标完好。</w:t>
      </w:r>
    </w:p>
    <w:p w14:paraId="30BB0D72">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制定突发事件的应急方案，定期演练，确保在紧急情况下按照预案的要求，有条不紊地开展突发事件应急</w:t>
      </w:r>
      <w:r>
        <w:rPr>
          <w:rFonts w:hint="eastAsia" w:ascii="宋体" w:hAnsi="宋体" w:cs="宋体"/>
          <w:bCs/>
          <w:sz w:val="24"/>
          <w:szCs w:val="24"/>
          <w:lang w:val="en-US" w:eastAsia="zh-CN"/>
        </w:rPr>
        <w:t>处置</w:t>
      </w:r>
      <w:r>
        <w:rPr>
          <w:rFonts w:hint="eastAsia" w:ascii="宋体" w:hAnsi="宋体" w:eastAsia="宋体" w:cs="宋体"/>
          <w:bCs/>
          <w:sz w:val="24"/>
          <w:szCs w:val="24"/>
        </w:rPr>
        <w:t>工作。</w:t>
      </w:r>
    </w:p>
    <w:p w14:paraId="155D6BB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实行全年365天接报修制度。接报修后10分钟内到达现场处理，水电急修项目当日处理完毕，24小时内回访。</w:t>
      </w:r>
    </w:p>
    <w:p w14:paraId="37BD3564">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加强日常工作巡查，及时发现并解决问题。根据季节转换特点主动做好空调等设备调整工作。</w:t>
      </w:r>
    </w:p>
    <w:p w14:paraId="0959FAAD">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每季一次定期做好各项能耗数据的</w:t>
      </w:r>
      <w:r>
        <w:rPr>
          <w:rFonts w:hint="eastAsia" w:ascii="宋体" w:hAnsi="宋体" w:cs="宋体"/>
          <w:bCs/>
          <w:sz w:val="24"/>
          <w:szCs w:val="24"/>
          <w:lang w:val="en-US" w:eastAsia="zh-CN"/>
        </w:rPr>
        <w:t>抄检</w:t>
      </w:r>
      <w:r>
        <w:rPr>
          <w:rFonts w:hint="eastAsia" w:ascii="宋体" w:hAnsi="宋体" w:eastAsia="宋体" w:cs="宋体"/>
          <w:bCs/>
          <w:sz w:val="24"/>
          <w:szCs w:val="24"/>
        </w:rPr>
        <w:t>、计量、统计、分析等工作，向业主</w:t>
      </w:r>
      <w:r>
        <w:rPr>
          <w:rFonts w:hint="eastAsia" w:ascii="宋体" w:hAnsi="宋体" w:cs="宋体"/>
          <w:bCs/>
          <w:sz w:val="24"/>
          <w:szCs w:val="24"/>
          <w:lang w:val="en-US" w:eastAsia="zh-CN"/>
        </w:rPr>
        <w:t>做出</w:t>
      </w:r>
      <w:r>
        <w:rPr>
          <w:rFonts w:hint="eastAsia" w:ascii="宋体" w:hAnsi="宋体" w:eastAsia="宋体" w:cs="宋体"/>
          <w:bCs/>
          <w:sz w:val="24"/>
          <w:szCs w:val="24"/>
        </w:rPr>
        <w:t>及时报告。</w:t>
      </w:r>
    </w:p>
    <w:p w14:paraId="29653FD7">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做好对专业设备维保单位的协调、配合、监督工作，并制定专业设备维护计划，定期向业主提出设备预防性维护建议。</w:t>
      </w:r>
    </w:p>
    <w:p w14:paraId="1E8E0C66">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（8）</w:t>
      </w:r>
      <w:r>
        <w:rPr>
          <w:rFonts w:hint="eastAsia" w:ascii="宋体" w:hAnsi="宋体" w:eastAsia="宋体" w:cs="宋体"/>
          <w:bCs/>
          <w:sz w:val="24"/>
          <w:szCs w:val="24"/>
        </w:rPr>
        <w:t>设备检测、测试按计划、按要求进行，应提前一周向业主报告。</w:t>
      </w:r>
    </w:p>
    <w:p w14:paraId="799C58AC">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强电管理服务</w:t>
      </w:r>
    </w:p>
    <w:p w14:paraId="29C81122">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
          <w:sz w:val="24"/>
          <w:szCs w:val="24"/>
        </w:rPr>
      </w:pP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lang w:eastAsia="zh-CN"/>
        </w:rPr>
        <w:t>）</w:t>
      </w:r>
      <w:r>
        <w:rPr>
          <w:rFonts w:hint="eastAsia" w:ascii="宋体" w:hAnsi="宋体" w:eastAsia="宋体" w:cs="宋体"/>
          <w:b/>
          <w:sz w:val="24"/>
          <w:szCs w:val="24"/>
        </w:rPr>
        <w:t>管理服务目标</w:t>
      </w:r>
    </w:p>
    <w:p w14:paraId="794F044F">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lang w:val="en-US"/>
        </w:rPr>
        <w:t>①</w:t>
      </w:r>
      <w:r>
        <w:rPr>
          <w:rFonts w:hint="eastAsia" w:ascii="宋体" w:hAnsi="宋体" w:eastAsia="宋体" w:cs="宋体"/>
          <w:bCs/>
          <w:sz w:val="24"/>
          <w:szCs w:val="24"/>
        </w:rPr>
        <w:t>无等级安全与工伤事故，无等级设备损坏责任事故，无等级设备故障责任事故。</w:t>
      </w:r>
    </w:p>
    <w:p w14:paraId="6ABC1137">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lang w:val="en-US"/>
        </w:rPr>
        <w:t>②</w:t>
      </w:r>
      <w:r>
        <w:rPr>
          <w:rFonts w:hint="eastAsia" w:ascii="宋体" w:hAnsi="宋体" w:eastAsia="宋体" w:cs="宋体"/>
          <w:bCs/>
          <w:sz w:val="24"/>
          <w:szCs w:val="24"/>
        </w:rPr>
        <w:t>提高设备</w:t>
      </w:r>
      <w:r>
        <w:rPr>
          <w:rFonts w:hint="eastAsia" w:ascii="宋体" w:hAnsi="宋体" w:cs="宋体"/>
          <w:bCs/>
          <w:sz w:val="24"/>
          <w:szCs w:val="24"/>
          <w:lang w:val="en-US" w:eastAsia="zh-CN"/>
        </w:rPr>
        <w:t>使</w:t>
      </w:r>
      <w:r>
        <w:rPr>
          <w:rFonts w:hint="eastAsia" w:ascii="宋体" w:hAnsi="宋体" w:eastAsia="宋体" w:cs="宋体"/>
          <w:bCs/>
          <w:sz w:val="24"/>
          <w:szCs w:val="24"/>
        </w:rPr>
        <w:t>用效率，降低运行成本。</w:t>
      </w:r>
    </w:p>
    <w:p w14:paraId="6044F94C">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lang w:val="en-US"/>
        </w:rPr>
        <w:t>③</w:t>
      </w:r>
      <w:r>
        <w:rPr>
          <w:rFonts w:hint="eastAsia" w:ascii="宋体" w:hAnsi="宋体" w:eastAsia="宋体" w:cs="宋体"/>
          <w:bCs/>
          <w:sz w:val="24"/>
          <w:szCs w:val="24"/>
        </w:rPr>
        <w:t>设备完好率达98%以上，报修及时率达100%。</w:t>
      </w:r>
    </w:p>
    <w:p w14:paraId="0F0A4CB5">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
          <w:sz w:val="24"/>
          <w:szCs w:val="24"/>
        </w:rPr>
      </w:pP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lang w:eastAsia="zh-CN"/>
        </w:rPr>
        <w:t>）</w:t>
      </w:r>
      <w:r>
        <w:rPr>
          <w:rFonts w:hint="eastAsia" w:ascii="宋体" w:hAnsi="宋体" w:eastAsia="宋体" w:cs="宋体"/>
          <w:b/>
          <w:sz w:val="24"/>
          <w:szCs w:val="24"/>
        </w:rPr>
        <w:t>管理服务要求</w:t>
      </w:r>
    </w:p>
    <w:p w14:paraId="33BB7F26">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按照国家标准，执行ISO9002质量保证体系，确保大楼设备和秩序的正常运行。</w:t>
      </w:r>
    </w:p>
    <w:p w14:paraId="07C0A104">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
          <w:sz w:val="24"/>
          <w:szCs w:val="24"/>
        </w:rPr>
      </w:pP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lang w:eastAsia="zh-CN"/>
        </w:rPr>
        <w:t>）</w:t>
      </w:r>
      <w:r>
        <w:rPr>
          <w:rFonts w:hint="eastAsia" w:ascii="宋体" w:hAnsi="宋体" w:eastAsia="宋体" w:cs="宋体"/>
          <w:b/>
          <w:sz w:val="24"/>
          <w:szCs w:val="24"/>
        </w:rPr>
        <w:t>管理服务标准</w:t>
      </w:r>
    </w:p>
    <w:p w14:paraId="28428F8A">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明确强电设备责任人，均应具有相应专业上岗证书，应具备较好的政治素质，无不良行为。</w:t>
      </w:r>
    </w:p>
    <w:p w14:paraId="217D0FD4">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制定突发事件的应急方案，定期演练。</w:t>
      </w:r>
    </w:p>
    <w:p w14:paraId="4C4776E4">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保证强电设备24小时正常运行，出现故障，立即上报业主并通知维保单位。</w:t>
      </w:r>
    </w:p>
    <w:p w14:paraId="0AE344F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变配电房按计划做好变电配电设备的月度、季度、年度维护保养工作。</w:t>
      </w:r>
    </w:p>
    <w:p w14:paraId="3B78D582">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遇到突发性故障，中标方应无条件派出相关人员配合业主处置故障。</w:t>
      </w:r>
    </w:p>
    <w:p w14:paraId="2CD23191">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val="en-US" w:eastAsia="zh-CN"/>
        </w:rPr>
        <w:t>6.</w:t>
      </w:r>
      <w:r>
        <w:rPr>
          <w:rFonts w:hint="eastAsia" w:ascii="宋体" w:hAnsi="宋体" w:eastAsia="宋体" w:cs="宋体"/>
          <w:b/>
          <w:sz w:val="24"/>
          <w:szCs w:val="24"/>
        </w:rPr>
        <w:t>弱电管理服务</w:t>
      </w:r>
    </w:p>
    <w:p w14:paraId="41D5CC55">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1</w:t>
      </w:r>
      <w:r>
        <w:rPr>
          <w:rFonts w:hint="eastAsia" w:ascii="宋体" w:hAnsi="宋体" w:cs="宋体"/>
          <w:b/>
          <w:sz w:val="24"/>
          <w:szCs w:val="24"/>
          <w:lang w:eastAsia="zh-CN"/>
        </w:rPr>
        <w:t>）</w:t>
      </w:r>
      <w:r>
        <w:rPr>
          <w:rFonts w:hint="eastAsia" w:ascii="宋体" w:hAnsi="宋体" w:eastAsia="宋体" w:cs="宋体"/>
          <w:b/>
          <w:sz w:val="24"/>
          <w:szCs w:val="24"/>
        </w:rPr>
        <w:t>管理服务目标</w:t>
      </w:r>
    </w:p>
    <w:p w14:paraId="6B8C9E7F">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①</w:t>
      </w:r>
      <w:r>
        <w:rPr>
          <w:rFonts w:hint="eastAsia" w:ascii="宋体" w:hAnsi="宋体" w:eastAsia="宋体" w:cs="宋体"/>
          <w:bCs/>
          <w:sz w:val="24"/>
          <w:szCs w:val="24"/>
        </w:rPr>
        <w:t>无等级安全与工伤事故，无等级设备损坏责任事故，无等级设备故障责任事故。</w:t>
      </w:r>
    </w:p>
    <w:p w14:paraId="33C8A332">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②</w:t>
      </w:r>
      <w:r>
        <w:rPr>
          <w:rFonts w:hint="eastAsia" w:ascii="宋体" w:hAnsi="宋体" w:eastAsia="宋体" w:cs="宋体"/>
          <w:bCs/>
          <w:sz w:val="24"/>
          <w:szCs w:val="24"/>
        </w:rPr>
        <w:t>提高设备</w:t>
      </w:r>
      <w:r>
        <w:rPr>
          <w:rFonts w:hint="eastAsia" w:ascii="宋体" w:hAnsi="宋体" w:cs="宋体"/>
          <w:bCs/>
          <w:sz w:val="24"/>
          <w:szCs w:val="24"/>
          <w:lang w:val="en-US" w:eastAsia="zh-CN"/>
        </w:rPr>
        <w:t>使</w:t>
      </w:r>
      <w:r>
        <w:rPr>
          <w:rFonts w:hint="eastAsia" w:ascii="宋体" w:hAnsi="宋体" w:eastAsia="宋体" w:cs="宋体"/>
          <w:bCs/>
          <w:sz w:val="24"/>
          <w:szCs w:val="24"/>
        </w:rPr>
        <w:t>用效率，降低运行成本。</w:t>
      </w:r>
    </w:p>
    <w:p w14:paraId="5C69EA2C">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③</w:t>
      </w:r>
      <w:r>
        <w:rPr>
          <w:rFonts w:hint="eastAsia" w:ascii="宋体" w:hAnsi="宋体" w:eastAsia="宋体" w:cs="宋体"/>
          <w:bCs/>
          <w:sz w:val="24"/>
          <w:szCs w:val="24"/>
        </w:rPr>
        <w:t>设备完好率达98%以上，报修及时率达100%。</w:t>
      </w:r>
    </w:p>
    <w:p w14:paraId="7880F3D2">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val="en-US" w:eastAsia="zh-CN"/>
        </w:rPr>
        <w:t>2</w:t>
      </w:r>
      <w:r>
        <w:rPr>
          <w:rFonts w:hint="eastAsia" w:ascii="宋体" w:hAnsi="宋体" w:eastAsia="宋体" w:cs="宋体"/>
          <w:b/>
          <w:sz w:val="24"/>
          <w:szCs w:val="24"/>
        </w:rPr>
        <w:t>）管理服务要求</w:t>
      </w:r>
    </w:p>
    <w:p w14:paraId="2C98D025">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按照国家标准，执行ISO9002质量保证体系，确保大楼设备和秩序的正常运行。</w:t>
      </w:r>
    </w:p>
    <w:p w14:paraId="1C18B85C">
      <w:pPr>
        <w:keepNext w:val="0"/>
        <w:keepLines w:val="0"/>
        <w:pageBreakBefore w:val="0"/>
        <w:widowControl/>
        <w:kinsoku/>
        <w:wordWrap/>
        <w:overflowPunct/>
        <w:topLinePunct w:val="0"/>
        <w:autoSpaceDE/>
        <w:autoSpaceDN/>
        <w:bidi w:val="0"/>
        <w:spacing w:before="60" w:after="60" w:line="500" w:lineRule="exact"/>
        <w:ind w:left="10" w:leftChars="5" w:right="62"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val="en-US" w:eastAsia="zh-CN"/>
        </w:rPr>
        <w:t>3</w:t>
      </w:r>
      <w:r>
        <w:rPr>
          <w:rFonts w:hint="eastAsia" w:ascii="宋体" w:hAnsi="宋体" w:eastAsia="宋体" w:cs="宋体"/>
          <w:b/>
          <w:sz w:val="24"/>
          <w:szCs w:val="24"/>
        </w:rPr>
        <w:t xml:space="preserve">）管理服务标准 </w:t>
      </w:r>
    </w:p>
    <w:p w14:paraId="03391B4E">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①</w:t>
      </w:r>
      <w:r>
        <w:rPr>
          <w:rFonts w:hint="eastAsia" w:ascii="宋体" w:hAnsi="宋体" w:eastAsia="宋体" w:cs="宋体"/>
          <w:bCs/>
          <w:sz w:val="24"/>
          <w:szCs w:val="24"/>
        </w:rPr>
        <w:t>明确弱电设备责任人，均应具有相应专业上岗证书和计算机等级证书；应具备较好的政治素质，无不良行为。</w:t>
      </w:r>
    </w:p>
    <w:p w14:paraId="02CCC776">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②</w:t>
      </w:r>
      <w:r>
        <w:rPr>
          <w:rFonts w:hint="eastAsia" w:ascii="宋体" w:hAnsi="宋体" w:eastAsia="宋体" w:cs="宋体"/>
          <w:bCs/>
          <w:sz w:val="24"/>
          <w:szCs w:val="24"/>
        </w:rPr>
        <w:t>制定突发事件的应急方案，定期演练。</w:t>
      </w:r>
    </w:p>
    <w:p w14:paraId="66A1325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③</w:t>
      </w:r>
      <w:r>
        <w:rPr>
          <w:rFonts w:hint="eastAsia" w:ascii="宋体" w:hAnsi="宋体" w:eastAsia="宋体" w:cs="宋体"/>
          <w:bCs/>
          <w:sz w:val="24"/>
          <w:szCs w:val="24"/>
        </w:rPr>
        <w:t>保证弱电设备24小时正常运行，出现故障，立即上报业主并通知维保单位。</w:t>
      </w:r>
    </w:p>
    <w:p w14:paraId="22512751">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④</w:t>
      </w:r>
      <w:r>
        <w:rPr>
          <w:rFonts w:hint="eastAsia" w:ascii="宋体" w:hAnsi="宋体" w:eastAsia="宋体" w:cs="宋体"/>
          <w:bCs/>
          <w:sz w:val="24"/>
          <w:szCs w:val="24"/>
        </w:rPr>
        <w:t>BA系统实行全年24小时值班制度，出现无法远程控制等情况，立即派人到相应部位手动控制，并报业主通知维保单位。</w:t>
      </w:r>
    </w:p>
    <w:p w14:paraId="2309B496">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⑤</w:t>
      </w:r>
      <w:r>
        <w:rPr>
          <w:rFonts w:hint="eastAsia" w:ascii="宋体" w:hAnsi="宋体" w:eastAsia="宋体" w:cs="宋体"/>
          <w:bCs/>
          <w:sz w:val="24"/>
          <w:szCs w:val="24"/>
        </w:rPr>
        <w:t>会议音响系统应做好设备日常运行和清洁工作。所有设备在无会议期间必须完全断电。</w:t>
      </w:r>
    </w:p>
    <w:p w14:paraId="6BDE20CF">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⑥</w:t>
      </w:r>
      <w:r>
        <w:rPr>
          <w:rFonts w:hint="eastAsia" w:ascii="宋体" w:hAnsi="宋体" w:eastAsia="宋体" w:cs="宋体"/>
          <w:bCs/>
          <w:sz w:val="24"/>
          <w:szCs w:val="24"/>
        </w:rPr>
        <w:t>每月对BA、会议系统进行运行检查，按设备使用规定规范摆放设备设施，发现问题及时上报业主，严禁发生设备带病运行的情况。</w:t>
      </w:r>
    </w:p>
    <w:p w14:paraId="712ABA2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⑦</w:t>
      </w:r>
      <w:r>
        <w:rPr>
          <w:rFonts w:hint="eastAsia" w:ascii="宋体" w:hAnsi="宋体" w:eastAsia="宋体" w:cs="宋体"/>
          <w:bCs/>
          <w:sz w:val="24"/>
          <w:szCs w:val="24"/>
        </w:rPr>
        <w:t>对弱电设备操作人员进行保密教育，严禁利用控制用设备进行除控制软件外的一切活动，不得在控制用设备上使用移动存储设备，不得擅自接收、存储和发布监控中心的监控信息。</w:t>
      </w:r>
    </w:p>
    <w:p w14:paraId="35B8B7C5">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微软雅黑" w:hAnsi="微软雅黑" w:eastAsia="微软雅黑" w:cs="微软雅黑"/>
          <w:bCs/>
          <w:sz w:val="24"/>
          <w:szCs w:val="24"/>
        </w:rPr>
        <w:t>⑧</w:t>
      </w:r>
      <w:r>
        <w:rPr>
          <w:rFonts w:hint="eastAsia" w:ascii="宋体" w:hAnsi="宋体" w:eastAsia="宋体" w:cs="宋体"/>
          <w:bCs/>
          <w:sz w:val="24"/>
          <w:szCs w:val="24"/>
        </w:rPr>
        <w:t>不得在弱电控制室内私接网络，不得改变弱电线路。</w:t>
      </w:r>
    </w:p>
    <w:p w14:paraId="5DBCD2C0">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 9 \* GB3 \* MERGEFORMAT </w:instrText>
      </w:r>
      <w:r>
        <w:rPr>
          <w:rFonts w:hint="eastAsia" w:ascii="宋体" w:hAnsi="宋体" w:eastAsia="宋体" w:cs="宋体"/>
          <w:bCs/>
          <w:sz w:val="24"/>
          <w:szCs w:val="24"/>
        </w:rPr>
        <w:fldChar w:fldCharType="separate"/>
      </w:r>
      <w:r>
        <w:t>⑨</w:t>
      </w:r>
      <w:r>
        <w:rPr>
          <w:rFonts w:hint="eastAsia" w:ascii="宋体" w:hAnsi="宋体" w:eastAsia="宋体" w:cs="宋体"/>
          <w:bCs/>
          <w:sz w:val="24"/>
          <w:szCs w:val="24"/>
        </w:rPr>
        <w:fldChar w:fldCharType="end"/>
      </w:r>
      <w:r>
        <w:rPr>
          <w:rFonts w:hint="eastAsia" w:ascii="宋体" w:hAnsi="宋体" w:eastAsia="宋体" w:cs="宋体"/>
          <w:bCs/>
          <w:sz w:val="24"/>
          <w:szCs w:val="24"/>
        </w:rPr>
        <w:t>做好弱电设备控制室内的防尘工作，控制室内不得使用明火，不得存放液体容器，控制室内温度要常年保持在15-30度之间，以确保设备运行正常。</w:t>
      </w:r>
    </w:p>
    <w:p w14:paraId="2C5401C2">
      <w:pPr>
        <w:keepNext w:val="0"/>
        <w:keepLines w:val="0"/>
        <w:pageBreakBefore w:val="0"/>
        <w:widowControl/>
        <w:kinsoku/>
        <w:wordWrap/>
        <w:overflowPunct/>
        <w:topLinePunct w:val="0"/>
        <w:autoSpaceDE/>
        <w:autoSpaceDN/>
        <w:bidi w:val="0"/>
        <w:spacing w:before="60" w:after="60" w:line="500" w:lineRule="exact"/>
        <w:ind w:left="0" w:leftChars="0" w:right="60" w:firstLine="482" w:firstLineChars="200"/>
        <w:jc w:val="left"/>
        <w:textAlignment w:val="auto"/>
        <w:rPr>
          <w:rFonts w:hint="default" w:ascii="宋体" w:hAnsi="宋体" w:eastAsia="宋体" w:cs="宋体"/>
          <w:b/>
          <w:bCs w:val="0"/>
          <w:sz w:val="24"/>
          <w:szCs w:val="24"/>
          <w:lang w:val="en-US"/>
        </w:rPr>
      </w:pPr>
      <w:r>
        <w:rPr>
          <w:rFonts w:hint="eastAsia" w:ascii="宋体" w:hAnsi="宋体" w:cs="宋体"/>
          <w:b/>
          <w:sz w:val="24"/>
          <w:szCs w:val="24"/>
          <w:lang w:eastAsia="zh-CN"/>
        </w:rPr>
        <w:t>（</w:t>
      </w:r>
      <w:r>
        <w:rPr>
          <w:rFonts w:hint="eastAsia" w:ascii="宋体" w:hAnsi="宋体" w:cs="宋体"/>
          <w:b/>
          <w:sz w:val="24"/>
          <w:szCs w:val="24"/>
          <w:lang w:val="en-US" w:eastAsia="zh-CN"/>
        </w:rPr>
        <w:t>二</w:t>
      </w:r>
      <w:r>
        <w:rPr>
          <w:rFonts w:hint="eastAsia" w:ascii="宋体" w:hAnsi="宋体" w:cs="宋体"/>
          <w:b/>
          <w:sz w:val="24"/>
          <w:szCs w:val="24"/>
          <w:lang w:eastAsia="zh-CN"/>
        </w:rPr>
        <w:t>）</w:t>
      </w:r>
      <w:r>
        <w:rPr>
          <w:rFonts w:hint="eastAsia" w:ascii="宋体" w:hAnsi="宋体" w:eastAsia="宋体" w:cs="宋体"/>
          <w:b/>
          <w:sz w:val="24"/>
          <w:szCs w:val="24"/>
        </w:rPr>
        <w:t>秩序维护服务内容：</w:t>
      </w:r>
    </w:p>
    <w:p w14:paraId="55342288">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24小时门卫值班；</w:t>
      </w:r>
    </w:p>
    <w:p w14:paraId="4BE6E9FB">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24小时监控室值班；</w:t>
      </w:r>
    </w:p>
    <w:p w14:paraId="38B55479">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24小时物业管理区域内导行、值勤、巡逻、维持治安；</w:t>
      </w:r>
    </w:p>
    <w:p w14:paraId="25FC509A">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停车场和管理区域内车辆管理；</w:t>
      </w:r>
    </w:p>
    <w:p w14:paraId="116ED110">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w:t>
      </w:r>
      <w:r>
        <w:rPr>
          <w:rFonts w:hint="eastAsia" w:ascii="宋体" w:hAnsi="宋体" w:eastAsia="宋体" w:cs="宋体"/>
          <w:bCs/>
          <w:sz w:val="24"/>
          <w:szCs w:val="24"/>
        </w:rPr>
        <w:t>报刊信件等分发服务；</w:t>
      </w:r>
    </w:p>
    <w:p w14:paraId="39900431">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设</w:t>
      </w:r>
      <w:r>
        <w:rPr>
          <w:rFonts w:hint="eastAsia" w:ascii="宋体" w:hAnsi="宋体" w:cs="宋体"/>
          <w:bCs/>
          <w:sz w:val="24"/>
          <w:szCs w:val="24"/>
          <w:lang w:val="en-US" w:eastAsia="zh-CN"/>
        </w:rPr>
        <w:t>立</w:t>
      </w:r>
      <w:r>
        <w:rPr>
          <w:rFonts w:hint="eastAsia" w:ascii="宋体" w:hAnsi="宋体" w:eastAsia="宋体" w:cs="宋体"/>
          <w:bCs/>
          <w:sz w:val="24"/>
          <w:szCs w:val="24"/>
        </w:rPr>
        <w:t>消防管理人员（持证上岗），负责消防设施设备的管理，自动消防系统的运行、器材的管理；</w:t>
      </w:r>
    </w:p>
    <w:p w14:paraId="733A9660">
      <w:pPr>
        <w:keepNext w:val="0"/>
        <w:keepLines w:val="0"/>
        <w:pageBreakBefore w:val="0"/>
        <w:widowControl/>
        <w:kinsoku/>
        <w:wordWrap/>
        <w:overflowPunct/>
        <w:topLinePunct w:val="0"/>
        <w:autoSpaceDE/>
        <w:autoSpaceDN/>
        <w:bidi w:val="0"/>
        <w:spacing w:before="60" w:after="60" w:line="500" w:lineRule="exact"/>
        <w:ind w:left="10" w:leftChars="5" w:right="62"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cs="宋体"/>
          <w:bCs/>
          <w:sz w:val="24"/>
          <w:szCs w:val="24"/>
          <w:lang w:val="en-US" w:eastAsia="zh-CN"/>
        </w:rPr>
        <w:t>.</w:t>
      </w:r>
      <w:r>
        <w:rPr>
          <w:rFonts w:hint="eastAsia" w:ascii="宋体" w:hAnsi="宋体" w:eastAsia="宋体" w:cs="宋体"/>
          <w:bCs/>
          <w:sz w:val="24"/>
          <w:szCs w:val="24"/>
        </w:rPr>
        <w:t>根据时间科学合理地安排工作人员。</w:t>
      </w:r>
    </w:p>
    <w:p w14:paraId="211BFE9E">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w:t>
      </w:r>
      <w:r>
        <w:rPr>
          <w:rFonts w:hint="eastAsia" w:ascii="宋体" w:hAnsi="宋体" w:cs="宋体"/>
          <w:b/>
          <w:bCs w:val="0"/>
          <w:sz w:val="24"/>
          <w:szCs w:val="24"/>
          <w:lang w:val="en-US" w:eastAsia="zh-CN"/>
        </w:rPr>
        <w:t>三</w:t>
      </w:r>
      <w:r>
        <w:rPr>
          <w:rFonts w:hint="eastAsia" w:ascii="宋体" w:hAnsi="宋体" w:eastAsia="宋体" w:cs="宋体"/>
          <w:b/>
          <w:bCs w:val="0"/>
          <w:sz w:val="24"/>
          <w:szCs w:val="24"/>
        </w:rPr>
        <w:t>）</w:t>
      </w:r>
      <w:r>
        <w:rPr>
          <w:rFonts w:hint="eastAsia" w:ascii="宋体" w:hAnsi="宋体" w:eastAsia="宋体" w:cs="宋体"/>
          <w:b/>
          <w:sz w:val="24"/>
          <w:szCs w:val="24"/>
        </w:rPr>
        <w:t>秩序维护服务内容</w:t>
      </w:r>
      <w:r>
        <w:rPr>
          <w:rFonts w:hint="eastAsia" w:ascii="宋体" w:hAnsi="宋体" w:eastAsia="宋体" w:cs="宋体"/>
          <w:b/>
          <w:bCs w:val="0"/>
          <w:sz w:val="24"/>
          <w:szCs w:val="24"/>
        </w:rPr>
        <w:t>要求：</w:t>
      </w:r>
    </w:p>
    <w:p w14:paraId="576625E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能处理和应对馆区公共秩序维护工作，能正确使用各类消防、物防、技防器械和设备，能够熟悉、掌握各类刑事、治安案件和各类灾害事故的应急预案；</w:t>
      </w:r>
    </w:p>
    <w:p w14:paraId="4378BE4F">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配备对讲装置和其他必备的安全护卫器械。上岗时统一佩戴标志，穿戴统一制服（内保与南通市海门区VR智能安全体验馆整体风格一致），装备佩戴规范，仪容仪表规范整齐，值班时立姿挺直，不倚不靠；</w:t>
      </w:r>
    </w:p>
    <w:p w14:paraId="718D29B3">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各出入口和门卫24小时值班看守。开放期间要立岗，并有详细的交接班记录，外来车辆必须登记。对外来人员进入办公区要通过电话先与当事人联系然后决定是否放进，如要接待做好详细登记；</w:t>
      </w:r>
    </w:p>
    <w:p w14:paraId="29752C0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对进入</w:t>
      </w:r>
      <w:r>
        <w:rPr>
          <w:rFonts w:hint="eastAsia" w:ascii="宋体" w:hAnsi="宋体" w:eastAsia="宋体" w:cs="宋体"/>
          <w:bCs/>
          <w:sz w:val="24"/>
          <w:szCs w:val="24"/>
          <w:lang w:eastAsia="zh-CN"/>
        </w:rPr>
        <w:t>VR智能安全体验馆</w:t>
      </w:r>
      <w:r>
        <w:rPr>
          <w:rFonts w:hint="eastAsia" w:ascii="宋体" w:hAnsi="宋体" w:eastAsia="宋体" w:cs="宋体"/>
          <w:bCs/>
          <w:sz w:val="24"/>
          <w:szCs w:val="24"/>
        </w:rPr>
        <w:t>的车辆要进行管理和疏导，保持出入口环境整洁、有序，道路畅通；</w:t>
      </w:r>
    </w:p>
    <w:p w14:paraId="43F8FD62">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w:t>
      </w:r>
      <w:r>
        <w:rPr>
          <w:rFonts w:hint="eastAsia" w:ascii="宋体" w:hAnsi="宋体" w:eastAsia="宋体" w:cs="宋体"/>
          <w:bCs/>
          <w:sz w:val="24"/>
          <w:szCs w:val="24"/>
        </w:rPr>
        <w:t>对大型物件出入要先询问调查并做好记录；</w:t>
      </w:r>
    </w:p>
    <w:p w14:paraId="755FDFE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cs="宋体"/>
          <w:bCs/>
          <w:sz w:val="24"/>
          <w:szCs w:val="24"/>
          <w:lang w:val="en-US" w:eastAsia="zh-CN"/>
        </w:rPr>
        <w:t>.</w:t>
      </w:r>
      <w:r>
        <w:rPr>
          <w:rFonts w:hint="eastAsia" w:ascii="宋体" w:hAnsi="宋体" w:eastAsia="宋体" w:cs="宋体"/>
          <w:bCs/>
          <w:sz w:val="24"/>
          <w:szCs w:val="24"/>
        </w:rPr>
        <w:t>保持秩序维护员之间以及秩序维护员与各部门的通信畅通，在遇到异常情况或紧急求助时，秩序维护员2分钟内赶到现场采取相应措施控制局面；</w:t>
      </w:r>
    </w:p>
    <w:p w14:paraId="01DA6CA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cs="宋体"/>
          <w:bCs/>
          <w:sz w:val="24"/>
          <w:szCs w:val="24"/>
          <w:lang w:val="en-US" w:eastAsia="zh-CN"/>
        </w:rPr>
        <w:t>.</w:t>
      </w:r>
      <w:r>
        <w:rPr>
          <w:rFonts w:hint="eastAsia" w:ascii="宋体" w:hAnsi="宋体" w:eastAsia="宋体" w:cs="宋体"/>
          <w:bCs/>
          <w:sz w:val="24"/>
          <w:szCs w:val="24"/>
        </w:rPr>
        <w:t>秩序维护员对观众的不文明举止或危害展品安全的行为，必须立即制止，措施到位；</w:t>
      </w:r>
    </w:p>
    <w:p w14:paraId="743CEFCA">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cs="宋体"/>
          <w:bCs/>
          <w:sz w:val="24"/>
          <w:szCs w:val="24"/>
          <w:lang w:val="en-US" w:eastAsia="zh-CN"/>
        </w:rPr>
        <w:t>.</w:t>
      </w:r>
      <w:r>
        <w:rPr>
          <w:rFonts w:hint="eastAsia" w:ascii="宋体" w:hAnsi="宋体" w:eastAsia="宋体" w:cs="宋体"/>
          <w:bCs/>
          <w:sz w:val="24"/>
          <w:szCs w:val="24"/>
        </w:rPr>
        <w:t>力保馆区内不出现任何警情，如出现警情，采购方将根据双方权利和义务的相关条款履行合同；</w:t>
      </w:r>
    </w:p>
    <w:p w14:paraId="09498B1D">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cs="宋体"/>
          <w:bCs/>
          <w:sz w:val="24"/>
          <w:szCs w:val="24"/>
          <w:lang w:val="en-US" w:eastAsia="zh-CN"/>
        </w:rPr>
        <w:t>.</w:t>
      </w:r>
      <w:r>
        <w:rPr>
          <w:rFonts w:hint="eastAsia" w:ascii="宋体" w:hAnsi="宋体" w:eastAsia="宋体" w:cs="宋体"/>
          <w:bCs/>
          <w:sz w:val="24"/>
          <w:szCs w:val="24"/>
        </w:rPr>
        <w:t>遇到布置展览等情况，秩序维护员要做好文物运输的安全警戒工作；</w:t>
      </w:r>
    </w:p>
    <w:p w14:paraId="05BCE0DC">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w:t>
      </w:r>
      <w:r>
        <w:rPr>
          <w:rFonts w:hint="eastAsia" w:ascii="宋体" w:hAnsi="宋体" w:eastAsia="宋体" w:cs="宋体"/>
          <w:bCs/>
          <w:sz w:val="24"/>
          <w:szCs w:val="24"/>
        </w:rPr>
        <w:t>加强夜间巡逻，按要求定时巡更，并做好详细记录，秩序维护员之间要保持联系；</w:t>
      </w:r>
    </w:p>
    <w:p w14:paraId="3244B32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cs="宋体"/>
          <w:bCs/>
          <w:sz w:val="24"/>
          <w:szCs w:val="24"/>
          <w:lang w:val="en-US" w:eastAsia="zh-CN"/>
        </w:rPr>
        <w:t>.</w:t>
      </w:r>
      <w:r>
        <w:rPr>
          <w:rFonts w:hint="eastAsia" w:ascii="宋体" w:hAnsi="宋体" w:eastAsia="宋体" w:cs="宋体"/>
          <w:bCs/>
          <w:sz w:val="24"/>
          <w:szCs w:val="24"/>
        </w:rPr>
        <w:t>做好外围广场的秩维执勤工作，制止游客不文明现象的发生。</w:t>
      </w:r>
    </w:p>
    <w:p w14:paraId="26EA25D8">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六、保洁服务内容：</w:t>
      </w:r>
    </w:p>
    <w:p w14:paraId="7EF9CB4D">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清洁卫生管理范围：</w:t>
      </w:r>
    </w:p>
    <w:p w14:paraId="74B013E6">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pacing w:val="-18"/>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制定完善的清洁细则，明确所需材料、检查方法等，并严格要求；</w:t>
      </w:r>
    </w:p>
    <w:p w14:paraId="11DBAB58">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制定部门各岗位的责任制；</w:t>
      </w:r>
    </w:p>
    <w:p w14:paraId="255D2F9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建立卫生清洁的检查制度；</w:t>
      </w:r>
    </w:p>
    <w:p w14:paraId="27E40E2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保持馆区内公共场所的清洁卫生；</w:t>
      </w:r>
    </w:p>
    <w:p w14:paraId="31216899">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w:t>
      </w:r>
      <w:r>
        <w:rPr>
          <w:rFonts w:hint="eastAsia" w:ascii="宋体" w:hAnsi="宋体" w:eastAsia="宋体" w:cs="宋体"/>
          <w:bCs/>
          <w:sz w:val="24"/>
          <w:szCs w:val="24"/>
        </w:rPr>
        <w:t>提供全面的清洁卫生美化服务。</w:t>
      </w:r>
    </w:p>
    <w:p w14:paraId="6151C6DC">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具体要求：</w:t>
      </w:r>
    </w:p>
    <w:p w14:paraId="734578BA">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展厅、公共区域要求全天候即时保洁。地面保持整洁无灰尘、无杂物、无痰渍，门窗、墙面、栏杆、扶手、展柜玻璃等无污垢、污迹、手印等。室内保持表面明亮、无灰尘、印迹；</w:t>
      </w:r>
    </w:p>
    <w:p w14:paraId="5D159E5A">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垃圾桶、茶水废弃桶及时</w:t>
      </w:r>
      <w:r>
        <w:rPr>
          <w:rFonts w:hint="eastAsia" w:ascii="宋体" w:hAnsi="宋体" w:cs="宋体"/>
          <w:bCs/>
          <w:sz w:val="24"/>
          <w:szCs w:val="24"/>
          <w:lang w:val="en-US" w:eastAsia="zh-CN"/>
        </w:rPr>
        <w:t>清理</w:t>
      </w:r>
      <w:r>
        <w:rPr>
          <w:rFonts w:hint="eastAsia" w:ascii="宋体" w:hAnsi="宋体" w:eastAsia="宋体" w:cs="宋体"/>
          <w:bCs/>
          <w:sz w:val="24"/>
          <w:szCs w:val="24"/>
        </w:rPr>
        <w:t>，保持表面清洁；</w:t>
      </w:r>
    </w:p>
    <w:p w14:paraId="1022CEC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厕所内做到无怪味、无脏物、无污渍、污垢，地面、镜面无水渍、污渍；</w:t>
      </w:r>
    </w:p>
    <w:p w14:paraId="74A8D588">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消防箱、指示牌等公共设施隔日擦拭无灰尘，天花板、公共灯具每半月除尘一次，目视无灰尘、无污迹、无蜘蛛网；</w:t>
      </w:r>
    </w:p>
    <w:p w14:paraId="2F6D9EB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w:t>
      </w:r>
      <w:r>
        <w:rPr>
          <w:rFonts w:hint="eastAsia" w:ascii="宋体" w:hAnsi="宋体" w:eastAsia="宋体" w:cs="宋体"/>
          <w:bCs/>
          <w:sz w:val="24"/>
          <w:szCs w:val="24"/>
        </w:rPr>
        <w:t>电梯轿厢每日循环保洁（地毯每日换一次），操作板每日消毒一次，每半个月对电梯门壁打蜡上光一次、表面光亮、无污迹，轿厢壁无浮尘，不锈钢表面光亮、无污迹；</w:t>
      </w:r>
    </w:p>
    <w:p w14:paraId="3E32740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cs="宋体"/>
          <w:bCs/>
          <w:sz w:val="24"/>
          <w:szCs w:val="24"/>
          <w:lang w:val="en-US" w:eastAsia="zh-CN"/>
        </w:rPr>
        <w:t>.</w:t>
      </w:r>
      <w:r>
        <w:rPr>
          <w:rFonts w:hint="eastAsia" w:ascii="宋体" w:hAnsi="宋体" w:eastAsia="宋体" w:cs="宋体"/>
          <w:bCs/>
          <w:sz w:val="24"/>
          <w:szCs w:val="24"/>
        </w:rPr>
        <w:t>对库房的保洁，只负责走廊等公共部位；</w:t>
      </w:r>
    </w:p>
    <w:p w14:paraId="6BD1ED0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cs="宋体"/>
          <w:bCs/>
          <w:sz w:val="24"/>
          <w:szCs w:val="24"/>
          <w:lang w:val="en-US" w:eastAsia="zh-CN"/>
        </w:rPr>
        <w:t>.</w:t>
      </w:r>
      <w:r>
        <w:rPr>
          <w:rFonts w:hint="eastAsia" w:ascii="宋体" w:hAnsi="宋体" w:eastAsia="宋体" w:cs="宋体"/>
          <w:bCs/>
          <w:sz w:val="24"/>
          <w:szCs w:val="24"/>
        </w:rPr>
        <w:t>做好休闲区域的保洁工作，做到目视地面干净无杂物；</w:t>
      </w:r>
    </w:p>
    <w:p w14:paraId="23D9DC2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cs="宋体"/>
          <w:bCs/>
          <w:sz w:val="24"/>
          <w:szCs w:val="24"/>
          <w:lang w:val="en-US" w:eastAsia="zh-CN"/>
        </w:rPr>
        <w:t>.</w:t>
      </w:r>
      <w:r>
        <w:rPr>
          <w:rFonts w:hint="eastAsia" w:ascii="宋体" w:hAnsi="宋体" w:eastAsia="宋体" w:cs="宋体"/>
          <w:bCs/>
          <w:sz w:val="24"/>
          <w:szCs w:val="24"/>
        </w:rPr>
        <w:t>做好大型展览开幕、重要接待任务等的突击保洁工作；</w:t>
      </w:r>
    </w:p>
    <w:p w14:paraId="0D56BA83">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cs="宋体"/>
          <w:bCs/>
          <w:sz w:val="24"/>
          <w:szCs w:val="24"/>
          <w:lang w:val="en-US" w:eastAsia="zh-CN"/>
        </w:rPr>
        <w:t>.</w:t>
      </w:r>
      <w:r>
        <w:rPr>
          <w:rFonts w:hint="eastAsia" w:ascii="宋体" w:hAnsi="宋体" w:eastAsia="宋体" w:cs="宋体"/>
          <w:bCs/>
          <w:sz w:val="24"/>
          <w:szCs w:val="24"/>
        </w:rPr>
        <w:t>每天清理</w:t>
      </w:r>
      <w:r>
        <w:rPr>
          <w:rFonts w:hint="eastAsia" w:ascii="宋体" w:hAnsi="宋体" w:cs="宋体"/>
          <w:bCs/>
          <w:sz w:val="24"/>
          <w:szCs w:val="24"/>
          <w:lang w:val="en-US" w:eastAsia="zh-CN"/>
        </w:rPr>
        <w:t>体验</w:t>
      </w:r>
      <w:r>
        <w:rPr>
          <w:rFonts w:hint="eastAsia" w:ascii="宋体" w:hAnsi="宋体" w:eastAsia="宋体" w:cs="宋体"/>
          <w:bCs/>
          <w:sz w:val="24"/>
          <w:szCs w:val="24"/>
        </w:rPr>
        <w:t>馆内</w:t>
      </w:r>
      <w:r>
        <w:rPr>
          <w:rFonts w:hint="eastAsia" w:ascii="宋体" w:hAnsi="宋体" w:cs="宋体"/>
          <w:bCs/>
          <w:sz w:val="24"/>
          <w:szCs w:val="24"/>
          <w:lang w:val="en-US" w:eastAsia="zh-CN"/>
        </w:rPr>
        <w:t>产生的</w:t>
      </w:r>
      <w:r>
        <w:rPr>
          <w:rFonts w:hint="eastAsia" w:ascii="宋体" w:hAnsi="宋体" w:eastAsia="宋体" w:cs="宋体"/>
          <w:bCs/>
          <w:sz w:val="24"/>
          <w:szCs w:val="24"/>
        </w:rPr>
        <w:t>各类垃圾。</w:t>
      </w:r>
    </w:p>
    <w:p w14:paraId="7A55001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w:t>
      </w:r>
      <w:r>
        <w:rPr>
          <w:rFonts w:hint="eastAsia" w:ascii="宋体" w:hAnsi="宋体" w:eastAsia="宋体" w:cs="宋体"/>
          <w:bCs/>
          <w:sz w:val="24"/>
          <w:szCs w:val="24"/>
        </w:rPr>
        <w:t>按国家卫生城市标准和要求对公共场所和周围环境定期进行预防性卫生消杀，制定详尽的消杀预防方案，消除老鼠蟑螂苍蝇及其他有害昆虫及其滋生条件，做到科学、有效、有记录。</w:t>
      </w:r>
    </w:p>
    <w:p w14:paraId="422CA9A6">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cs="宋体"/>
          <w:bCs/>
          <w:sz w:val="24"/>
          <w:szCs w:val="24"/>
          <w:lang w:val="en-US" w:eastAsia="zh-CN"/>
        </w:rPr>
        <w:t>.</w:t>
      </w:r>
      <w:r>
        <w:rPr>
          <w:rFonts w:hint="eastAsia" w:ascii="宋体" w:hAnsi="宋体" w:eastAsia="宋体" w:cs="宋体"/>
          <w:bCs/>
          <w:sz w:val="24"/>
          <w:szCs w:val="24"/>
        </w:rPr>
        <w:t>完成突发性事件造成的保洁工作，配合做好防汛、防冻、防台风、防火的应急处理。</w:t>
      </w:r>
    </w:p>
    <w:p w14:paraId="2CE6C814">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七、日常</w:t>
      </w:r>
      <w:r>
        <w:rPr>
          <w:rFonts w:hint="eastAsia" w:ascii="宋体" w:hAnsi="宋体" w:cs="宋体"/>
          <w:b/>
          <w:sz w:val="24"/>
          <w:szCs w:val="24"/>
          <w:lang w:val="en-US" w:eastAsia="zh-CN"/>
        </w:rPr>
        <w:t>维修</w:t>
      </w:r>
    </w:p>
    <w:p w14:paraId="5C8A325C">
      <w:pPr>
        <w:keepNext w:val="0"/>
        <w:keepLines w:val="0"/>
        <w:pageBreakBefore w:val="0"/>
        <w:tabs>
          <w:tab w:val="left" w:pos="900"/>
          <w:tab w:val="left" w:pos="1080"/>
        </w:tabs>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检修</w:t>
      </w:r>
      <w:r>
        <w:rPr>
          <w:rFonts w:hint="eastAsia" w:ascii="宋体" w:hAnsi="宋体" w:cs="宋体"/>
          <w:bCs/>
          <w:sz w:val="24"/>
          <w:szCs w:val="24"/>
          <w:lang w:val="en-US" w:eastAsia="zh-CN"/>
        </w:rPr>
        <w:t>维修</w:t>
      </w:r>
      <w:r>
        <w:rPr>
          <w:rFonts w:hint="eastAsia" w:ascii="宋体" w:hAnsi="宋体" w:eastAsia="宋体" w:cs="宋体"/>
          <w:bCs/>
          <w:sz w:val="24"/>
          <w:szCs w:val="24"/>
        </w:rPr>
        <w:t>服务：物业接管时协助委托方做好三方承接查验工作，并对存在问题的整改情况进行督查和跟进。维修人员熟悉区域内的上下水管道、供电、消防报警系统、智能化系统等设施设备的性能、使用情况、线路分布及安装和维修技术，做好日常巡视工作，</w:t>
      </w:r>
      <w:r>
        <w:rPr>
          <w:rFonts w:hint="eastAsia" w:ascii="宋体" w:hAnsi="宋体" w:cs="宋体"/>
          <w:bCs/>
          <w:sz w:val="24"/>
          <w:szCs w:val="24"/>
          <w:lang w:eastAsia="zh-CN"/>
        </w:rPr>
        <w:t>按照</w:t>
      </w:r>
      <w:r>
        <w:rPr>
          <w:rFonts w:hint="eastAsia" w:ascii="宋体" w:hAnsi="宋体" w:eastAsia="宋体" w:cs="宋体"/>
          <w:bCs/>
          <w:sz w:val="24"/>
          <w:szCs w:val="24"/>
        </w:rPr>
        <w:t>服务处制订的年度维修计划和节能降耗计划，及时完成维修任务和相关数据的统计、比对和分析，做好相关</w:t>
      </w:r>
      <w:r>
        <w:rPr>
          <w:rFonts w:hint="eastAsia" w:ascii="宋体" w:hAnsi="宋体" w:cs="宋体"/>
          <w:bCs/>
          <w:sz w:val="24"/>
          <w:szCs w:val="24"/>
          <w:lang w:eastAsia="zh-CN"/>
        </w:rPr>
        <w:t>台账</w:t>
      </w:r>
      <w:r>
        <w:rPr>
          <w:rFonts w:hint="eastAsia" w:ascii="宋体" w:hAnsi="宋体" w:eastAsia="宋体" w:cs="宋体"/>
          <w:bCs/>
          <w:sz w:val="24"/>
          <w:szCs w:val="24"/>
        </w:rPr>
        <w:t>记录。</w:t>
      </w:r>
    </w:p>
    <w:p w14:paraId="5EE8A2CF">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一</w:t>
      </w:r>
      <w:r>
        <w:rPr>
          <w:rFonts w:hint="eastAsia" w:ascii="宋体" w:hAnsi="宋体" w:eastAsia="宋体" w:cs="宋体"/>
          <w:b/>
          <w:sz w:val="24"/>
          <w:szCs w:val="24"/>
          <w:highlight w:val="none"/>
        </w:rPr>
        <w:t>）采购标的的验收标准</w:t>
      </w:r>
    </w:p>
    <w:p w14:paraId="70E9E8B1">
      <w:pPr>
        <w:numPr>
          <w:ilvl w:val="0"/>
          <w:numId w:val="5"/>
        </w:numPr>
        <w:spacing w:line="500" w:lineRule="exact"/>
        <w:ind w:left="84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中标后由采购单位和中标单位协商好后进行验收；</w:t>
      </w:r>
    </w:p>
    <w:p w14:paraId="1A7EC73E">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840" w:leftChars="0" w:hanging="42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综合服务管理</w:t>
      </w:r>
      <w:r>
        <w:rPr>
          <w:rFonts w:hint="eastAsia" w:ascii="宋体" w:hAnsi="宋体" w:eastAsia="宋体" w:cs="宋体"/>
          <w:b w:val="0"/>
          <w:bCs w:val="0"/>
          <w:kern w:val="0"/>
          <w:sz w:val="24"/>
          <w:szCs w:val="24"/>
          <w:highlight w:val="none"/>
        </w:rPr>
        <w:t>考核内容：</w:t>
      </w:r>
    </w:p>
    <w:p w14:paraId="4CC5585D">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1．管理理念先进，管理思想端正，严格按照《物业管理条例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物业管理企业资质管理试行办法》等法规条约的基本要求，做到有年度总体规划，周有安排，月有计划，季有检查落实。</w:t>
      </w:r>
    </w:p>
    <w:p w14:paraId="2A8899E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2．物业人员（含主要负责人）数量符合要求，出勤良好。</w:t>
      </w:r>
    </w:p>
    <w:p w14:paraId="116FBA25">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3．物业人员资质满足工作要求，持证上岗。</w:t>
      </w:r>
    </w:p>
    <w:p w14:paraId="4595CC9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4．员工要统一着装，安保人员配备对讲装置和必要的安全护卫器械</w:t>
      </w:r>
      <w:r>
        <w:rPr>
          <w:rFonts w:hint="eastAsia" w:ascii="宋体" w:hAnsi="宋体" w:eastAsia="宋体" w:cs="宋体"/>
          <w:sz w:val="24"/>
          <w:szCs w:val="24"/>
          <w:highlight w:val="none"/>
          <w:lang w:eastAsia="zh-CN"/>
        </w:rPr>
        <w:t>。</w:t>
      </w:r>
    </w:p>
    <w:p w14:paraId="5683160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5．按规定时间上下班，不擅自离岗。</w:t>
      </w:r>
      <w:r>
        <w:rPr>
          <w:rFonts w:hint="eastAsia" w:ascii="宋体" w:hAnsi="宋体" w:eastAsia="宋体" w:cs="宋体"/>
          <w:sz w:val="24"/>
          <w:szCs w:val="24"/>
          <w:highlight w:val="none"/>
        </w:rPr>
        <w:tab/>
      </w:r>
    </w:p>
    <w:p w14:paraId="0A153F96">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6．在岗时不随意交谈、吸烟、吃东西、看书报、听音乐、打瞌睡、会友、玩手机、吵架、打架、赌博。</w:t>
      </w:r>
    </w:p>
    <w:p w14:paraId="4213A94B">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7．对上级部门查出的问题能在限期内认真处理整改。</w:t>
      </w:r>
    </w:p>
    <w:p w14:paraId="6DFAC61F">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8．不泄露</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机密、文件、档案或在网上发布散发未经查实有损</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形象的文字、图片、视频资料。</w:t>
      </w:r>
    </w:p>
    <w:p w14:paraId="3967CEAA">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9．接到投诉，记录完整，及时处理，件件落实。</w:t>
      </w:r>
    </w:p>
    <w:p w14:paraId="67DA5D4B">
      <w:pPr>
        <w:keepNext w:val="0"/>
        <w:keepLines w:val="0"/>
        <w:pageBreakBefore w:val="0"/>
        <w:numPr>
          <w:ilvl w:val="0"/>
          <w:numId w:val="5"/>
        </w:numPr>
        <w:kinsoku/>
        <w:wordWrap/>
        <w:overflowPunct/>
        <w:topLinePunct w:val="0"/>
        <w:autoSpaceDE/>
        <w:autoSpaceDN/>
        <w:bidi w:val="0"/>
        <w:spacing w:line="500" w:lineRule="exact"/>
        <w:ind w:left="840" w:leftChars="0" w:hanging="42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相应的评分标准：</w:t>
      </w:r>
    </w:p>
    <w:p w14:paraId="428C950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1.违反管理服务法规条约内容基本要求，发现1次扣 1分。</w:t>
      </w:r>
    </w:p>
    <w:p w14:paraId="186FF922">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2.管理思路不清、管理目标不明确，没有年度总体计划的扣2分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没有季度总结扣2分。</w:t>
      </w:r>
    </w:p>
    <w:p w14:paraId="78B43BF6">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.有计划、有总结，但资料不全或落实不达标，酌情扣1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3分。</w:t>
      </w:r>
    </w:p>
    <w:p w14:paraId="7125161C">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人数不达要求，查实1次扣1分。</w:t>
      </w:r>
    </w:p>
    <w:p w14:paraId="5BF2DF8A">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人员年龄结构未达到合同要求，查实1例扣1分。</w:t>
      </w:r>
    </w:p>
    <w:p w14:paraId="47C37CC9">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违反工作纪律和考勤制度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发现1次扣1分。</w:t>
      </w:r>
    </w:p>
    <w:p w14:paraId="06E6D2BF">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发现问题不及时处理、整改落实的，查实一例扣1分。</w:t>
      </w:r>
    </w:p>
    <w:p w14:paraId="02608A48">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违反</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内部机密规定，有损</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形象，查实1例扣5分。</w:t>
      </w:r>
    </w:p>
    <w:p w14:paraId="4F8CF800">
      <w:pPr>
        <w:keepNext w:val="0"/>
        <w:keepLines w:val="0"/>
        <w:pageBreakBefore w:val="0"/>
        <w:numPr>
          <w:ilvl w:val="0"/>
          <w:numId w:val="5"/>
        </w:numPr>
        <w:kinsoku/>
        <w:wordWrap/>
        <w:overflowPunct/>
        <w:topLinePunct w:val="0"/>
        <w:autoSpaceDE/>
        <w:autoSpaceDN/>
        <w:bidi w:val="0"/>
        <w:adjustRightInd w:val="0"/>
        <w:snapToGrid w:val="0"/>
        <w:spacing w:line="500" w:lineRule="exact"/>
        <w:ind w:left="840" w:leftChars="0" w:hanging="42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安保、消防服务管理考核内容：</w:t>
      </w:r>
    </w:p>
    <w:p w14:paraId="1B02DE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1．认真完成每日安全防范工作并有相关台账。</w:t>
      </w:r>
    </w:p>
    <w:p w14:paraId="4EFE6D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内无安全隐患、无火灾、无治安刑事案件、失窃和交通事故发生。</w:t>
      </w:r>
    </w:p>
    <w:p w14:paraId="543C04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3．物业人员在</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上班工作期间，无工伤死亡、重伤和造成经济损失等事故事件发生。</w:t>
      </w:r>
    </w:p>
    <w:p w14:paraId="655FD9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4.安全疏散指示、监控等安全设备设施无</w:t>
      </w:r>
      <w:r>
        <w:rPr>
          <w:rFonts w:hint="eastAsia" w:ascii="宋体" w:hAnsi="宋体" w:eastAsia="宋体" w:cs="宋体"/>
          <w:sz w:val="24"/>
          <w:szCs w:val="24"/>
          <w:highlight w:val="none"/>
          <w:lang w:val="en-US" w:eastAsia="zh-CN"/>
        </w:rPr>
        <w:t>缺失</w:t>
      </w:r>
      <w:r>
        <w:rPr>
          <w:rFonts w:hint="eastAsia" w:ascii="宋体" w:hAnsi="宋体" w:eastAsia="宋体" w:cs="宋体"/>
          <w:sz w:val="24"/>
          <w:szCs w:val="24"/>
          <w:highlight w:val="none"/>
        </w:rPr>
        <w:t>损坏。</w:t>
      </w:r>
    </w:p>
    <w:p w14:paraId="78A00F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5.在危险重点部位设明显提示标志和安全防护措施。</w:t>
      </w:r>
    </w:p>
    <w:p w14:paraId="345BA6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6.高空作业、公共区域维修、绿化、清洁、消杀作业等要设安全警戒或提示标志。</w:t>
      </w:r>
    </w:p>
    <w:p w14:paraId="06D7BD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7.公共区域内、消防通道时刻保持畅通，无乱停放车辆或杂物乱堆、乱放占用公共区域及通道。</w:t>
      </w:r>
    </w:p>
    <w:p w14:paraId="7A2AEE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8.消</w:t>
      </w:r>
      <w:r>
        <w:rPr>
          <w:rFonts w:hint="eastAsia" w:ascii="宋体" w:hAnsi="宋体" w:eastAsia="宋体" w:cs="宋体"/>
          <w:sz w:val="24"/>
          <w:szCs w:val="24"/>
          <w:highlight w:val="none"/>
          <w:lang w:val="en-US" w:eastAsia="zh-CN"/>
        </w:rPr>
        <w:t>防</w:t>
      </w:r>
      <w:r>
        <w:rPr>
          <w:rFonts w:hint="eastAsia" w:ascii="宋体" w:hAnsi="宋体" w:eastAsia="宋体" w:cs="宋体"/>
          <w:sz w:val="24"/>
          <w:szCs w:val="24"/>
          <w:highlight w:val="none"/>
        </w:rPr>
        <w:t>监控室地面清洁、物品摆放整齐、无杂物放置，无关人员不得随意出</w:t>
      </w:r>
      <w:r>
        <w:rPr>
          <w:rFonts w:hint="eastAsia" w:ascii="宋体" w:hAnsi="宋体" w:eastAsia="宋体" w:cs="宋体"/>
          <w:sz w:val="24"/>
          <w:szCs w:val="24"/>
          <w:highlight w:val="none"/>
          <w:lang w:val="en-US" w:eastAsia="zh-CN"/>
        </w:rPr>
        <w:t>入</w:t>
      </w:r>
      <w:r>
        <w:rPr>
          <w:rFonts w:hint="eastAsia" w:ascii="宋体" w:hAnsi="宋体" w:eastAsia="宋体" w:cs="宋体"/>
          <w:sz w:val="24"/>
          <w:szCs w:val="24"/>
          <w:highlight w:val="none"/>
        </w:rPr>
        <w:t>（24小时要有人值班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各项设备设施24小时正常运行）；常闭式防火门随时处于关闭状态。</w:t>
      </w:r>
    </w:p>
    <w:p w14:paraId="728384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9.各类消防设施、灭火器材管理</w:t>
      </w:r>
      <w:r>
        <w:rPr>
          <w:rFonts w:hint="eastAsia" w:ascii="宋体" w:hAnsi="宋体" w:cs="宋体"/>
          <w:sz w:val="24"/>
          <w:szCs w:val="24"/>
          <w:highlight w:val="none"/>
          <w:lang w:val="en-US" w:eastAsia="zh-CN"/>
        </w:rPr>
        <w:t>完善</w:t>
      </w:r>
      <w:r>
        <w:rPr>
          <w:rFonts w:hint="eastAsia" w:ascii="宋体" w:hAnsi="宋体" w:eastAsia="宋体" w:cs="宋体"/>
          <w:sz w:val="24"/>
          <w:szCs w:val="24"/>
          <w:highlight w:val="none"/>
        </w:rPr>
        <w:t>，无损坏缺失，能正常运转。检查表张贴规范。消防设备每半年联动操作测试。</w:t>
      </w:r>
    </w:p>
    <w:p w14:paraId="7A08F6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10.消防水泵、高位水箱水压每日进行一次压力检查。</w:t>
      </w:r>
    </w:p>
    <w:p w14:paraId="3C4FEC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11.有突发事件的应急预案，定期演练，确保在紧急情况下按照预案的要求，有条不紊地开展突发事件应急工作。</w:t>
      </w:r>
    </w:p>
    <w:p w14:paraId="3BB4244A">
      <w:pPr>
        <w:keepNext w:val="0"/>
        <w:keepLines w:val="0"/>
        <w:pageBreakBefore w:val="0"/>
        <w:numPr>
          <w:ilvl w:val="0"/>
          <w:numId w:val="5"/>
        </w:numPr>
        <w:kinsoku/>
        <w:wordWrap/>
        <w:overflowPunct/>
        <w:topLinePunct w:val="0"/>
        <w:autoSpaceDE/>
        <w:autoSpaceDN/>
        <w:bidi w:val="0"/>
        <w:spacing w:line="500" w:lineRule="exact"/>
        <w:ind w:left="840" w:leftChars="0" w:hanging="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相应的评分标准：</w:t>
      </w:r>
    </w:p>
    <w:p w14:paraId="43601E5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1．每日安全防范工作记录不全的，少一次扣1 分。</w:t>
      </w:r>
    </w:p>
    <w:p w14:paraId="0D35650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2．造成业主方火灾、治安刑事案件、失窃和交通事故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有一起发生，扣5分。</w:t>
      </w:r>
    </w:p>
    <w:p w14:paraId="2665D07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3.危险重点部位、高空作业、公共区域维修、绿化、清洁、消杀作业等没有安全警戒提示标志和安全防护措施，少一处扣1分。</w:t>
      </w:r>
    </w:p>
    <w:p w14:paraId="331C012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4.消控室人员无证上岗或有证但不能熟练操作消控设施，查实一次扣1分。</w:t>
      </w:r>
    </w:p>
    <w:p w14:paraId="127E4B8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5.消控室环境“脏、乱、差”，工作人员散漫拖拉，查实一次扣1分。</w:t>
      </w:r>
    </w:p>
    <w:p w14:paraId="3D472B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6．团队男女比例严重失调，酌情扣1</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3分。</w:t>
      </w:r>
    </w:p>
    <w:p w14:paraId="4EF0459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7.无突发事件应急预案扣3分，不完整酌情扣1</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2分</w:t>
      </w:r>
    </w:p>
    <w:p w14:paraId="31F47F16">
      <w:pPr>
        <w:keepNext w:val="0"/>
        <w:keepLines w:val="0"/>
        <w:pageBreakBefore w:val="0"/>
        <w:numPr>
          <w:ilvl w:val="0"/>
          <w:numId w:val="5"/>
        </w:numPr>
        <w:kinsoku/>
        <w:wordWrap/>
        <w:overflowPunct/>
        <w:topLinePunct w:val="0"/>
        <w:autoSpaceDE/>
        <w:autoSpaceDN/>
        <w:bidi w:val="0"/>
        <w:adjustRightInd w:val="0"/>
        <w:snapToGrid w:val="0"/>
        <w:spacing w:line="500" w:lineRule="exact"/>
        <w:ind w:left="840" w:leftChars="0" w:hanging="42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保洁服务管理考核内容：</w:t>
      </w:r>
    </w:p>
    <w:p w14:paraId="18BCBC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1．闭馆前打扫到位，保证次日开馆开放区域全天候无保洁问题。</w:t>
      </w:r>
    </w:p>
    <w:p w14:paraId="6ACA798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2．大厅、展厅和走道玻璃门透明</w:t>
      </w:r>
      <w:r>
        <w:rPr>
          <w:rFonts w:hint="eastAsia" w:ascii="宋体" w:hAnsi="宋体" w:eastAsia="宋体" w:cs="宋体"/>
          <w:sz w:val="24"/>
          <w:szCs w:val="24"/>
          <w:highlight w:val="none"/>
          <w:lang w:val="en-US" w:eastAsia="zh-CN"/>
        </w:rPr>
        <w:t>完</w:t>
      </w:r>
      <w:r>
        <w:rPr>
          <w:rFonts w:hint="eastAsia" w:ascii="宋体" w:hAnsi="宋体" w:eastAsia="宋体" w:cs="宋体"/>
          <w:sz w:val="24"/>
          <w:szCs w:val="24"/>
          <w:highlight w:val="none"/>
        </w:rPr>
        <w:t>好，无污迹，无手印，无灰尘，明亮光洁。</w:t>
      </w:r>
    </w:p>
    <w:p w14:paraId="3C63B9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3．电梯门及轿厢无杂物、污迹，无手印，无灰尘，保持光亮。</w:t>
      </w:r>
    </w:p>
    <w:p w14:paraId="682B53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4．大厅、展厅和走廊天花板目视无网丝积点，无蛛网，无积灰。</w:t>
      </w:r>
    </w:p>
    <w:p w14:paraId="1881A4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5．南、北广场地坪无杂物，无污迹；露天座位目视无积尘，无污迹；水池水面无杂物，水质良好，观赏鱼存活率达98%以上。</w:t>
      </w:r>
    </w:p>
    <w:p w14:paraId="4ED099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6．会议室、报告厅等地面无污迹，无杂物，表面清洁；椅子、桌子、墙面附属物无污迹，无杂物。 </w:t>
      </w:r>
    </w:p>
    <w:p w14:paraId="46E383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7．卫生间及茶水间地面无积尘，无杂物，无污迹，表面明亮；蹲位、座位、台盆无积水，无杂物，鼻嗅无异味；小便池无积水，无杂物，鼻嗅无异味。</w:t>
      </w:r>
    </w:p>
    <w:p w14:paraId="69E7B46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8．庭院无污物，无杂草、青苔、污迹等落叶堆积物；地下室地面无杂物，无污迹。</w:t>
      </w:r>
    </w:p>
    <w:p w14:paraId="400827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9．馆内所有垃圾桶做到日产日清；排水沟排水畅通，无堵塞；雨天、台风季节要加强排水、排污疏通（包括</w:t>
      </w:r>
      <w:r>
        <w:rPr>
          <w:rFonts w:hint="eastAsia" w:ascii="宋体" w:hAnsi="宋体" w:eastAsia="宋体" w:cs="宋体"/>
          <w:sz w:val="24"/>
          <w:szCs w:val="24"/>
          <w:highlight w:val="none"/>
          <w:lang w:eastAsia="zh-CN"/>
        </w:rPr>
        <w:t>VR智能安全体验馆</w:t>
      </w:r>
      <w:r>
        <w:rPr>
          <w:rFonts w:hint="eastAsia" w:ascii="宋体" w:hAnsi="宋体" w:eastAsia="宋体" w:cs="宋体"/>
          <w:sz w:val="24"/>
          <w:szCs w:val="24"/>
          <w:highlight w:val="none"/>
        </w:rPr>
        <w:t>化粪池的定期检查），及时清理污垢和地面积水。</w:t>
      </w:r>
    </w:p>
    <w:p w14:paraId="4AFB36BA">
      <w:pPr>
        <w:keepNext w:val="0"/>
        <w:keepLines w:val="0"/>
        <w:pageBreakBefore w:val="0"/>
        <w:numPr>
          <w:ilvl w:val="0"/>
          <w:numId w:val="5"/>
        </w:numPr>
        <w:kinsoku/>
        <w:wordWrap/>
        <w:overflowPunct/>
        <w:topLinePunct w:val="0"/>
        <w:autoSpaceDE/>
        <w:autoSpaceDN/>
        <w:bidi w:val="0"/>
        <w:spacing w:line="500" w:lineRule="exact"/>
        <w:ind w:left="840" w:leftChars="0" w:hanging="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相应的评分标准：</w:t>
      </w:r>
    </w:p>
    <w:p w14:paraId="1BE4C3D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1.每发现一处公共区域内堆放垃圾超过24小时，仍未处理者扣1分。 </w:t>
      </w:r>
    </w:p>
    <w:p w14:paraId="1664D33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2.每发现一处卫生死角扣1分。</w:t>
      </w:r>
    </w:p>
    <w:p w14:paraId="0A617A8C">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3.每发现一处公共区域或花园草地内有杂物扣1分。</w:t>
      </w:r>
    </w:p>
    <w:p w14:paraId="45C29D38">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4.每发现一处有积灰或积水或积沙分别扣0.5分。</w:t>
      </w:r>
    </w:p>
    <w:p w14:paraId="052F9E2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5.每发现一处有蜘蛛网扣0.5分。 </w:t>
      </w:r>
    </w:p>
    <w:p w14:paraId="664594D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6.每发现一处乱堆乱放清洁用具扣0.5分。 </w:t>
      </w:r>
    </w:p>
    <w:p w14:paraId="1DC40205">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7.每发现一处公共区域有臭气扣0.5分。</w:t>
      </w:r>
    </w:p>
    <w:p w14:paraId="01626443">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8.上次检查出的问题本周仍未整改，每处按标准加倍扣1分 。</w:t>
      </w:r>
    </w:p>
    <w:p w14:paraId="01075424">
      <w:pPr>
        <w:spacing w:line="360" w:lineRule="auto"/>
        <w:ind w:firstLine="482" w:firstLineChars="200"/>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八、服务时间、其他技术要求</w:t>
      </w:r>
    </w:p>
    <w:p w14:paraId="33E36304">
      <w:pPr>
        <w:spacing w:line="360" w:lineRule="auto"/>
        <w:ind w:firstLine="482" w:firstLineChars="200"/>
        <w:rPr>
          <w:rFonts w:hint="eastAsia" w:ascii="宋体" w:hAnsi="宋体" w:cs="宋体"/>
          <w:b w:val="0"/>
          <w:bCs/>
          <w:sz w:val="24"/>
          <w:szCs w:val="24"/>
          <w:highlight w:val="none"/>
          <w:lang w:val="en-US" w:eastAsia="zh-CN"/>
        </w:rPr>
      </w:pPr>
      <w:r>
        <w:rPr>
          <w:rFonts w:hint="eastAsia" w:ascii="宋体" w:hAnsi="宋体" w:cs="宋体"/>
          <w:b/>
          <w:sz w:val="24"/>
          <w:szCs w:val="24"/>
          <w:highlight w:val="none"/>
          <w:lang w:val="en-US" w:eastAsia="zh-CN"/>
        </w:rPr>
        <w:t>（一）服务时间：</w:t>
      </w:r>
      <w:r>
        <w:rPr>
          <w:rFonts w:hint="eastAsia" w:ascii="宋体" w:hAnsi="宋体" w:cs="宋体"/>
          <w:b w:val="0"/>
          <w:bCs/>
          <w:sz w:val="24"/>
          <w:szCs w:val="24"/>
          <w:highlight w:val="none"/>
          <w:lang w:val="en-US" w:eastAsia="zh-CN"/>
        </w:rPr>
        <w:t>本次招标物业管理期限为一年，具体起止时间以合同签订时间为准。</w:t>
      </w:r>
    </w:p>
    <w:p w14:paraId="175A2248">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二</w:t>
      </w:r>
      <w:r>
        <w:rPr>
          <w:rFonts w:hint="eastAsia" w:ascii="宋体" w:hAnsi="宋体" w:cs="宋体"/>
          <w:b/>
          <w:bCs/>
          <w:color w:val="auto"/>
          <w:sz w:val="24"/>
          <w:szCs w:val="24"/>
          <w:lang w:eastAsia="zh-CN"/>
        </w:rPr>
        <w:t>）</w:t>
      </w:r>
      <w:r>
        <w:rPr>
          <w:rFonts w:hint="eastAsia" w:ascii="宋体" w:hAnsi="宋体" w:cs="宋体"/>
          <w:b/>
          <w:bCs/>
          <w:color w:val="auto"/>
          <w:sz w:val="24"/>
          <w:szCs w:val="24"/>
        </w:rPr>
        <w:t>本次报价应包括以下内容：</w:t>
      </w:r>
    </w:p>
    <w:p w14:paraId="29735ED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本次报价包括人员工资，工作必需品，管理费及税金等所有费用。</w:t>
      </w:r>
    </w:p>
    <w:p w14:paraId="111565E5">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管理费是指除人员工资、服务用品耗材以外的一切费用。</w:t>
      </w:r>
    </w:p>
    <w:p w14:paraId="1D3768ED">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报价中</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人员</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工资不得低于政府规定的最低工资标准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且符合年龄条件的人员必须缴纳社会保险</w:t>
      </w:r>
      <w:r>
        <w:rPr>
          <w:rFonts w:hint="eastAsia" w:ascii="宋体" w:hAnsi="宋体" w:cs="宋体"/>
          <w:color w:val="auto"/>
          <w:sz w:val="24"/>
          <w:szCs w:val="24"/>
        </w:rPr>
        <w:t xml:space="preserve">。 </w:t>
      </w:r>
    </w:p>
    <w:p w14:paraId="03AC08C3">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val="en-US" w:eastAsia="zh-CN"/>
        </w:rPr>
        <w:t>（三）</w:t>
      </w:r>
      <w:r>
        <w:rPr>
          <w:rFonts w:hint="eastAsia" w:ascii="宋体" w:hAnsi="宋体" w:cs="宋体"/>
          <w:color w:val="auto"/>
          <w:sz w:val="24"/>
          <w:szCs w:val="24"/>
        </w:rPr>
        <w:t>各投标单位应同时制订前期介入服务方案。</w:t>
      </w:r>
    </w:p>
    <w:p w14:paraId="731D0FAC">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提前终止合同的情形</w:t>
      </w:r>
    </w:p>
    <w:p w14:paraId="6134B098">
      <w:pPr>
        <w:spacing w:line="500" w:lineRule="exact"/>
        <w:ind w:firstLine="560"/>
        <w:rPr>
          <w:rFonts w:hint="eastAsia" w:ascii="宋体" w:hAnsi="宋体" w:cs="宋体"/>
          <w:color w:val="auto"/>
          <w:sz w:val="24"/>
          <w:szCs w:val="24"/>
        </w:rPr>
      </w:pPr>
      <w:r>
        <w:rPr>
          <w:rFonts w:hint="eastAsia" w:ascii="宋体" w:hAnsi="宋体" w:cs="宋体"/>
          <w:color w:val="auto"/>
          <w:sz w:val="24"/>
          <w:szCs w:val="24"/>
        </w:rPr>
        <w:t>中标方在服务期限内存在以下情形，应承担相应的法律后果，业主方有权单方提前终止合同。</w:t>
      </w:r>
    </w:p>
    <w:p w14:paraId="5C193C1D">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中标方未按照《</w:t>
      </w:r>
      <w:r>
        <w:rPr>
          <w:rFonts w:hint="eastAsia" w:ascii="宋体" w:hAnsi="宋体" w:cs="宋体"/>
          <w:color w:val="auto"/>
          <w:sz w:val="24"/>
          <w:szCs w:val="24"/>
          <w:lang w:eastAsia="zh-CN"/>
        </w:rPr>
        <w:t>中华人民共和国劳动合同法》《中华人民共和国社会保险法</w:t>
      </w:r>
      <w:r>
        <w:rPr>
          <w:rFonts w:hint="eastAsia" w:ascii="宋体" w:hAnsi="宋体" w:cs="宋体"/>
          <w:color w:val="auto"/>
          <w:sz w:val="24"/>
          <w:szCs w:val="24"/>
        </w:rPr>
        <w:t>》为管理和服务人员按时定额缴纳城镇职工基本养老保险、城镇职工基本医疗保险、工伤保险等法定</w:t>
      </w:r>
      <w:r>
        <w:rPr>
          <w:rFonts w:hint="eastAsia" w:ascii="宋体" w:hAnsi="宋体" w:cs="宋体"/>
          <w:color w:val="auto"/>
          <w:sz w:val="24"/>
          <w:szCs w:val="24"/>
          <w:lang w:val="en-US" w:eastAsia="zh-CN"/>
        </w:rPr>
        <w:t>保</w:t>
      </w:r>
      <w:r>
        <w:rPr>
          <w:rFonts w:hint="eastAsia" w:ascii="宋体" w:hAnsi="宋体" w:cs="宋体"/>
          <w:color w:val="auto"/>
          <w:sz w:val="24"/>
          <w:szCs w:val="24"/>
        </w:rPr>
        <w:t>险金费用或工资标准未达到当年度海门区最低工资标准。</w:t>
      </w:r>
    </w:p>
    <w:p w14:paraId="3A3B71EA">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中标方未按照业主方规定要求足额配置管理和服务人员或擅自减少管理和服务人员，影响业主方的物业管理。</w:t>
      </w:r>
    </w:p>
    <w:p w14:paraId="6442460D">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中标方未经业主方同意擅自变动或调动人员的。</w:t>
      </w:r>
    </w:p>
    <w:p w14:paraId="20069EE0">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对业主方提出劝辞建议的不称职人员未及时予以清退或调离。</w:t>
      </w:r>
    </w:p>
    <w:p w14:paraId="2955ED69">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cs="宋体"/>
          <w:color w:val="auto"/>
          <w:sz w:val="24"/>
          <w:szCs w:val="24"/>
        </w:rPr>
        <w:t>中标方未按照业主方规定要求按时发放管理和服务人员的工资。</w:t>
      </w:r>
    </w:p>
    <w:p w14:paraId="0C4D0C8E">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color w:val="auto"/>
          <w:sz w:val="24"/>
          <w:szCs w:val="24"/>
        </w:rPr>
        <w:t>因中标方工作失职造成业主方重大司法安全事故、消防及水电安全事故、其他责任事故或隐瞒、瞒报安全责任事故。</w:t>
      </w:r>
    </w:p>
    <w:p w14:paraId="05BA3EEF">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cs="宋体"/>
          <w:color w:val="auto"/>
          <w:sz w:val="24"/>
          <w:szCs w:val="24"/>
        </w:rPr>
        <w:t>中标方未能完全履行合同约定的</w:t>
      </w:r>
      <w:r>
        <w:rPr>
          <w:rFonts w:hint="eastAsia" w:ascii="宋体" w:hAnsi="宋体" w:cs="宋体"/>
          <w:color w:val="auto"/>
          <w:sz w:val="24"/>
          <w:szCs w:val="24"/>
          <w:lang w:val="en-US" w:eastAsia="zh-CN"/>
        </w:rPr>
        <w:t>其他</w:t>
      </w:r>
      <w:r>
        <w:rPr>
          <w:rFonts w:hint="eastAsia" w:ascii="宋体" w:hAnsi="宋体" w:cs="宋体"/>
          <w:color w:val="auto"/>
          <w:sz w:val="24"/>
          <w:szCs w:val="24"/>
        </w:rPr>
        <w:t>义务，且经业主方两次书面通知整改，无正当理由未整改到位。</w:t>
      </w:r>
    </w:p>
    <w:p w14:paraId="63BB1B78">
      <w:pPr>
        <w:spacing w:line="500" w:lineRule="exact"/>
        <w:ind w:firstLine="560"/>
        <w:rPr>
          <w:rFonts w:hint="eastAsia" w:ascii="宋体" w:hAnsi="宋体" w:cs="宋体"/>
          <w:color w:val="auto"/>
          <w:sz w:val="24"/>
          <w:szCs w:val="24"/>
        </w:rPr>
      </w:pPr>
      <w:r>
        <w:rPr>
          <w:rFonts w:hint="eastAsia" w:ascii="宋体" w:hAnsi="宋体" w:cs="宋体"/>
          <w:color w:val="auto"/>
          <w:sz w:val="24"/>
          <w:szCs w:val="24"/>
        </w:rPr>
        <w:t xml:space="preserve">⑧其他中标方严重违约行为。 </w:t>
      </w:r>
    </w:p>
    <w:p w14:paraId="3F11951F">
      <w:pPr>
        <w:numPr>
          <w:ilvl w:val="0"/>
          <w:numId w:val="0"/>
        </w:numPr>
        <w:spacing w:line="5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）采购需求中必须满足的实质性要求</w:t>
      </w:r>
    </w:p>
    <w:p w14:paraId="7F410B35">
      <w:pPr>
        <w:spacing w:line="500" w:lineRule="exact"/>
        <w:ind w:firstLine="56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按项目标准人员配置要求：</w:t>
      </w:r>
    </w:p>
    <w:tbl>
      <w:tblPr>
        <w:tblStyle w:val="2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2"/>
        <w:gridCol w:w="992"/>
        <w:gridCol w:w="6644"/>
      </w:tblGrid>
      <w:tr w14:paraId="6C43B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502" w:type="dxa"/>
            <w:noWrap/>
            <w:vAlign w:val="center"/>
          </w:tcPr>
          <w:p w14:paraId="0BD73C17">
            <w:pPr>
              <w:jc w:val="center"/>
              <w:rPr>
                <w:color w:val="auto"/>
                <w:sz w:val="24"/>
                <w:szCs w:val="24"/>
              </w:rPr>
            </w:pPr>
            <w:r>
              <w:rPr>
                <w:rFonts w:hint="eastAsia"/>
                <w:color w:val="auto"/>
                <w:sz w:val="24"/>
                <w:szCs w:val="24"/>
              </w:rPr>
              <w:t>岗位</w:t>
            </w:r>
          </w:p>
        </w:tc>
        <w:tc>
          <w:tcPr>
            <w:tcW w:w="992" w:type="dxa"/>
            <w:noWrap/>
            <w:vAlign w:val="center"/>
          </w:tcPr>
          <w:p w14:paraId="2D8A4D19">
            <w:pPr>
              <w:jc w:val="center"/>
              <w:rPr>
                <w:color w:val="auto"/>
                <w:sz w:val="24"/>
                <w:szCs w:val="24"/>
              </w:rPr>
            </w:pPr>
            <w:r>
              <w:rPr>
                <w:rFonts w:hint="eastAsia"/>
                <w:color w:val="auto"/>
                <w:sz w:val="24"/>
                <w:szCs w:val="24"/>
              </w:rPr>
              <w:t>人数</w:t>
            </w:r>
          </w:p>
        </w:tc>
        <w:tc>
          <w:tcPr>
            <w:tcW w:w="6644" w:type="dxa"/>
            <w:noWrap/>
            <w:vAlign w:val="center"/>
          </w:tcPr>
          <w:p w14:paraId="2853182A">
            <w:pPr>
              <w:jc w:val="center"/>
              <w:rPr>
                <w:color w:val="auto"/>
                <w:sz w:val="24"/>
                <w:szCs w:val="24"/>
              </w:rPr>
            </w:pPr>
            <w:r>
              <w:rPr>
                <w:rFonts w:hint="eastAsia"/>
                <w:color w:val="auto"/>
                <w:sz w:val="24"/>
                <w:szCs w:val="24"/>
              </w:rPr>
              <w:t>配置要求</w:t>
            </w:r>
          </w:p>
        </w:tc>
      </w:tr>
      <w:tr w14:paraId="70E1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5" w:hRule="atLeast"/>
          <w:jc w:val="center"/>
        </w:trPr>
        <w:tc>
          <w:tcPr>
            <w:tcW w:w="1502" w:type="dxa"/>
            <w:noWrap/>
            <w:vAlign w:val="center"/>
          </w:tcPr>
          <w:p w14:paraId="2E15439E">
            <w:pPr>
              <w:jc w:val="center"/>
              <w:rPr>
                <w:rFonts w:hint="eastAsia" w:ascii="宋体" w:hAnsi="宋体" w:cs="宋体"/>
                <w:color w:val="auto"/>
                <w:sz w:val="24"/>
                <w:szCs w:val="24"/>
              </w:rPr>
            </w:pPr>
            <w:r>
              <w:rPr>
                <w:rFonts w:hint="eastAsia" w:ascii="宋体" w:hAnsi="宋体" w:cs="宋体"/>
                <w:color w:val="auto"/>
                <w:sz w:val="24"/>
                <w:szCs w:val="24"/>
              </w:rPr>
              <w:t>项目经理</w:t>
            </w:r>
          </w:p>
        </w:tc>
        <w:tc>
          <w:tcPr>
            <w:tcW w:w="992" w:type="dxa"/>
            <w:noWrap/>
            <w:vAlign w:val="center"/>
          </w:tcPr>
          <w:p w14:paraId="4ADE0AEA">
            <w:pPr>
              <w:jc w:val="center"/>
              <w:rPr>
                <w:rFonts w:hint="eastAsia" w:ascii="宋体" w:hAnsi="宋体" w:cs="宋体"/>
                <w:color w:val="auto"/>
                <w:sz w:val="24"/>
                <w:szCs w:val="24"/>
              </w:rPr>
            </w:pPr>
            <w:r>
              <w:rPr>
                <w:rFonts w:hint="eastAsia" w:ascii="宋体" w:hAnsi="宋体" w:cs="宋体"/>
                <w:color w:val="auto"/>
                <w:sz w:val="24"/>
                <w:szCs w:val="24"/>
              </w:rPr>
              <w:t>1</w:t>
            </w:r>
          </w:p>
        </w:tc>
        <w:tc>
          <w:tcPr>
            <w:tcW w:w="6644" w:type="dxa"/>
            <w:noWrap/>
            <w:vAlign w:val="top"/>
          </w:tcPr>
          <w:p w14:paraId="558BE237">
            <w:pPr>
              <w:jc w:val="left"/>
              <w:rPr>
                <w:rFonts w:hint="eastAsia" w:ascii="宋体" w:hAnsi="宋体" w:cs="仿宋"/>
                <w:b/>
                <w:bCs/>
                <w:color w:val="auto"/>
                <w:sz w:val="24"/>
                <w:szCs w:val="24"/>
              </w:rPr>
            </w:pPr>
            <w:r>
              <w:rPr>
                <w:rFonts w:hint="eastAsia" w:ascii="宋体" w:hAnsi="宋体" w:cs="宋体"/>
                <w:color w:val="auto"/>
                <w:sz w:val="24"/>
                <w:szCs w:val="24"/>
              </w:rPr>
              <w:t>负责物业服务各项事务，持证上岗，年龄</w:t>
            </w:r>
            <w:r>
              <w:rPr>
                <w:rFonts w:hint="eastAsia" w:ascii="宋体" w:hAnsi="宋体" w:cs="宋体"/>
                <w:color w:val="auto"/>
                <w:sz w:val="24"/>
                <w:szCs w:val="24"/>
                <w:lang w:val="en-US" w:eastAsia="zh-CN"/>
              </w:rPr>
              <w:t>40</w:t>
            </w:r>
            <w:r>
              <w:rPr>
                <w:rFonts w:hint="eastAsia" w:ascii="宋体" w:hAnsi="宋体" w:cs="宋体"/>
                <w:color w:val="auto"/>
                <w:sz w:val="24"/>
                <w:szCs w:val="24"/>
              </w:rPr>
              <w:t>周岁以下，具有5年以上类似物业管理经历。</w:t>
            </w:r>
            <w:r>
              <w:rPr>
                <w:rFonts w:hint="eastAsia" w:ascii="宋体" w:hAnsi="宋体" w:cs="宋体"/>
                <w:color w:val="auto"/>
                <w:sz w:val="24"/>
                <w:szCs w:val="24"/>
                <w:lang w:eastAsia="zh-CN"/>
              </w:rPr>
              <w:t>（</w:t>
            </w:r>
            <w:r>
              <w:rPr>
                <w:rFonts w:hint="eastAsia" w:ascii="宋体" w:hAnsi="宋体" w:cs="仿宋"/>
                <w:b/>
                <w:bCs/>
                <w:color w:val="auto"/>
                <w:sz w:val="24"/>
                <w:szCs w:val="24"/>
              </w:rPr>
              <w:t>投标时须提供</w:t>
            </w:r>
            <w:r>
              <w:rPr>
                <w:rFonts w:hint="eastAsia" w:ascii="宋体" w:hAnsi="宋体" w:cs="仿宋"/>
                <w:b/>
                <w:bCs/>
                <w:color w:val="auto"/>
                <w:sz w:val="24"/>
                <w:szCs w:val="24"/>
                <w:lang w:val="zh-CN"/>
              </w:rPr>
              <w:t>投标人为其缴纳的投标截止时间前一个月的养老保险缴费证明，</w:t>
            </w:r>
            <w:r>
              <w:rPr>
                <w:rFonts w:hint="eastAsia" w:ascii="宋体" w:hAnsi="宋体" w:cs="仿宋"/>
                <w:b/>
                <w:bCs/>
                <w:color w:val="auto"/>
                <w:sz w:val="24"/>
                <w:szCs w:val="24"/>
              </w:rPr>
              <w:t>未提供视为无效投标</w:t>
            </w:r>
            <w:r>
              <w:rPr>
                <w:rFonts w:hint="eastAsia" w:ascii="宋体" w:hAnsi="宋体" w:cs="仿宋"/>
                <w:b/>
                <w:bCs/>
                <w:color w:val="auto"/>
                <w:sz w:val="24"/>
                <w:szCs w:val="24"/>
                <w:lang w:val="zh-CN"/>
              </w:rPr>
              <w:t>；注册不到一个月的新公司可以不提供养老保险缴费证明。</w:t>
            </w:r>
            <w:r>
              <w:rPr>
                <w:rFonts w:hint="eastAsia" w:ascii="宋体" w:hAnsi="宋体" w:cs="仿宋"/>
                <w:b/>
                <w:bCs/>
                <w:color w:val="auto"/>
                <w:sz w:val="24"/>
                <w:szCs w:val="24"/>
                <w:lang w:eastAsia="zh-CN"/>
              </w:rPr>
              <w:t>）</w:t>
            </w:r>
          </w:p>
          <w:p w14:paraId="7BFD155D">
            <w:pPr>
              <w:outlineLvl w:val="1"/>
              <w:rPr>
                <w:rFonts w:hint="eastAsia" w:ascii="宋体" w:hAnsi="宋体" w:cs="宋体"/>
                <w:color w:val="auto"/>
                <w:sz w:val="24"/>
                <w:szCs w:val="24"/>
              </w:rPr>
            </w:pPr>
            <w:r>
              <w:rPr>
                <w:rFonts w:hint="eastAsia" w:ascii="宋体" w:hAnsi="宋体" w:cs="仿宋"/>
                <w:b/>
                <w:bCs/>
                <w:color w:val="auto"/>
                <w:sz w:val="24"/>
                <w:szCs w:val="24"/>
              </w:rPr>
              <w:t>注：一旦企业中标，该项目经理未经招标单位许可，不得予以更换。</w:t>
            </w:r>
          </w:p>
        </w:tc>
      </w:tr>
      <w:tr w14:paraId="572A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1502" w:type="dxa"/>
            <w:noWrap/>
            <w:vAlign w:val="center"/>
          </w:tcPr>
          <w:p w14:paraId="78223ADB">
            <w:pPr>
              <w:jc w:val="center"/>
              <w:rPr>
                <w:rFonts w:hint="eastAsia" w:ascii="宋体" w:hAnsi="宋体" w:cs="宋体"/>
                <w:color w:val="auto"/>
                <w:sz w:val="24"/>
                <w:szCs w:val="24"/>
              </w:rPr>
            </w:pPr>
            <w:r>
              <w:rPr>
                <w:rFonts w:hint="eastAsia" w:ascii="宋体" w:hAnsi="宋体" w:cs="宋体"/>
                <w:color w:val="auto"/>
                <w:sz w:val="24"/>
                <w:szCs w:val="24"/>
              </w:rPr>
              <w:t>保洁员</w:t>
            </w:r>
          </w:p>
        </w:tc>
        <w:tc>
          <w:tcPr>
            <w:tcW w:w="992" w:type="dxa"/>
            <w:noWrap/>
            <w:vAlign w:val="center"/>
          </w:tcPr>
          <w:p w14:paraId="2CA44EA1">
            <w:pPr>
              <w:jc w:val="center"/>
              <w:rPr>
                <w:rFonts w:hint="eastAsia" w:ascii="宋体" w:hAnsi="宋体" w:cs="宋体"/>
                <w:color w:val="auto"/>
                <w:sz w:val="24"/>
                <w:szCs w:val="24"/>
              </w:rPr>
            </w:pPr>
            <w:r>
              <w:rPr>
                <w:rFonts w:hint="eastAsia" w:ascii="宋体" w:hAnsi="宋体" w:cs="宋体"/>
                <w:color w:val="auto"/>
                <w:sz w:val="24"/>
                <w:szCs w:val="24"/>
                <w:lang w:val="en-US" w:eastAsia="zh-CN"/>
              </w:rPr>
              <w:t>3</w:t>
            </w:r>
          </w:p>
        </w:tc>
        <w:tc>
          <w:tcPr>
            <w:tcW w:w="6644" w:type="dxa"/>
            <w:noWrap/>
            <w:vAlign w:val="center"/>
          </w:tcPr>
          <w:p w14:paraId="318C5F2D">
            <w:pPr>
              <w:jc w:val="left"/>
              <w:rPr>
                <w:rFonts w:hint="eastAsia" w:ascii="宋体" w:hAnsi="宋体" w:cs="宋体"/>
                <w:color w:val="auto"/>
                <w:sz w:val="24"/>
                <w:szCs w:val="24"/>
              </w:rPr>
            </w:pPr>
            <w:r>
              <w:rPr>
                <w:rFonts w:hint="eastAsia" w:ascii="宋体" w:hAnsi="宋体" w:cs="宋体"/>
                <w:color w:val="auto"/>
                <w:sz w:val="24"/>
                <w:szCs w:val="24"/>
              </w:rPr>
              <w:t>女性，</w:t>
            </w:r>
            <w:r>
              <w:rPr>
                <w:rFonts w:hint="eastAsia" w:ascii="宋体" w:hAnsi="宋体" w:cs="宋体"/>
                <w:color w:val="auto"/>
                <w:sz w:val="24"/>
                <w:szCs w:val="24"/>
                <w:lang w:val="en-US" w:eastAsia="zh-CN"/>
              </w:rPr>
              <w:t>55</w:t>
            </w:r>
            <w:r>
              <w:rPr>
                <w:rFonts w:hint="eastAsia" w:ascii="宋体" w:hAnsi="宋体" w:cs="宋体"/>
                <w:color w:val="auto"/>
                <w:sz w:val="24"/>
                <w:szCs w:val="24"/>
              </w:rPr>
              <w:t>周岁以下。</w:t>
            </w:r>
          </w:p>
        </w:tc>
      </w:tr>
      <w:tr w14:paraId="05EA4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1502" w:type="dxa"/>
            <w:noWrap/>
            <w:vAlign w:val="center"/>
          </w:tcPr>
          <w:p w14:paraId="7A5482ED">
            <w:pPr>
              <w:jc w:val="center"/>
              <w:rPr>
                <w:rFonts w:hint="eastAsia" w:ascii="宋体" w:hAnsi="宋体" w:cs="宋体"/>
                <w:color w:val="auto"/>
                <w:sz w:val="24"/>
                <w:szCs w:val="24"/>
              </w:rPr>
            </w:pPr>
            <w:r>
              <w:rPr>
                <w:rFonts w:hint="eastAsia" w:ascii="宋体" w:hAnsi="宋体" w:cs="宋体"/>
                <w:color w:val="auto"/>
                <w:sz w:val="24"/>
                <w:szCs w:val="24"/>
              </w:rPr>
              <w:t xml:space="preserve">保安 </w:t>
            </w:r>
          </w:p>
        </w:tc>
        <w:tc>
          <w:tcPr>
            <w:tcW w:w="992" w:type="dxa"/>
            <w:noWrap/>
            <w:vAlign w:val="center"/>
          </w:tcPr>
          <w:p w14:paraId="6473F82F">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6644" w:type="dxa"/>
            <w:noWrap/>
            <w:vAlign w:val="center"/>
          </w:tcPr>
          <w:p w14:paraId="6DE98B4B">
            <w:pPr>
              <w:rPr>
                <w:rFonts w:hint="default" w:ascii="宋体" w:hAnsi="宋体" w:eastAsia="宋体" w:cs="宋体"/>
                <w:color w:val="auto"/>
                <w:sz w:val="24"/>
                <w:szCs w:val="24"/>
                <w:lang w:val="en-US" w:eastAsia="zh-CN"/>
              </w:rPr>
            </w:pPr>
            <w:r>
              <w:rPr>
                <w:rFonts w:hint="eastAsia" w:ascii="宋体" w:hAnsi="宋体" w:cs="仿宋"/>
                <w:color w:val="auto"/>
                <w:sz w:val="24"/>
                <w:szCs w:val="24"/>
              </w:rPr>
              <w:t>男性</w:t>
            </w:r>
            <w:r>
              <w:rPr>
                <w:rFonts w:hint="eastAsia" w:ascii="宋体" w:hAnsi="宋体" w:cs="仿宋"/>
                <w:color w:val="auto"/>
                <w:sz w:val="24"/>
                <w:szCs w:val="24"/>
                <w:lang w:eastAsia="zh-CN"/>
              </w:rPr>
              <w:t>，</w:t>
            </w:r>
            <w:r>
              <w:rPr>
                <w:rFonts w:hint="eastAsia" w:ascii="宋体" w:hAnsi="宋体" w:cs="仿宋"/>
                <w:color w:val="auto"/>
                <w:sz w:val="24"/>
                <w:szCs w:val="24"/>
              </w:rPr>
              <w:t>年龄</w:t>
            </w:r>
            <w:r>
              <w:rPr>
                <w:rFonts w:hint="eastAsia" w:ascii="宋体" w:hAnsi="宋体" w:cs="仿宋"/>
                <w:color w:val="auto"/>
                <w:sz w:val="24"/>
                <w:szCs w:val="24"/>
                <w:lang w:val="en-US" w:eastAsia="zh-CN"/>
              </w:rPr>
              <w:t>65</w:t>
            </w:r>
            <w:r>
              <w:rPr>
                <w:rFonts w:hint="eastAsia" w:ascii="宋体" w:hAnsi="宋体" w:cs="仿宋"/>
                <w:color w:val="auto"/>
                <w:sz w:val="24"/>
                <w:szCs w:val="24"/>
              </w:rPr>
              <w:t>周岁以下，且</w:t>
            </w:r>
            <w:r>
              <w:rPr>
                <w:rFonts w:hint="eastAsia" w:ascii="宋体" w:hAnsi="宋体" w:cs="仿宋"/>
                <w:color w:val="auto"/>
                <w:sz w:val="24"/>
                <w:szCs w:val="24"/>
                <w:lang w:val="en-US" w:eastAsia="zh-CN"/>
              </w:rPr>
              <w:t>须</w:t>
            </w:r>
            <w:r>
              <w:rPr>
                <w:rFonts w:hint="eastAsia" w:ascii="宋体" w:hAnsi="宋体" w:cs="仿宋"/>
                <w:color w:val="auto"/>
                <w:sz w:val="24"/>
                <w:szCs w:val="24"/>
              </w:rPr>
              <w:t>持有保安上岗证</w:t>
            </w:r>
            <w:r>
              <w:rPr>
                <w:rFonts w:hint="eastAsia" w:ascii="宋体" w:hAnsi="宋体" w:cs="宋体"/>
                <w:b/>
                <w:bCs/>
                <w:color w:val="auto"/>
                <w:sz w:val="24"/>
                <w:szCs w:val="24"/>
              </w:rPr>
              <w:t>（投标时提供身份证和证书扫描件）</w:t>
            </w:r>
            <w:r>
              <w:rPr>
                <w:rFonts w:hint="eastAsia" w:ascii="宋体" w:hAnsi="宋体" w:cs="仿宋"/>
                <w:color w:val="auto"/>
                <w:sz w:val="24"/>
                <w:szCs w:val="24"/>
                <w:lang w:eastAsia="zh-CN"/>
              </w:rPr>
              <w:t>。</w:t>
            </w:r>
          </w:p>
        </w:tc>
      </w:tr>
      <w:tr w14:paraId="57CB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02" w:type="dxa"/>
            <w:noWrap/>
            <w:vAlign w:val="center"/>
          </w:tcPr>
          <w:p w14:paraId="1FF7C59A">
            <w:pPr>
              <w:jc w:val="center"/>
              <w:rPr>
                <w:rFonts w:hint="eastAsia" w:ascii="宋体" w:hAnsi="宋体" w:cs="宋体"/>
                <w:color w:val="auto"/>
                <w:sz w:val="24"/>
                <w:szCs w:val="24"/>
              </w:rPr>
            </w:pPr>
            <w:r>
              <w:rPr>
                <w:rFonts w:hint="eastAsia" w:ascii="宋体" w:hAnsi="宋体" w:cs="宋体"/>
                <w:color w:val="auto"/>
                <w:sz w:val="24"/>
                <w:szCs w:val="24"/>
              </w:rPr>
              <w:t>合计</w:t>
            </w:r>
          </w:p>
        </w:tc>
        <w:tc>
          <w:tcPr>
            <w:tcW w:w="992" w:type="dxa"/>
            <w:noWrap/>
            <w:vAlign w:val="center"/>
          </w:tcPr>
          <w:p w14:paraId="2C47863B">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644" w:type="dxa"/>
            <w:noWrap/>
            <w:vAlign w:val="center"/>
          </w:tcPr>
          <w:p w14:paraId="541BD5AB">
            <w:pPr>
              <w:spacing w:line="360" w:lineRule="auto"/>
              <w:rPr>
                <w:rFonts w:hint="eastAsia" w:ascii="宋体" w:hAnsi="宋体" w:cs="宋体"/>
                <w:b/>
                <w:bCs/>
                <w:color w:val="auto"/>
                <w:sz w:val="24"/>
                <w:szCs w:val="24"/>
              </w:rPr>
            </w:pPr>
          </w:p>
        </w:tc>
      </w:tr>
    </w:tbl>
    <w:p w14:paraId="1E372F29">
      <w:pPr>
        <w:spacing w:line="500" w:lineRule="exact"/>
        <w:ind w:firstLine="56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符合年龄条件的人员必须缴纳社会保险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此处注明社保缴费基数4879元和缴纳比例25.9%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rPr>
        <w:t>。为员工提供完善的保障，所有人员缴纳50万保额的雇主责任险，超龄人员缴纳70万保额的从业伤害险。</w:t>
      </w:r>
    </w:p>
    <w:p w14:paraId="7BC324C9">
      <w:pPr>
        <w:spacing w:line="500" w:lineRule="exact"/>
        <w:ind w:firstLine="560"/>
        <w:rPr>
          <w:rFonts w:hint="eastAsia" w:ascii="宋体" w:hAnsi="宋体" w:cs="宋体"/>
          <w:color w:val="auto"/>
          <w:sz w:val="24"/>
          <w:szCs w:val="24"/>
        </w:rPr>
      </w:pPr>
      <w:r>
        <w:rPr>
          <w:rFonts w:hint="eastAsia" w:ascii="宋体" w:hAnsi="宋体" w:cs="宋体"/>
          <w:color w:val="auto"/>
          <w:sz w:val="24"/>
          <w:szCs w:val="24"/>
          <w:lang w:val="en-US" w:eastAsia="zh-CN"/>
        </w:rPr>
        <w:t>3.年度零星维修、绿化养护、垃圾清运费（按0.6万/年计）及</w:t>
      </w:r>
      <w:r>
        <w:rPr>
          <w:rFonts w:hint="eastAsia" w:ascii="宋体" w:hAnsi="宋体" w:cs="宋体"/>
          <w:color w:val="auto"/>
          <w:sz w:val="24"/>
          <w:szCs w:val="24"/>
        </w:rPr>
        <w:t>税金</w:t>
      </w:r>
      <w:r>
        <w:rPr>
          <w:rFonts w:hint="eastAsia" w:ascii="宋体" w:hAnsi="宋体" w:cs="宋体"/>
          <w:color w:val="auto"/>
          <w:sz w:val="24"/>
          <w:szCs w:val="24"/>
          <w:lang w:val="en-US" w:eastAsia="zh-CN"/>
        </w:rPr>
        <w:t>等</w:t>
      </w:r>
      <w:r>
        <w:rPr>
          <w:rFonts w:hint="eastAsia" w:ascii="宋体" w:hAnsi="宋体" w:cs="宋体"/>
          <w:color w:val="auto"/>
          <w:sz w:val="24"/>
          <w:szCs w:val="24"/>
        </w:rPr>
        <w:t>必须包含在报价中。</w:t>
      </w:r>
    </w:p>
    <w:p w14:paraId="02FE3DED">
      <w:pPr>
        <w:spacing w:line="50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中标方配备物业人员工作服，物业人员的服装配备标准：项目经理（物业负责人）1000元/年/人、秩序维护员1000元/年/人、保洁员500元/年/人。</w:t>
      </w:r>
    </w:p>
    <w:p w14:paraId="1BE55DE9">
      <w:pPr>
        <w:spacing w:line="500" w:lineRule="exact"/>
        <w:ind w:firstLine="560"/>
        <w:rPr>
          <w:rFonts w:hint="eastAsia"/>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由于南通市海门区应急管理局采购VR智能安全体验馆项目的特殊性，中标方须购买全年累计赔偿限额不低于</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00万的物业管理责任险（按</w:t>
      </w:r>
      <w:r>
        <w:rPr>
          <w:rFonts w:hint="eastAsia" w:ascii="宋体" w:hAnsi="宋体" w:eastAsia="宋体" w:cs="宋体"/>
          <w:color w:val="auto"/>
          <w:sz w:val="24"/>
          <w:szCs w:val="24"/>
          <w:lang w:val="en-US" w:eastAsia="zh-CN"/>
        </w:rPr>
        <w:t>1万</w:t>
      </w:r>
      <w:r>
        <w:rPr>
          <w:rFonts w:hint="eastAsia" w:ascii="宋体" w:hAnsi="宋体" w:eastAsia="宋体" w:cs="宋体"/>
          <w:color w:val="auto"/>
          <w:sz w:val="24"/>
          <w:szCs w:val="24"/>
        </w:rPr>
        <w:t>/年计）。</w:t>
      </w:r>
    </w:p>
    <w:p w14:paraId="096EAE41">
      <w:pPr>
        <w:spacing w:line="5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）付款方式</w:t>
      </w:r>
    </w:p>
    <w:p w14:paraId="3D33905E">
      <w:pPr>
        <w:spacing w:line="500" w:lineRule="exact"/>
        <w:ind w:firstLine="560"/>
        <w:rPr>
          <w:rFonts w:hint="eastAsia"/>
          <w:lang w:val="en-US" w:eastAsia="zh-CN"/>
        </w:rPr>
      </w:pPr>
      <w:r>
        <w:rPr>
          <w:rFonts w:hint="eastAsia" w:ascii="宋体" w:hAnsi="宋体" w:eastAsia="宋体" w:cs="宋体"/>
          <w:sz w:val="24"/>
          <w:szCs w:val="24"/>
          <w:lang w:val="en-US" w:eastAsia="zh-CN"/>
        </w:rPr>
        <w:t>先考核后支付方式。即每季度结束后的七个工作日内，由业主单位对物业公司上季度的服务工作进行考核，考核结束后十个工作日内将上季度服务费按考核结果支付给物业公司。</w:t>
      </w:r>
    </w:p>
    <w:p w14:paraId="5ED3818F">
      <w:pPr>
        <w:numPr>
          <w:ilvl w:val="0"/>
          <w:numId w:val="0"/>
        </w:num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五</w:t>
      </w:r>
      <w:r>
        <w:rPr>
          <w:rFonts w:hint="eastAsia" w:ascii="宋体" w:hAnsi="宋体" w:cs="宋体"/>
          <w:b/>
          <w:sz w:val="24"/>
          <w:szCs w:val="24"/>
          <w:highlight w:val="none"/>
          <w:lang w:eastAsia="zh-CN"/>
        </w:rPr>
        <w:t>）其他</w:t>
      </w:r>
      <w:r>
        <w:rPr>
          <w:rFonts w:hint="eastAsia" w:ascii="宋体" w:hAnsi="宋体" w:cs="宋体"/>
          <w:b/>
          <w:sz w:val="24"/>
          <w:szCs w:val="24"/>
          <w:highlight w:val="none"/>
        </w:rPr>
        <w:t>相关说明：</w:t>
      </w:r>
    </w:p>
    <w:p w14:paraId="267B2786">
      <w:pPr>
        <w:numPr>
          <w:ilvl w:val="0"/>
          <w:numId w:val="0"/>
        </w:numPr>
        <w:spacing w:line="360" w:lineRule="auto"/>
        <w:ind w:left="560" w:leftChars="0"/>
        <w:rPr>
          <w:rFonts w:hint="eastAsia" w:ascii="Arial"/>
          <w:sz w:val="24"/>
          <w:szCs w:val="24"/>
          <w:highlight w:val="none"/>
        </w:rPr>
      </w:pPr>
      <w:r>
        <w:rPr>
          <w:rFonts w:hint="eastAsia" w:ascii="宋体" w:hAnsi="宋体"/>
          <w:sz w:val="24"/>
          <w:szCs w:val="24"/>
          <w:highlight w:val="none"/>
          <w:lang w:val="en-US" w:eastAsia="zh-CN"/>
        </w:rPr>
        <w:t>1.本项目不设履约保证金</w:t>
      </w:r>
      <w:r>
        <w:rPr>
          <w:rFonts w:hint="eastAsia" w:ascii="Arial"/>
          <w:sz w:val="24"/>
          <w:szCs w:val="24"/>
          <w:highlight w:val="none"/>
          <w:lang w:val="en-US" w:eastAsia="zh-CN"/>
        </w:rPr>
        <w:t>，</w:t>
      </w:r>
      <w:r>
        <w:rPr>
          <w:rFonts w:hint="eastAsia" w:ascii="Arial"/>
          <w:sz w:val="24"/>
          <w:szCs w:val="24"/>
          <w:highlight w:val="none"/>
        </w:rPr>
        <w:t>中标单位与服务人签订合同，双方严格履行合同约定条款。</w:t>
      </w:r>
    </w:p>
    <w:p w14:paraId="0F948C34">
      <w:pPr>
        <w:tabs>
          <w:tab w:val="left" w:pos="720"/>
        </w:tabs>
        <w:ind w:firstLine="480" w:firstLineChars="200"/>
        <w:jc w:val="left"/>
        <w:rPr>
          <w:rFonts w:hint="eastAsia" w:ascii="Arial"/>
          <w:sz w:val="24"/>
          <w:szCs w:val="24"/>
          <w:highlight w:val="none"/>
        </w:rPr>
      </w:pPr>
      <w:r>
        <w:rPr>
          <w:rFonts w:hint="eastAsia" w:ascii="宋体" w:hAnsi="宋体"/>
          <w:color w:val="000000"/>
          <w:sz w:val="24"/>
          <w:szCs w:val="24"/>
          <w:highlight w:val="none"/>
          <w:lang w:val="en-US" w:eastAsia="zh-CN"/>
        </w:rPr>
        <w:t>2.</w:t>
      </w:r>
      <w:r>
        <w:rPr>
          <w:rFonts w:hint="eastAsia" w:ascii="Arial"/>
          <w:sz w:val="24"/>
          <w:szCs w:val="24"/>
          <w:highlight w:val="none"/>
        </w:rPr>
        <w:t>无论投标结果如何，投标人自行承担与投标有关的全部费用。</w:t>
      </w:r>
    </w:p>
    <w:p w14:paraId="6161AC5B">
      <w:pPr>
        <w:tabs>
          <w:tab w:val="left" w:pos="720"/>
        </w:tabs>
        <w:ind w:firstLine="480" w:firstLineChars="200"/>
        <w:jc w:val="left"/>
        <w:rPr>
          <w:rFonts w:hint="eastAsia" w:ascii="宋体" w:hAnsi="宋体" w:eastAsia="宋体" w:cs="宋体"/>
          <w:sz w:val="24"/>
          <w:szCs w:val="24"/>
          <w:highlight w:val="none"/>
          <w:lang w:val="zh-CN"/>
        </w:rPr>
      </w:pPr>
      <w:r>
        <w:rPr>
          <w:rFonts w:hint="eastAsia" w:ascii="宋体" w:hAnsi="宋体" w:cs="宋体"/>
          <w:color w:val="000000"/>
          <w:sz w:val="24"/>
          <w:szCs w:val="24"/>
          <w:highlight w:val="none"/>
          <w:lang w:val="en-US" w:eastAsia="zh-CN"/>
        </w:rPr>
        <w:t>3.</w:t>
      </w:r>
      <w:r>
        <w:rPr>
          <w:rFonts w:hint="eastAsia" w:ascii="宋体" w:hAnsi="宋体" w:eastAsia="宋体" w:cs="宋体"/>
          <w:sz w:val="24"/>
          <w:szCs w:val="24"/>
          <w:highlight w:val="none"/>
          <w:lang w:val="zh-CN"/>
        </w:rPr>
        <w:t>招标代理服务费应包含（分摊）在投标报价中，但不单独列出。中标人在领取中标通知书前向招标代理人支付，招标代理服务费按《招标代理服务收费管理暂行办法》计价格</w:t>
      </w:r>
      <w:r>
        <w:rPr>
          <w:rFonts w:hint="eastAsia" w:ascii="宋体" w:hAnsi="宋体" w:cs="宋体"/>
          <w:sz w:val="24"/>
          <w:szCs w:val="24"/>
          <w:highlight w:val="none"/>
          <w:lang w:val="zh-CN"/>
        </w:rPr>
        <w:t>〔2002〕1980号</w:t>
      </w:r>
      <w:r>
        <w:rPr>
          <w:rFonts w:hint="eastAsia" w:ascii="宋体" w:hAnsi="宋体" w:eastAsia="宋体" w:cs="宋体"/>
          <w:sz w:val="24"/>
          <w:szCs w:val="24"/>
          <w:highlight w:val="none"/>
          <w:lang w:val="zh-CN"/>
        </w:rPr>
        <w:t>文收费标准计取。不足3000元的按3000元收取。</w:t>
      </w:r>
    </w:p>
    <w:p w14:paraId="6CCC6B9E">
      <w:pPr>
        <w:tabs>
          <w:tab w:val="left" w:pos="720"/>
        </w:tabs>
        <w:ind w:firstLine="480" w:firstLineChars="200"/>
        <w:jc w:val="left"/>
        <w:rPr>
          <w:rFonts w:hint="default" w:ascii="宋体" w:hAnsi="宋体" w:eastAsia="宋体"/>
          <w:color w:val="000000"/>
          <w:sz w:val="24"/>
          <w:szCs w:val="24"/>
          <w:highlight w:val="none"/>
          <w:lang w:val="en-US" w:eastAsia="zh-CN"/>
        </w:rPr>
      </w:pPr>
    </w:p>
    <w:p w14:paraId="127F530F">
      <w:pPr>
        <w:spacing w:line="360" w:lineRule="auto"/>
        <w:jc w:val="both"/>
        <w:rPr>
          <w:rFonts w:hint="eastAsia" w:ascii="宋体" w:hAnsi="宋体"/>
          <w:b/>
          <w:bCs/>
          <w:sz w:val="44"/>
          <w:szCs w:val="44"/>
          <w:highlight w:val="none"/>
        </w:rPr>
      </w:pPr>
    </w:p>
    <w:p w14:paraId="3ED6A457">
      <w:pPr>
        <w:pStyle w:val="2"/>
        <w:rPr>
          <w:rFonts w:hint="eastAsia" w:ascii="宋体" w:hAnsi="宋体"/>
          <w:b/>
          <w:bCs/>
          <w:sz w:val="44"/>
          <w:szCs w:val="44"/>
          <w:highlight w:val="none"/>
        </w:rPr>
      </w:pPr>
    </w:p>
    <w:p w14:paraId="314A8796">
      <w:pPr>
        <w:pStyle w:val="2"/>
        <w:rPr>
          <w:rFonts w:hint="eastAsia" w:ascii="宋体" w:hAnsi="宋体"/>
          <w:b/>
          <w:bCs/>
          <w:sz w:val="44"/>
          <w:szCs w:val="44"/>
          <w:highlight w:val="none"/>
        </w:rPr>
      </w:pPr>
    </w:p>
    <w:p w14:paraId="49147982">
      <w:pPr>
        <w:pStyle w:val="2"/>
        <w:rPr>
          <w:rFonts w:hint="eastAsia" w:ascii="宋体" w:hAnsi="宋体"/>
          <w:b/>
          <w:bCs/>
          <w:sz w:val="44"/>
          <w:szCs w:val="44"/>
          <w:highlight w:val="none"/>
        </w:rPr>
      </w:pPr>
    </w:p>
    <w:p w14:paraId="122E8C9E">
      <w:pPr>
        <w:pStyle w:val="2"/>
        <w:rPr>
          <w:rFonts w:hint="eastAsia" w:ascii="宋体" w:hAnsi="宋体"/>
          <w:b/>
          <w:bCs/>
          <w:sz w:val="44"/>
          <w:szCs w:val="44"/>
          <w:highlight w:val="none"/>
        </w:rPr>
      </w:pPr>
    </w:p>
    <w:p w14:paraId="00C38AA6">
      <w:pPr>
        <w:pStyle w:val="2"/>
        <w:rPr>
          <w:rFonts w:hint="eastAsia" w:ascii="宋体" w:hAnsi="宋体"/>
          <w:b/>
          <w:bCs/>
          <w:sz w:val="44"/>
          <w:szCs w:val="44"/>
          <w:highlight w:val="none"/>
        </w:rPr>
      </w:pPr>
    </w:p>
    <w:p w14:paraId="1BB3D8E8">
      <w:pPr>
        <w:pStyle w:val="2"/>
        <w:rPr>
          <w:rFonts w:hint="eastAsia" w:ascii="宋体" w:hAnsi="宋体"/>
          <w:b/>
          <w:bCs/>
          <w:sz w:val="44"/>
          <w:szCs w:val="44"/>
          <w:highlight w:val="none"/>
        </w:rPr>
      </w:pPr>
    </w:p>
    <w:p w14:paraId="756F0ECF">
      <w:pPr>
        <w:pStyle w:val="2"/>
        <w:rPr>
          <w:rFonts w:hint="eastAsia" w:ascii="宋体" w:hAnsi="宋体"/>
          <w:b/>
          <w:bCs/>
          <w:sz w:val="44"/>
          <w:szCs w:val="44"/>
          <w:highlight w:val="none"/>
        </w:rPr>
      </w:pPr>
    </w:p>
    <w:p w14:paraId="65A1972F">
      <w:pPr>
        <w:pStyle w:val="2"/>
        <w:rPr>
          <w:rFonts w:hint="eastAsia" w:ascii="宋体" w:hAnsi="宋体"/>
          <w:b/>
          <w:bCs/>
          <w:sz w:val="44"/>
          <w:szCs w:val="44"/>
          <w:highlight w:val="none"/>
        </w:rPr>
      </w:pPr>
    </w:p>
    <w:p w14:paraId="3C777BC5">
      <w:pPr>
        <w:pStyle w:val="2"/>
        <w:rPr>
          <w:rFonts w:hint="eastAsia" w:ascii="宋体" w:hAnsi="宋体"/>
          <w:b/>
          <w:bCs/>
          <w:sz w:val="44"/>
          <w:szCs w:val="44"/>
          <w:highlight w:val="none"/>
        </w:rPr>
      </w:pPr>
    </w:p>
    <w:p w14:paraId="6FC0BDA7">
      <w:pPr>
        <w:pStyle w:val="2"/>
        <w:rPr>
          <w:rFonts w:hint="eastAsia" w:ascii="宋体" w:hAnsi="宋体"/>
          <w:b/>
          <w:bCs/>
          <w:sz w:val="44"/>
          <w:szCs w:val="44"/>
          <w:highlight w:val="none"/>
        </w:rPr>
      </w:pPr>
    </w:p>
    <w:p w14:paraId="0A92290A">
      <w:pPr>
        <w:pStyle w:val="2"/>
        <w:rPr>
          <w:rFonts w:hint="eastAsia" w:ascii="宋体" w:hAnsi="宋体"/>
          <w:b/>
          <w:bCs/>
          <w:sz w:val="44"/>
          <w:szCs w:val="44"/>
          <w:highlight w:val="none"/>
        </w:rPr>
      </w:pPr>
    </w:p>
    <w:p w14:paraId="07070BB5">
      <w:pPr>
        <w:pStyle w:val="2"/>
        <w:rPr>
          <w:rFonts w:hint="eastAsia" w:ascii="宋体" w:hAnsi="宋体"/>
          <w:b/>
          <w:bCs/>
          <w:sz w:val="44"/>
          <w:szCs w:val="44"/>
          <w:highlight w:val="none"/>
        </w:rPr>
      </w:pPr>
    </w:p>
    <w:p w14:paraId="498A050C">
      <w:pPr>
        <w:pStyle w:val="2"/>
        <w:rPr>
          <w:rFonts w:hint="eastAsia" w:ascii="宋体" w:hAnsi="宋体"/>
          <w:b/>
          <w:bCs/>
          <w:sz w:val="44"/>
          <w:szCs w:val="44"/>
          <w:highlight w:val="none"/>
        </w:rPr>
      </w:pPr>
    </w:p>
    <w:p w14:paraId="434EB11D">
      <w:pPr>
        <w:pStyle w:val="2"/>
        <w:rPr>
          <w:rFonts w:hint="eastAsia" w:ascii="宋体" w:hAnsi="宋体"/>
          <w:b/>
          <w:bCs/>
          <w:sz w:val="44"/>
          <w:szCs w:val="44"/>
          <w:highlight w:val="none"/>
        </w:rPr>
      </w:pPr>
    </w:p>
    <w:p w14:paraId="1CA8DDC5">
      <w:pPr>
        <w:pStyle w:val="2"/>
        <w:rPr>
          <w:rFonts w:hint="eastAsia" w:ascii="宋体" w:hAnsi="宋体"/>
          <w:b/>
          <w:bCs/>
          <w:sz w:val="44"/>
          <w:szCs w:val="44"/>
          <w:highlight w:val="none"/>
        </w:rPr>
      </w:pPr>
    </w:p>
    <w:p w14:paraId="61E94231">
      <w:pPr>
        <w:pStyle w:val="2"/>
        <w:rPr>
          <w:rFonts w:hint="eastAsia" w:ascii="宋体" w:hAnsi="宋体"/>
          <w:b/>
          <w:bCs/>
          <w:sz w:val="44"/>
          <w:szCs w:val="44"/>
          <w:highlight w:val="none"/>
        </w:rPr>
      </w:pPr>
    </w:p>
    <w:bookmarkEnd w:id="6"/>
    <w:p w14:paraId="04E42BAF">
      <w:pPr>
        <w:pStyle w:val="5"/>
        <w:jc w:val="center"/>
        <w:rPr>
          <w:rFonts w:hint="eastAsia" w:ascii="宋体" w:hAnsi="宋体" w:eastAsia="宋体" w:cs="宋体"/>
        </w:rPr>
      </w:pPr>
      <w:r>
        <w:rPr>
          <w:rFonts w:hint="eastAsia" w:ascii="宋体" w:hAnsi="宋体" w:eastAsia="宋体" w:cs="宋体"/>
        </w:rPr>
        <w:t>第三部分   投标人须知</w:t>
      </w:r>
    </w:p>
    <w:p w14:paraId="1E4FACEC">
      <w:pPr>
        <w:pStyle w:val="6"/>
        <w:rPr>
          <w:rFonts w:hint="eastAsia" w:ascii="宋体" w:hAnsi="宋体" w:eastAsia="宋体" w:cs="宋体"/>
        </w:rPr>
      </w:pPr>
      <w:bookmarkStart w:id="7" w:name="_Toc458262606"/>
      <w:bookmarkStart w:id="8" w:name="_Toc454701373"/>
      <w:bookmarkStart w:id="9" w:name="_Toc469579840"/>
      <w:bookmarkStart w:id="10" w:name="_Toc20144975"/>
      <w:bookmarkStart w:id="11" w:name="_Toc52352451"/>
      <w:bookmarkStart w:id="12" w:name="_Toc5575602"/>
      <w:bookmarkStart w:id="13" w:name="_Toc5578665"/>
      <w:bookmarkStart w:id="14" w:name="_Toc20564609"/>
      <w:bookmarkStart w:id="15" w:name="_Toc20571355"/>
      <w:bookmarkStart w:id="16" w:name="_Toc20564521"/>
      <w:r>
        <w:rPr>
          <w:rFonts w:hint="eastAsia" w:ascii="宋体" w:hAnsi="宋体" w:eastAsia="宋体" w:cs="宋体"/>
        </w:rPr>
        <w:t>一、招标采购文件说明</w:t>
      </w:r>
    </w:p>
    <w:p w14:paraId="7D4DEB67">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1、 招标采购文件由招标方负责解释。</w:t>
      </w:r>
    </w:p>
    <w:p w14:paraId="1E020DFE">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2、 招标采购文件由下述部分组成：</w:t>
      </w:r>
    </w:p>
    <w:p w14:paraId="184138E8">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第一部分   招标公告</w:t>
      </w:r>
    </w:p>
    <w:p w14:paraId="2424955B">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第二部分   采购项目需求</w:t>
      </w:r>
    </w:p>
    <w:p w14:paraId="58D8E760">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第三部分   投标人须知</w:t>
      </w:r>
    </w:p>
    <w:p w14:paraId="0545CDFD">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 xml:space="preserve">第四部分   </w:t>
      </w:r>
      <w:r>
        <w:rPr>
          <w:rFonts w:hint="eastAsia" w:ascii="宋体" w:hAnsi="宋体" w:eastAsia="宋体" w:cs="宋体"/>
          <w:szCs w:val="21"/>
        </w:rPr>
        <w:t>开评标</w:t>
      </w:r>
    </w:p>
    <w:p w14:paraId="3301F1E3">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第五部分</w:t>
      </w:r>
      <w:r>
        <w:rPr>
          <w:rFonts w:hint="eastAsia" w:ascii="宋体" w:hAnsi="宋体" w:eastAsia="宋体" w:cs="宋体"/>
          <w:szCs w:val="21"/>
        </w:rPr>
        <w:t xml:space="preserve">   </w:t>
      </w:r>
      <w:r>
        <w:rPr>
          <w:rFonts w:hint="eastAsia" w:ascii="宋体" w:hAnsi="宋体" w:eastAsia="宋体" w:cs="宋体"/>
          <w:szCs w:val="21"/>
          <w:lang w:val="en-GB"/>
        </w:rPr>
        <w:t>合同相关要求</w:t>
      </w:r>
    </w:p>
    <w:p w14:paraId="6F7213D8">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第六部分   质疑提出和处理</w:t>
      </w:r>
    </w:p>
    <w:p w14:paraId="56F6ECC5">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第</w:t>
      </w:r>
      <w:r>
        <w:rPr>
          <w:rFonts w:hint="eastAsia" w:ascii="宋体" w:hAnsi="宋体" w:eastAsia="宋体" w:cs="宋体"/>
          <w:szCs w:val="21"/>
        </w:rPr>
        <w:t>七</w:t>
      </w:r>
      <w:r>
        <w:rPr>
          <w:rFonts w:hint="eastAsia" w:ascii="宋体" w:hAnsi="宋体" w:eastAsia="宋体" w:cs="宋体"/>
          <w:szCs w:val="21"/>
          <w:lang w:val="en-GB"/>
        </w:rPr>
        <w:t xml:space="preserve">部分   投标文件格式     </w:t>
      </w:r>
    </w:p>
    <w:p w14:paraId="690D8D67">
      <w:pPr>
        <w:pStyle w:val="6"/>
        <w:rPr>
          <w:rFonts w:hint="eastAsia" w:ascii="宋体" w:hAnsi="宋体" w:eastAsia="宋体" w:cs="宋体"/>
        </w:rPr>
      </w:pPr>
      <w:r>
        <w:rPr>
          <w:rFonts w:hint="eastAsia" w:ascii="宋体" w:hAnsi="宋体" w:eastAsia="宋体" w:cs="宋体"/>
        </w:rPr>
        <w:t>二、招标采购文件的澄清</w:t>
      </w:r>
      <w:bookmarkEnd w:id="7"/>
      <w:bookmarkEnd w:id="8"/>
      <w:bookmarkEnd w:id="9"/>
      <w:r>
        <w:rPr>
          <w:rFonts w:hint="eastAsia" w:ascii="宋体" w:hAnsi="宋体" w:eastAsia="宋体" w:cs="宋体"/>
        </w:rPr>
        <w:t>和修改</w:t>
      </w:r>
      <w:bookmarkEnd w:id="10"/>
      <w:bookmarkEnd w:id="11"/>
      <w:bookmarkEnd w:id="12"/>
      <w:bookmarkEnd w:id="13"/>
      <w:bookmarkEnd w:id="14"/>
      <w:bookmarkEnd w:id="15"/>
      <w:bookmarkEnd w:id="16"/>
    </w:p>
    <w:p w14:paraId="3BCF8A0E">
      <w:pPr>
        <w:spacing w:line="360" w:lineRule="auto"/>
        <w:ind w:firstLine="420" w:firstLineChars="200"/>
        <w:jc w:val="left"/>
        <w:rPr>
          <w:rFonts w:hint="eastAsia" w:ascii="宋体" w:hAnsi="宋体" w:eastAsia="宋体" w:cs="宋体"/>
          <w:b/>
          <w:szCs w:val="28"/>
        </w:rPr>
      </w:pPr>
      <w:bookmarkStart w:id="17" w:name="_Toc52352452"/>
      <w:r>
        <w:rPr>
          <w:rFonts w:hint="eastAsia" w:ascii="宋体" w:hAnsi="宋体" w:eastAsia="宋体" w:cs="宋体"/>
          <w:szCs w:val="21"/>
        </w:rPr>
        <w:t>1、供应商领取招标文件后，应仔细检查招标文件的所有内容，如对本次招标文件存在疑问，请将书面询问文件在本项目投标截止时间前，送至</w:t>
      </w:r>
      <w:r>
        <w:rPr>
          <w:rFonts w:hint="eastAsia" w:ascii="宋体" w:hAnsi="宋体" w:eastAsia="宋体" w:cs="宋体"/>
          <w:szCs w:val="21"/>
          <w:u w:val="single"/>
        </w:rPr>
        <w:t xml:space="preserve"> 采购人 </w:t>
      </w:r>
      <w:r>
        <w:rPr>
          <w:rFonts w:hint="eastAsia" w:ascii="宋体" w:hAnsi="宋体" w:eastAsia="宋体" w:cs="宋体"/>
          <w:szCs w:val="21"/>
        </w:rPr>
        <w:t>，招标方将做统一答复；如规定时间内未收到任何书面质疑，则视为各投标供应商均理解并接受本招标文件所有内容。同时供应商不得在招标结束后针对招标文件所有内容提出质疑事项。</w:t>
      </w:r>
    </w:p>
    <w:p w14:paraId="27903DDC">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2.投标供应商应认真审阅招标文件中所有的事项、格式、条款和规范要求等，如果投标供应商没有按照招标文件要求提交投标文件，或者投标文件没有对招标文件</w:t>
      </w:r>
      <w:r>
        <w:rPr>
          <w:rFonts w:hint="eastAsia" w:ascii="宋体" w:hAnsi="宋体" w:cs="宋体"/>
          <w:color w:val="000000"/>
          <w:szCs w:val="21"/>
          <w:lang w:val="en-US" w:eastAsia="zh-CN"/>
        </w:rPr>
        <w:t>作出</w:t>
      </w:r>
      <w:r>
        <w:rPr>
          <w:rFonts w:hint="eastAsia" w:ascii="宋体" w:hAnsi="宋体" w:eastAsia="宋体" w:cs="宋体"/>
          <w:color w:val="000000"/>
          <w:szCs w:val="21"/>
        </w:rPr>
        <w:t>实质性响应，其投标将被拒绝或者将作为无效投标，由投标供应商自行承担责任。</w:t>
      </w:r>
    </w:p>
    <w:p w14:paraId="7EFEE184">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3.采购单位有权对发出的招标文件进行必要的澄清或修改。采购单位对招标文件的澄清、修改将构成招标文件的一部分，对所有投标供应商具有约束力。</w:t>
      </w:r>
    </w:p>
    <w:p w14:paraId="085EC92B">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4.采购单位可视情取消、延长投标截止时间和开标时间，不负责解释。</w:t>
      </w:r>
    </w:p>
    <w:p w14:paraId="4A64F2E2">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5.投标供应商由于对招标文件的任何推论和误解以及采购单位对有关问题的口头解释所造成的后果，均由投标供应商自负。</w:t>
      </w:r>
    </w:p>
    <w:p w14:paraId="5CB204D7">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6.采购单位视情组织答疑会。</w:t>
      </w:r>
    </w:p>
    <w:p w14:paraId="3C3A0960">
      <w:pPr>
        <w:pStyle w:val="6"/>
        <w:rPr>
          <w:rFonts w:hint="eastAsia" w:ascii="宋体" w:hAnsi="宋体" w:eastAsia="宋体" w:cs="宋体"/>
        </w:rPr>
      </w:pPr>
      <w:r>
        <w:rPr>
          <w:rFonts w:hint="eastAsia" w:ascii="宋体" w:hAnsi="宋体" w:eastAsia="宋体" w:cs="宋体"/>
          <w:lang w:val="en-GB"/>
        </w:rPr>
        <w:t>三</w:t>
      </w:r>
      <w:r>
        <w:rPr>
          <w:rFonts w:hint="eastAsia" w:ascii="宋体" w:hAnsi="宋体" w:eastAsia="宋体" w:cs="宋体"/>
        </w:rPr>
        <w:t>、投标文件的制作</w:t>
      </w:r>
      <w:bookmarkEnd w:id="17"/>
    </w:p>
    <w:p w14:paraId="6865CEBA">
      <w:pPr>
        <w:pStyle w:val="10"/>
        <w:rPr>
          <w:rFonts w:hint="eastAsia" w:ascii="宋体" w:hAnsi="宋体" w:eastAsia="宋体" w:cs="宋体"/>
          <w:sz w:val="28"/>
        </w:rPr>
      </w:pPr>
      <w:bookmarkStart w:id="18" w:name="_Toc20571357"/>
      <w:bookmarkStart w:id="19" w:name="_Toc20564523"/>
      <w:bookmarkStart w:id="20" w:name="_Toc5575604"/>
      <w:bookmarkStart w:id="21" w:name="_Toc5578667"/>
      <w:bookmarkStart w:id="22" w:name="_Toc20144977"/>
      <w:bookmarkStart w:id="23" w:name="_Toc20564611"/>
      <w:r>
        <w:rPr>
          <w:rFonts w:hint="eastAsia" w:ascii="宋体" w:hAnsi="宋体" w:eastAsia="宋体" w:cs="宋体"/>
          <w:sz w:val="28"/>
        </w:rPr>
        <w:t>1、 原则</w:t>
      </w:r>
      <w:bookmarkEnd w:id="18"/>
      <w:bookmarkEnd w:id="19"/>
      <w:bookmarkEnd w:id="20"/>
      <w:bookmarkEnd w:id="21"/>
      <w:bookmarkEnd w:id="22"/>
      <w:bookmarkEnd w:id="23"/>
      <w:r>
        <w:rPr>
          <w:rFonts w:hint="eastAsia" w:ascii="宋体" w:hAnsi="宋体" w:eastAsia="宋体" w:cs="宋体"/>
          <w:sz w:val="28"/>
        </w:rPr>
        <w:t>：</w:t>
      </w:r>
    </w:p>
    <w:p w14:paraId="5405399E">
      <w:pPr>
        <w:ind w:left="-360" w:firstLine="420" w:firstLineChars="200"/>
        <w:rPr>
          <w:rFonts w:hint="eastAsia" w:ascii="宋体" w:hAnsi="宋体" w:eastAsia="宋体" w:cs="宋体"/>
          <w:szCs w:val="21"/>
        </w:rPr>
      </w:pPr>
      <w:r>
        <w:rPr>
          <w:rFonts w:hint="eastAsia" w:ascii="宋体" w:hAnsi="宋体" w:eastAsia="宋体" w:cs="宋体"/>
          <w:szCs w:val="21"/>
        </w:rPr>
        <w:t>（1）投标人应保证所提供的所有资料的真实性、准确性。</w:t>
      </w:r>
    </w:p>
    <w:p w14:paraId="7BE98764">
      <w:pPr>
        <w:ind w:left="-360" w:firstLine="420" w:firstLineChars="200"/>
        <w:rPr>
          <w:rFonts w:hint="eastAsia" w:ascii="宋体" w:hAnsi="宋体" w:eastAsia="宋体" w:cs="宋体"/>
          <w:szCs w:val="21"/>
        </w:rPr>
      </w:pPr>
      <w:r>
        <w:rPr>
          <w:rFonts w:hint="eastAsia" w:ascii="宋体" w:hAnsi="宋体" w:eastAsia="宋体" w:cs="宋体"/>
          <w:szCs w:val="21"/>
        </w:rPr>
        <w:t>（2）投标人在招标过程中提供不真实的材料，无论其材料是否重要，采购方都将终止其投标资格，投标人需承担相应的后果及法律责任。</w:t>
      </w:r>
    </w:p>
    <w:p w14:paraId="239A3935">
      <w:pPr>
        <w:ind w:left="-360" w:firstLine="420" w:firstLineChars="200"/>
        <w:rPr>
          <w:rFonts w:hint="eastAsia" w:ascii="宋体" w:hAnsi="宋体" w:eastAsia="宋体" w:cs="宋体"/>
          <w:szCs w:val="21"/>
        </w:rPr>
      </w:pPr>
      <w:r>
        <w:rPr>
          <w:rFonts w:hint="eastAsia" w:ascii="宋体" w:hAnsi="宋体" w:eastAsia="宋体" w:cs="宋体"/>
          <w:szCs w:val="21"/>
        </w:rPr>
        <w:t>（3）采购方拒绝接受电报、电话或传真形式的投标文件。</w:t>
      </w:r>
    </w:p>
    <w:p w14:paraId="35946415">
      <w:pPr>
        <w:pStyle w:val="10"/>
        <w:rPr>
          <w:rFonts w:hint="eastAsia" w:ascii="宋体" w:hAnsi="宋体" w:eastAsia="宋体" w:cs="宋体"/>
          <w:sz w:val="28"/>
        </w:rPr>
      </w:pPr>
      <w:r>
        <w:rPr>
          <w:rFonts w:hint="eastAsia" w:ascii="宋体" w:hAnsi="宋体" w:eastAsia="宋体" w:cs="宋体"/>
          <w:sz w:val="28"/>
        </w:rPr>
        <w:t>2、 投标文件的组成：见本招标采购文件第六部分“投标文件格式”。</w:t>
      </w:r>
    </w:p>
    <w:p w14:paraId="0D8307AC">
      <w:pPr>
        <w:pStyle w:val="10"/>
        <w:rPr>
          <w:rFonts w:hint="eastAsia" w:ascii="宋体" w:hAnsi="宋体" w:eastAsia="宋体" w:cs="宋体"/>
          <w:sz w:val="28"/>
        </w:rPr>
      </w:pPr>
      <w:r>
        <w:rPr>
          <w:rFonts w:hint="eastAsia" w:ascii="宋体" w:hAnsi="宋体" w:eastAsia="宋体" w:cs="宋体"/>
          <w:sz w:val="28"/>
        </w:rPr>
        <w:t>3、 投标文件制作要求：</w:t>
      </w:r>
    </w:p>
    <w:p w14:paraId="113135BB">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3E5DB5EF">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（2）</w:t>
      </w:r>
      <w:r>
        <w:rPr>
          <w:rFonts w:hint="eastAsia" w:ascii="宋体" w:hAnsi="宋体" w:eastAsia="宋体" w:cs="宋体"/>
          <w:szCs w:val="21"/>
        </w:rPr>
        <w:t>投标文件正本</w:t>
      </w:r>
      <w:r>
        <w:rPr>
          <w:rFonts w:hint="eastAsia" w:ascii="宋体" w:hAnsi="宋体" w:eastAsia="宋体" w:cs="宋体"/>
          <w:b/>
          <w:bCs/>
          <w:szCs w:val="21"/>
        </w:rPr>
        <w:t>一份</w:t>
      </w:r>
      <w:r>
        <w:rPr>
          <w:rFonts w:hint="eastAsia" w:ascii="宋体" w:hAnsi="宋体" w:eastAsia="宋体" w:cs="宋体"/>
          <w:szCs w:val="21"/>
        </w:rPr>
        <w:t>、副本两</w:t>
      </w:r>
      <w:r>
        <w:rPr>
          <w:rFonts w:hint="eastAsia" w:ascii="宋体" w:hAnsi="宋体" w:eastAsia="宋体" w:cs="宋体"/>
          <w:b/>
          <w:bCs/>
          <w:szCs w:val="21"/>
        </w:rPr>
        <w:t>份</w:t>
      </w:r>
      <w:r>
        <w:rPr>
          <w:rFonts w:hint="eastAsia" w:ascii="宋体" w:hAnsi="宋体" w:eastAsia="宋体" w:cs="宋体"/>
          <w:szCs w:val="21"/>
        </w:rPr>
        <w:t>，在每一份投标文件上要明确标注投标人</w:t>
      </w:r>
      <w:r>
        <w:rPr>
          <w:rFonts w:hint="eastAsia" w:ascii="宋体" w:hAnsi="宋体" w:eastAsia="宋体" w:cs="宋体"/>
          <w:szCs w:val="21"/>
          <w:lang w:val="zh-CN"/>
        </w:rPr>
        <w:t>全称、</w:t>
      </w:r>
      <w:r>
        <w:rPr>
          <w:rFonts w:hint="eastAsia" w:ascii="宋体" w:hAnsi="宋体" w:eastAsia="宋体" w:cs="宋体"/>
          <w:szCs w:val="21"/>
        </w:rPr>
        <w:t>“正本</w:t>
      </w:r>
      <w:r>
        <w:rPr>
          <w:rFonts w:hint="eastAsia" w:ascii="宋体" w:hAnsi="宋体" w:cs="宋体"/>
          <w:szCs w:val="21"/>
          <w:lang w:eastAsia="zh-CN"/>
        </w:rPr>
        <w:t>”“</w:t>
      </w:r>
      <w:r>
        <w:rPr>
          <w:rFonts w:hint="eastAsia" w:ascii="宋体" w:hAnsi="宋体" w:eastAsia="宋体" w:cs="宋体"/>
          <w:szCs w:val="21"/>
        </w:rPr>
        <w:t>副本”字样。一旦正本和副本内容有差异，以正本为准。</w:t>
      </w:r>
    </w:p>
    <w:p w14:paraId="6C55EBF8">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（3）</w:t>
      </w:r>
      <w:r>
        <w:rPr>
          <w:rFonts w:hint="eastAsia" w:ascii="宋体" w:hAnsi="宋体" w:eastAsia="宋体" w:cs="宋体"/>
          <w:szCs w:val="21"/>
        </w:rPr>
        <w:t>投标文件正本须打印并由法定代表人或授权代表签字并加盖单位公章。副本可复印，但须加盖单位公章。</w:t>
      </w:r>
    </w:p>
    <w:p w14:paraId="566F8056">
      <w:pPr>
        <w:spacing w:line="360" w:lineRule="auto"/>
        <w:ind w:left="-360" w:firstLine="420" w:firstLineChars="200"/>
        <w:rPr>
          <w:rFonts w:hint="eastAsia" w:ascii="宋体" w:hAnsi="宋体" w:eastAsia="宋体" w:cs="宋体"/>
          <w:szCs w:val="21"/>
        </w:rPr>
      </w:pPr>
      <w:r>
        <w:rPr>
          <w:rFonts w:hint="eastAsia" w:ascii="宋体" w:hAnsi="宋体" w:eastAsia="宋体" w:cs="宋体"/>
          <w:szCs w:val="21"/>
        </w:rPr>
        <w:t>（4）投标人应将本项目投标文件密封。</w:t>
      </w:r>
    </w:p>
    <w:p w14:paraId="4AC5208F">
      <w:pPr>
        <w:spacing w:line="360" w:lineRule="auto"/>
        <w:ind w:left="-360" w:firstLine="420" w:firstLineChars="200"/>
        <w:rPr>
          <w:rFonts w:hint="eastAsia" w:ascii="宋体" w:hAnsi="宋体" w:eastAsia="宋体" w:cs="宋体"/>
          <w:szCs w:val="21"/>
        </w:rPr>
      </w:pPr>
      <w:r>
        <w:rPr>
          <w:rFonts w:hint="eastAsia" w:ascii="宋体" w:hAnsi="宋体" w:eastAsia="宋体" w:cs="宋体"/>
          <w:szCs w:val="21"/>
        </w:rPr>
        <w:t>（5）所有密封文件封套正面须标明项目名称、项目编号、边缝处加盖单位骑缝章或骑缝签字，并注明于开标前不得启封。如果投标供应商未加写标记，招标方对投标文件的误投和提前启封不负责任。</w:t>
      </w:r>
    </w:p>
    <w:p w14:paraId="084D524B">
      <w:pPr>
        <w:pStyle w:val="10"/>
        <w:rPr>
          <w:rFonts w:hint="eastAsia" w:ascii="宋体" w:hAnsi="宋体" w:eastAsia="宋体" w:cs="宋体"/>
          <w:sz w:val="28"/>
        </w:rPr>
      </w:pPr>
      <w:r>
        <w:rPr>
          <w:rFonts w:hint="eastAsia" w:ascii="宋体" w:hAnsi="宋体" w:eastAsia="宋体" w:cs="宋体"/>
          <w:sz w:val="28"/>
        </w:rPr>
        <w:t>4、 投标报价</w:t>
      </w:r>
    </w:p>
    <w:p w14:paraId="412CD379">
      <w:pPr>
        <w:spacing w:line="360" w:lineRule="auto"/>
        <w:ind w:left="-360" w:firstLine="420" w:firstLineChars="200"/>
        <w:rPr>
          <w:rFonts w:hint="eastAsia" w:ascii="宋体" w:hAnsi="宋体" w:eastAsia="宋体" w:cs="宋体"/>
          <w:lang w:eastAsia="zh-CN"/>
        </w:rPr>
      </w:pPr>
      <w:r>
        <w:rPr>
          <w:rFonts w:hint="eastAsia" w:ascii="宋体" w:hAnsi="宋体" w:eastAsia="宋体" w:cs="宋体"/>
          <w:szCs w:val="21"/>
          <w:lang w:val="en-GB"/>
        </w:rPr>
        <w:t>（1）投标报价应包括人员工资，工作必需品，管理费及税金等所有费用</w:t>
      </w:r>
      <w:r>
        <w:rPr>
          <w:rFonts w:hint="eastAsia" w:ascii="宋体" w:hAnsi="宋体" w:eastAsia="宋体" w:cs="宋体"/>
          <w:szCs w:val="21"/>
          <w:lang w:val="en-GB" w:eastAsia="zh-CN"/>
        </w:rPr>
        <w:t>，管理费是指除人员工资、服务用品耗材以外的一切费用，服务用品耗材包括但不限于卫健委机关相关楼层卫生纸、洗手液、擦手纸、垃圾袋等。</w:t>
      </w:r>
    </w:p>
    <w:p w14:paraId="2637B047">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（2）投标方免费提供的项目，也应报价并注明免费，不计入报价总价。</w:t>
      </w:r>
    </w:p>
    <w:p w14:paraId="1341CF40">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（3）投标人应对招标文件内所要采购的全部内容进行报价，只投其中部分内容者，其投标书将被拒绝。</w:t>
      </w:r>
    </w:p>
    <w:p w14:paraId="655DF708">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（4）</w:t>
      </w:r>
      <w:r>
        <w:rPr>
          <w:rFonts w:hint="eastAsia" w:ascii="宋体" w:hAnsi="宋体" w:eastAsia="宋体" w:cs="宋体"/>
          <w:b/>
          <w:bCs/>
          <w:szCs w:val="21"/>
          <w:lang w:val="en-GB"/>
        </w:rPr>
        <w:t>本项目将进行现场最终报价，请做好现场报价的准备</w:t>
      </w:r>
      <w:r>
        <w:rPr>
          <w:rFonts w:hint="eastAsia" w:ascii="宋体" w:hAnsi="宋体" w:eastAsia="宋体" w:cs="宋体"/>
          <w:szCs w:val="21"/>
          <w:lang w:val="en-GB"/>
        </w:rPr>
        <w:t>。</w:t>
      </w:r>
    </w:p>
    <w:p w14:paraId="40C53726">
      <w:pPr>
        <w:spacing w:line="288"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（5）</w:t>
      </w:r>
      <w:r>
        <w:rPr>
          <w:rFonts w:hint="eastAsia" w:ascii="宋体" w:hAnsi="宋体" w:eastAsia="宋体" w:cs="宋体"/>
          <w:b/>
          <w:bCs/>
          <w:color w:val="000000"/>
          <w:szCs w:val="21"/>
        </w:rPr>
        <w:t>本项目最高限价为人民</w:t>
      </w:r>
      <w:r>
        <w:rPr>
          <w:rFonts w:hint="eastAsia" w:ascii="宋体" w:hAnsi="宋体" w:eastAsia="宋体" w:cs="宋体"/>
          <w:b/>
          <w:bCs/>
          <w:color w:val="000000"/>
          <w:szCs w:val="21"/>
          <w:highlight w:val="none"/>
        </w:rPr>
        <w:t>币</w:t>
      </w:r>
      <w:r>
        <w:rPr>
          <w:rFonts w:hint="eastAsia" w:ascii="宋体" w:hAnsi="宋体" w:eastAsia="宋体" w:cs="宋体"/>
          <w:b/>
          <w:bCs/>
          <w:color w:val="000000"/>
          <w:szCs w:val="21"/>
          <w:highlight w:val="none"/>
          <w:u w:val="single"/>
        </w:rPr>
        <w:t xml:space="preserve"> </w:t>
      </w:r>
      <w:bookmarkStart w:id="36" w:name="_GoBack"/>
      <w:bookmarkEnd w:id="36"/>
      <w:r>
        <w:rPr>
          <w:rFonts w:hint="eastAsia" w:ascii="宋体" w:hAnsi="宋体" w:cs="宋体"/>
          <w:b/>
          <w:bCs/>
          <w:color w:val="000000"/>
          <w:szCs w:val="21"/>
          <w:highlight w:val="none"/>
          <w:u w:val="single"/>
          <w:lang w:val="en-US" w:eastAsia="zh-CN"/>
        </w:rPr>
        <w:t>2</w:t>
      </w:r>
      <w:del w:id="1" w:author="WPS_1694424414" w:date="2024-11-01T14:47:00Z">
        <w:r>
          <w:rPr>
            <w:rFonts w:hint="default" w:ascii="宋体" w:hAnsi="宋体" w:cs="宋体"/>
            <w:b/>
            <w:bCs/>
            <w:color w:val="000000"/>
            <w:szCs w:val="21"/>
            <w:highlight w:val="none"/>
            <w:u w:val="single"/>
            <w:lang w:val="en-US" w:eastAsia="zh-CN"/>
          </w:rPr>
          <w:delText>5</w:delText>
        </w:r>
      </w:del>
      <w:ins w:id="2" w:author="WPS_1694424414" w:date="2024-11-01T14:47:00Z">
        <w:r>
          <w:rPr>
            <w:rFonts w:hint="eastAsia" w:ascii="宋体" w:hAnsi="宋体" w:cs="宋体"/>
            <w:b/>
            <w:bCs/>
            <w:color w:val="000000"/>
            <w:szCs w:val="21"/>
            <w:highlight w:val="none"/>
            <w:u w:val="single"/>
            <w:lang w:val="en-US" w:eastAsia="zh-CN"/>
          </w:rPr>
          <w:t>3</w:t>
        </w:r>
      </w:ins>
      <w:ins w:id="3" w:author="WPS_1694424414" w:date="2024-11-01T14:47:01Z">
        <w:r>
          <w:rPr>
            <w:rFonts w:hint="eastAsia" w:ascii="宋体" w:hAnsi="宋体" w:cs="宋体"/>
            <w:b/>
            <w:bCs/>
            <w:color w:val="000000"/>
            <w:szCs w:val="21"/>
            <w:highlight w:val="none"/>
            <w:u w:val="single"/>
            <w:lang w:val="en-US" w:eastAsia="zh-CN"/>
          </w:rPr>
          <w:t>.9</w:t>
        </w:r>
      </w:ins>
      <w:r>
        <w:rPr>
          <w:rFonts w:hint="eastAsia" w:ascii="宋体" w:hAnsi="宋体" w:cs="宋体"/>
          <w:b/>
          <w:bCs/>
          <w:color w:val="000000"/>
          <w:szCs w:val="21"/>
          <w:highlight w:val="none"/>
          <w:u w:val="none"/>
          <w:lang w:val="en-US" w:eastAsia="zh-CN"/>
        </w:rPr>
        <w:t>万</w:t>
      </w:r>
      <w:r>
        <w:rPr>
          <w:rFonts w:hint="eastAsia" w:ascii="宋体" w:hAnsi="宋体" w:eastAsia="宋体" w:cs="宋体"/>
          <w:b/>
          <w:bCs/>
          <w:color w:val="000000"/>
          <w:szCs w:val="21"/>
          <w:highlight w:val="none"/>
          <w:u w:val="none"/>
        </w:rPr>
        <w:t>元</w:t>
      </w:r>
      <w:r>
        <w:rPr>
          <w:rFonts w:hint="eastAsia" w:ascii="宋体" w:hAnsi="宋体" w:eastAsia="宋体" w:cs="宋体"/>
          <w:color w:val="000000"/>
          <w:szCs w:val="21"/>
        </w:rPr>
        <w:t>。</w:t>
      </w:r>
    </w:p>
    <w:p w14:paraId="17999EB0">
      <w:pPr>
        <w:pStyle w:val="6"/>
        <w:rPr>
          <w:rFonts w:hint="eastAsia" w:ascii="宋体" w:hAnsi="宋体" w:eastAsia="宋体" w:cs="宋体"/>
          <w:lang w:val="en-GB"/>
        </w:rPr>
      </w:pPr>
      <w:r>
        <w:rPr>
          <w:rFonts w:hint="eastAsia" w:ascii="宋体" w:hAnsi="宋体" w:eastAsia="宋体" w:cs="宋体"/>
          <w:lang w:val="en-GB"/>
        </w:rPr>
        <w:t>四、投标文件的递交</w:t>
      </w:r>
    </w:p>
    <w:p w14:paraId="5A825867">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1、招标方于开标地点在</w:t>
      </w:r>
      <w:r>
        <w:rPr>
          <w:rFonts w:hint="eastAsia" w:ascii="宋体" w:hAnsi="宋体" w:eastAsia="宋体" w:cs="宋体"/>
          <w:szCs w:val="21"/>
          <w:u w:val="single"/>
          <w:lang w:val="en-GB"/>
        </w:rPr>
        <w:t>投标截止时间前半小时内接受标书</w:t>
      </w:r>
      <w:r>
        <w:rPr>
          <w:rFonts w:hint="eastAsia" w:ascii="宋体" w:hAnsi="宋体" w:eastAsia="宋体" w:cs="宋体"/>
          <w:szCs w:val="21"/>
          <w:lang w:val="en-GB"/>
        </w:rPr>
        <w:t>。</w:t>
      </w:r>
    </w:p>
    <w:p w14:paraId="161009F5">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2、</w:t>
      </w:r>
      <w:r>
        <w:rPr>
          <w:rFonts w:hint="eastAsia" w:ascii="宋体" w:hAnsi="宋体" w:eastAsia="宋体" w:cs="宋体"/>
          <w:szCs w:val="21"/>
          <w:lang w:val="en-GB"/>
        </w:rPr>
        <w:t>投标人</w:t>
      </w:r>
      <w:r>
        <w:rPr>
          <w:rFonts w:hint="eastAsia" w:ascii="宋体" w:hAnsi="宋体" w:eastAsia="宋体" w:cs="宋体"/>
          <w:szCs w:val="21"/>
        </w:rPr>
        <w:t>递交投标文件的方式为专人当面递交的方式。</w:t>
      </w:r>
    </w:p>
    <w:p w14:paraId="04D802E2">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3</w:t>
      </w:r>
      <w:r>
        <w:rPr>
          <w:rFonts w:hint="eastAsia" w:ascii="宋体" w:hAnsi="宋体" w:eastAsia="宋体" w:cs="宋体"/>
          <w:szCs w:val="21"/>
          <w:lang w:val="en-GB"/>
        </w:rPr>
        <w:t>、招标方将拒绝接收递交时间、密封情况等不符合要求的投标文件。</w:t>
      </w:r>
    </w:p>
    <w:p w14:paraId="414DFE92">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4、投标文件填写字迹必须清楚、工整，对不同文字文本投标文件的解释发生异议的，以中文文本为准。</w:t>
      </w:r>
    </w:p>
    <w:p w14:paraId="6D016933">
      <w:pPr>
        <w:pStyle w:val="6"/>
        <w:rPr>
          <w:rFonts w:hint="eastAsia" w:ascii="宋体" w:hAnsi="宋体" w:eastAsia="宋体" w:cs="宋体"/>
          <w:b w:val="0"/>
        </w:rPr>
      </w:pPr>
      <w:r>
        <w:rPr>
          <w:rFonts w:hint="eastAsia" w:ascii="宋体" w:hAnsi="宋体" w:eastAsia="宋体" w:cs="宋体"/>
          <w:lang w:val="en-GB"/>
        </w:rPr>
        <w:t>五、无效投标的情形</w:t>
      </w:r>
    </w:p>
    <w:p w14:paraId="436CA828">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发生下列情况之一的投标文件被视为无效：</w:t>
      </w:r>
    </w:p>
    <w:p w14:paraId="6D70E09B">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1．投标报价超出项目最高限价的；</w:t>
      </w:r>
    </w:p>
    <w:p w14:paraId="75DE7121">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2．由于包装不妥，在送交途中严重破损或失散的投标文件；</w:t>
      </w:r>
    </w:p>
    <w:p w14:paraId="7E319162">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3．未按照招标文件要求盖章、</w:t>
      </w:r>
      <w:r>
        <w:rPr>
          <w:rFonts w:hint="eastAsia" w:ascii="宋体" w:hAnsi="宋体" w:eastAsia="宋体" w:cs="宋体"/>
          <w:sz w:val="22"/>
          <w:szCs w:val="28"/>
        </w:rPr>
        <w:t>签署姓名</w:t>
      </w:r>
      <w:r>
        <w:rPr>
          <w:rFonts w:hint="eastAsia" w:ascii="宋体" w:hAnsi="宋体" w:eastAsia="宋体" w:cs="宋体"/>
          <w:szCs w:val="21"/>
          <w:lang w:val="en-GB"/>
        </w:rPr>
        <w:t>；未装订或未按照招标文件规定的数量进行制作、未按照招标文件规定要求密封；投标承诺函、法定代表人授权书等有涂改的；</w:t>
      </w:r>
    </w:p>
    <w:p w14:paraId="56EB6CFB">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4．未能提供合格的资格文件；</w:t>
      </w:r>
    </w:p>
    <w:p w14:paraId="6E8505AD">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5．</w:t>
      </w:r>
      <w:r>
        <w:rPr>
          <w:rFonts w:hint="eastAsia" w:ascii="宋体" w:hAnsi="宋体" w:eastAsia="宋体" w:cs="宋体"/>
          <w:sz w:val="22"/>
          <w:szCs w:val="21"/>
          <w:lang w:val="en-GB"/>
        </w:rPr>
        <w:t>投标人未对招标文件内所要采购的全部内容进行报价的</w:t>
      </w:r>
      <w:r>
        <w:rPr>
          <w:rFonts w:hint="eastAsia" w:ascii="宋体" w:hAnsi="宋体" w:eastAsia="宋体" w:cs="宋体"/>
          <w:szCs w:val="21"/>
          <w:lang w:val="en-GB"/>
        </w:rPr>
        <w:t>；</w:t>
      </w:r>
    </w:p>
    <w:p w14:paraId="488257C7">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6．与招标文件有重大偏离的或未能实质性响应技术商务要求的；</w:t>
      </w:r>
    </w:p>
    <w:p w14:paraId="2C4C2735">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7</w:t>
      </w:r>
      <w:r>
        <w:rPr>
          <w:rFonts w:hint="eastAsia" w:ascii="宋体" w:hAnsi="宋体" w:eastAsia="宋体" w:cs="宋体"/>
          <w:szCs w:val="21"/>
          <w:lang w:val="en-GB"/>
        </w:rPr>
        <w:t>．开标时投标供应商授权代表未到开标现场或授权代表不能提供相应身份证明的；</w:t>
      </w:r>
    </w:p>
    <w:p w14:paraId="3AD6D161">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8</w:t>
      </w:r>
      <w:r>
        <w:rPr>
          <w:rFonts w:hint="eastAsia" w:ascii="宋体" w:hAnsi="宋体" w:eastAsia="宋体" w:cs="宋体"/>
          <w:szCs w:val="21"/>
          <w:lang w:val="en-GB"/>
        </w:rPr>
        <w:t>．投标供应商在投标活动中提供任何虚假材料或从事其他违法活动的；</w:t>
      </w:r>
    </w:p>
    <w:p w14:paraId="5C014353">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rPr>
        <w:t>9</w:t>
      </w:r>
      <w:r>
        <w:rPr>
          <w:rFonts w:hint="eastAsia" w:ascii="宋体" w:hAnsi="宋体" w:eastAsia="宋体" w:cs="宋体"/>
          <w:szCs w:val="21"/>
          <w:lang w:val="en-GB"/>
        </w:rPr>
        <w:t>．评标委员会认为其他不合理情况的；</w:t>
      </w:r>
    </w:p>
    <w:p w14:paraId="68FAF5CB">
      <w:pPr>
        <w:spacing w:line="360" w:lineRule="auto"/>
        <w:ind w:left="-360" w:firstLine="420" w:firstLineChars="200"/>
        <w:rPr>
          <w:rFonts w:hint="eastAsia"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rPr>
        <w:t>0</w:t>
      </w:r>
      <w:r>
        <w:rPr>
          <w:rFonts w:hint="eastAsia" w:ascii="宋体" w:hAnsi="宋体" w:eastAsia="宋体" w:cs="宋体"/>
          <w:szCs w:val="21"/>
          <w:lang w:val="en-GB"/>
        </w:rPr>
        <w:t>．不符合法律法规和本招标文件规定的其他实质性要求的。</w:t>
      </w:r>
    </w:p>
    <w:p w14:paraId="5BAA6C38">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4CAA7A39">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172C0ECC">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3617C455">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48B824C9">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6054FE08">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178FF777">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5DA2463C">
      <w:pPr>
        <w:autoSpaceDE w:val="0"/>
        <w:autoSpaceDN w:val="0"/>
        <w:adjustRightInd w:val="0"/>
        <w:snapToGrid w:val="0"/>
        <w:spacing w:line="300" w:lineRule="auto"/>
        <w:ind w:firstLine="440" w:firstLineChars="200"/>
        <w:rPr>
          <w:rFonts w:hint="eastAsia" w:ascii="宋体" w:hAnsi="宋体" w:eastAsia="宋体" w:cs="宋体"/>
          <w:color w:val="FF0000"/>
          <w:sz w:val="22"/>
          <w:szCs w:val="28"/>
          <w:highlight w:val="none"/>
          <w:lang w:val="zh-CN"/>
        </w:rPr>
      </w:pPr>
    </w:p>
    <w:p w14:paraId="0AB22D10">
      <w:pPr>
        <w:autoSpaceDE w:val="0"/>
        <w:autoSpaceDN w:val="0"/>
        <w:adjustRightInd w:val="0"/>
        <w:snapToGrid w:val="0"/>
        <w:spacing w:line="300" w:lineRule="auto"/>
        <w:rPr>
          <w:rFonts w:hint="eastAsia" w:ascii="宋体" w:hAnsi="宋体" w:eastAsia="宋体" w:cs="宋体"/>
          <w:b/>
          <w:bCs/>
          <w:sz w:val="44"/>
          <w:szCs w:val="44"/>
          <w:highlight w:val="none"/>
        </w:rPr>
      </w:pPr>
    </w:p>
    <w:p w14:paraId="5EB0D923">
      <w:pPr>
        <w:pStyle w:val="15"/>
        <w:rPr>
          <w:rFonts w:hint="eastAsia" w:ascii="宋体" w:hAnsi="宋体" w:eastAsia="宋体" w:cs="宋体"/>
          <w:b/>
          <w:bCs/>
          <w:sz w:val="44"/>
          <w:szCs w:val="44"/>
          <w:highlight w:val="none"/>
        </w:rPr>
      </w:pPr>
    </w:p>
    <w:p w14:paraId="4056E078">
      <w:pPr>
        <w:pStyle w:val="49"/>
        <w:rPr>
          <w:rFonts w:hint="eastAsia" w:ascii="宋体" w:hAnsi="宋体" w:eastAsia="宋体" w:cs="宋体"/>
          <w:b/>
          <w:bCs/>
          <w:sz w:val="44"/>
          <w:szCs w:val="44"/>
          <w:highlight w:val="none"/>
          <w:lang w:eastAsia="zh-CN"/>
        </w:rPr>
      </w:pPr>
    </w:p>
    <w:p w14:paraId="5ECD2D44">
      <w:pPr>
        <w:pStyle w:val="49"/>
        <w:rPr>
          <w:rFonts w:hint="eastAsia" w:ascii="宋体" w:hAnsi="宋体" w:eastAsia="宋体" w:cs="宋体"/>
          <w:b/>
          <w:bCs/>
          <w:sz w:val="44"/>
          <w:szCs w:val="44"/>
          <w:highlight w:val="none"/>
          <w:lang w:eastAsia="zh-CN"/>
        </w:rPr>
      </w:pPr>
    </w:p>
    <w:p w14:paraId="6D4E70C3">
      <w:pPr>
        <w:pStyle w:val="49"/>
        <w:rPr>
          <w:rFonts w:hint="eastAsia" w:ascii="宋体" w:hAnsi="宋体" w:eastAsia="宋体" w:cs="宋体"/>
          <w:b/>
          <w:bCs/>
          <w:sz w:val="44"/>
          <w:szCs w:val="44"/>
          <w:highlight w:val="none"/>
          <w:lang w:eastAsia="zh-CN"/>
        </w:rPr>
      </w:pPr>
    </w:p>
    <w:p w14:paraId="5D1E61D4">
      <w:pPr>
        <w:pStyle w:val="49"/>
        <w:rPr>
          <w:rFonts w:hint="eastAsia" w:ascii="宋体" w:hAnsi="宋体" w:eastAsia="宋体" w:cs="宋体"/>
          <w:b/>
          <w:bCs/>
          <w:sz w:val="44"/>
          <w:szCs w:val="44"/>
          <w:highlight w:val="none"/>
          <w:lang w:eastAsia="zh-CN"/>
        </w:rPr>
      </w:pPr>
    </w:p>
    <w:p w14:paraId="1877CFB0">
      <w:pPr>
        <w:pStyle w:val="49"/>
        <w:rPr>
          <w:rFonts w:hint="eastAsia" w:ascii="宋体" w:hAnsi="宋体" w:eastAsia="宋体" w:cs="宋体"/>
          <w:b/>
          <w:bCs/>
          <w:sz w:val="44"/>
          <w:szCs w:val="44"/>
          <w:highlight w:val="none"/>
          <w:lang w:eastAsia="zh-CN"/>
        </w:rPr>
      </w:pPr>
    </w:p>
    <w:p w14:paraId="4E362341">
      <w:pPr>
        <w:pStyle w:val="49"/>
        <w:rPr>
          <w:rFonts w:hint="eastAsia" w:ascii="宋体" w:hAnsi="宋体" w:eastAsia="宋体" w:cs="宋体"/>
          <w:b/>
          <w:bCs/>
          <w:sz w:val="44"/>
          <w:szCs w:val="44"/>
          <w:highlight w:val="none"/>
          <w:lang w:eastAsia="zh-CN"/>
        </w:rPr>
      </w:pPr>
    </w:p>
    <w:p w14:paraId="6504B690">
      <w:pPr>
        <w:pStyle w:val="49"/>
        <w:rPr>
          <w:rFonts w:hint="eastAsia" w:ascii="宋体" w:hAnsi="宋体" w:eastAsia="宋体" w:cs="宋体"/>
          <w:b/>
          <w:bCs/>
          <w:sz w:val="44"/>
          <w:szCs w:val="44"/>
          <w:highlight w:val="none"/>
          <w:lang w:eastAsia="zh-CN"/>
        </w:rPr>
      </w:pPr>
    </w:p>
    <w:p w14:paraId="64123FA8">
      <w:pPr>
        <w:pStyle w:val="49"/>
        <w:rPr>
          <w:rFonts w:hint="eastAsia" w:ascii="宋体" w:hAnsi="宋体" w:eastAsia="宋体" w:cs="宋体"/>
          <w:b/>
          <w:bCs/>
          <w:sz w:val="44"/>
          <w:szCs w:val="44"/>
          <w:highlight w:val="none"/>
          <w:lang w:eastAsia="zh-CN"/>
        </w:rPr>
      </w:pPr>
    </w:p>
    <w:p w14:paraId="3E970003">
      <w:pPr>
        <w:pStyle w:val="49"/>
        <w:rPr>
          <w:rFonts w:hint="eastAsia" w:ascii="宋体" w:hAnsi="宋体" w:eastAsia="宋体" w:cs="宋体"/>
          <w:b/>
          <w:bCs/>
          <w:sz w:val="44"/>
          <w:szCs w:val="44"/>
          <w:highlight w:val="none"/>
          <w:lang w:eastAsia="zh-CN"/>
        </w:rPr>
      </w:pPr>
    </w:p>
    <w:p w14:paraId="21A2BA55">
      <w:pPr>
        <w:pStyle w:val="49"/>
        <w:rPr>
          <w:rFonts w:hint="eastAsia" w:ascii="宋体" w:hAnsi="宋体" w:eastAsia="宋体" w:cs="宋体"/>
          <w:b/>
          <w:bCs/>
          <w:sz w:val="44"/>
          <w:szCs w:val="44"/>
          <w:highlight w:val="none"/>
          <w:lang w:eastAsia="zh-CN"/>
        </w:rPr>
      </w:pPr>
    </w:p>
    <w:p w14:paraId="02F062AC">
      <w:pPr>
        <w:pStyle w:val="49"/>
        <w:rPr>
          <w:rFonts w:hint="eastAsia" w:ascii="宋体" w:hAnsi="宋体" w:eastAsia="宋体" w:cs="宋体"/>
          <w:highlight w:val="none"/>
          <w:lang w:eastAsia="zh-CN"/>
        </w:rPr>
      </w:pPr>
    </w:p>
    <w:p w14:paraId="12B1D194">
      <w:pPr>
        <w:spacing w:line="360" w:lineRule="auto"/>
        <w:jc w:val="center"/>
        <w:rPr>
          <w:rFonts w:hint="eastAsia" w:ascii="宋体" w:hAnsi="宋体" w:eastAsia="宋体" w:cs="宋体"/>
          <w:b/>
          <w:sz w:val="44"/>
          <w:szCs w:val="44"/>
          <w:highlight w:val="none"/>
        </w:rPr>
      </w:pPr>
      <w:r>
        <w:rPr>
          <w:rFonts w:hint="eastAsia" w:ascii="宋体" w:hAnsi="宋体" w:eastAsia="宋体" w:cs="宋体"/>
          <w:b/>
          <w:bCs/>
          <w:sz w:val="44"/>
          <w:szCs w:val="44"/>
          <w:highlight w:val="none"/>
        </w:rPr>
        <w:t>第四部分   开评标</w:t>
      </w:r>
    </w:p>
    <w:p w14:paraId="5D2DEECA">
      <w:pPr>
        <w:pStyle w:val="6"/>
        <w:rPr>
          <w:rFonts w:hint="eastAsia" w:ascii="宋体" w:hAnsi="宋体" w:eastAsia="宋体" w:cs="宋体"/>
          <w:highlight w:val="none"/>
        </w:rPr>
      </w:pPr>
      <w:r>
        <w:rPr>
          <w:rFonts w:hint="eastAsia" w:ascii="宋体" w:hAnsi="宋体" w:eastAsia="宋体" w:cs="宋体"/>
          <w:highlight w:val="none"/>
        </w:rPr>
        <w:t>一、开评标程序</w:t>
      </w:r>
    </w:p>
    <w:p w14:paraId="3D1F77DF">
      <w:pPr>
        <w:pStyle w:val="10"/>
        <w:spacing w:line="360" w:lineRule="auto"/>
        <w:rPr>
          <w:rFonts w:hint="eastAsia" w:ascii="宋体" w:hAnsi="宋体" w:eastAsia="宋体" w:cs="宋体"/>
          <w:sz w:val="28"/>
          <w:highlight w:val="none"/>
        </w:rPr>
      </w:pPr>
      <w:r>
        <w:rPr>
          <w:rFonts w:hint="eastAsia" w:ascii="宋体" w:hAnsi="宋体" w:eastAsia="宋体" w:cs="宋体"/>
          <w:sz w:val="28"/>
          <w:highlight w:val="none"/>
        </w:rPr>
        <w:t>1.招标人组织开标</w:t>
      </w:r>
    </w:p>
    <w:p w14:paraId="7F948F5F">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cs="宋体"/>
          <w:szCs w:val="21"/>
          <w:highlight w:val="none"/>
          <w:lang w:val="en-GB" w:eastAsia="zh-CN"/>
        </w:rPr>
        <w:t>（</w:t>
      </w:r>
      <w:r>
        <w:rPr>
          <w:rFonts w:hint="eastAsia" w:ascii="宋体" w:hAnsi="宋体" w:cs="宋体"/>
          <w:szCs w:val="21"/>
          <w:highlight w:val="none"/>
          <w:lang w:val="en-US" w:eastAsia="zh-CN"/>
        </w:rPr>
        <w:t>1</w:t>
      </w: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招标方在招标文件规定的时间和地点公开开标，投标人的法定代表人或授权代表须持有效身份证参加开标会。</w:t>
      </w:r>
    </w:p>
    <w:p w14:paraId="134B4958">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2</w:t>
      </w: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询标期间，投标供应商法定代表人或授权代表必须在场，负责解答有关事宜。</w:t>
      </w:r>
    </w:p>
    <w:p w14:paraId="40A74DA8">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3</w:t>
      </w: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凡在投标、开标过程中，招标人已提示是否有异议的事项，投标人当时没有提出异议的，事后投标人不得针对上述事项</w:t>
      </w:r>
      <w:r>
        <w:rPr>
          <w:rFonts w:hint="eastAsia" w:ascii="宋体" w:hAnsi="宋体" w:cs="宋体"/>
          <w:szCs w:val="21"/>
          <w:highlight w:val="none"/>
          <w:lang w:val="en-GB" w:eastAsia="zh-CN"/>
        </w:rPr>
        <w:t>质疑</w:t>
      </w:r>
      <w:r>
        <w:rPr>
          <w:rFonts w:hint="eastAsia" w:ascii="宋体" w:hAnsi="宋体" w:eastAsia="宋体" w:cs="宋体"/>
          <w:szCs w:val="21"/>
          <w:highlight w:val="none"/>
          <w:lang w:val="en-GB"/>
        </w:rPr>
        <w:t>。</w:t>
      </w:r>
    </w:p>
    <w:p w14:paraId="20EC6326">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4</w:t>
      </w: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在投标、评标过程中，如果投标人联合故意抬高报价或出现其他不正当行为，招标人有权中止投标或评标。</w:t>
      </w:r>
    </w:p>
    <w:p w14:paraId="102F883E">
      <w:pPr>
        <w:numPr>
          <w:ilvl w:val="-1"/>
          <w:numId w:val="0"/>
        </w:numPr>
        <w:snapToGrid w:val="0"/>
        <w:spacing w:line="360" w:lineRule="auto"/>
        <w:ind w:firstLine="0" w:firstLineChars="0"/>
        <w:rPr>
          <w:rFonts w:hint="eastAsia" w:ascii="宋体" w:hAnsi="宋体" w:eastAsia="宋体" w:cs="宋体"/>
          <w:szCs w:val="21"/>
          <w:highlight w:val="none"/>
        </w:rPr>
      </w:pPr>
      <w:r>
        <w:rPr>
          <w:rFonts w:hint="eastAsia" w:ascii="宋体" w:hAnsi="宋体" w:cs="宋体"/>
          <w:b/>
          <w:sz w:val="28"/>
          <w:highlight w:val="none"/>
          <w:lang w:val="en-US" w:eastAsia="zh-CN"/>
        </w:rPr>
        <w:t>2.</w:t>
      </w:r>
      <w:r>
        <w:rPr>
          <w:rFonts w:hint="eastAsia" w:ascii="宋体" w:hAnsi="宋体" w:eastAsia="宋体" w:cs="宋体"/>
          <w:b/>
          <w:sz w:val="28"/>
          <w:highlight w:val="none"/>
        </w:rPr>
        <w:t>评委会</w:t>
      </w:r>
      <w:r>
        <w:rPr>
          <w:rFonts w:hint="eastAsia" w:ascii="宋体" w:hAnsi="宋体" w:eastAsia="宋体" w:cs="宋体"/>
          <w:szCs w:val="21"/>
          <w:highlight w:val="none"/>
        </w:rPr>
        <w:t>由服务单位代表及相关领域的专家组成，对投标文件进行审查、质疑、评估、比较。评委会按照公平、公正、择优的原则进行独立评标。</w:t>
      </w:r>
    </w:p>
    <w:p w14:paraId="01DC13CE">
      <w:pPr>
        <w:snapToGrid w:val="0"/>
        <w:spacing w:line="360" w:lineRule="auto"/>
        <w:rPr>
          <w:rFonts w:hint="eastAsia" w:ascii="宋体" w:hAnsi="宋体" w:eastAsia="宋体" w:cs="宋体"/>
          <w:b/>
          <w:sz w:val="22"/>
          <w:szCs w:val="28"/>
          <w:highlight w:val="none"/>
        </w:rPr>
      </w:pPr>
      <w:r>
        <w:rPr>
          <w:rFonts w:hint="eastAsia" w:ascii="宋体" w:hAnsi="宋体" w:cs="宋体"/>
          <w:b/>
          <w:sz w:val="22"/>
          <w:szCs w:val="28"/>
          <w:highlight w:val="none"/>
          <w:lang w:eastAsia="zh-CN"/>
        </w:rPr>
        <w:t>（</w:t>
      </w:r>
      <w:r>
        <w:rPr>
          <w:rFonts w:hint="eastAsia" w:ascii="宋体" w:hAnsi="宋体" w:cs="宋体"/>
          <w:b/>
          <w:sz w:val="22"/>
          <w:szCs w:val="28"/>
          <w:highlight w:val="none"/>
          <w:lang w:val="en-US" w:eastAsia="zh-CN"/>
        </w:rPr>
        <w:t>1</w:t>
      </w:r>
      <w:r>
        <w:rPr>
          <w:rFonts w:hint="eastAsia" w:ascii="宋体" w:hAnsi="宋体" w:cs="宋体"/>
          <w:b/>
          <w:sz w:val="22"/>
          <w:szCs w:val="28"/>
          <w:highlight w:val="none"/>
          <w:lang w:eastAsia="zh-CN"/>
        </w:rPr>
        <w:t>）</w:t>
      </w:r>
      <w:r>
        <w:rPr>
          <w:rFonts w:hint="eastAsia" w:ascii="宋体" w:hAnsi="宋体" w:eastAsia="宋体" w:cs="宋体"/>
          <w:b/>
          <w:sz w:val="22"/>
          <w:szCs w:val="28"/>
          <w:highlight w:val="none"/>
        </w:rPr>
        <w:t xml:space="preserve">评审内容     </w:t>
      </w:r>
    </w:p>
    <w:p w14:paraId="1A149A4C">
      <w:pPr>
        <w:snapToGrid w:val="0"/>
        <w:spacing w:line="360" w:lineRule="auto"/>
        <w:ind w:firstLine="420" w:firstLineChars="200"/>
        <w:rPr>
          <w:rFonts w:hint="eastAsia" w:ascii="宋体" w:hAnsi="宋体" w:eastAsia="宋体" w:cs="宋体"/>
          <w:sz w:val="22"/>
          <w:szCs w:val="28"/>
          <w:highlight w:val="none"/>
        </w:rPr>
      </w:pPr>
      <w:r>
        <w:rPr>
          <w:rFonts w:hint="eastAsia" w:ascii="宋体" w:hAnsi="宋体" w:eastAsia="宋体" w:cs="宋体"/>
          <w:szCs w:val="21"/>
          <w:highlight w:val="none"/>
        </w:rPr>
        <w:t>投标人的投标资格；投标文件是否完整；投标文件是否恰当地签署；是否作出实质性响应；是否有计算错误。</w:t>
      </w:r>
      <w:r>
        <w:rPr>
          <w:rFonts w:hint="eastAsia" w:ascii="宋体" w:hAnsi="宋体" w:eastAsia="宋体" w:cs="宋体"/>
          <w:b/>
          <w:sz w:val="22"/>
          <w:szCs w:val="28"/>
          <w:highlight w:val="none"/>
        </w:rPr>
        <w:t>评委评标只根据投标文件本身，而不寻求外部证据。</w:t>
      </w:r>
    </w:p>
    <w:p w14:paraId="478200CB">
      <w:pPr>
        <w:snapToGrid w:val="0"/>
        <w:spacing w:line="360" w:lineRule="auto"/>
        <w:rPr>
          <w:rFonts w:hint="eastAsia" w:ascii="宋体" w:hAnsi="宋体" w:eastAsia="宋体" w:cs="宋体"/>
          <w:b/>
          <w:bCs/>
          <w:sz w:val="22"/>
          <w:szCs w:val="28"/>
          <w:highlight w:val="none"/>
        </w:rPr>
      </w:pPr>
      <w:r>
        <w:rPr>
          <w:rFonts w:hint="eastAsia" w:ascii="宋体" w:hAnsi="宋体" w:eastAsia="宋体" w:cs="宋体"/>
          <w:b/>
          <w:bCs/>
          <w:sz w:val="22"/>
          <w:szCs w:val="28"/>
          <w:highlight w:val="none"/>
        </w:rPr>
        <w:t>（2）相应的规定</w:t>
      </w:r>
    </w:p>
    <w:p w14:paraId="0A807B37">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49AE9B77">
      <w:pPr>
        <w:snapToGrid w:val="0"/>
        <w:spacing w:line="360" w:lineRule="auto"/>
        <w:rPr>
          <w:rFonts w:hint="eastAsia" w:ascii="宋体" w:hAnsi="宋体" w:eastAsia="宋体" w:cs="宋体"/>
          <w:b/>
          <w:bCs/>
          <w:sz w:val="22"/>
          <w:szCs w:val="28"/>
          <w:highlight w:val="none"/>
        </w:rPr>
      </w:pPr>
      <w:r>
        <w:rPr>
          <w:rFonts w:hint="eastAsia" w:ascii="宋体" w:hAnsi="宋体" w:eastAsia="宋体" w:cs="宋体"/>
          <w:b/>
          <w:sz w:val="22"/>
          <w:szCs w:val="28"/>
          <w:highlight w:val="none"/>
        </w:rPr>
        <w:t>（3） 陈述、演示、</w:t>
      </w:r>
      <w:r>
        <w:rPr>
          <w:rFonts w:hint="eastAsia" w:ascii="宋体" w:hAnsi="宋体" w:eastAsia="宋体" w:cs="宋体"/>
          <w:b/>
          <w:bCs/>
          <w:sz w:val="22"/>
          <w:szCs w:val="28"/>
          <w:highlight w:val="none"/>
        </w:rPr>
        <w:t>答疑、澄清</w:t>
      </w:r>
    </w:p>
    <w:p w14:paraId="2C551E08">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如评委会认为有必要，投标人按评委会的要求作陈述、演示、答疑及澄清其投标内容。时间由评委会掌握。重要澄清答复应是书面的，但不得对投标内容进行实质性修改。</w:t>
      </w:r>
    </w:p>
    <w:p w14:paraId="5CEBFC05">
      <w:pPr>
        <w:pStyle w:val="10"/>
        <w:spacing w:line="360" w:lineRule="auto"/>
        <w:rPr>
          <w:rFonts w:hint="eastAsia" w:ascii="宋体" w:hAnsi="宋体" w:eastAsia="宋体" w:cs="宋体"/>
          <w:sz w:val="28"/>
          <w:highlight w:val="none"/>
        </w:rPr>
      </w:pPr>
      <w:r>
        <w:rPr>
          <w:rFonts w:hint="eastAsia" w:ascii="宋体" w:hAnsi="宋体" w:eastAsia="宋体" w:cs="宋体"/>
          <w:sz w:val="28"/>
          <w:highlight w:val="none"/>
        </w:rPr>
        <w:t>3.中标通知</w:t>
      </w:r>
    </w:p>
    <w:p w14:paraId="7206D006">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eastAsia="宋体" w:cs="宋体"/>
          <w:szCs w:val="21"/>
          <w:highlight w:val="none"/>
          <w:lang w:val="en-GB"/>
        </w:rPr>
        <w:t>（1）中标结果确定后，将在指定媒体上公示。公示期满，如无异议的，由招标人向中标方签发《中标通知书</w:t>
      </w:r>
      <w:r>
        <w:rPr>
          <w:rFonts w:hint="eastAsia" w:ascii="宋体" w:hAnsi="宋体" w:cs="宋体"/>
          <w:szCs w:val="21"/>
          <w:highlight w:val="none"/>
          <w:lang w:val="en-GB" w:eastAsia="zh-CN"/>
        </w:rPr>
        <w:t>》《</w:t>
      </w:r>
      <w:r>
        <w:rPr>
          <w:rFonts w:hint="eastAsia" w:ascii="宋体" w:hAnsi="宋体" w:eastAsia="宋体" w:cs="宋体"/>
          <w:szCs w:val="21"/>
          <w:highlight w:val="none"/>
          <w:lang w:val="en-GB"/>
        </w:rPr>
        <w:t>中标通知书》一经发出，即具有法律效力。服务人和成交供应商依法承担法律责任。</w:t>
      </w:r>
    </w:p>
    <w:p w14:paraId="4148C3FE">
      <w:pPr>
        <w:snapToGrid w:val="0"/>
        <w:spacing w:line="360" w:lineRule="auto"/>
        <w:ind w:firstLine="420" w:firstLineChars="200"/>
        <w:rPr>
          <w:rFonts w:hint="eastAsia" w:ascii="宋体" w:hAnsi="宋体" w:eastAsia="宋体" w:cs="宋体"/>
          <w:szCs w:val="21"/>
          <w:highlight w:val="none"/>
          <w:lang w:val="en-GB"/>
        </w:rPr>
      </w:pPr>
      <w:r>
        <w:rPr>
          <w:rFonts w:hint="eastAsia" w:ascii="宋体" w:hAnsi="宋体" w:eastAsia="宋体" w:cs="宋体"/>
          <w:szCs w:val="21"/>
          <w:highlight w:val="none"/>
        </w:rPr>
        <w:t>（2）</w:t>
      </w:r>
      <w:r>
        <w:rPr>
          <w:rFonts w:hint="eastAsia" w:ascii="宋体" w:hAnsi="宋体" w:eastAsia="宋体" w:cs="宋体"/>
          <w:szCs w:val="21"/>
          <w:highlight w:val="none"/>
          <w:lang w:val="en-GB"/>
        </w:rPr>
        <w:t>未收到中标通知的投标人默认为未中标人，招标人不再</w:t>
      </w:r>
      <w:r>
        <w:rPr>
          <w:rFonts w:hint="eastAsia" w:ascii="宋体" w:hAnsi="宋体" w:cs="宋体"/>
          <w:szCs w:val="21"/>
          <w:highlight w:val="none"/>
          <w:lang w:val="en-GB" w:eastAsia="zh-CN"/>
        </w:rPr>
        <w:t>以其他方式</w:t>
      </w:r>
      <w:r>
        <w:rPr>
          <w:rFonts w:hint="eastAsia" w:ascii="宋体" w:hAnsi="宋体" w:eastAsia="宋体" w:cs="宋体"/>
          <w:szCs w:val="21"/>
          <w:highlight w:val="none"/>
          <w:lang w:val="en-GB"/>
        </w:rPr>
        <w:t>另行通知。</w:t>
      </w:r>
    </w:p>
    <w:p w14:paraId="29572379">
      <w:pPr>
        <w:pStyle w:val="6"/>
        <w:rPr>
          <w:rFonts w:hint="eastAsia" w:ascii="宋体" w:hAnsi="宋体" w:eastAsia="宋体" w:cs="宋体"/>
          <w:highlight w:val="none"/>
        </w:rPr>
      </w:pPr>
    </w:p>
    <w:p w14:paraId="72CEFA87">
      <w:pPr>
        <w:snapToGrid w:val="0"/>
        <w:spacing w:line="360" w:lineRule="auto"/>
        <w:ind w:firstLine="0" w:firstLineChars="0"/>
        <w:rPr>
          <w:rFonts w:hint="eastAsia" w:ascii="宋体" w:hAnsi="宋体" w:eastAsia="宋体" w:cs="宋体"/>
          <w:szCs w:val="21"/>
          <w:highlight w:val="none"/>
          <w:lang w:val="zh-CN"/>
        </w:rPr>
      </w:pPr>
      <w:bookmarkStart w:id="24" w:name="_Toc52352456"/>
      <w:bookmarkStart w:id="25" w:name="_Toc25726409"/>
      <w:bookmarkStart w:id="26" w:name="_Toc26261456"/>
      <w:bookmarkStart w:id="27" w:name="_Toc25401332"/>
      <w:bookmarkStart w:id="28" w:name="_Toc25400536"/>
      <w:bookmarkStart w:id="29" w:name="_Toc25574120"/>
    </w:p>
    <w:p w14:paraId="51F890C5">
      <w:pPr>
        <w:pStyle w:val="2"/>
        <w:rPr>
          <w:rFonts w:hint="eastAsia"/>
          <w:lang w:val="zh-CN"/>
        </w:rPr>
      </w:pPr>
    </w:p>
    <w:p w14:paraId="43188D4B">
      <w:pPr>
        <w:snapToGrid w:val="0"/>
        <w:spacing w:line="360" w:lineRule="auto"/>
        <w:ind w:firstLine="420" w:firstLineChars="200"/>
        <w:rPr>
          <w:rFonts w:hint="eastAsia" w:ascii="宋体" w:hAnsi="宋体" w:eastAsia="宋体" w:cs="宋体"/>
          <w:szCs w:val="21"/>
          <w:highlight w:val="none"/>
          <w:lang w:val="zh-CN"/>
        </w:rPr>
      </w:pPr>
    </w:p>
    <w:p w14:paraId="0EFC71E6">
      <w:pPr>
        <w:snapToGrid w:val="0"/>
        <w:spacing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二、评标办法</w:t>
      </w:r>
    </w:p>
    <w:p w14:paraId="3294D2ED">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GB"/>
        </w:rPr>
        <w:t>综合评分法，是指响应文件满足磋商文件全部实质性要求且按评审因素的量化指标评审得分最高的供应商为成交候选供应商的评审方法。</w:t>
      </w:r>
    </w:p>
    <w:p w14:paraId="760543CB">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2.对评委的评分（除价格分外）进行统计汇总，计算出每个供应商的算术平均值，加上价格得分即为每个供应商的综合得分。</w:t>
      </w:r>
    </w:p>
    <w:p w14:paraId="3A6094E5">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3.总得分最高的即为成交候选供应商，</w:t>
      </w:r>
      <w:r>
        <w:rPr>
          <w:rFonts w:hint="eastAsia" w:ascii="宋体" w:hAnsi="宋体" w:eastAsia="宋体" w:cs="宋体"/>
          <w:sz w:val="24"/>
          <w:szCs w:val="24"/>
          <w:highlight w:val="none"/>
        </w:rPr>
        <w:t>如出现最高分相同时以投价低的供应商为成交</w:t>
      </w:r>
      <w:r>
        <w:rPr>
          <w:rFonts w:hint="eastAsia" w:ascii="宋体" w:hAnsi="宋体" w:eastAsia="宋体" w:cs="宋体"/>
          <w:sz w:val="24"/>
          <w:szCs w:val="24"/>
          <w:highlight w:val="none"/>
          <w:lang w:val="zh-CN"/>
        </w:rPr>
        <w:t>候选供应商，</w:t>
      </w:r>
      <w:r>
        <w:rPr>
          <w:rFonts w:hint="eastAsia" w:ascii="宋体" w:hAnsi="宋体" w:eastAsia="宋体" w:cs="宋体"/>
          <w:sz w:val="24"/>
          <w:szCs w:val="24"/>
          <w:highlight w:val="none"/>
        </w:rPr>
        <w:t>如报价也相同时则抽签决定</w:t>
      </w:r>
      <w:r>
        <w:rPr>
          <w:rFonts w:hint="eastAsia" w:ascii="宋体" w:hAnsi="宋体" w:eastAsia="宋体" w:cs="宋体"/>
          <w:sz w:val="24"/>
          <w:szCs w:val="24"/>
          <w:highlight w:val="none"/>
          <w:lang w:val="zh-CN"/>
        </w:rPr>
        <w:t>成交候选供应商。</w:t>
      </w:r>
    </w:p>
    <w:p w14:paraId="411F979B">
      <w:pPr>
        <w:snapToGrid w:val="0"/>
        <w:spacing w:line="360" w:lineRule="auto"/>
        <w:ind w:firstLine="600" w:firstLineChars="250"/>
        <w:contextualSpacing/>
        <w:jc w:val="left"/>
        <w:rPr>
          <w:rFonts w:hint="eastAsia" w:ascii="宋体" w:hAnsi="宋体" w:eastAsia="宋体" w:cs="宋体"/>
          <w:b/>
          <w:bCs/>
          <w:sz w:val="52"/>
          <w:szCs w:val="52"/>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商务技术分：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分</w:t>
      </w:r>
    </w:p>
    <w:p w14:paraId="4CD122D6">
      <w:pPr>
        <w:snapToGrid w:val="0"/>
        <w:spacing w:line="360" w:lineRule="auto"/>
        <w:ind w:firstLine="600" w:firstLineChars="25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各供应商得分为评委会成员评分的算术平均分，分值保留小数点后两位</w:t>
      </w:r>
    </w:p>
    <w:tbl>
      <w:tblPr>
        <w:tblStyle w:val="27"/>
        <w:tblW w:w="99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1654"/>
        <w:gridCol w:w="914"/>
        <w:gridCol w:w="6458"/>
      </w:tblGrid>
      <w:tr w14:paraId="0268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12" w:type="dxa"/>
            <w:tcBorders>
              <w:top w:val="single" w:color="000000" w:sz="8" w:space="0"/>
              <w:left w:val="single" w:color="000000" w:sz="8" w:space="0"/>
              <w:bottom w:val="single" w:color="000000" w:sz="8" w:space="0"/>
              <w:right w:val="single" w:color="000000" w:sz="8" w:space="0"/>
            </w:tcBorders>
            <w:noWrap w:val="0"/>
            <w:vAlign w:val="center"/>
          </w:tcPr>
          <w:p w14:paraId="72771A0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4" w:type="dxa"/>
            <w:tcBorders>
              <w:top w:val="single" w:color="000000" w:sz="8" w:space="0"/>
              <w:left w:val="nil"/>
              <w:bottom w:val="single" w:color="000000" w:sz="8" w:space="0"/>
              <w:right w:val="single" w:color="000000" w:sz="8" w:space="0"/>
            </w:tcBorders>
            <w:noWrap w:val="0"/>
            <w:vAlign w:val="center"/>
          </w:tcPr>
          <w:p w14:paraId="6825E3F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评分点名称</w:t>
            </w:r>
          </w:p>
        </w:tc>
        <w:tc>
          <w:tcPr>
            <w:tcW w:w="914" w:type="dxa"/>
            <w:tcBorders>
              <w:top w:val="single" w:color="000000" w:sz="8" w:space="0"/>
              <w:left w:val="nil"/>
              <w:bottom w:val="single" w:color="000000" w:sz="8" w:space="0"/>
              <w:right w:val="single" w:color="000000" w:sz="8" w:space="0"/>
            </w:tcBorders>
            <w:noWrap w:val="0"/>
            <w:vAlign w:val="center"/>
          </w:tcPr>
          <w:p w14:paraId="08602F5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6458" w:type="dxa"/>
            <w:tcBorders>
              <w:top w:val="single" w:color="000000" w:sz="8" w:space="0"/>
              <w:left w:val="nil"/>
              <w:bottom w:val="single" w:color="000000" w:sz="8" w:space="0"/>
              <w:right w:val="single" w:color="000000" w:sz="8" w:space="0"/>
            </w:tcBorders>
            <w:noWrap w:val="0"/>
            <w:vAlign w:val="center"/>
          </w:tcPr>
          <w:p w14:paraId="5406F5D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14:paraId="30DA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2" w:type="dxa"/>
            <w:vMerge w:val="restart"/>
            <w:tcBorders>
              <w:top w:val="nil"/>
              <w:left w:val="single" w:color="000000" w:sz="8" w:space="0"/>
              <w:bottom w:val="single" w:color="000000" w:sz="8" w:space="0"/>
              <w:right w:val="single" w:color="000000" w:sz="8" w:space="0"/>
            </w:tcBorders>
            <w:noWrap w:val="0"/>
            <w:vAlign w:val="center"/>
          </w:tcPr>
          <w:p w14:paraId="472D4A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4" w:type="dxa"/>
            <w:vMerge w:val="restart"/>
            <w:tcBorders>
              <w:top w:val="nil"/>
              <w:left w:val="nil"/>
              <w:bottom w:val="single" w:color="000000" w:sz="8" w:space="0"/>
              <w:right w:val="single" w:color="000000" w:sz="8" w:space="0"/>
            </w:tcBorders>
            <w:noWrap w:val="0"/>
            <w:vAlign w:val="center"/>
          </w:tcPr>
          <w:p w14:paraId="5135B07A">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认证证书</w:t>
            </w:r>
          </w:p>
        </w:tc>
        <w:tc>
          <w:tcPr>
            <w:tcW w:w="914" w:type="dxa"/>
            <w:vMerge w:val="restart"/>
            <w:tcBorders>
              <w:top w:val="nil"/>
              <w:left w:val="nil"/>
              <w:bottom w:val="single" w:color="000000" w:sz="8" w:space="0"/>
              <w:right w:val="single" w:color="000000" w:sz="8" w:space="0"/>
            </w:tcBorders>
            <w:noWrap w:val="0"/>
            <w:vAlign w:val="center"/>
          </w:tcPr>
          <w:p w14:paraId="797CD1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6458" w:type="dxa"/>
            <w:vMerge w:val="restart"/>
            <w:tcBorders>
              <w:top w:val="nil"/>
              <w:left w:val="nil"/>
              <w:bottom w:val="single" w:color="000000" w:sz="8" w:space="0"/>
              <w:right w:val="single" w:color="000000" w:sz="8" w:space="0"/>
            </w:tcBorders>
            <w:noWrap w:val="0"/>
            <w:vAlign w:val="center"/>
          </w:tcPr>
          <w:p w14:paraId="5CF601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供应商具有有效期内的：质量管理体系认证证书、环境认证证书、职业健康安全认证证书，每提供一个得1分，最多得3分。投标供应商须提供国家认证认可监督管理委员会官网认证认可业务信息统一查询平台</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http://cx.cnca.cn</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认证结果查询截图，截图内容须含有具体网址和有效期，未提供或提供不全的不得分。</w:t>
            </w:r>
          </w:p>
        </w:tc>
      </w:tr>
      <w:tr w14:paraId="5F5C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2" w:type="dxa"/>
            <w:vMerge w:val="continue"/>
            <w:tcBorders>
              <w:top w:val="nil"/>
              <w:left w:val="single" w:color="000000" w:sz="8" w:space="0"/>
              <w:bottom w:val="single" w:color="000000" w:sz="8" w:space="0"/>
              <w:right w:val="single" w:color="000000" w:sz="8" w:space="0"/>
            </w:tcBorders>
            <w:noWrap w:val="0"/>
            <w:vAlign w:val="center"/>
          </w:tcPr>
          <w:p w14:paraId="5E483A93">
            <w:pPr>
              <w:spacing w:line="360" w:lineRule="auto"/>
              <w:jc w:val="center"/>
              <w:rPr>
                <w:rFonts w:hint="eastAsia" w:ascii="宋体" w:hAnsi="宋体" w:eastAsia="宋体" w:cs="宋体"/>
                <w:i w:val="0"/>
                <w:iCs w:val="0"/>
                <w:color w:val="000000"/>
                <w:sz w:val="24"/>
                <w:szCs w:val="24"/>
                <w:u w:val="none"/>
              </w:rPr>
            </w:pPr>
          </w:p>
        </w:tc>
        <w:tc>
          <w:tcPr>
            <w:tcW w:w="1654" w:type="dxa"/>
            <w:vMerge w:val="continue"/>
            <w:tcBorders>
              <w:top w:val="nil"/>
              <w:left w:val="nil"/>
              <w:bottom w:val="single" w:color="000000" w:sz="8" w:space="0"/>
              <w:right w:val="single" w:color="000000" w:sz="8" w:space="0"/>
            </w:tcBorders>
            <w:noWrap w:val="0"/>
            <w:vAlign w:val="center"/>
          </w:tcPr>
          <w:p w14:paraId="4C4498B4">
            <w:pPr>
              <w:spacing w:line="360" w:lineRule="auto"/>
              <w:jc w:val="center"/>
              <w:rPr>
                <w:rFonts w:hint="eastAsia" w:ascii="宋体" w:hAnsi="宋体" w:eastAsia="宋体" w:cs="宋体"/>
                <w:i w:val="0"/>
                <w:iCs w:val="0"/>
                <w:color w:val="000000"/>
                <w:sz w:val="24"/>
                <w:szCs w:val="24"/>
                <w:u w:val="none"/>
              </w:rPr>
            </w:pPr>
          </w:p>
        </w:tc>
        <w:tc>
          <w:tcPr>
            <w:tcW w:w="914" w:type="dxa"/>
            <w:vMerge w:val="continue"/>
            <w:tcBorders>
              <w:top w:val="nil"/>
              <w:left w:val="nil"/>
              <w:bottom w:val="single" w:color="000000" w:sz="8" w:space="0"/>
              <w:right w:val="single" w:color="000000" w:sz="8" w:space="0"/>
            </w:tcBorders>
            <w:noWrap w:val="0"/>
            <w:vAlign w:val="center"/>
          </w:tcPr>
          <w:p w14:paraId="487890AB">
            <w:pPr>
              <w:spacing w:line="360" w:lineRule="auto"/>
              <w:jc w:val="center"/>
              <w:rPr>
                <w:rFonts w:hint="eastAsia" w:ascii="宋体" w:hAnsi="宋体" w:eastAsia="宋体" w:cs="宋体"/>
                <w:i w:val="0"/>
                <w:iCs w:val="0"/>
                <w:color w:val="000000"/>
                <w:sz w:val="24"/>
                <w:szCs w:val="24"/>
                <w:u w:val="none"/>
              </w:rPr>
            </w:pPr>
          </w:p>
        </w:tc>
        <w:tc>
          <w:tcPr>
            <w:tcW w:w="6458" w:type="dxa"/>
            <w:vMerge w:val="continue"/>
            <w:tcBorders>
              <w:top w:val="nil"/>
              <w:left w:val="nil"/>
              <w:bottom w:val="single" w:color="000000" w:sz="8" w:space="0"/>
              <w:right w:val="single" w:color="000000" w:sz="8" w:space="0"/>
            </w:tcBorders>
            <w:noWrap w:val="0"/>
            <w:vAlign w:val="center"/>
          </w:tcPr>
          <w:p w14:paraId="71020BFD">
            <w:pPr>
              <w:spacing w:line="360" w:lineRule="auto"/>
              <w:jc w:val="left"/>
              <w:rPr>
                <w:rFonts w:hint="eastAsia" w:ascii="宋体" w:hAnsi="宋体" w:eastAsia="宋体" w:cs="宋体"/>
                <w:i w:val="0"/>
                <w:iCs w:val="0"/>
                <w:color w:val="000000"/>
                <w:sz w:val="24"/>
                <w:szCs w:val="24"/>
                <w:u w:val="none"/>
              </w:rPr>
            </w:pPr>
          </w:p>
        </w:tc>
      </w:tr>
      <w:tr w14:paraId="6CDD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912" w:type="dxa"/>
            <w:vMerge w:val="continue"/>
            <w:tcBorders>
              <w:top w:val="nil"/>
              <w:left w:val="single" w:color="000000" w:sz="8" w:space="0"/>
              <w:bottom w:val="single" w:color="000000" w:sz="8" w:space="0"/>
              <w:right w:val="single" w:color="000000" w:sz="8" w:space="0"/>
            </w:tcBorders>
            <w:noWrap w:val="0"/>
            <w:vAlign w:val="center"/>
          </w:tcPr>
          <w:p w14:paraId="5435EE03">
            <w:pPr>
              <w:spacing w:line="360" w:lineRule="auto"/>
              <w:jc w:val="center"/>
              <w:rPr>
                <w:rFonts w:hint="eastAsia" w:ascii="宋体" w:hAnsi="宋体" w:eastAsia="宋体" w:cs="宋体"/>
                <w:i w:val="0"/>
                <w:iCs w:val="0"/>
                <w:color w:val="000000"/>
                <w:sz w:val="24"/>
                <w:szCs w:val="24"/>
                <w:u w:val="none"/>
              </w:rPr>
            </w:pPr>
          </w:p>
        </w:tc>
        <w:tc>
          <w:tcPr>
            <w:tcW w:w="1654" w:type="dxa"/>
            <w:vMerge w:val="continue"/>
            <w:tcBorders>
              <w:top w:val="nil"/>
              <w:left w:val="nil"/>
              <w:bottom w:val="single" w:color="000000" w:sz="8" w:space="0"/>
              <w:right w:val="single" w:color="000000" w:sz="8" w:space="0"/>
            </w:tcBorders>
            <w:noWrap w:val="0"/>
            <w:vAlign w:val="center"/>
          </w:tcPr>
          <w:p w14:paraId="43094657">
            <w:pPr>
              <w:spacing w:line="360" w:lineRule="auto"/>
              <w:jc w:val="center"/>
              <w:rPr>
                <w:rFonts w:hint="eastAsia" w:ascii="宋体" w:hAnsi="宋体" w:eastAsia="宋体" w:cs="宋体"/>
                <w:i w:val="0"/>
                <w:iCs w:val="0"/>
                <w:color w:val="000000"/>
                <w:sz w:val="24"/>
                <w:szCs w:val="24"/>
                <w:u w:val="none"/>
              </w:rPr>
            </w:pPr>
          </w:p>
        </w:tc>
        <w:tc>
          <w:tcPr>
            <w:tcW w:w="914" w:type="dxa"/>
            <w:vMerge w:val="continue"/>
            <w:tcBorders>
              <w:top w:val="nil"/>
              <w:left w:val="nil"/>
              <w:bottom w:val="single" w:color="000000" w:sz="8" w:space="0"/>
              <w:right w:val="single" w:color="000000" w:sz="8" w:space="0"/>
            </w:tcBorders>
            <w:noWrap w:val="0"/>
            <w:vAlign w:val="center"/>
          </w:tcPr>
          <w:p w14:paraId="5300A5CF">
            <w:pPr>
              <w:spacing w:line="360" w:lineRule="auto"/>
              <w:jc w:val="center"/>
              <w:rPr>
                <w:rFonts w:hint="eastAsia" w:ascii="宋体" w:hAnsi="宋体" w:eastAsia="宋体" w:cs="宋体"/>
                <w:i w:val="0"/>
                <w:iCs w:val="0"/>
                <w:color w:val="000000"/>
                <w:sz w:val="24"/>
                <w:szCs w:val="24"/>
                <w:u w:val="none"/>
              </w:rPr>
            </w:pPr>
          </w:p>
        </w:tc>
        <w:tc>
          <w:tcPr>
            <w:tcW w:w="6458" w:type="dxa"/>
            <w:vMerge w:val="continue"/>
            <w:tcBorders>
              <w:top w:val="nil"/>
              <w:left w:val="nil"/>
              <w:bottom w:val="single" w:color="000000" w:sz="8" w:space="0"/>
              <w:right w:val="single" w:color="000000" w:sz="8" w:space="0"/>
            </w:tcBorders>
            <w:noWrap w:val="0"/>
            <w:vAlign w:val="center"/>
          </w:tcPr>
          <w:p w14:paraId="5F138C99">
            <w:pPr>
              <w:spacing w:line="360" w:lineRule="auto"/>
              <w:jc w:val="left"/>
              <w:rPr>
                <w:rFonts w:hint="eastAsia" w:ascii="宋体" w:hAnsi="宋体" w:eastAsia="宋体" w:cs="宋体"/>
                <w:i w:val="0"/>
                <w:iCs w:val="0"/>
                <w:color w:val="000000"/>
                <w:sz w:val="24"/>
                <w:szCs w:val="24"/>
                <w:u w:val="none"/>
              </w:rPr>
            </w:pPr>
          </w:p>
        </w:tc>
      </w:tr>
      <w:tr w14:paraId="7BC7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2" w:type="dxa"/>
            <w:vMerge w:val="restart"/>
            <w:tcBorders>
              <w:top w:val="nil"/>
              <w:left w:val="single" w:color="000000" w:sz="8" w:space="0"/>
              <w:bottom w:val="single" w:color="000000" w:sz="8" w:space="0"/>
              <w:right w:val="single" w:color="000000" w:sz="8" w:space="0"/>
            </w:tcBorders>
            <w:noWrap w:val="0"/>
            <w:vAlign w:val="center"/>
          </w:tcPr>
          <w:p w14:paraId="5A1286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4" w:type="dxa"/>
            <w:vMerge w:val="restart"/>
            <w:tcBorders>
              <w:top w:val="nil"/>
              <w:left w:val="nil"/>
              <w:bottom w:val="single" w:color="000000" w:sz="8" w:space="0"/>
              <w:right w:val="single" w:color="000000" w:sz="8" w:space="0"/>
            </w:tcBorders>
            <w:noWrap w:val="0"/>
            <w:vAlign w:val="center"/>
          </w:tcPr>
          <w:p w14:paraId="01F61EDE">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企业业绩</w:t>
            </w:r>
          </w:p>
        </w:tc>
        <w:tc>
          <w:tcPr>
            <w:tcW w:w="914" w:type="dxa"/>
            <w:vMerge w:val="restart"/>
            <w:tcBorders>
              <w:top w:val="nil"/>
              <w:left w:val="nil"/>
              <w:bottom w:val="single" w:color="000000" w:sz="8" w:space="0"/>
              <w:right w:val="single" w:color="000000" w:sz="8" w:space="0"/>
            </w:tcBorders>
            <w:noWrap w:val="0"/>
            <w:vAlign w:val="center"/>
          </w:tcPr>
          <w:p w14:paraId="2454C3F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6458" w:type="dxa"/>
            <w:vMerge w:val="restart"/>
            <w:tcBorders>
              <w:top w:val="nil"/>
              <w:left w:val="nil"/>
              <w:bottom w:val="single" w:color="000000" w:sz="8" w:space="0"/>
              <w:right w:val="single" w:color="000000" w:sz="8" w:space="0"/>
            </w:tcBorders>
            <w:noWrap w:val="0"/>
            <w:vAlign w:val="center"/>
          </w:tcPr>
          <w:p w14:paraId="1EC9D2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供应商提供202</w:t>
            </w: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年1月1日以来（以合同签订日期为准）</w:t>
            </w:r>
            <w:r>
              <w:rPr>
                <w:rFonts w:hint="eastAsia" w:ascii="宋体" w:hAnsi="宋体" w:eastAsia="宋体" w:cs="宋体"/>
                <w:i w:val="0"/>
                <w:iCs w:val="0"/>
                <w:color w:val="000000"/>
                <w:sz w:val="24"/>
                <w:szCs w:val="24"/>
                <w:u w:val="none"/>
                <w:lang w:val="en-US" w:eastAsia="zh-CN"/>
              </w:rPr>
              <w:t>类似</w:t>
            </w:r>
            <w:r>
              <w:rPr>
                <w:rFonts w:hint="eastAsia" w:ascii="宋体" w:hAnsi="宋体" w:eastAsia="宋体" w:cs="宋体"/>
                <w:i w:val="0"/>
                <w:iCs w:val="0"/>
                <w:color w:val="000000"/>
                <w:sz w:val="24"/>
                <w:szCs w:val="24"/>
                <w:u w:val="none"/>
              </w:rPr>
              <w:t>物业服务业绩的，每有一个得</w:t>
            </w: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分，本项最多得</w:t>
            </w:r>
            <w:r>
              <w:rPr>
                <w:rFonts w:hint="eastAsia" w:ascii="宋体" w:hAnsi="宋体" w:eastAsia="宋体" w:cs="宋体"/>
                <w:i w:val="0"/>
                <w:iCs w:val="0"/>
                <w:color w:val="000000"/>
                <w:sz w:val="24"/>
                <w:szCs w:val="24"/>
                <w:u w:val="none"/>
                <w:lang w:val="en-US" w:eastAsia="zh-CN"/>
              </w:rPr>
              <w:t>10</w:t>
            </w:r>
            <w:r>
              <w:rPr>
                <w:rFonts w:hint="eastAsia" w:ascii="宋体" w:hAnsi="宋体" w:eastAsia="宋体" w:cs="宋体"/>
                <w:i w:val="0"/>
                <w:iCs w:val="0"/>
                <w:color w:val="000000"/>
                <w:sz w:val="24"/>
                <w:szCs w:val="24"/>
                <w:u w:val="none"/>
              </w:rPr>
              <w:t>分。业绩证明材料须提供</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①完整的合同文本；②每份合同至少提供一张有效物业服务费发票复印件。</w:t>
            </w:r>
          </w:p>
          <w:p w14:paraId="2CDD24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须提供能清晰反映落款时间、双方签字盖章的合同和发票的彩色扫描件，并加盖投标人单位公章。上述材料缺少任一项不得分。注：同一投标人同一建筑物的业绩不可重复计分。）</w:t>
            </w:r>
          </w:p>
        </w:tc>
      </w:tr>
      <w:tr w14:paraId="24D1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2" w:type="dxa"/>
            <w:vMerge w:val="continue"/>
            <w:tcBorders>
              <w:top w:val="nil"/>
              <w:left w:val="single" w:color="000000" w:sz="8" w:space="0"/>
              <w:bottom w:val="single" w:color="000000" w:sz="8" w:space="0"/>
              <w:right w:val="single" w:color="000000" w:sz="8" w:space="0"/>
            </w:tcBorders>
            <w:noWrap w:val="0"/>
            <w:vAlign w:val="center"/>
          </w:tcPr>
          <w:p w14:paraId="59C5574A">
            <w:pPr>
              <w:spacing w:line="360" w:lineRule="auto"/>
              <w:jc w:val="center"/>
              <w:rPr>
                <w:rFonts w:hint="eastAsia" w:ascii="宋体" w:hAnsi="宋体" w:eastAsia="宋体" w:cs="宋体"/>
                <w:i w:val="0"/>
                <w:iCs w:val="0"/>
                <w:color w:val="000000"/>
                <w:sz w:val="24"/>
                <w:szCs w:val="24"/>
                <w:u w:val="none"/>
              </w:rPr>
            </w:pPr>
          </w:p>
        </w:tc>
        <w:tc>
          <w:tcPr>
            <w:tcW w:w="1654" w:type="dxa"/>
            <w:vMerge w:val="continue"/>
            <w:tcBorders>
              <w:top w:val="nil"/>
              <w:left w:val="nil"/>
              <w:bottom w:val="single" w:color="000000" w:sz="8" w:space="0"/>
              <w:right w:val="single" w:color="000000" w:sz="8" w:space="0"/>
            </w:tcBorders>
            <w:noWrap w:val="0"/>
            <w:vAlign w:val="center"/>
          </w:tcPr>
          <w:p w14:paraId="232F08A9">
            <w:pPr>
              <w:spacing w:line="360" w:lineRule="auto"/>
              <w:jc w:val="center"/>
              <w:rPr>
                <w:rFonts w:hint="eastAsia" w:ascii="宋体" w:hAnsi="宋体" w:eastAsia="宋体" w:cs="宋体"/>
                <w:i w:val="0"/>
                <w:iCs w:val="0"/>
                <w:color w:val="000000"/>
                <w:sz w:val="24"/>
                <w:szCs w:val="24"/>
                <w:u w:val="none"/>
              </w:rPr>
            </w:pPr>
          </w:p>
        </w:tc>
        <w:tc>
          <w:tcPr>
            <w:tcW w:w="914" w:type="dxa"/>
            <w:vMerge w:val="continue"/>
            <w:tcBorders>
              <w:top w:val="nil"/>
              <w:left w:val="nil"/>
              <w:bottom w:val="single" w:color="000000" w:sz="8" w:space="0"/>
              <w:right w:val="single" w:color="000000" w:sz="8" w:space="0"/>
            </w:tcBorders>
            <w:noWrap w:val="0"/>
            <w:vAlign w:val="center"/>
          </w:tcPr>
          <w:p w14:paraId="73C4EF12">
            <w:pPr>
              <w:spacing w:line="360" w:lineRule="auto"/>
              <w:jc w:val="center"/>
              <w:rPr>
                <w:rFonts w:hint="eastAsia" w:ascii="宋体" w:hAnsi="宋体" w:eastAsia="宋体" w:cs="宋体"/>
                <w:i w:val="0"/>
                <w:iCs w:val="0"/>
                <w:color w:val="000000"/>
                <w:sz w:val="24"/>
                <w:szCs w:val="24"/>
                <w:u w:val="none"/>
              </w:rPr>
            </w:pPr>
          </w:p>
        </w:tc>
        <w:tc>
          <w:tcPr>
            <w:tcW w:w="6458" w:type="dxa"/>
            <w:vMerge w:val="continue"/>
            <w:tcBorders>
              <w:top w:val="nil"/>
              <w:left w:val="nil"/>
              <w:bottom w:val="single" w:color="000000" w:sz="8" w:space="0"/>
              <w:right w:val="single" w:color="000000" w:sz="8" w:space="0"/>
            </w:tcBorders>
            <w:noWrap w:val="0"/>
            <w:vAlign w:val="center"/>
          </w:tcPr>
          <w:p w14:paraId="3B4EC7BE">
            <w:pPr>
              <w:spacing w:line="360" w:lineRule="auto"/>
              <w:jc w:val="center"/>
              <w:rPr>
                <w:rFonts w:hint="eastAsia" w:ascii="宋体" w:hAnsi="宋体" w:eastAsia="宋体" w:cs="宋体"/>
                <w:i w:val="0"/>
                <w:iCs w:val="0"/>
                <w:color w:val="000000"/>
                <w:sz w:val="24"/>
                <w:szCs w:val="24"/>
                <w:u w:val="none"/>
              </w:rPr>
            </w:pPr>
          </w:p>
        </w:tc>
      </w:tr>
      <w:tr w14:paraId="0F46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6" w:hRule="atLeast"/>
        </w:trPr>
        <w:tc>
          <w:tcPr>
            <w:tcW w:w="912" w:type="dxa"/>
            <w:vMerge w:val="continue"/>
            <w:tcBorders>
              <w:top w:val="nil"/>
              <w:left w:val="single" w:color="000000" w:sz="8" w:space="0"/>
              <w:bottom w:val="single" w:color="auto" w:sz="4" w:space="0"/>
              <w:right w:val="single" w:color="000000" w:sz="8" w:space="0"/>
            </w:tcBorders>
            <w:noWrap w:val="0"/>
            <w:vAlign w:val="center"/>
          </w:tcPr>
          <w:p w14:paraId="259E26D8">
            <w:pPr>
              <w:spacing w:line="360" w:lineRule="auto"/>
              <w:jc w:val="center"/>
              <w:rPr>
                <w:rFonts w:hint="eastAsia" w:ascii="宋体" w:hAnsi="宋体" w:eastAsia="宋体" w:cs="宋体"/>
                <w:i w:val="0"/>
                <w:iCs w:val="0"/>
                <w:color w:val="000000"/>
                <w:sz w:val="24"/>
                <w:szCs w:val="24"/>
                <w:u w:val="none"/>
              </w:rPr>
            </w:pPr>
          </w:p>
        </w:tc>
        <w:tc>
          <w:tcPr>
            <w:tcW w:w="1654" w:type="dxa"/>
            <w:vMerge w:val="continue"/>
            <w:tcBorders>
              <w:top w:val="nil"/>
              <w:left w:val="nil"/>
              <w:bottom w:val="single" w:color="auto" w:sz="4" w:space="0"/>
              <w:right w:val="single" w:color="000000" w:sz="8" w:space="0"/>
            </w:tcBorders>
            <w:noWrap w:val="0"/>
            <w:vAlign w:val="center"/>
          </w:tcPr>
          <w:p w14:paraId="62ED580F">
            <w:pPr>
              <w:spacing w:line="360" w:lineRule="auto"/>
              <w:jc w:val="center"/>
              <w:rPr>
                <w:rFonts w:hint="eastAsia" w:ascii="宋体" w:hAnsi="宋体" w:eastAsia="宋体" w:cs="宋体"/>
                <w:i w:val="0"/>
                <w:iCs w:val="0"/>
                <w:color w:val="000000"/>
                <w:sz w:val="24"/>
                <w:szCs w:val="24"/>
                <w:u w:val="none"/>
              </w:rPr>
            </w:pPr>
          </w:p>
        </w:tc>
        <w:tc>
          <w:tcPr>
            <w:tcW w:w="914" w:type="dxa"/>
            <w:vMerge w:val="continue"/>
            <w:tcBorders>
              <w:top w:val="nil"/>
              <w:left w:val="nil"/>
              <w:bottom w:val="single" w:color="auto" w:sz="4" w:space="0"/>
              <w:right w:val="single" w:color="000000" w:sz="8" w:space="0"/>
            </w:tcBorders>
            <w:noWrap w:val="0"/>
            <w:vAlign w:val="center"/>
          </w:tcPr>
          <w:p w14:paraId="02C13C83">
            <w:pPr>
              <w:spacing w:line="360" w:lineRule="auto"/>
              <w:jc w:val="center"/>
              <w:rPr>
                <w:rFonts w:hint="eastAsia" w:ascii="宋体" w:hAnsi="宋体" w:eastAsia="宋体" w:cs="宋体"/>
                <w:i w:val="0"/>
                <w:iCs w:val="0"/>
                <w:color w:val="000000"/>
                <w:sz w:val="24"/>
                <w:szCs w:val="24"/>
                <w:u w:val="none"/>
              </w:rPr>
            </w:pPr>
          </w:p>
        </w:tc>
        <w:tc>
          <w:tcPr>
            <w:tcW w:w="6458" w:type="dxa"/>
            <w:vMerge w:val="continue"/>
            <w:tcBorders>
              <w:top w:val="nil"/>
              <w:left w:val="nil"/>
              <w:bottom w:val="single" w:color="auto" w:sz="4" w:space="0"/>
              <w:right w:val="single" w:color="000000" w:sz="8" w:space="0"/>
            </w:tcBorders>
            <w:noWrap w:val="0"/>
            <w:vAlign w:val="center"/>
          </w:tcPr>
          <w:p w14:paraId="5759C721">
            <w:pPr>
              <w:spacing w:line="360" w:lineRule="auto"/>
              <w:jc w:val="center"/>
              <w:rPr>
                <w:rFonts w:hint="eastAsia" w:ascii="宋体" w:hAnsi="宋体" w:eastAsia="宋体" w:cs="宋体"/>
                <w:i w:val="0"/>
                <w:iCs w:val="0"/>
                <w:color w:val="000000"/>
                <w:sz w:val="24"/>
                <w:szCs w:val="24"/>
                <w:u w:val="none"/>
              </w:rPr>
            </w:pPr>
          </w:p>
        </w:tc>
      </w:tr>
      <w:tr w14:paraId="4FAD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470D88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3</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5790E61">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lang w:bidi="ar"/>
              </w:rPr>
              <w:t>整体设想与计划</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7D93FEA6">
            <w:pPr>
              <w:widowControl/>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kern w:val="0"/>
                <w:sz w:val="24"/>
                <w:szCs w:val="24"/>
                <w:lang w:val="en-US" w:eastAsia="zh-CN" w:bidi="ar"/>
              </w:rPr>
              <w:t>15</w:t>
            </w:r>
          </w:p>
        </w:tc>
        <w:tc>
          <w:tcPr>
            <w:tcW w:w="6458" w:type="dxa"/>
            <w:tcBorders>
              <w:top w:val="single" w:color="auto" w:sz="4" w:space="0"/>
              <w:left w:val="single" w:color="auto" w:sz="4" w:space="0"/>
              <w:bottom w:val="single" w:color="auto" w:sz="4" w:space="0"/>
              <w:right w:val="single" w:color="auto" w:sz="4" w:space="0"/>
            </w:tcBorders>
            <w:noWrap w:val="0"/>
            <w:vAlign w:val="center"/>
          </w:tcPr>
          <w:p w14:paraId="4C4A420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符合国家及省、市的有关物业管理法规、政策的规定，根据有关物业管理法规、政策及招标文件中的物业管理服务标准，结合该项目的特点，提出项目物业管理整体设想与计划。</w:t>
            </w:r>
          </w:p>
          <w:p w14:paraId="3C40D0C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cs="宋体"/>
                <w:kern w:val="0"/>
                <w:sz w:val="24"/>
                <w:szCs w:val="24"/>
                <w:lang w:eastAsia="zh-CN" w:bidi="ar"/>
              </w:rPr>
              <w:t>详细</w:t>
            </w:r>
            <w:r>
              <w:rPr>
                <w:rFonts w:hint="eastAsia" w:ascii="宋体" w:hAnsi="宋体" w:eastAsia="宋体" w:cs="宋体"/>
                <w:kern w:val="0"/>
                <w:sz w:val="24"/>
                <w:szCs w:val="24"/>
                <w:lang w:bidi="ar"/>
              </w:rPr>
              <w:t>、贴切实际、实用性强</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得15分；</w:t>
            </w:r>
          </w:p>
          <w:p w14:paraId="28E8F24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eastAsia="宋体" w:cs="宋体"/>
                <w:kern w:val="0"/>
                <w:sz w:val="24"/>
                <w:szCs w:val="24"/>
                <w:lang w:val="en-US" w:eastAsia="zh-CN" w:bidi="ar"/>
              </w:rPr>
              <w:t>较</w:t>
            </w:r>
            <w:r>
              <w:rPr>
                <w:rFonts w:hint="eastAsia" w:ascii="宋体" w:hAnsi="宋体" w:cs="宋体"/>
                <w:kern w:val="0"/>
                <w:sz w:val="24"/>
                <w:szCs w:val="24"/>
                <w:lang w:eastAsia="zh-CN" w:bidi="ar"/>
              </w:rPr>
              <w:t>详细</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较</w:t>
            </w:r>
            <w:r>
              <w:rPr>
                <w:rFonts w:hint="eastAsia" w:ascii="宋体" w:hAnsi="宋体" w:eastAsia="宋体" w:cs="宋体"/>
                <w:kern w:val="0"/>
                <w:sz w:val="24"/>
                <w:szCs w:val="24"/>
                <w:lang w:bidi="ar"/>
              </w:rPr>
              <w:t>贴切实际、</w:t>
            </w:r>
            <w:r>
              <w:rPr>
                <w:rFonts w:hint="eastAsia" w:ascii="宋体" w:hAnsi="宋体" w:eastAsia="宋体" w:cs="宋体"/>
                <w:kern w:val="0"/>
                <w:sz w:val="24"/>
                <w:szCs w:val="24"/>
                <w:lang w:val="en-US" w:eastAsia="zh-CN" w:bidi="ar"/>
              </w:rPr>
              <w:t>较</w:t>
            </w:r>
            <w:r>
              <w:rPr>
                <w:rFonts w:hint="eastAsia" w:ascii="宋体" w:hAnsi="宋体" w:eastAsia="宋体" w:cs="宋体"/>
                <w:kern w:val="0"/>
                <w:sz w:val="24"/>
                <w:szCs w:val="24"/>
                <w:lang w:bidi="ar"/>
              </w:rPr>
              <w:t>实用性</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得10分</w:t>
            </w:r>
          </w:p>
          <w:p w14:paraId="395A3C0A">
            <w:pPr>
              <w:widowControl/>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eastAsia="宋体" w:cs="宋体"/>
                <w:kern w:val="0"/>
                <w:sz w:val="24"/>
                <w:szCs w:val="24"/>
                <w:lang w:val="en-US" w:eastAsia="zh-CN" w:bidi="ar"/>
              </w:rPr>
              <w:t>不太</w:t>
            </w:r>
            <w:r>
              <w:rPr>
                <w:rFonts w:hint="eastAsia" w:ascii="宋体" w:hAnsi="宋体" w:cs="宋体"/>
                <w:kern w:val="0"/>
                <w:sz w:val="24"/>
                <w:szCs w:val="24"/>
                <w:lang w:eastAsia="zh-CN" w:bidi="ar"/>
              </w:rPr>
              <w:t>详细</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一般</w:t>
            </w:r>
            <w:r>
              <w:rPr>
                <w:rFonts w:hint="eastAsia" w:ascii="宋体" w:hAnsi="宋体" w:eastAsia="宋体" w:cs="宋体"/>
                <w:kern w:val="0"/>
                <w:sz w:val="24"/>
                <w:szCs w:val="24"/>
                <w:lang w:bidi="ar"/>
              </w:rPr>
              <w:t>贴切实际、</w:t>
            </w:r>
            <w:r>
              <w:rPr>
                <w:rFonts w:hint="eastAsia" w:ascii="宋体" w:hAnsi="宋体" w:eastAsia="宋体" w:cs="宋体"/>
                <w:kern w:val="0"/>
                <w:sz w:val="24"/>
                <w:szCs w:val="24"/>
                <w:lang w:val="en-US" w:eastAsia="zh-CN" w:bidi="ar"/>
              </w:rPr>
              <w:t>一般具有</w:t>
            </w:r>
            <w:r>
              <w:rPr>
                <w:rFonts w:hint="eastAsia" w:ascii="宋体" w:hAnsi="宋体" w:eastAsia="宋体" w:cs="宋体"/>
                <w:kern w:val="0"/>
                <w:sz w:val="24"/>
                <w:szCs w:val="24"/>
                <w:lang w:bidi="ar"/>
              </w:rPr>
              <w:t>实用性</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得5分</w:t>
            </w:r>
            <w:r>
              <w:rPr>
                <w:rFonts w:hint="eastAsia" w:ascii="宋体" w:hAnsi="宋体" w:eastAsia="宋体" w:cs="宋体"/>
                <w:kern w:val="0"/>
                <w:sz w:val="24"/>
                <w:szCs w:val="24"/>
                <w:lang w:bidi="ar"/>
              </w:rPr>
              <w:t>不满足或未提供的得0分。</w:t>
            </w:r>
          </w:p>
        </w:tc>
      </w:tr>
      <w:tr w14:paraId="11C3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203D2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6564D58">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rPr>
              <w:t>管理重点、               难点和措施</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414920CD">
            <w:pPr>
              <w:widowControl/>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kern w:val="0"/>
                <w:sz w:val="24"/>
                <w:szCs w:val="24"/>
                <w:lang w:val="en-US" w:eastAsia="zh-CN" w:bidi="ar"/>
              </w:rPr>
              <w:t>10</w:t>
            </w:r>
          </w:p>
        </w:tc>
        <w:tc>
          <w:tcPr>
            <w:tcW w:w="6458" w:type="dxa"/>
            <w:tcBorders>
              <w:top w:val="single" w:color="auto" w:sz="4" w:space="0"/>
              <w:left w:val="single" w:color="auto" w:sz="4" w:space="0"/>
              <w:bottom w:val="single" w:color="auto" w:sz="4" w:space="0"/>
              <w:right w:val="single" w:color="auto" w:sz="4" w:space="0"/>
            </w:tcBorders>
            <w:noWrap w:val="0"/>
            <w:vAlign w:val="center"/>
          </w:tcPr>
          <w:p w14:paraId="39BAA5D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投标人根据自身管理经验，结合本项目的实际情况，提出管理重点、难点及对应措施，评委对方案与措施的合理性、全面性、可行性、针对性</w:t>
            </w:r>
            <w:r>
              <w:rPr>
                <w:rFonts w:hint="eastAsia" w:ascii="宋体" w:hAnsi="宋体" w:eastAsia="宋体" w:cs="宋体"/>
                <w:kern w:val="0"/>
                <w:sz w:val="24"/>
                <w:szCs w:val="24"/>
                <w:lang w:val="en-US" w:eastAsia="zh-CN" w:bidi="ar"/>
              </w:rPr>
              <w:t>打分</w:t>
            </w:r>
            <w:r>
              <w:rPr>
                <w:rFonts w:hint="eastAsia" w:ascii="宋体" w:hAnsi="宋体" w:eastAsia="宋体" w:cs="宋体"/>
                <w:kern w:val="0"/>
                <w:sz w:val="24"/>
                <w:szCs w:val="24"/>
                <w:lang w:bidi="ar"/>
              </w:rPr>
              <w:t>。                                                          （1）方案详尽清晰合理，很好满足本项目需求并且措施完善得</w:t>
            </w: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bidi="ar"/>
              </w:rPr>
              <w:t>分；（2）方案合理完备，较好满足本项目需求得</w:t>
            </w: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bidi="ar"/>
              </w:rPr>
              <w:t>分；</w:t>
            </w:r>
          </w:p>
          <w:p w14:paraId="0FC68913">
            <w:pPr>
              <w:widowControl/>
              <w:numPr>
                <w:ilvl w:val="0"/>
                <w:numId w:val="6"/>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方案合理，基本满足本项目需求得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w:t>
            </w:r>
          </w:p>
          <w:p w14:paraId="24BF223A">
            <w:pPr>
              <w:widowControl/>
              <w:numPr>
                <w:ilvl w:val="0"/>
                <w:numId w:val="0"/>
              </w:numPr>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kern w:val="0"/>
                <w:sz w:val="24"/>
                <w:szCs w:val="24"/>
                <w:lang w:bidi="ar"/>
              </w:rPr>
              <w:t>（4）方案不合理或不满足本项目需求得0分</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 xml:space="preserve"> </w:t>
            </w:r>
          </w:p>
        </w:tc>
      </w:tr>
      <w:tr w14:paraId="7D67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155000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5</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24EDEB6">
            <w:pPr>
              <w:widowControl/>
              <w:spacing w:line="36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kern w:val="0"/>
                <w:sz w:val="24"/>
                <w:szCs w:val="24"/>
                <w:lang w:bidi="ar"/>
              </w:rPr>
              <w:t>物业管理方案</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7A0D7816">
            <w:pPr>
              <w:widowControl/>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kern w:val="0"/>
                <w:sz w:val="24"/>
                <w:szCs w:val="24"/>
                <w:lang w:val="en-US" w:eastAsia="zh-CN" w:bidi="ar"/>
              </w:rPr>
              <w:t>12</w:t>
            </w:r>
          </w:p>
        </w:tc>
        <w:tc>
          <w:tcPr>
            <w:tcW w:w="6458" w:type="dxa"/>
            <w:tcBorders>
              <w:top w:val="single" w:color="auto" w:sz="4" w:space="0"/>
              <w:left w:val="single" w:color="auto" w:sz="4" w:space="0"/>
              <w:bottom w:val="single" w:color="auto" w:sz="4" w:space="0"/>
              <w:right w:val="single" w:color="auto" w:sz="4" w:space="0"/>
            </w:tcBorders>
            <w:noWrap w:val="0"/>
            <w:vAlign w:val="center"/>
          </w:tcPr>
          <w:p w14:paraId="0C226C9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根据业主单位情况制订物业管理方案，包含但不限于：人员的配备和管理</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管理服务体系、管理规章制度、日常管理标准及措施</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物业档案资料管理、服务响应时间</w:t>
            </w:r>
            <w:r>
              <w:rPr>
                <w:rFonts w:hint="eastAsia" w:ascii="宋体" w:hAnsi="宋体" w:eastAsia="宋体" w:cs="宋体"/>
                <w:kern w:val="0"/>
                <w:sz w:val="24"/>
                <w:szCs w:val="24"/>
                <w:lang w:val="en-US" w:eastAsia="zh-CN" w:bidi="ar"/>
              </w:rPr>
              <w:t>承诺</w:t>
            </w:r>
            <w:r>
              <w:rPr>
                <w:rFonts w:hint="eastAsia" w:ascii="宋体" w:hAnsi="宋体" w:eastAsia="宋体" w:cs="宋体"/>
                <w:kern w:val="0"/>
                <w:sz w:val="24"/>
                <w:szCs w:val="24"/>
                <w:lang w:bidi="ar"/>
              </w:rPr>
              <w:t>、业主关系</w:t>
            </w:r>
            <w:r>
              <w:rPr>
                <w:rFonts w:hint="eastAsia" w:ascii="宋体" w:hAnsi="宋体" w:eastAsia="宋体" w:cs="宋体"/>
                <w:kern w:val="0"/>
                <w:sz w:val="24"/>
                <w:szCs w:val="24"/>
                <w:lang w:val="en-US" w:eastAsia="zh-CN" w:bidi="ar"/>
              </w:rPr>
              <w:t>维护</w:t>
            </w:r>
            <w:r>
              <w:rPr>
                <w:rFonts w:hint="eastAsia" w:ascii="宋体" w:hAnsi="宋体" w:eastAsia="宋体" w:cs="宋体"/>
                <w:kern w:val="0"/>
                <w:sz w:val="24"/>
                <w:szCs w:val="24"/>
                <w:lang w:bidi="ar"/>
              </w:rPr>
              <w:t>、突发事件应急预案。                                                               要求方案目标清晰，措施切实可行，有全方位的管理服务承诺和质量保证措施。</w:t>
            </w:r>
          </w:p>
          <w:p w14:paraId="43A1ECD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cs="宋体"/>
                <w:kern w:val="0"/>
                <w:sz w:val="24"/>
                <w:szCs w:val="24"/>
                <w:lang w:val="en-US" w:eastAsia="zh-CN" w:bidi="ar"/>
              </w:rPr>
              <w:t>详细</w:t>
            </w:r>
            <w:r>
              <w:rPr>
                <w:rFonts w:hint="eastAsia" w:ascii="宋体" w:hAnsi="宋体" w:eastAsia="宋体" w:cs="宋体"/>
                <w:kern w:val="0"/>
                <w:sz w:val="24"/>
                <w:szCs w:val="24"/>
                <w:lang w:bidi="ar"/>
              </w:rPr>
              <w:t>、贴切实际、实用性强</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得12分；</w:t>
            </w:r>
          </w:p>
          <w:p w14:paraId="76B7064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eastAsia="宋体" w:cs="宋体"/>
                <w:kern w:val="0"/>
                <w:sz w:val="24"/>
                <w:szCs w:val="24"/>
                <w:lang w:val="en-US" w:eastAsia="zh-CN" w:bidi="ar"/>
              </w:rPr>
              <w:t>较</w:t>
            </w:r>
            <w:r>
              <w:rPr>
                <w:rFonts w:hint="eastAsia" w:ascii="宋体" w:hAnsi="宋体" w:cs="宋体"/>
                <w:kern w:val="0"/>
                <w:sz w:val="24"/>
                <w:szCs w:val="24"/>
                <w:lang w:eastAsia="zh-CN" w:bidi="ar"/>
              </w:rPr>
              <w:t>详细</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较</w:t>
            </w:r>
            <w:r>
              <w:rPr>
                <w:rFonts w:hint="eastAsia" w:ascii="宋体" w:hAnsi="宋体" w:eastAsia="宋体" w:cs="宋体"/>
                <w:kern w:val="0"/>
                <w:sz w:val="24"/>
                <w:szCs w:val="24"/>
                <w:lang w:bidi="ar"/>
              </w:rPr>
              <w:t>贴切实际、</w:t>
            </w:r>
            <w:r>
              <w:rPr>
                <w:rFonts w:hint="eastAsia" w:ascii="宋体" w:hAnsi="宋体" w:eastAsia="宋体" w:cs="宋体"/>
                <w:kern w:val="0"/>
                <w:sz w:val="24"/>
                <w:szCs w:val="24"/>
                <w:lang w:val="en-US" w:eastAsia="zh-CN" w:bidi="ar"/>
              </w:rPr>
              <w:t>较</w:t>
            </w:r>
            <w:r>
              <w:rPr>
                <w:rFonts w:hint="eastAsia" w:ascii="宋体" w:hAnsi="宋体" w:eastAsia="宋体" w:cs="宋体"/>
                <w:kern w:val="0"/>
                <w:sz w:val="24"/>
                <w:szCs w:val="24"/>
                <w:lang w:bidi="ar"/>
              </w:rPr>
              <w:t>实用性</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得8分</w:t>
            </w:r>
          </w:p>
          <w:p w14:paraId="11A0243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提供的</w:t>
            </w:r>
            <w:r>
              <w:rPr>
                <w:rFonts w:hint="eastAsia" w:ascii="宋体" w:hAnsi="宋体" w:eastAsia="宋体" w:cs="宋体"/>
                <w:kern w:val="0"/>
                <w:sz w:val="24"/>
                <w:szCs w:val="24"/>
                <w:lang w:bidi="ar"/>
              </w:rPr>
              <w:t>方案</w:t>
            </w:r>
            <w:r>
              <w:rPr>
                <w:rFonts w:hint="eastAsia" w:ascii="宋体" w:hAnsi="宋体" w:eastAsia="宋体" w:cs="宋体"/>
                <w:kern w:val="0"/>
                <w:sz w:val="24"/>
                <w:szCs w:val="24"/>
                <w:lang w:val="en-US" w:eastAsia="zh-CN" w:bidi="ar"/>
              </w:rPr>
              <w:t>不太</w:t>
            </w:r>
            <w:r>
              <w:rPr>
                <w:rFonts w:hint="eastAsia" w:ascii="宋体" w:hAnsi="宋体" w:cs="宋体"/>
                <w:kern w:val="0"/>
                <w:sz w:val="24"/>
                <w:szCs w:val="24"/>
                <w:lang w:eastAsia="zh-CN" w:bidi="ar"/>
              </w:rPr>
              <w:t>详细</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一般</w:t>
            </w:r>
            <w:r>
              <w:rPr>
                <w:rFonts w:hint="eastAsia" w:ascii="宋体" w:hAnsi="宋体" w:eastAsia="宋体" w:cs="宋体"/>
                <w:kern w:val="0"/>
                <w:sz w:val="24"/>
                <w:szCs w:val="24"/>
                <w:lang w:bidi="ar"/>
              </w:rPr>
              <w:t>贴切实际、</w:t>
            </w:r>
            <w:r>
              <w:rPr>
                <w:rFonts w:hint="eastAsia" w:ascii="宋体" w:hAnsi="宋体" w:eastAsia="宋体" w:cs="宋体"/>
                <w:kern w:val="0"/>
                <w:sz w:val="24"/>
                <w:szCs w:val="24"/>
                <w:lang w:val="en-US" w:eastAsia="zh-CN" w:bidi="ar"/>
              </w:rPr>
              <w:t>一般具有</w:t>
            </w:r>
            <w:r>
              <w:rPr>
                <w:rFonts w:hint="eastAsia" w:ascii="宋体" w:hAnsi="宋体" w:eastAsia="宋体" w:cs="宋体"/>
                <w:kern w:val="0"/>
                <w:sz w:val="24"/>
                <w:szCs w:val="24"/>
                <w:lang w:bidi="ar"/>
              </w:rPr>
              <w:t>实用性</w:t>
            </w:r>
            <w:r>
              <w:rPr>
                <w:rFonts w:hint="eastAsia" w:ascii="宋体" w:hAnsi="宋体" w:eastAsia="宋体" w:cs="宋体"/>
                <w:kern w:val="0"/>
                <w:sz w:val="24"/>
                <w:szCs w:val="24"/>
                <w:lang w:eastAsia="zh-CN" w:bidi="ar"/>
              </w:rPr>
              <w:t>的</w:t>
            </w:r>
            <w:r>
              <w:rPr>
                <w:rFonts w:hint="eastAsia" w:ascii="宋体" w:hAnsi="宋体" w:eastAsia="宋体" w:cs="宋体"/>
                <w:kern w:val="0"/>
                <w:sz w:val="24"/>
                <w:szCs w:val="24"/>
                <w:lang w:val="en-US" w:eastAsia="zh-CN" w:bidi="ar"/>
              </w:rPr>
              <w:t>得4分</w:t>
            </w:r>
          </w:p>
          <w:p w14:paraId="469534D5">
            <w:pPr>
              <w:widowControl/>
              <w:spacing w:line="36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kern w:val="0"/>
                <w:sz w:val="24"/>
                <w:szCs w:val="24"/>
                <w:lang w:bidi="ar"/>
              </w:rPr>
              <w:t>不满足或未提供的得0分。</w:t>
            </w:r>
          </w:p>
        </w:tc>
      </w:tr>
      <w:tr w14:paraId="64C0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3"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580543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6</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E7C9A29">
            <w:pPr>
              <w:widowControl/>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color w:val="000000"/>
                <w:kern w:val="0"/>
                <w:sz w:val="24"/>
                <w:szCs w:val="24"/>
              </w:rPr>
              <w:t>重大活动保障</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7D916B6">
            <w:pPr>
              <w:widowControl/>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val="en-US" w:eastAsia="zh-CN"/>
              </w:rPr>
              <w:t>10</w:t>
            </w:r>
          </w:p>
        </w:tc>
        <w:tc>
          <w:tcPr>
            <w:tcW w:w="6458" w:type="dxa"/>
            <w:tcBorders>
              <w:top w:val="single" w:color="auto" w:sz="4" w:space="0"/>
              <w:left w:val="single" w:color="auto" w:sz="4" w:space="0"/>
              <w:bottom w:val="single" w:color="auto" w:sz="4" w:space="0"/>
              <w:right w:val="single" w:color="auto" w:sz="4" w:space="0"/>
            </w:tcBorders>
            <w:noWrap w:val="0"/>
            <w:vAlign w:val="center"/>
          </w:tcPr>
          <w:p w14:paraId="7ABEE50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要求</w:t>
            </w:r>
            <w:r>
              <w:rPr>
                <w:rFonts w:hint="eastAsia" w:ascii="宋体" w:hAnsi="宋体" w:eastAsia="宋体" w:cs="宋体"/>
                <w:color w:val="000000"/>
                <w:kern w:val="0"/>
                <w:sz w:val="24"/>
                <w:szCs w:val="24"/>
              </w:rPr>
              <w:t>重大活动保障方案合理性、可行性、</w:t>
            </w:r>
            <w:r>
              <w:rPr>
                <w:rFonts w:hint="eastAsia" w:ascii="宋体" w:hAnsi="宋体" w:eastAsia="宋体" w:cs="宋体"/>
                <w:color w:val="000000"/>
                <w:kern w:val="0"/>
                <w:sz w:val="24"/>
                <w:szCs w:val="24"/>
                <w:lang w:val="en-US" w:eastAsia="zh-CN"/>
              </w:rPr>
              <w:t>有</w:t>
            </w:r>
            <w:r>
              <w:rPr>
                <w:rFonts w:hint="eastAsia" w:ascii="宋体" w:hAnsi="宋体" w:eastAsia="宋体" w:cs="宋体"/>
                <w:color w:val="000000"/>
                <w:kern w:val="0"/>
                <w:sz w:val="24"/>
                <w:szCs w:val="24"/>
              </w:rPr>
              <w:t>针对性。                                                （1）重大活动保障方案贴合采购人实际工作性质及工作需求，方案齐全、整体有针对性的得</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p w14:paraId="4E1F2148">
            <w:pPr>
              <w:widowControl/>
              <w:numPr>
                <w:ilvl w:val="0"/>
                <w:numId w:val="7"/>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重大活动保障方案内容完整、针对性较强的得</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p w14:paraId="426CEC29">
            <w:pPr>
              <w:widowControl/>
              <w:numPr>
                <w:ilvl w:val="0"/>
                <w:numId w:val="7"/>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有重大活动保障方案</w:t>
            </w:r>
            <w:r>
              <w:rPr>
                <w:rFonts w:hint="eastAsia" w:ascii="宋体" w:hAnsi="宋体" w:eastAsia="宋体" w:cs="宋体"/>
                <w:color w:val="000000"/>
                <w:kern w:val="0"/>
                <w:sz w:val="24"/>
                <w:szCs w:val="24"/>
                <w:lang w:val="en-US" w:eastAsia="zh-CN"/>
              </w:rPr>
              <w:t>但</w:t>
            </w:r>
            <w:r>
              <w:rPr>
                <w:rFonts w:hint="eastAsia" w:ascii="宋体" w:hAnsi="宋体" w:eastAsia="宋体" w:cs="宋体"/>
                <w:color w:val="000000"/>
                <w:kern w:val="0"/>
                <w:sz w:val="24"/>
                <w:szCs w:val="24"/>
              </w:rPr>
              <w:t>内容不全面的得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p>
          <w:p w14:paraId="3182CC39">
            <w:pPr>
              <w:widowControl/>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rPr>
              <w:t>（4）无重大活动保障方案的得0分。</w:t>
            </w:r>
          </w:p>
        </w:tc>
      </w:tr>
      <w:tr w14:paraId="3534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689423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7</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6174DD5">
            <w:pPr>
              <w:widowControl/>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rPr>
              <w:t>节能降耗方案</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454AD378">
            <w:pPr>
              <w:widowControl/>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val="en-US" w:eastAsia="zh-CN"/>
              </w:rPr>
              <w:t>10</w:t>
            </w:r>
          </w:p>
        </w:tc>
        <w:tc>
          <w:tcPr>
            <w:tcW w:w="6458" w:type="dxa"/>
            <w:tcBorders>
              <w:top w:val="single" w:color="auto" w:sz="4" w:space="0"/>
              <w:left w:val="single" w:color="auto" w:sz="4" w:space="0"/>
              <w:bottom w:val="single" w:color="auto" w:sz="4" w:space="0"/>
              <w:right w:val="single" w:color="auto" w:sz="4" w:space="0"/>
            </w:tcBorders>
            <w:noWrap w:val="0"/>
            <w:vAlign w:val="center"/>
          </w:tcPr>
          <w:p w14:paraId="2CC5ED0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rPr>
              <w:t>节能降耗方案科学可行</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lang w:val="en-US" w:eastAsia="zh-CN" w:bidi="ar"/>
              </w:rPr>
              <w:t>提供的</w:t>
            </w:r>
            <w:r>
              <w:rPr>
                <w:rFonts w:hint="eastAsia" w:ascii="宋体" w:hAnsi="宋体" w:eastAsia="宋体" w:cs="宋体"/>
                <w:color w:val="auto"/>
                <w:sz w:val="24"/>
                <w:szCs w:val="24"/>
              </w:rPr>
              <w:t>方案全面、详尽，对采购需求有针对性，可行高，得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0C23F5CA">
            <w:pPr>
              <w:widowControl/>
              <w:spacing w:line="360" w:lineRule="auto"/>
              <w:jc w:val="left"/>
              <w:rPr>
                <w:rFonts w:hint="eastAsia" w:ascii="宋体" w:hAnsi="宋体" w:eastAsia="宋体" w:cs="宋体"/>
                <w:color w:val="auto"/>
                <w:sz w:val="24"/>
                <w:szCs w:val="24"/>
              </w:rPr>
            </w:pPr>
            <w:r>
              <w:rPr>
                <w:rFonts w:hint="eastAsia" w:ascii="宋体" w:hAnsi="宋体" w:eastAsia="宋体" w:cs="宋体"/>
                <w:kern w:val="0"/>
                <w:sz w:val="24"/>
                <w:szCs w:val="24"/>
                <w:lang w:val="en-US" w:eastAsia="zh-CN" w:bidi="ar"/>
              </w:rPr>
              <w:t>提供的</w:t>
            </w:r>
            <w:r>
              <w:rPr>
                <w:rFonts w:hint="eastAsia" w:ascii="宋体" w:hAnsi="宋体" w:eastAsia="宋体" w:cs="宋体"/>
                <w:color w:val="auto"/>
                <w:sz w:val="24"/>
                <w:szCs w:val="24"/>
              </w:rPr>
              <w:t>方案合理，对采购需求较有针对性，基本可行，较能满足项目需求，得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70EF54D2">
            <w:pPr>
              <w:widowControl/>
              <w:spacing w:line="360" w:lineRule="auto"/>
              <w:jc w:val="left"/>
              <w:rPr>
                <w:rFonts w:hint="eastAsia" w:ascii="宋体" w:hAnsi="宋体" w:eastAsia="宋体" w:cs="宋体"/>
                <w:color w:val="auto"/>
                <w:sz w:val="24"/>
                <w:szCs w:val="24"/>
              </w:rPr>
            </w:pPr>
            <w:r>
              <w:rPr>
                <w:rFonts w:hint="eastAsia" w:ascii="宋体" w:hAnsi="宋体" w:eastAsia="宋体" w:cs="宋体"/>
                <w:kern w:val="0"/>
                <w:sz w:val="24"/>
                <w:szCs w:val="24"/>
                <w:lang w:val="en-US" w:eastAsia="zh-CN" w:bidi="ar"/>
              </w:rPr>
              <w:t>提供的</w:t>
            </w:r>
            <w:r>
              <w:rPr>
                <w:rFonts w:hint="eastAsia" w:ascii="宋体" w:hAnsi="宋体" w:eastAsia="宋体" w:cs="宋体"/>
                <w:color w:val="auto"/>
                <w:sz w:val="24"/>
                <w:szCs w:val="24"/>
              </w:rPr>
              <w:t>方案一般，对采购需求针对性一般，可行性一般，基本满足项目需求，得2分。</w:t>
            </w:r>
          </w:p>
          <w:p w14:paraId="10B0710E">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不满足或未提供的得0分。</w:t>
            </w:r>
          </w:p>
        </w:tc>
      </w:tr>
    </w:tbl>
    <w:p w14:paraId="1804416E">
      <w:pPr>
        <w:spacing w:line="360" w:lineRule="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 xml:space="preserve">注：①请供应商根据评分标准制作评分索引并放在评审内容的前面，评分索引中应标明每个评分点的页码范围，如投标文件内容顺序混乱，导致评委无法查看，后果自负。 </w:t>
      </w:r>
    </w:p>
    <w:p w14:paraId="4E894F8C">
      <w:pPr>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②请供应商制作磋商响应文件的时保证图片、文字材料的完整、清晰可辨，任何原因导致评委看不清楚或无法查看，后果由供应商自负。</w:t>
      </w:r>
    </w:p>
    <w:p w14:paraId="45A1E9E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③以上所有评分项</w:t>
      </w:r>
      <w:r>
        <w:rPr>
          <w:rFonts w:hint="eastAsia" w:ascii="宋体" w:hAnsi="宋体" w:cs="宋体"/>
          <w:b/>
          <w:bCs/>
          <w:sz w:val="24"/>
          <w:szCs w:val="24"/>
          <w:highlight w:val="none"/>
          <w:lang w:eastAsia="zh-CN"/>
        </w:rPr>
        <w:t>涉及的</w:t>
      </w:r>
      <w:r>
        <w:rPr>
          <w:rFonts w:hint="eastAsia" w:ascii="宋体" w:hAnsi="宋体" w:eastAsia="宋体" w:cs="宋体"/>
          <w:b/>
          <w:bCs/>
          <w:sz w:val="24"/>
          <w:szCs w:val="24"/>
          <w:highlight w:val="none"/>
        </w:rPr>
        <w:t>相关证明材料原件请携带至开标现场备查。</w:t>
      </w:r>
    </w:p>
    <w:p w14:paraId="2E0D2379">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④加分项总分不超过加分项总分值。</w:t>
      </w:r>
    </w:p>
    <w:p w14:paraId="1F8BFA12">
      <w:pPr>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eastAsia="宋体" w:cs="宋体"/>
          <w:b/>
          <w:bCs/>
          <w:sz w:val="24"/>
          <w:szCs w:val="24"/>
          <w:highlight w:val="none"/>
          <w:lang w:val="zh-CN"/>
        </w:rPr>
        <w:t>二）价格分：</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lang w:val="zh-CN"/>
        </w:rPr>
        <w:t>分</w:t>
      </w:r>
    </w:p>
    <w:p w14:paraId="3E2445C1">
      <w:pPr>
        <w:snapToGrid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r>
        <w:rPr>
          <w:rFonts w:hint="eastAsia" w:ascii="宋体" w:hAnsi="宋体" w:eastAsia="宋体" w:cs="宋体"/>
          <w:color w:val="auto"/>
          <w:sz w:val="24"/>
          <w:szCs w:val="24"/>
          <w:highlight w:val="none"/>
          <w:lang w:val="zh-CN"/>
        </w:rPr>
        <w:t>磋商报价得分=（最后磋商报价/磋商基准价）×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%×100。</w:t>
      </w:r>
    </w:p>
    <w:p w14:paraId="116DD053">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变更为其他方式服务的情形</w:t>
      </w:r>
    </w:p>
    <w:p w14:paraId="427DFDFD">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响应文件提交截止时间出现：参加响应的供应商不足3家的，及评审中出现符合专业条件的供应商或对磋商文件作实质响应的供应商不足3家如下情形时，除服务任务取消外，服务人有权视情采取其他方式服务。</w:t>
      </w:r>
      <w:r>
        <w:rPr>
          <w:rFonts w:hint="eastAsia" w:ascii="宋体" w:hAnsi="宋体" w:eastAsia="宋体" w:cs="宋体"/>
          <w:sz w:val="24"/>
          <w:szCs w:val="24"/>
          <w:highlight w:val="none"/>
          <w:lang w:val="zh-CN"/>
        </w:rPr>
        <w:t>本次服务文件中对供应商资质、技术等要求，将作为</w:t>
      </w:r>
      <w:r>
        <w:rPr>
          <w:rFonts w:hint="eastAsia" w:ascii="宋体" w:hAnsi="宋体" w:eastAsia="宋体" w:cs="宋体"/>
          <w:sz w:val="24"/>
          <w:szCs w:val="24"/>
          <w:highlight w:val="none"/>
          <w:lang w:val="en-GB"/>
        </w:rPr>
        <w:t>其他</w:t>
      </w:r>
      <w:r>
        <w:rPr>
          <w:rFonts w:hint="eastAsia" w:ascii="宋体" w:hAnsi="宋体" w:eastAsia="宋体" w:cs="宋体"/>
          <w:sz w:val="24"/>
          <w:szCs w:val="24"/>
          <w:highlight w:val="none"/>
          <w:lang w:val="zh-CN"/>
        </w:rPr>
        <w:t>方式服务的基本要求和依据。原已经参加投标并符合要求的供应商，根据自愿原则，参加</w:t>
      </w:r>
      <w:r>
        <w:rPr>
          <w:rFonts w:hint="eastAsia" w:ascii="宋体" w:hAnsi="宋体" w:eastAsia="宋体" w:cs="宋体"/>
          <w:sz w:val="24"/>
          <w:szCs w:val="24"/>
          <w:highlight w:val="none"/>
          <w:lang w:val="en-GB"/>
        </w:rPr>
        <w:t>其他</w:t>
      </w:r>
      <w:r>
        <w:rPr>
          <w:rFonts w:hint="eastAsia" w:ascii="宋体" w:hAnsi="宋体" w:eastAsia="宋体" w:cs="宋体"/>
          <w:sz w:val="24"/>
          <w:szCs w:val="24"/>
          <w:highlight w:val="none"/>
          <w:lang w:val="zh-CN"/>
        </w:rPr>
        <w:t>方式服务。</w:t>
      </w:r>
    </w:p>
    <w:p w14:paraId="6B63BF80">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出现下列情形之一的，竞争性磋商服务活动终止，发布项目终止公告并说明原因，重新开展服务活动：</w:t>
      </w:r>
    </w:p>
    <w:p w14:paraId="132015F0">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（一）因情况变化，不再符合规定的竞争性磋商服务方式适用情形的；</w:t>
      </w:r>
    </w:p>
    <w:p w14:paraId="2CA90DEC">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（二）出现影响服务公正的违法、违规行为的；</w:t>
      </w:r>
    </w:p>
    <w:p w14:paraId="38294CCF">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（三）在服务过程中符合要求的供应商或者报价未超过服务预算的供应商不足3家的（市场竞争不充分的科研项目，以及需要扶持的科技成果转化项目除外）。</w:t>
      </w:r>
    </w:p>
    <w:p w14:paraId="109DC95A">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成交通知</w:t>
      </w:r>
    </w:p>
    <w:p w14:paraId="3473CB58">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GB"/>
        </w:rPr>
        <w:t>成交结果在海门区</w:t>
      </w:r>
      <w:r>
        <w:rPr>
          <w:rFonts w:hint="eastAsia" w:ascii="宋体" w:hAnsi="宋体" w:eastAsia="宋体" w:cs="宋体"/>
          <w:sz w:val="24"/>
          <w:szCs w:val="24"/>
          <w:highlight w:val="none"/>
          <w:lang w:val="en-US" w:eastAsia="zh-CN"/>
        </w:rPr>
        <w:t>应急管理局</w:t>
      </w:r>
      <w:r>
        <w:rPr>
          <w:rFonts w:hint="eastAsia" w:ascii="宋体" w:hAnsi="宋体" w:eastAsia="宋体" w:cs="宋体"/>
          <w:sz w:val="24"/>
          <w:szCs w:val="24"/>
          <w:highlight w:val="none"/>
          <w:lang w:val="en-GB"/>
        </w:rPr>
        <w:t>网站公告，公告期限为1个工作日。《成交通知书》一经发出，服务人改变成交结果，或者成交供应商放弃成交的，各自承担相应的法律责任。《成交通知书》是服务合同的组成部分。</w:t>
      </w:r>
    </w:p>
    <w:p w14:paraId="4F358166">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政府采购政策功能落实（如有此部分内容请上传至价格标部分，否则视为未提供）</w:t>
      </w:r>
    </w:p>
    <w:p w14:paraId="430B51F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1、小微型企业价格扣除</w:t>
      </w:r>
    </w:p>
    <w:p w14:paraId="6EA05B3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（1）本项目对小型和微型企业产品给予10%的扣除价格，用扣除后的价格参与评审。</w:t>
      </w:r>
    </w:p>
    <w:p w14:paraId="65158FF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（2）供应商需按照采购文件的要求提供相应的《中小企业声明函》。</w:t>
      </w:r>
    </w:p>
    <w:p w14:paraId="2158B4A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（3）企业标准请参照《关于印发中小企业划型标准规定的通知》（工信部联企业</w:t>
      </w:r>
      <w:r>
        <w:rPr>
          <w:rFonts w:hint="eastAsia" w:ascii="宋体" w:hAnsi="宋体" w:cs="宋体"/>
          <w:sz w:val="24"/>
          <w:szCs w:val="24"/>
          <w:highlight w:val="none"/>
          <w:lang w:eastAsia="zh-CN"/>
        </w:rPr>
        <w:t>〔2011〕300号</w:t>
      </w:r>
      <w:r>
        <w:rPr>
          <w:rFonts w:hint="eastAsia" w:ascii="宋体" w:hAnsi="宋体" w:eastAsia="宋体" w:cs="宋体"/>
          <w:sz w:val="24"/>
          <w:szCs w:val="24"/>
          <w:highlight w:val="none"/>
        </w:rPr>
        <w:t>）文件规定自行填写。</w:t>
      </w:r>
    </w:p>
    <w:p w14:paraId="100A77D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2、残疾人福利单位价格扣除</w:t>
      </w:r>
    </w:p>
    <w:p w14:paraId="081B004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（1）本项目对残疾人福利性单位视同小型、微型企业，给予10%的价格扣除，用扣除后的价格参与评审。</w:t>
      </w:r>
    </w:p>
    <w:p w14:paraId="1540308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（2）残疾人福利单位需按照采购文件的要求提供《残疾人福利性单位声明函》。</w:t>
      </w:r>
    </w:p>
    <w:p w14:paraId="5B23FD3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（3）残疾人福利单位标准请参照《关于促进残疾人就业政府采购政策的通知》（财库〔2017〕141号）。</w:t>
      </w:r>
    </w:p>
    <w:p w14:paraId="482695D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3、监狱和戒毒企业价格扣除</w:t>
      </w:r>
    </w:p>
    <w:p w14:paraId="6B5EF34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（1）本项目对监狱和戒毒企业（简称监狱企业）视同小型、微型企业，给予6%的价格扣除，用扣除后的价格参与评审。</w:t>
      </w:r>
    </w:p>
    <w:p w14:paraId="6C4EE76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（2）监狱企业参加政府采购活动时，需提供由省级以上监狱管理局、戒毒管理局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含新疆生产建设兵团</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出具的属于监狱企业的证明文件。供应商如不提供上述证明文件，价格将不做相应扣除。</w:t>
      </w:r>
    </w:p>
    <w:p w14:paraId="2B0244C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（3）监狱企业标准请参照《关于政府采购支持监狱企业发展有关问题的通知》（财库</w:t>
      </w:r>
      <w:r>
        <w:rPr>
          <w:rFonts w:hint="eastAsia" w:ascii="宋体" w:hAnsi="宋体" w:cs="宋体"/>
          <w:sz w:val="24"/>
          <w:szCs w:val="24"/>
          <w:highlight w:val="none"/>
          <w:lang w:eastAsia="zh-CN"/>
        </w:rPr>
        <w:t>〔2014〕68号</w:t>
      </w:r>
      <w:r>
        <w:rPr>
          <w:rFonts w:hint="eastAsia" w:ascii="宋体" w:hAnsi="宋体" w:eastAsia="宋体" w:cs="宋体"/>
          <w:sz w:val="24"/>
          <w:szCs w:val="24"/>
          <w:highlight w:val="none"/>
        </w:rPr>
        <w:t>）。</w:t>
      </w:r>
    </w:p>
    <w:p w14:paraId="3511755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4、残疾人福利单位、监狱企业属于小型、微型企业的，不重复享受政策。</w:t>
      </w:r>
    </w:p>
    <w:p w14:paraId="7B0C9D8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0C040D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6、联合体各方均为小型、微型企业（残疾人福利单位、监狱企业）的，联合体享受6%价格扣除，用扣除后的价格参与评审。</w:t>
      </w:r>
    </w:p>
    <w:p w14:paraId="3D06D8D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7、根据《江苏省政府采购信用管理暂行办法》的规定，对有失信行为的供应商将根据信用评价结果按规定予以扣分或价格加成。</w:t>
      </w:r>
    </w:p>
    <w:p w14:paraId="07871E41">
      <w:pPr>
        <w:spacing w:before="290" w:beforeLines="100" w:line="360" w:lineRule="auto"/>
        <w:jc w:val="center"/>
        <w:rPr>
          <w:rFonts w:hint="eastAsia" w:ascii="宋体" w:hAnsi="宋体" w:eastAsia="宋体" w:cs="宋体"/>
          <w:sz w:val="28"/>
          <w:szCs w:val="28"/>
          <w:highlight w:val="none"/>
        </w:rPr>
      </w:pPr>
      <w:r>
        <w:rPr>
          <w:rFonts w:hint="eastAsia" w:ascii="宋体" w:hAnsi="宋体" w:eastAsia="宋体" w:cs="宋体"/>
          <w:b/>
          <w:bCs/>
          <w:sz w:val="44"/>
          <w:szCs w:val="44"/>
          <w:highlight w:val="none"/>
        </w:rPr>
        <w:br w:type="page"/>
      </w:r>
      <w:bookmarkEnd w:id="24"/>
      <w:bookmarkEnd w:id="25"/>
      <w:bookmarkEnd w:id="26"/>
      <w:bookmarkEnd w:id="27"/>
      <w:bookmarkEnd w:id="28"/>
      <w:bookmarkEnd w:id="29"/>
      <w:r>
        <w:rPr>
          <w:rFonts w:hint="eastAsia" w:ascii="宋体" w:hAnsi="宋体" w:eastAsia="宋体" w:cs="宋体"/>
          <w:b/>
          <w:bCs/>
          <w:sz w:val="44"/>
          <w:szCs w:val="44"/>
          <w:highlight w:val="none"/>
        </w:rPr>
        <w:t>第五部分  合同相关要求</w:t>
      </w:r>
    </w:p>
    <w:p w14:paraId="192ECDC8">
      <w:pPr>
        <w:spacing w:line="360" w:lineRule="auto"/>
        <w:ind w:firstLine="55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合同最终稿由供需双方协商后确定。</w:t>
      </w:r>
    </w:p>
    <w:p w14:paraId="75CBFE20">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中标公示期满后3日内须领取中标通知书，同时中标人应按照《中标通知书》指定的时间内与服务人洽谈并签订合同。如在规定的时限内因中标方原因没有签订合同，将取消中标人候选人中标资格。所签合同不得对招标文件作实质性修改，由此给服务人造成损失的，成交供应商还应承担赔偿责任。</w:t>
      </w:r>
    </w:p>
    <w:p w14:paraId="6A8E465A">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2、招标服务文件、中标人的投标文件及投标过程中有关书面澄清、承诺等均应作为合同附件，具有同等的法律效力。</w:t>
      </w:r>
    </w:p>
    <w:p w14:paraId="359275D8">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中标人不得采用分包的形式履行合同，否则服务人有权终止合同，造成服务人损失的，中标人应承担相应赔偿责任。中标人出现违约情形，应当及时纠正或补偿；造成损失的，按合同约定追究违约责任；发现有假冒、伪劣、走私产品、商业贿赂等违法情形的，应由服务单位移交工商、质监、公安等行政执法部门依法查处。中标人不能及时供货的，按《</w:t>
      </w:r>
      <w:r>
        <w:rPr>
          <w:rFonts w:hint="eastAsia" w:ascii="宋体" w:hAnsi="宋体" w:cs="宋体"/>
          <w:sz w:val="24"/>
          <w:szCs w:val="24"/>
          <w:highlight w:val="none"/>
          <w:lang w:val="en-GB" w:eastAsia="zh-CN"/>
        </w:rPr>
        <w:t>中华人民共和国民法典</w:t>
      </w:r>
      <w:r>
        <w:rPr>
          <w:rFonts w:hint="eastAsia" w:ascii="宋体" w:hAnsi="宋体" w:eastAsia="宋体" w:cs="宋体"/>
          <w:sz w:val="24"/>
          <w:szCs w:val="24"/>
          <w:highlight w:val="none"/>
          <w:lang w:val="en-GB"/>
        </w:rPr>
        <w:t>》规定处理，同时扣除相应合同履约金。</w:t>
      </w:r>
      <w:r>
        <w:rPr>
          <w:rFonts w:hint="eastAsia" w:ascii="宋体" w:hAnsi="宋体" w:cs="宋体"/>
          <w:sz w:val="24"/>
          <w:szCs w:val="24"/>
          <w:highlight w:val="none"/>
          <w:lang w:val="en-US" w:eastAsia="zh-CN"/>
        </w:rPr>
        <w:t>限制</w:t>
      </w:r>
      <w:r>
        <w:rPr>
          <w:rFonts w:hint="eastAsia" w:ascii="宋体" w:hAnsi="宋体" w:eastAsia="宋体" w:cs="宋体"/>
          <w:sz w:val="24"/>
          <w:szCs w:val="24"/>
          <w:highlight w:val="none"/>
          <w:lang w:val="en-GB"/>
        </w:rPr>
        <w:t>其参加招标人在本区范围内6个月至3年的服务招投标活动。</w:t>
      </w:r>
    </w:p>
    <w:p w14:paraId="1EA7B191">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4、中标人如没有在合同规定的时限内完工，招标人将向中标人发出书面违约通知并有权全部或部分终止合同，同时招标人由此造成的损失须由中标人负责赔偿。</w:t>
      </w:r>
    </w:p>
    <w:p w14:paraId="6C745504">
      <w:pPr>
        <w:snapToGrid w:val="0"/>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5、服务单位按合同约定积极配合中标供应商履约，中标人履约到位后，请以书面形式向服务单位提出验收申请，服务单位接到申请后原则上在5个工作日内及时组织相关专业技术人员，必要时邀请相关行政监督部门共同参与验收，并出具验收报告，验收合格后支付相应款项。</w:t>
      </w:r>
    </w:p>
    <w:p w14:paraId="6535AC80">
      <w:pPr>
        <w:spacing w:line="360" w:lineRule="auto"/>
        <w:ind w:firstLine="480" w:firstLineChars="200"/>
        <w:rPr>
          <w:rFonts w:hint="eastAsia" w:ascii="宋体" w:hAnsi="宋体" w:eastAsia="宋体" w:cs="宋体"/>
          <w:szCs w:val="21"/>
          <w:highlight w:val="none"/>
          <w:lang w:val="en-GB"/>
        </w:rPr>
      </w:pPr>
      <w:r>
        <w:rPr>
          <w:rFonts w:hint="eastAsia" w:ascii="宋体" w:hAnsi="宋体" w:eastAsia="宋体" w:cs="宋体"/>
          <w:sz w:val="24"/>
          <w:szCs w:val="24"/>
          <w:highlight w:val="none"/>
          <w:lang w:val="en-GB"/>
        </w:rPr>
        <w:t>6、服务单位故意推迟项目验收时间的，与中标人串通或要求中标人通过减少货物数量或降低服务标准的，在履行合同中采取更改配置、调换物品等手段的，要求供应商出具虚假发票或任意更改销售发票的，谋取不正当利益的，承担相应的法律责任。</w:t>
      </w:r>
    </w:p>
    <w:p w14:paraId="7F57D87B">
      <w:pPr>
        <w:spacing w:line="360" w:lineRule="auto"/>
        <w:ind w:left="-360" w:firstLine="420" w:firstLineChars="200"/>
        <w:rPr>
          <w:rFonts w:hint="eastAsia" w:ascii="宋体" w:hAnsi="宋体" w:eastAsia="宋体" w:cs="宋体"/>
          <w:szCs w:val="21"/>
          <w:highlight w:val="none"/>
          <w:lang w:val="en-GB"/>
        </w:rPr>
      </w:pPr>
    </w:p>
    <w:p w14:paraId="41584EB7">
      <w:pPr>
        <w:spacing w:line="360" w:lineRule="auto"/>
        <w:ind w:left="-360" w:firstLine="420" w:firstLineChars="200"/>
        <w:rPr>
          <w:rFonts w:hint="eastAsia" w:ascii="宋体" w:hAnsi="宋体" w:eastAsia="宋体" w:cs="宋体"/>
          <w:szCs w:val="21"/>
          <w:highlight w:val="none"/>
          <w:lang w:val="en-GB"/>
        </w:rPr>
      </w:pPr>
    </w:p>
    <w:p w14:paraId="272548A8">
      <w:pPr>
        <w:spacing w:line="360" w:lineRule="auto"/>
        <w:ind w:left="-360" w:firstLine="420" w:firstLineChars="200"/>
        <w:rPr>
          <w:rFonts w:hint="eastAsia" w:ascii="宋体" w:hAnsi="宋体" w:eastAsia="宋体" w:cs="宋体"/>
          <w:szCs w:val="21"/>
          <w:highlight w:val="none"/>
          <w:lang w:val="en-GB"/>
        </w:rPr>
      </w:pPr>
    </w:p>
    <w:p w14:paraId="65BC23DE">
      <w:pPr>
        <w:spacing w:line="360" w:lineRule="auto"/>
        <w:jc w:val="center"/>
        <w:rPr>
          <w:rFonts w:hint="eastAsia" w:ascii="宋体" w:hAnsi="宋体" w:eastAsia="宋体" w:cs="宋体"/>
          <w:b/>
          <w:sz w:val="44"/>
          <w:szCs w:val="44"/>
          <w:highlight w:val="none"/>
          <w:lang w:val="en-GB"/>
        </w:rPr>
      </w:pPr>
    </w:p>
    <w:p w14:paraId="31137180">
      <w:pPr>
        <w:pStyle w:val="65"/>
        <w:snapToGrid w:val="0"/>
        <w:spacing w:before="0" w:beforeAutospacing="0" w:after="0" w:afterAutospacing="0" w:line="280" w:lineRule="exact"/>
        <w:rPr>
          <w:rFonts w:hint="eastAsia" w:ascii="宋体" w:hAnsi="宋体" w:eastAsia="宋体" w:cs="宋体"/>
          <w:sz w:val="36"/>
          <w:szCs w:val="36"/>
          <w:highlight w:val="none"/>
        </w:rPr>
      </w:pPr>
    </w:p>
    <w:p w14:paraId="3DF90DCD">
      <w:pPr>
        <w:spacing w:line="360" w:lineRule="auto"/>
        <w:ind w:left="-360" w:firstLine="883" w:firstLineChars="200"/>
        <w:jc w:val="center"/>
        <w:rPr>
          <w:rFonts w:hint="eastAsia" w:ascii="宋体" w:hAnsi="宋体" w:eastAsia="宋体" w:cs="宋体"/>
          <w:b/>
          <w:sz w:val="44"/>
          <w:szCs w:val="44"/>
          <w:highlight w:val="none"/>
          <w:lang w:val="en-GB"/>
        </w:rPr>
      </w:pPr>
    </w:p>
    <w:p w14:paraId="744C4868">
      <w:pPr>
        <w:spacing w:line="360" w:lineRule="auto"/>
        <w:ind w:left="-360" w:firstLine="883" w:firstLineChars="200"/>
        <w:jc w:val="center"/>
        <w:rPr>
          <w:rFonts w:hint="eastAsia" w:ascii="宋体" w:hAnsi="宋体" w:eastAsia="宋体" w:cs="宋体"/>
          <w:b/>
          <w:sz w:val="44"/>
          <w:szCs w:val="44"/>
          <w:highlight w:val="none"/>
          <w:lang w:val="en-GB"/>
        </w:rPr>
      </w:pPr>
      <w:r>
        <w:rPr>
          <w:rFonts w:hint="eastAsia" w:ascii="宋体" w:hAnsi="宋体" w:eastAsia="宋体" w:cs="宋体"/>
          <w:b/>
          <w:sz w:val="44"/>
          <w:szCs w:val="44"/>
          <w:highlight w:val="none"/>
          <w:lang w:val="en-GB"/>
        </w:rPr>
        <w:t>第</w:t>
      </w:r>
      <w:r>
        <w:rPr>
          <w:rFonts w:hint="eastAsia" w:ascii="宋体" w:hAnsi="宋体" w:eastAsia="宋体" w:cs="宋体"/>
          <w:b/>
          <w:sz w:val="44"/>
          <w:szCs w:val="44"/>
          <w:highlight w:val="none"/>
        </w:rPr>
        <w:t>六</w:t>
      </w:r>
      <w:r>
        <w:rPr>
          <w:rFonts w:hint="eastAsia" w:ascii="宋体" w:hAnsi="宋体" w:eastAsia="宋体" w:cs="宋体"/>
          <w:b/>
          <w:sz w:val="44"/>
          <w:szCs w:val="44"/>
          <w:highlight w:val="none"/>
          <w:lang w:val="en-GB"/>
        </w:rPr>
        <w:t>部分</w:t>
      </w:r>
      <w:r>
        <w:rPr>
          <w:rFonts w:hint="eastAsia" w:ascii="宋体" w:hAnsi="宋体" w:eastAsia="宋体" w:cs="宋体"/>
          <w:b/>
          <w:sz w:val="44"/>
          <w:szCs w:val="44"/>
          <w:highlight w:val="none"/>
        </w:rPr>
        <w:t xml:space="preserve"> </w:t>
      </w:r>
      <w:r>
        <w:rPr>
          <w:rFonts w:hint="eastAsia" w:ascii="宋体" w:hAnsi="宋体" w:eastAsia="宋体" w:cs="宋体"/>
          <w:b/>
          <w:sz w:val="44"/>
          <w:szCs w:val="44"/>
          <w:highlight w:val="none"/>
          <w:lang w:val="en-GB"/>
        </w:rPr>
        <w:t>投标文件格式</w:t>
      </w:r>
    </w:p>
    <w:p w14:paraId="519C2DAC">
      <w:pPr>
        <w:pStyle w:val="6"/>
        <w:rPr>
          <w:rFonts w:hint="eastAsia" w:ascii="宋体" w:hAnsi="宋体" w:eastAsia="宋体" w:cs="宋体"/>
          <w:highlight w:val="none"/>
        </w:rPr>
      </w:pPr>
      <w:r>
        <w:rPr>
          <w:rFonts w:hint="eastAsia" w:ascii="宋体" w:hAnsi="宋体" w:eastAsia="宋体" w:cs="宋体"/>
          <w:highlight w:val="none"/>
        </w:rPr>
        <w:t>投标资料目录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38"/>
        <w:gridCol w:w="2251"/>
        <w:gridCol w:w="1942"/>
        <w:gridCol w:w="1952"/>
      </w:tblGrid>
      <w:tr w14:paraId="1E88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5" w:type="dxa"/>
            <w:noWrap w:val="0"/>
            <w:vAlign w:val="center"/>
          </w:tcPr>
          <w:p w14:paraId="6AA0480C">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738" w:type="dxa"/>
            <w:noWrap w:val="0"/>
            <w:vAlign w:val="center"/>
          </w:tcPr>
          <w:p w14:paraId="485EA919">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2251" w:type="dxa"/>
            <w:noWrap w:val="0"/>
            <w:vAlign w:val="center"/>
          </w:tcPr>
          <w:p w14:paraId="4A5C1557">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证明材料名称</w:t>
            </w:r>
          </w:p>
        </w:tc>
        <w:tc>
          <w:tcPr>
            <w:tcW w:w="1942" w:type="dxa"/>
            <w:noWrap w:val="0"/>
            <w:vAlign w:val="center"/>
          </w:tcPr>
          <w:p w14:paraId="470B8869">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响应文件位置</w:t>
            </w:r>
          </w:p>
        </w:tc>
        <w:tc>
          <w:tcPr>
            <w:tcW w:w="1952" w:type="dxa"/>
            <w:noWrap w:val="0"/>
            <w:vAlign w:val="center"/>
          </w:tcPr>
          <w:p w14:paraId="2B141912">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2670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5" w:type="dxa"/>
            <w:noWrap w:val="0"/>
            <w:vAlign w:val="center"/>
          </w:tcPr>
          <w:p w14:paraId="2A82761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38" w:type="dxa"/>
            <w:noWrap w:val="0"/>
            <w:vAlign w:val="center"/>
          </w:tcPr>
          <w:p w14:paraId="53535E59">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GB"/>
              </w:rPr>
              <w:t>承诺</w:t>
            </w:r>
            <w:r>
              <w:rPr>
                <w:rFonts w:hint="eastAsia" w:ascii="宋体" w:hAnsi="宋体" w:eastAsia="宋体" w:cs="宋体"/>
                <w:sz w:val="24"/>
                <w:szCs w:val="24"/>
                <w:highlight w:val="none"/>
              </w:rPr>
              <w:t>函</w:t>
            </w:r>
          </w:p>
        </w:tc>
        <w:tc>
          <w:tcPr>
            <w:tcW w:w="2251" w:type="dxa"/>
            <w:noWrap w:val="0"/>
            <w:vAlign w:val="center"/>
          </w:tcPr>
          <w:p w14:paraId="3033DF2F">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09BE1643">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5A33A87A">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见附件</w:t>
            </w:r>
          </w:p>
        </w:tc>
      </w:tr>
      <w:tr w14:paraId="3E85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95" w:type="dxa"/>
            <w:noWrap w:val="0"/>
            <w:vAlign w:val="center"/>
          </w:tcPr>
          <w:p w14:paraId="6A30E838">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738" w:type="dxa"/>
            <w:noWrap w:val="0"/>
            <w:vAlign w:val="center"/>
          </w:tcPr>
          <w:p w14:paraId="6238157D">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w:t>
            </w:r>
          </w:p>
        </w:tc>
        <w:tc>
          <w:tcPr>
            <w:tcW w:w="2251" w:type="dxa"/>
            <w:noWrap w:val="0"/>
            <w:vAlign w:val="center"/>
          </w:tcPr>
          <w:p w14:paraId="420C78F9">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0974A6B5">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1A58D4F1">
            <w:pPr>
              <w:tabs>
                <w:tab w:val="left" w:pos="3375"/>
              </w:tabs>
              <w:autoSpaceDE w:val="0"/>
              <w:autoSpaceDN w:val="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法定代表人参加投标的，提供法定代表人身份证复印件</w:t>
            </w:r>
          </w:p>
        </w:tc>
      </w:tr>
      <w:tr w14:paraId="193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5" w:type="dxa"/>
            <w:noWrap w:val="0"/>
            <w:vAlign w:val="center"/>
          </w:tcPr>
          <w:p w14:paraId="078C3BDD">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738" w:type="dxa"/>
            <w:noWrap w:val="0"/>
            <w:vAlign w:val="center"/>
          </w:tcPr>
          <w:p w14:paraId="1FC290AD">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法定代表人授权书</w:t>
            </w:r>
          </w:p>
        </w:tc>
        <w:tc>
          <w:tcPr>
            <w:tcW w:w="2251" w:type="dxa"/>
            <w:noWrap w:val="0"/>
            <w:vAlign w:val="center"/>
          </w:tcPr>
          <w:p w14:paraId="252A8421">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37CEF52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0FADBEE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法定代表人参加投标的可不提供</w:t>
            </w:r>
          </w:p>
        </w:tc>
      </w:tr>
      <w:tr w14:paraId="261A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95" w:type="dxa"/>
            <w:noWrap w:val="0"/>
            <w:vAlign w:val="center"/>
          </w:tcPr>
          <w:p w14:paraId="7BF159A2">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738" w:type="dxa"/>
            <w:noWrap w:val="0"/>
            <w:vAlign w:val="center"/>
          </w:tcPr>
          <w:p w14:paraId="7DDF3E46">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授权代表为投标企业正式人员证明</w:t>
            </w:r>
          </w:p>
        </w:tc>
        <w:tc>
          <w:tcPr>
            <w:tcW w:w="2251" w:type="dxa"/>
            <w:noWrap w:val="0"/>
            <w:vAlign w:val="center"/>
          </w:tcPr>
          <w:p w14:paraId="55FF1F79">
            <w:pPr>
              <w:tabs>
                <w:tab w:val="left" w:pos="3375"/>
              </w:tabs>
              <w:autoSpaceDE w:val="0"/>
              <w:autoSpaceDN w:val="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须提供用工合同复印件及至202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8月至2024年10</w:t>
            </w:r>
            <w:r>
              <w:rPr>
                <w:rFonts w:hint="eastAsia" w:ascii="宋体" w:hAnsi="宋体" w:eastAsia="宋体" w:cs="宋体"/>
                <w:sz w:val="24"/>
                <w:szCs w:val="24"/>
                <w:highlight w:val="none"/>
              </w:rPr>
              <w:t>月单位为其缴纳的基本养老保险证明材料</w:t>
            </w:r>
          </w:p>
        </w:tc>
        <w:tc>
          <w:tcPr>
            <w:tcW w:w="1942" w:type="dxa"/>
            <w:noWrap w:val="0"/>
            <w:vAlign w:val="center"/>
          </w:tcPr>
          <w:p w14:paraId="7F4B8D6B">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23F32923">
            <w:pPr>
              <w:tabs>
                <w:tab w:val="left" w:pos="3375"/>
              </w:tabs>
              <w:autoSpaceDE w:val="0"/>
              <w:autoSpaceDN w:val="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法定代表人参加投标的可不提供</w:t>
            </w:r>
          </w:p>
        </w:tc>
      </w:tr>
      <w:tr w14:paraId="13DE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5" w:type="dxa"/>
            <w:noWrap w:val="0"/>
            <w:vAlign w:val="center"/>
          </w:tcPr>
          <w:p w14:paraId="437E0E10">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738" w:type="dxa"/>
            <w:noWrap w:val="0"/>
            <w:vAlign w:val="center"/>
          </w:tcPr>
          <w:p w14:paraId="0F83CA9A">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诚信承诺函</w:t>
            </w:r>
          </w:p>
        </w:tc>
        <w:tc>
          <w:tcPr>
            <w:tcW w:w="2251" w:type="dxa"/>
            <w:noWrap w:val="0"/>
            <w:vAlign w:val="center"/>
          </w:tcPr>
          <w:p w14:paraId="1E6A358F">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220EE4D3">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4F3F7D4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见附件</w:t>
            </w:r>
          </w:p>
        </w:tc>
      </w:tr>
      <w:tr w14:paraId="0B88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5" w:type="dxa"/>
            <w:noWrap w:val="0"/>
            <w:vAlign w:val="center"/>
          </w:tcPr>
          <w:p w14:paraId="708366A3">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738" w:type="dxa"/>
            <w:noWrap w:val="0"/>
            <w:vAlign w:val="center"/>
          </w:tcPr>
          <w:p w14:paraId="0CA9CB48">
            <w:pPr>
              <w:tabs>
                <w:tab w:val="left" w:pos="3375"/>
              </w:tabs>
              <w:autoSpaceDE w:val="0"/>
              <w:autoSpaceDN w:val="0"/>
              <w:adjustRightInd w:val="0"/>
              <w:snapToGrid w:val="0"/>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GB"/>
              </w:rPr>
              <w:t>《政府服务法》第二十二条规定的有关证明材料</w:t>
            </w:r>
          </w:p>
        </w:tc>
        <w:tc>
          <w:tcPr>
            <w:tcW w:w="2251" w:type="dxa"/>
            <w:noWrap w:val="0"/>
            <w:vAlign w:val="center"/>
          </w:tcPr>
          <w:p w14:paraId="6193617C">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提供声明函</w:t>
            </w:r>
          </w:p>
        </w:tc>
        <w:tc>
          <w:tcPr>
            <w:tcW w:w="1942" w:type="dxa"/>
            <w:noWrap w:val="0"/>
            <w:vAlign w:val="center"/>
          </w:tcPr>
          <w:p w14:paraId="2FC83C60">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44FC8576">
            <w:pPr>
              <w:tabs>
                <w:tab w:val="left" w:pos="3375"/>
              </w:tabs>
              <w:autoSpaceDE w:val="0"/>
              <w:autoSpaceDN w:val="0"/>
              <w:adjustRightInd w:val="0"/>
              <w:snapToGrid w:val="0"/>
              <w:jc w:val="center"/>
              <w:rPr>
                <w:rFonts w:hint="eastAsia" w:ascii="宋体" w:hAnsi="宋体" w:eastAsia="宋体" w:cs="宋体"/>
                <w:sz w:val="24"/>
                <w:szCs w:val="24"/>
                <w:highlight w:val="none"/>
              </w:rPr>
            </w:pPr>
          </w:p>
        </w:tc>
      </w:tr>
      <w:tr w14:paraId="31F2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5" w:type="dxa"/>
            <w:noWrap w:val="0"/>
            <w:vAlign w:val="center"/>
          </w:tcPr>
          <w:p w14:paraId="04113703">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738" w:type="dxa"/>
            <w:noWrap w:val="0"/>
            <w:vAlign w:val="center"/>
          </w:tcPr>
          <w:p w14:paraId="17560EF6">
            <w:pPr>
              <w:tabs>
                <w:tab w:val="left" w:pos="3375"/>
              </w:tabs>
              <w:autoSpaceDE w:val="0"/>
              <w:autoSpaceDN w:val="0"/>
              <w:adjustRightInd w:val="0"/>
              <w:snapToGrid w:val="0"/>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本项目特定资格要求</w:t>
            </w:r>
          </w:p>
        </w:tc>
        <w:tc>
          <w:tcPr>
            <w:tcW w:w="2251" w:type="dxa"/>
            <w:noWrap w:val="0"/>
            <w:vAlign w:val="center"/>
          </w:tcPr>
          <w:p w14:paraId="6D2F5C53">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rPr>
              <w:t>详见招标公告</w:t>
            </w:r>
          </w:p>
        </w:tc>
        <w:tc>
          <w:tcPr>
            <w:tcW w:w="1942" w:type="dxa"/>
            <w:noWrap w:val="0"/>
            <w:vAlign w:val="center"/>
          </w:tcPr>
          <w:p w14:paraId="3563A6F8">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44161E0A">
            <w:pPr>
              <w:tabs>
                <w:tab w:val="left" w:pos="3375"/>
              </w:tabs>
              <w:autoSpaceDE w:val="0"/>
              <w:autoSpaceDN w:val="0"/>
              <w:adjustRightInd w:val="0"/>
              <w:snapToGrid w:val="0"/>
              <w:jc w:val="center"/>
              <w:rPr>
                <w:rFonts w:hint="eastAsia" w:ascii="宋体" w:hAnsi="宋体" w:eastAsia="宋体" w:cs="宋体"/>
                <w:sz w:val="24"/>
                <w:szCs w:val="24"/>
                <w:highlight w:val="none"/>
              </w:rPr>
            </w:pPr>
          </w:p>
        </w:tc>
      </w:tr>
      <w:tr w14:paraId="6D45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5" w:type="dxa"/>
            <w:noWrap w:val="0"/>
            <w:vAlign w:val="center"/>
          </w:tcPr>
          <w:p w14:paraId="2AACF95E">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738" w:type="dxa"/>
            <w:noWrap w:val="0"/>
            <w:vAlign w:val="center"/>
          </w:tcPr>
          <w:p w14:paraId="0ACEED29">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对投标供应商其他要求的证明文件</w:t>
            </w:r>
          </w:p>
        </w:tc>
        <w:tc>
          <w:tcPr>
            <w:tcW w:w="2251" w:type="dxa"/>
            <w:noWrap w:val="0"/>
            <w:vAlign w:val="center"/>
          </w:tcPr>
          <w:p w14:paraId="433A7006">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4B457FF0">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    页</w:t>
            </w:r>
          </w:p>
        </w:tc>
        <w:tc>
          <w:tcPr>
            <w:tcW w:w="1952" w:type="dxa"/>
            <w:noWrap w:val="0"/>
            <w:vAlign w:val="center"/>
          </w:tcPr>
          <w:p w14:paraId="7027C488">
            <w:pPr>
              <w:tabs>
                <w:tab w:val="left" w:pos="3375"/>
              </w:tabs>
              <w:autoSpaceDE w:val="0"/>
              <w:autoSpaceDN w:val="0"/>
              <w:adjustRightInd w:val="0"/>
              <w:snapToGrid w:val="0"/>
              <w:jc w:val="center"/>
              <w:rPr>
                <w:rFonts w:hint="eastAsia" w:ascii="宋体" w:hAnsi="宋体" w:eastAsia="宋体" w:cs="宋体"/>
                <w:sz w:val="24"/>
                <w:szCs w:val="24"/>
                <w:highlight w:val="none"/>
              </w:rPr>
            </w:pPr>
          </w:p>
        </w:tc>
      </w:tr>
      <w:tr w14:paraId="5788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95" w:type="dxa"/>
            <w:noWrap w:val="0"/>
            <w:vAlign w:val="center"/>
          </w:tcPr>
          <w:p w14:paraId="3255FE60">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738" w:type="dxa"/>
            <w:noWrap w:val="0"/>
            <w:vAlign w:val="center"/>
          </w:tcPr>
          <w:p w14:paraId="258391C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技术方案</w:t>
            </w:r>
          </w:p>
        </w:tc>
        <w:tc>
          <w:tcPr>
            <w:tcW w:w="2251" w:type="dxa"/>
            <w:noWrap w:val="0"/>
            <w:vAlign w:val="center"/>
          </w:tcPr>
          <w:p w14:paraId="0E13A394">
            <w:pPr>
              <w:tabs>
                <w:tab w:val="left" w:pos="3375"/>
              </w:tabs>
              <w:autoSpaceDE w:val="0"/>
              <w:autoSpaceDN w:val="0"/>
              <w:adjustRightInd w:val="0"/>
              <w:snapToGrid w:val="0"/>
              <w:jc w:val="left"/>
              <w:rPr>
                <w:rFonts w:hint="eastAsia" w:ascii="宋体" w:hAnsi="宋体" w:eastAsia="宋体" w:cs="宋体"/>
                <w:sz w:val="24"/>
                <w:szCs w:val="24"/>
                <w:highlight w:val="none"/>
              </w:rPr>
            </w:pPr>
          </w:p>
        </w:tc>
        <w:tc>
          <w:tcPr>
            <w:tcW w:w="1942" w:type="dxa"/>
            <w:noWrap w:val="0"/>
            <w:vAlign w:val="center"/>
          </w:tcPr>
          <w:p w14:paraId="472AF56A">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rPr>
              <w:t>单独密封</w:t>
            </w:r>
          </w:p>
        </w:tc>
        <w:tc>
          <w:tcPr>
            <w:tcW w:w="1952" w:type="dxa"/>
            <w:noWrap w:val="0"/>
            <w:vAlign w:val="center"/>
          </w:tcPr>
          <w:p w14:paraId="4D241F24">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按照评分标准提供相应的材料及方案，文件目录前提供评分索引</w:t>
            </w:r>
          </w:p>
        </w:tc>
      </w:tr>
      <w:tr w14:paraId="3238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533" w:type="dxa"/>
            <w:gridSpan w:val="2"/>
            <w:noWrap w:val="0"/>
            <w:vAlign w:val="center"/>
          </w:tcPr>
          <w:p w14:paraId="53317E13">
            <w:pPr>
              <w:tabs>
                <w:tab w:val="left" w:pos="3375"/>
              </w:tabs>
              <w:autoSpaceDE w:val="0"/>
              <w:autoSpaceDN w:val="0"/>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中小企业声明函（如有）、报价一览表</w:t>
            </w:r>
          </w:p>
        </w:tc>
        <w:tc>
          <w:tcPr>
            <w:tcW w:w="2251" w:type="dxa"/>
            <w:noWrap w:val="0"/>
            <w:vAlign w:val="center"/>
          </w:tcPr>
          <w:p w14:paraId="62830673">
            <w:pPr>
              <w:tabs>
                <w:tab w:val="left" w:pos="3375"/>
              </w:tabs>
              <w:autoSpaceDE w:val="0"/>
              <w:autoSpaceDN w:val="0"/>
              <w:adjustRightInd w:val="0"/>
              <w:snapToGrid w:val="0"/>
              <w:jc w:val="center"/>
              <w:rPr>
                <w:rFonts w:hint="eastAsia" w:ascii="宋体" w:hAnsi="宋体" w:eastAsia="宋体" w:cs="宋体"/>
                <w:sz w:val="24"/>
                <w:szCs w:val="24"/>
                <w:highlight w:val="none"/>
              </w:rPr>
            </w:pPr>
          </w:p>
        </w:tc>
        <w:tc>
          <w:tcPr>
            <w:tcW w:w="1942" w:type="dxa"/>
            <w:noWrap w:val="0"/>
            <w:vAlign w:val="center"/>
          </w:tcPr>
          <w:p w14:paraId="124AE9F2">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rPr>
              <w:t>单独密封</w:t>
            </w:r>
          </w:p>
        </w:tc>
        <w:tc>
          <w:tcPr>
            <w:tcW w:w="1952" w:type="dxa"/>
            <w:noWrap w:val="0"/>
            <w:vAlign w:val="center"/>
          </w:tcPr>
          <w:p w14:paraId="5B27C54F">
            <w:pPr>
              <w:tabs>
                <w:tab w:val="left" w:pos="3375"/>
              </w:tabs>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见附件</w:t>
            </w:r>
          </w:p>
        </w:tc>
      </w:tr>
    </w:tbl>
    <w:p w14:paraId="62CDD26E">
      <w:pPr>
        <w:spacing w:line="520" w:lineRule="exact"/>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单位名称（公章）             法定代表人或被授权人（签字）</w:t>
      </w:r>
    </w:p>
    <w:p w14:paraId="323D7751">
      <w:pPr>
        <w:spacing w:line="520" w:lineRule="exact"/>
        <w:ind w:firstLine="2100" w:firstLineChars="750"/>
        <w:rPr>
          <w:rFonts w:hint="eastAsia" w:ascii="宋体" w:hAnsi="宋体" w:eastAsia="宋体" w:cs="宋体"/>
          <w:sz w:val="24"/>
          <w:szCs w:val="24"/>
          <w:highlight w:val="none"/>
          <w:lang w:val="en-GB"/>
        </w:rPr>
      </w:pPr>
      <w:r>
        <w:rPr>
          <w:rFonts w:hint="eastAsia" w:ascii="宋体" w:hAnsi="宋体" w:eastAsia="宋体" w:cs="宋体"/>
          <w:sz w:val="28"/>
          <w:szCs w:val="28"/>
          <w:highlight w:val="none"/>
        </w:rPr>
        <w:t xml:space="preserve">                             年   月    日  </w:t>
      </w:r>
    </w:p>
    <w:p w14:paraId="5EDB6430">
      <w:pP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（1）请将第1至</w:t>
      </w:r>
      <w:r>
        <w:rPr>
          <w:rFonts w:hint="eastAsia" w:ascii="宋体" w:hAnsi="宋体" w:eastAsia="宋体" w:cs="宋体"/>
          <w:sz w:val="24"/>
          <w:szCs w:val="24"/>
          <w:highlight w:val="none"/>
          <w:lang w:val="en-GB" w:eastAsia="zh-CN"/>
        </w:rPr>
        <w:t>8</w:t>
      </w:r>
      <w:r>
        <w:rPr>
          <w:rFonts w:hint="eastAsia" w:ascii="宋体" w:hAnsi="宋体" w:eastAsia="宋体" w:cs="宋体"/>
          <w:sz w:val="24"/>
          <w:szCs w:val="24"/>
          <w:highlight w:val="none"/>
          <w:lang w:val="en-GB"/>
        </w:rPr>
        <w:t>项及本投标资料目录装订于资格审查文件内</w:t>
      </w:r>
      <w:r>
        <w:rPr>
          <w:rFonts w:hint="eastAsia" w:ascii="宋体" w:hAnsi="宋体" w:eastAsia="宋体" w:cs="宋体"/>
          <w:sz w:val="24"/>
          <w:szCs w:val="24"/>
          <w:highlight w:val="none"/>
          <w:lang w:val="en-GB" w:eastAsia="zh-CN"/>
        </w:rPr>
        <w:t>，第9项装订于技术标文件内</w:t>
      </w:r>
      <w:r>
        <w:rPr>
          <w:rFonts w:hint="eastAsia" w:ascii="宋体" w:hAnsi="宋体" w:eastAsia="宋体" w:cs="宋体"/>
          <w:sz w:val="24"/>
          <w:szCs w:val="24"/>
          <w:highlight w:val="none"/>
          <w:lang w:val="en-GB"/>
        </w:rPr>
        <w:t>。</w:t>
      </w:r>
    </w:p>
    <w:p w14:paraId="3C003E17">
      <w:pPr>
        <w:spacing w:line="440" w:lineRule="atLeast"/>
        <w:rPr>
          <w:rFonts w:hint="eastAsia" w:ascii="宋体" w:hAnsi="宋体" w:eastAsia="宋体" w:cs="宋体"/>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《授权书》及相关《</w:t>
      </w:r>
      <w:r>
        <w:rPr>
          <w:rFonts w:hint="eastAsia" w:ascii="宋体" w:hAnsi="宋体" w:eastAsia="宋体" w:cs="宋体"/>
          <w:sz w:val="24"/>
          <w:szCs w:val="24"/>
          <w:highlight w:val="none"/>
          <w:lang w:val="en-GB"/>
        </w:rPr>
        <w:t>承诺函</w:t>
      </w:r>
      <w:r>
        <w:rPr>
          <w:rFonts w:hint="eastAsia" w:ascii="宋体" w:hAnsi="宋体" w:cs="宋体"/>
          <w:sz w:val="24"/>
          <w:szCs w:val="24"/>
          <w:highlight w:val="none"/>
          <w:lang w:val="en-GB" w:eastAsia="zh-CN"/>
        </w:rPr>
        <w:t>》《</w:t>
      </w:r>
      <w:r>
        <w:rPr>
          <w:rFonts w:hint="eastAsia" w:ascii="宋体" w:hAnsi="宋体" w:eastAsia="宋体" w:cs="宋体"/>
          <w:sz w:val="24"/>
          <w:szCs w:val="24"/>
          <w:highlight w:val="none"/>
          <w:lang w:val="en-GB"/>
        </w:rPr>
        <w:t>报价一览表》等格</w:t>
      </w:r>
      <w:r>
        <w:rPr>
          <w:rFonts w:hint="eastAsia" w:ascii="宋体" w:hAnsi="宋体" w:eastAsia="宋体" w:cs="宋体"/>
          <w:sz w:val="24"/>
          <w:szCs w:val="24"/>
          <w:highlight w:val="none"/>
        </w:rPr>
        <w:t>式详见附件。</w:t>
      </w:r>
    </w:p>
    <w:p w14:paraId="4E21CB81">
      <w:pPr>
        <w:pStyle w:val="6"/>
        <w:jc w:val="both"/>
        <w:rPr>
          <w:rFonts w:hint="eastAsia" w:ascii="宋体" w:hAnsi="宋体" w:eastAsia="宋体" w:cs="宋体"/>
          <w:sz w:val="24"/>
          <w:szCs w:val="24"/>
          <w:highlight w:val="none"/>
        </w:rPr>
      </w:pPr>
      <w:bookmarkStart w:id="30" w:name="_Toc19289"/>
      <w:bookmarkStart w:id="31" w:name="_二、投标承诺函"/>
      <w:bookmarkStart w:id="32" w:name="_一、法定代表人授权书"/>
      <w:bookmarkStart w:id="33" w:name="_Toc3779"/>
      <w:r>
        <w:rPr>
          <w:rFonts w:hint="eastAsia" w:ascii="宋体" w:hAnsi="宋体" w:eastAsia="宋体" w:cs="宋体"/>
          <w:sz w:val="24"/>
          <w:szCs w:val="24"/>
          <w:highlight w:val="none"/>
        </w:rPr>
        <w:t>附件：</w:t>
      </w:r>
    </w:p>
    <w:p w14:paraId="62227100">
      <w:pPr>
        <w:pStyle w:val="6"/>
        <w:rPr>
          <w:rFonts w:hint="eastAsia" w:ascii="宋体" w:hAnsi="宋体" w:eastAsia="宋体" w:cs="宋体"/>
          <w:sz w:val="30"/>
          <w:szCs w:val="30"/>
          <w:highlight w:val="none"/>
          <w:lang w:val="en-GB"/>
        </w:rPr>
      </w:pPr>
      <w:r>
        <w:rPr>
          <w:rFonts w:hint="eastAsia" w:ascii="宋体" w:hAnsi="宋体" w:eastAsia="宋体" w:cs="宋体"/>
          <w:sz w:val="30"/>
          <w:szCs w:val="30"/>
          <w:highlight w:val="none"/>
          <w:lang w:val="en-GB"/>
        </w:rPr>
        <w:t>投标承诺函</w:t>
      </w:r>
      <w:bookmarkEnd w:id="30"/>
    </w:p>
    <w:bookmarkEnd w:id="31"/>
    <w:p w14:paraId="144AA7E5">
      <w:pPr>
        <w:spacing w:line="52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南通市</w:t>
      </w:r>
      <w:r>
        <w:rPr>
          <w:rFonts w:hint="eastAsia" w:ascii="宋体" w:hAnsi="宋体" w:eastAsia="宋体" w:cs="宋体"/>
          <w:sz w:val="28"/>
          <w:szCs w:val="28"/>
          <w:highlight w:val="none"/>
          <w:u w:val="single"/>
          <w:lang w:val="en-US" w:eastAsia="zh-CN"/>
        </w:rPr>
        <w:t>应急管理局</w:t>
      </w:r>
      <w:r>
        <w:rPr>
          <w:rFonts w:hint="eastAsia" w:ascii="宋体" w:hAnsi="宋体" w:eastAsia="宋体" w:cs="宋体"/>
          <w:sz w:val="28"/>
          <w:szCs w:val="28"/>
          <w:highlight w:val="none"/>
        </w:rPr>
        <w:t>：</w:t>
      </w:r>
    </w:p>
    <w:p w14:paraId="5B24F8D1">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依据贵单位 </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sz w:val="28"/>
          <w:szCs w:val="28"/>
          <w:highlight w:val="none"/>
        </w:rPr>
        <w:t>招标服务的邀请，我方授权</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（职务）为全权代表参加该项目的投标，全权处理本次招标服务的有关事宜。同时，我公司声明如下：</w:t>
      </w:r>
    </w:p>
    <w:p w14:paraId="017F2195">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1、我方符合招标方提出的资格要求，同意并接受招标文件的各项要求，遵守招标文件中的各项规定，按招标文件的要求提供报价。</w:t>
      </w:r>
    </w:p>
    <w:p w14:paraId="73F2CFE5">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2、我公司已经详细阅读了全部招标文件及其附件，我方已完全清晰理解招标文件的要求，不存在任何含糊不清和误解之处，同意放弃对这些文件所提出的异议和质疑的权利。</w:t>
      </w:r>
    </w:p>
    <w:p w14:paraId="1DE7EE32">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3、我公司承诺在本次投标中提供的一切文件，无论是原件还是复印件均真实有效，绝无任何虚假、伪造和夸大的</w:t>
      </w:r>
      <w:r>
        <w:rPr>
          <w:rFonts w:hint="eastAsia" w:ascii="宋体" w:hAnsi="宋体" w:cs="宋体"/>
          <w:sz w:val="28"/>
          <w:szCs w:val="28"/>
          <w:highlight w:val="none"/>
          <w:lang w:eastAsia="zh-CN"/>
        </w:rPr>
        <w:t>成分</w:t>
      </w:r>
      <w:r>
        <w:rPr>
          <w:rFonts w:hint="eastAsia" w:ascii="宋体" w:hAnsi="宋体" w:eastAsia="宋体" w:cs="宋体"/>
          <w:sz w:val="28"/>
          <w:szCs w:val="28"/>
          <w:highlight w:val="none"/>
        </w:rPr>
        <w:t>。否则，愿承担相应的后果和法律责任。</w:t>
      </w:r>
    </w:p>
    <w:p w14:paraId="76D38346">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4、投标文件有效期为开标之日起60日。</w:t>
      </w:r>
    </w:p>
    <w:p w14:paraId="57A34555">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5、我公司尊重评标委员会所作的评定结果。</w:t>
      </w:r>
    </w:p>
    <w:p w14:paraId="6460FDA8">
      <w:pPr>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6、一旦我方中标</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我方将根据招标文件的规定，在规定的时限内与服务方签订合同，并严格履行合同的责任和义务</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保证在招标文件及合同规定的时间内完成项目，交付服务人验收、使用。否则我方愿意承担一切后果，并不再寻求任何旨在减轻或免除法律责任的辩解。</w:t>
      </w:r>
    </w:p>
    <w:p w14:paraId="66ED42DC">
      <w:pPr>
        <w:spacing w:line="520" w:lineRule="exact"/>
        <w:ind w:firstLine="1680" w:firstLineChars="600"/>
        <w:rPr>
          <w:rFonts w:hint="eastAsia" w:ascii="宋体" w:hAnsi="宋体" w:eastAsia="宋体" w:cs="宋体"/>
          <w:sz w:val="28"/>
          <w:szCs w:val="28"/>
          <w:highlight w:val="none"/>
        </w:rPr>
      </w:pPr>
    </w:p>
    <w:p w14:paraId="49488EDB">
      <w:pPr>
        <w:spacing w:line="520" w:lineRule="exact"/>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（加盖公章）</w:t>
      </w:r>
    </w:p>
    <w:p w14:paraId="0603DDFD">
      <w:pPr>
        <w:spacing w:before="145" w:beforeLines="50" w:line="520" w:lineRule="exact"/>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   授权代表：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5DF35349">
      <w:pPr>
        <w:spacing w:line="52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  月  日                     年  月  日</w:t>
      </w:r>
    </w:p>
    <w:p w14:paraId="40FBD5C3">
      <w:pPr>
        <w:pStyle w:val="7"/>
        <w:rPr>
          <w:rFonts w:hint="eastAsia" w:ascii="宋体" w:hAnsi="宋体" w:eastAsia="宋体" w:cs="宋体"/>
          <w:highlight w:val="none"/>
        </w:rPr>
      </w:pPr>
    </w:p>
    <w:p w14:paraId="29C29D4F">
      <w:pPr>
        <w:pStyle w:val="6"/>
        <w:rPr>
          <w:rFonts w:hint="eastAsia" w:ascii="宋体" w:hAnsi="宋体" w:eastAsia="宋体" w:cs="宋体"/>
          <w:b w:val="0"/>
          <w:bCs/>
          <w:szCs w:val="21"/>
          <w:highlight w:val="none"/>
        </w:rPr>
      </w:pPr>
      <w:r>
        <w:rPr>
          <w:rFonts w:hint="eastAsia" w:ascii="宋体" w:hAnsi="宋体" w:eastAsia="宋体" w:cs="宋体"/>
          <w:sz w:val="30"/>
          <w:szCs w:val="30"/>
          <w:highlight w:val="none"/>
          <w:lang w:val="en-GB"/>
        </w:rPr>
        <w:br w:type="page"/>
      </w:r>
      <w:r>
        <w:rPr>
          <w:rFonts w:hint="eastAsia" w:ascii="宋体" w:hAnsi="宋体" w:eastAsia="宋体" w:cs="宋体"/>
          <w:sz w:val="30"/>
          <w:szCs w:val="30"/>
          <w:highlight w:val="none"/>
          <w:lang w:val="en-GB"/>
        </w:rPr>
        <w:t>法定代表人授权书</w:t>
      </w:r>
      <w:bookmarkEnd w:id="32"/>
      <w:bookmarkEnd w:id="33"/>
    </w:p>
    <w:p w14:paraId="4B969472">
      <w:pPr>
        <w:spacing w:line="520" w:lineRule="exact"/>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val="en-US" w:eastAsia="zh-CN"/>
        </w:rPr>
        <w:t>应急管理局</w:t>
      </w:r>
      <w:r>
        <w:rPr>
          <w:rFonts w:hint="eastAsia" w:ascii="宋体" w:hAnsi="宋体" w:eastAsia="宋体" w:cs="宋体"/>
          <w:bCs/>
          <w:sz w:val="28"/>
          <w:szCs w:val="28"/>
          <w:highlight w:val="none"/>
        </w:rPr>
        <w:t>：</w:t>
      </w:r>
    </w:p>
    <w:p w14:paraId="3AAB8399">
      <w:pPr>
        <w:snapToGrid w:val="0"/>
        <w:spacing w:line="52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兹授权</w:t>
      </w:r>
      <w:r>
        <w:rPr>
          <w:rFonts w:hint="eastAsia" w:ascii="宋体" w:hAnsi="宋体" w:eastAsia="宋体" w:cs="宋体"/>
          <w:sz w:val="28"/>
          <w:szCs w:val="28"/>
          <w:highlight w:val="none"/>
          <w:u w:val="single"/>
        </w:rPr>
        <w:t xml:space="preserve">            （</w:t>
      </w:r>
      <w:r>
        <w:rPr>
          <w:rFonts w:hint="eastAsia" w:ascii="宋体" w:hAnsi="宋体" w:eastAsia="宋体" w:cs="宋体"/>
          <w:szCs w:val="21"/>
          <w:highlight w:val="none"/>
        </w:rPr>
        <w:t>被授权人的姓名、职务</w:t>
      </w:r>
      <w:r>
        <w:rPr>
          <w:rFonts w:hint="eastAsia" w:ascii="宋体" w:hAnsi="宋体" w:eastAsia="宋体" w:cs="宋体"/>
          <w:sz w:val="28"/>
          <w:szCs w:val="28"/>
          <w:highlight w:val="none"/>
        </w:rPr>
        <w:t xml:space="preserve">）代表我公司参加 </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sz w:val="28"/>
          <w:szCs w:val="28"/>
          <w:highlight w:val="none"/>
        </w:rPr>
        <w:t>的招标服务活动，全权处理一切与该项目招标有关的事务。其在办理上述事宜过程中所签署的所有文件我公司均予以承认，我公司对被授权人签名的所有文件负全部责任。</w:t>
      </w:r>
    </w:p>
    <w:p w14:paraId="0D6314B1">
      <w:pPr>
        <w:spacing w:line="520" w:lineRule="exact"/>
        <w:rPr>
          <w:rFonts w:hint="eastAsia" w:ascii="宋体" w:hAnsi="宋体" w:eastAsia="宋体" w:cs="宋体"/>
          <w:szCs w:val="21"/>
          <w:highlight w:val="none"/>
        </w:rPr>
      </w:pPr>
      <w:r>
        <w:rPr>
          <w:rFonts w:hint="eastAsia" w:ascii="宋体" w:hAnsi="宋体" w:eastAsia="宋体" w:cs="宋体"/>
          <w:szCs w:val="21"/>
          <w:highlight w:val="none"/>
        </w:rPr>
        <w:t>附：授权代表情况：</w:t>
      </w:r>
    </w:p>
    <w:p w14:paraId="1B110322">
      <w:pPr>
        <w:spacing w:line="520" w:lineRule="exact"/>
        <w:rPr>
          <w:rFonts w:hint="eastAsia" w:ascii="宋体" w:hAnsi="宋体" w:eastAsia="宋体" w:cs="宋体"/>
          <w:szCs w:val="21"/>
          <w:highlight w:val="none"/>
          <w:u w:val="singl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手机：</w:t>
      </w:r>
      <w:r>
        <w:rPr>
          <w:rFonts w:hint="eastAsia" w:ascii="宋体" w:hAnsi="宋体" w:eastAsia="宋体" w:cs="宋体"/>
          <w:szCs w:val="21"/>
          <w:highlight w:val="none"/>
          <w:u w:val="single"/>
        </w:rPr>
        <w:t xml:space="preserve">            </w:t>
      </w:r>
    </w:p>
    <w:p w14:paraId="41F8AB60">
      <w:pPr>
        <w:spacing w:line="520" w:lineRule="exact"/>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7A483E6A">
      <w:pPr>
        <w:spacing w:line="520" w:lineRule="exact"/>
        <w:rPr>
          <w:rFonts w:hint="eastAsia" w:ascii="宋体" w:hAnsi="宋体" w:eastAsia="宋体" w:cs="宋体"/>
          <w:szCs w:val="21"/>
          <w:highlight w:val="none"/>
        </w:rPr>
      </w:pPr>
      <w:r>
        <w:rPr>
          <w:rFonts w:hint="eastAsia" w:ascii="宋体" w:hAnsi="宋体" w:cs="宋体"/>
          <w:szCs w:val="21"/>
          <w:highlight w:val="none"/>
          <w:lang w:eastAsia="zh-CN"/>
        </w:rPr>
        <w:t>详细通信地址</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141CC106">
      <w:pPr>
        <w:spacing w:line="520" w:lineRule="exact"/>
        <w:rPr>
          <w:rFonts w:hint="eastAsia" w:ascii="宋体" w:hAnsi="宋体" w:eastAsia="宋体" w:cs="宋体"/>
          <w:szCs w:val="21"/>
          <w:highlight w:val="none"/>
        </w:rPr>
      </w:pPr>
    </w:p>
    <w:p w14:paraId="37FAFD22">
      <w:pPr>
        <w:spacing w:line="52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单位名称（公章）             </w:t>
      </w:r>
      <w:r>
        <w:rPr>
          <w:rFonts w:hint="eastAsia" w:ascii="宋体" w:hAnsi="宋体" w:eastAsia="宋体" w:cs="宋体"/>
          <w:bCs/>
          <w:sz w:val="28"/>
          <w:szCs w:val="28"/>
          <w:highlight w:val="none"/>
        </w:rPr>
        <w:t>法定代表人（签字或盖章）</w:t>
      </w:r>
    </w:p>
    <w:p w14:paraId="4CB26CB3">
      <w:pPr>
        <w:spacing w:line="520" w:lineRule="exact"/>
        <w:ind w:firstLine="1400" w:firstLineChars="500"/>
        <w:rPr>
          <w:rFonts w:hint="eastAsia" w:ascii="宋体" w:hAnsi="宋体" w:eastAsia="宋体" w:cs="宋体"/>
          <w:szCs w:val="21"/>
          <w:highlight w:val="none"/>
        </w:rPr>
      </w:pPr>
      <w:r>
        <w:rPr>
          <w:rFonts w:hint="eastAsia" w:ascii="宋体" w:hAnsi="宋体" w:eastAsia="宋体" w:cs="宋体"/>
          <w:sz w:val="28"/>
          <w:szCs w:val="28"/>
          <w:highlight w:val="none"/>
        </w:rPr>
        <w:t xml:space="preserve">                                  年   月    日  </w:t>
      </w:r>
    </w:p>
    <w:p w14:paraId="1AC907ED">
      <w:pPr>
        <w:spacing w:line="520" w:lineRule="exact"/>
        <w:rPr>
          <w:rFonts w:hint="eastAsia" w:ascii="宋体" w:hAnsi="宋体" w:eastAsia="宋体" w:cs="宋体"/>
          <w:szCs w:val="21"/>
          <w:highlight w:val="none"/>
        </w:rPr>
      </w:pPr>
    </w:p>
    <w:p w14:paraId="284577D1">
      <w:pPr>
        <w:spacing w:line="520" w:lineRule="exact"/>
        <w:rPr>
          <w:rFonts w:hint="eastAsia" w:ascii="宋体" w:hAnsi="宋体" w:eastAsia="宋体" w:cs="宋体"/>
          <w:szCs w:val="21"/>
          <w:highlight w:val="none"/>
        </w:rPr>
      </w:pPr>
      <w:r>
        <w:rPr>
          <w:rFonts w:hint="eastAsia" w:ascii="宋体" w:hAnsi="宋体" w:eastAsia="宋体" w:cs="宋体"/>
          <w:szCs w:val="21"/>
          <w:highlight w:val="none"/>
        </w:rPr>
        <w:t>法定代表人身份证复印件</w:t>
      </w:r>
    </w:p>
    <w:p w14:paraId="1FE52946">
      <w:pPr>
        <w:spacing w:line="520" w:lineRule="exact"/>
        <w:rPr>
          <w:rFonts w:hint="eastAsia" w:ascii="宋体" w:hAnsi="宋体" w:eastAsia="宋体" w:cs="宋体"/>
          <w:szCs w:val="21"/>
          <w:highlight w:val="none"/>
        </w:rPr>
      </w:pPr>
    </w:p>
    <w:p w14:paraId="5404220C">
      <w:pPr>
        <w:spacing w:line="520" w:lineRule="exact"/>
        <w:ind w:firstLine="422" w:firstLineChars="200"/>
        <w:rPr>
          <w:rFonts w:hint="eastAsia" w:ascii="宋体" w:hAnsi="宋体" w:eastAsia="宋体" w:cs="宋体"/>
          <w:b/>
          <w:bCs/>
          <w:szCs w:val="21"/>
          <w:highlight w:val="none"/>
        </w:rPr>
      </w:pPr>
    </w:p>
    <w:p w14:paraId="4FAC987E">
      <w:pPr>
        <w:spacing w:line="520" w:lineRule="exact"/>
        <w:ind w:firstLine="1995" w:firstLineChars="950"/>
        <w:rPr>
          <w:rFonts w:hint="eastAsia" w:ascii="宋体" w:hAnsi="宋体" w:eastAsia="宋体" w:cs="宋体"/>
          <w:b/>
          <w:bCs/>
          <w:szCs w:val="21"/>
          <w:highlight w:val="none"/>
        </w:rPr>
      </w:pPr>
      <w:r>
        <w:rPr>
          <w:rFonts w:hint="eastAsia" w:ascii="宋体" w:hAnsi="宋体" w:eastAsia="宋体" w:cs="宋体"/>
          <w:szCs w:val="21"/>
          <w:highlight w:val="none"/>
        </w:rPr>
        <w:t>（粘贴此处）</w:t>
      </w:r>
    </w:p>
    <w:p w14:paraId="03BB7554">
      <w:pPr>
        <w:snapToGrid w:val="0"/>
        <w:spacing w:line="520" w:lineRule="exact"/>
        <w:rPr>
          <w:rFonts w:hint="eastAsia" w:ascii="宋体" w:hAnsi="宋体" w:eastAsia="宋体" w:cs="宋体"/>
          <w:szCs w:val="21"/>
          <w:highlight w:val="none"/>
        </w:rPr>
      </w:pPr>
    </w:p>
    <w:p w14:paraId="15F8DDA1">
      <w:pPr>
        <w:snapToGrid w:val="0"/>
        <w:spacing w:line="520" w:lineRule="exact"/>
        <w:ind w:firstLine="600"/>
        <w:rPr>
          <w:rFonts w:hint="eastAsia" w:ascii="宋体" w:hAnsi="宋体" w:eastAsia="宋体" w:cs="宋体"/>
          <w:szCs w:val="21"/>
          <w:highlight w:val="none"/>
        </w:rPr>
      </w:pPr>
    </w:p>
    <w:p w14:paraId="129BBB60">
      <w:pPr>
        <w:snapToGrid w:val="0"/>
        <w:spacing w:line="520" w:lineRule="exact"/>
        <w:ind w:firstLine="600"/>
        <w:rPr>
          <w:rFonts w:hint="eastAsia" w:ascii="宋体" w:hAnsi="宋体" w:eastAsia="宋体" w:cs="宋体"/>
          <w:szCs w:val="21"/>
          <w:highlight w:val="none"/>
        </w:rPr>
      </w:pPr>
    </w:p>
    <w:p w14:paraId="2097698D">
      <w:pPr>
        <w:pStyle w:val="7"/>
        <w:spacing w:line="360" w:lineRule="auto"/>
        <w:rPr>
          <w:rFonts w:hint="eastAsia" w:ascii="宋体" w:hAnsi="宋体" w:eastAsia="宋体" w:cs="宋体"/>
          <w:b/>
          <w:highlight w:val="none"/>
        </w:rPr>
      </w:pPr>
      <w:r>
        <w:rPr>
          <w:rFonts w:hint="eastAsia" w:ascii="宋体" w:hAnsi="宋体" w:eastAsia="宋体" w:cs="宋体"/>
          <w:b/>
          <w:highlight w:val="none"/>
        </w:rPr>
        <w:t>注</w:t>
      </w:r>
      <w:r>
        <w:rPr>
          <w:rFonts w:hint="eastAsia" w:ascii="宋体" w:hAnsi="宋体" w:cs="宋体"/>
          <w:b/>
          <w:highlight w:val="none"/>
          <w:lang w:eastAsia="zh-CN"/>
        </w:rPr>
        <w:t>：</w:t>
      </w:r>
      <w:r>
        <w:rPr>
          <w:rFonts w:hint="eastAsia" w:ascii="宋体" w:hAnsi="宋体" w:eastAsia="宋体" w:cs="宋体"/>
          <w:b/>
          <w:highlight w:val="none"/>
        </w:rPr>
        <w:t>参加投标时授权代表须将身份证原件带至开标现场核查。</w:t>
      </w:r>
    </w:p>
    <w:p w14:paraId="7C4DA188">
      <w:pPr>
        <w:pStyle w:val="6"/>
        <w:rPr>
          <w:rFonts w:hint="eastAsia" w:ascii="宋体" w:hAnsi="宋体" w:eastAsia="宋体" w:cs="宋体"/>
          <w:sz w:val="30"/>
          <w:szCs w:val="30"/>
          <w:highlight w:val="none"/>
          <w:lang w:val="en-GB"/>
        </w:rPr>
      </w:pPr>
      <w:r>
        <w:rPr>
          <w:rFonts w:hint="eastAsia" w:ascii="宋体" w:hAnsi="宋体" w:eastAsia="宋体" w:cs="宋体"/>
          <w:b w:val="0"/>
          <w:highlight w:val="none"/>
        </w:rPr>
        <w:br w:type="page"/>
      </w:r>
      <w:bookmarkStart w:id="34" w:name="_Toc29991"/>
      <w:bookmarkStart w:id="35" w:name="_三、诚信承诺函"/>
      <w:r>
        <w:rPr>
          <w:rFonts w:hint="eastAsia" w:ascii="宋体" w:hAnsi="宋体" w:eastAsia="宋体" w:cs="宋体"/>
          <w:sz w:val="30"/>
          <w:szCs w:val="30"/>
          <w:highlight w:val="none"/>
          <w:lang w:val="en-GB"/>
        </w:rPr>
        <w:t>诚信承诺函</w:t>
      </w:r>
      <w:bookmarkEnd w:id="34"/>
    </w:p>
    <w:bookmarkEnd w:id="35"/>
    <w:p w14:paraId="46A7F394">
      <w:pPr>
        <w:pStyle w:val="66"/>
        <w:spacing w:before="145" w:beforeLines="50" w:line="480" w:lineRule="atLeas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val="en-US" w:eastAsia="zh-CN"/>
        </w:rPr>
        <w:t>应急管理局</w:t>
      </w:r>
      <w:r>
        <w:rPr>
          <w:rFonts w:hint="eastAsia" w:ascii="宋体" w:hAnsi="宋体" w:eastAsia="宋体" w:cs="宋体"/>
          <w:sz w:val="28"/>
          <w:szCs w:val="28"/>
          <w:highlight w:val="none"/>
        </w:rPr>
        <w:t>：</w:t>
      </w:r>
    </w:p>
    <w:p w14:paraId="100A6702">
      <w:pPr>
        <w:pStyle w:val="66"/>
        <w:ind w:firstLine="592" w:firstLineChars="200"/>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我单位参与贵单位组织的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sz w:val="28"/>
          <w:szCs w:val="28"/>
          <w:highlight w:val="none"/>
        </w:rPr>
        <w:t>的投标，我单位</w:t>
      </w:r>
      <w:r>
        <w:rPr>
          <w:rFonts w:hint="eastAsia" w:ascii="宋体" w:hAnsi="宋体" w:cs="宋体"/>
          <w:sz w:val="28"/>
          <w:szCs w:val="28"/>
          <w:highlight w:val="none"/>
          <w:lang w:eastAsia="zh-CN"/>
        </w:rPr>
        <w:t>郑重</w:t>
      </w:r>
      <w:r>
        <w:rPr>
          <w:rFonts w:hint="eastAsia" w:ascii="宋体" w:hAnsi="宋体" w:eastAsia="宋体" w:cs="宋体"/>
          <w:sz w:val="28"/>
          <w:szCs w:val="28"/>
          <w:highlight w:val="none"/>
        </w:rPr>
        <w:t>作出以下承诺：</w:t>
      </w:r>
    </w:p>
    <w:p w14:paraId="36C9DFBE">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1.我单位参与本项目投标，提交的投标文件包括资格审查材料均真实可信。证件及有关附件是真实的，绝无提供虚假材料行为。</w:t>
      </w:r>
    </w:p>
    <w:p w14:paraId="4CF4A755">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2.我单位参与本项目投标绝无借资质、挂靠行为。</w:t>
      </w:r>
    </w:p>
    <w:p w14:paraId="286FF8AA">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3.本项目授权代表为本单位正式员工。</w:t>
      </w:r>
    </w:p>
    <w:p w14:paraId="25152035">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4.我单位遵守国家廉政相关规定，无失信、行贿等不良行为。</w:t>
      </w:r>
    </w:p>
    <w:p w14:paraId="7A3F4A10">
      <w:pPr>
        <w:pStyle w:val="66"/>
        <w:spacing w:line="480" w:lineRule="atLeast"/>
        <w:ind w:firstLine="480"/>
        <w:rPr>
          <w:rFonts w:hint="eastAsia" w:ascii="宋体" w:hAnsi="宋体" w:eastAsia="宋体" w:cs="宋体"/>
          <w:sz w:val="28"/>
          <w:szCs w:val="28"/>
          <w:highlight w:val="none"/>
          <w:lang w:val="en-GB"/>
        </w:rPr>
      </w:pPr>
      <w:r>
        <w:rPr>
          <w:rFonts w:hint="eastAsia" w:ascii="宋体" w:hAnsi="宋体" w:eastAsia="宋体" w:cs="宋体"/>
          <w:sz w:val="28"/>
          <w:szCs w:val="28"/>
          <w:highlight w:val="none"/>
        </w:rPr>
        <w:t>5.</w:t>
      </w:r>
      <w:r>
        <w:rPr>
          <w:rFonts w:hint="eastAsia" w:ascii="宋体" w:hAnsi="宋体" w:eastAsia="宋体" w:cs="宋体"/>
          <w:sz w:val="28"/>
          <w:szCs w:val="28"/>
          <w:highlight w:val="none"/>
          <w:lang w:val="en-GB"/>
        </w:rPr>
        <w:t>我单位</w:t>
      </w:r>
      <w:r>
        <w:rPr>
          <w:rFonts w:hint="eastAsia" w:ascii="宋体" w:hAnsi="宋体" w:eastAsia="宋体" w:cs="宋体"/>
          <w:sz w:val="28"/>
          <w:szCs w:val="28"/>
          <w:highlight w:val="none"/>
        </w:rPr>
        <w:t>参与本项目</w:t>
      </w:r>
      <w:r>
        <w:rPr>
          <w:rFonts w:hint="eastAsia" w:ascii="宋体" w:hAnsi="宋体" w:eastAsia="宋体" w:cs="宋体"/>
          <w:sz w:val="28"/>
          <w:szCs w:val="28"/>
          <w:highlight w:val="none"/>
          <w:lang w:val="en-GB"/>
        </w:rPr>
        <w:t>投标</w:t>
      </w:r>
      <w:r>
        <w:rPr>
          <w:rFonts w:hint="eastAsia" w:ascii="宋体" w:hAnsi="宋体" w:eastAsia="宋体" w:cs="宋体"/>
          <w:sz w:val="28"/>
          <w:szCs w:val="28"/>
          <w:highlight w:val="none"/>
        </w:rPr>
        <w:t>绝无</w:t>
      </w:r>
      <w:r>
        <w:rPr>
          <w:rFonts w:hint="eastAsia" w:ascii="宋体" w:hAnsi="宋体" w:eastAsia="宋体" w:cs="宋体"/>
          <w:sz w:val="28"/>
          <w:szCs w:val="28"/>
          <w:highlight w:val="none"/>
          <w:lang w:val="en-GB"/>
        </w:rPr>
        <w:t>串标、围标等行为。</w:t>
      </w:r>
    </w:p>
    <w:p w14:paraId="45AE9107">
      <w:pPr>
        <w:pStyle w:val="66"/>
        <w:spacing w:line="480" w:lineRule="atLeast"/>
        <w:ind w:firstLine="480"/>
        <w:rPr>
          <w:rFonts w:hint="eastAsia" w:ascii="宋体" w:hAnsi="宋体" w:eastAsia="宋体" w:cs="宋体"/>
          <w:sz w:val="28"/>
          <w:szCs w:val="28"/>
          <w:highlight w:val="none"/>
          <w:lang w:val="en-GB"/>
        </w:rPr>
      </w:pPr>
      <w:r>
        <w:rPr>
          <w:rFonts w:hint="eastAsia" w:ascii="宋体" w:hAnsi="宋体" w:eastAsia="宋体" w:cs="宋体"/>
          <w:sz w:val="28"/>
          <w:szCs w:val="28"/>
          <w:highlight w:val="none"/>
        </w:rPr>
        <w:t>6.</w:t>
      </w:r>
      <w:r>
        <w:rPr>
          <w:rFonts w:hint="eastAsia" w:ascii="宋体" w:hAnsi="宋体" w:eastAsia="宋体" w:cs="宋体"/>
          <w:sz w:val="28"/>
          <w:szCs w:val="28"/>
          <w:highlight w:val="none"/>
          <w:lang w:val="en-GB"/>
        </w:rPr>
        <w:t>我单位在参加政府服务活动前三年内，在经营活动中没有重大违法记录。</w:t>
      </w:r>
    </w:p>
    <w:p w14:paraId="530D557B">
      <w:pPr>
        <w:pStyle w:val="66"/>
        <w:spacing w:line="480" w:lineRule="atLeast"/>
        <w:ind w:firstLine="480"/>
        <w:rPr>
          <w:rFonts w:hint="eastAsia" w:ascii="宋体" w:hAnsi="宋体" w:eastAsia="宋体" w:cs="宋体"/>
          <w:sz w:val="28"/>
          <w:highlight w:val="none"/>
        </w:rPr>
      </w:pPr>
      <w:r>
        <w:rPr>
          <w:rFonts w:hint="eastAsia" w:ascii="宋体" w:hAnsi="宋体" w:eastAsia="宋体" w:cs="宋体"/>
          <w:sz w:val="28"/>
          <w:szCs w:val="28"/>
          <w:highlight w:val="none"/>
        </w:rPr>
        <w:t>7.如中标，我单位</w:t>
      </w:r>
      <w:r>
        <w:rPr>
          <w:rFonts w:hint="eastAsia" w:ascii="宋体" w:hAnsi="宋体" w:eastAsia="宋体" w:cs="宋体"/>
          <w:sz w:val="28"/>
          <w:highlight w:val="none"/>
          <w:lang w:val="en-GB"/>
        </w:rPr>
        <w:t>在中标公示结束后</w:t>
      </w:r>
      <w:r>
        <w:rPr>
          <w:rFonts w:hint="eastAsia" w:ascii="宋体" w:hAnsi="宋体" w:eastAsia="宋体" w:cs="宋体"/>
          <w:sz w:val="28"/>
          <w:highlight w:val="none"/>
        </w:rPr>
        <w:t>3天内领取中标通知书。</w:t>
      </w:r>
    </w:p>
    <w:p w14:paraId="1E911F70">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highlight w:val="none"/>
        </w:rPr>
        <w:t>8.</w:t>
      </w:r>
      <w:r>
        <w:rPr>
          <w:rFonts w:hint="eastAsia" w:ascii="宋体" w:hAnsi="宋体" w:eastAsia="宋体" w:cs="宋体"/>
          <w:sz w:val="28"/>
          <w:szCs w:val="28"/>
          <w:highlight w:val="none"/>
        </w:rPr>
        <w:t>如中标，我单位将按照招标文件规定并在</w:t>
      </w:r>
      <w:r>
        <w:rPr>
          <w:rFonts w:hint="eastAsia" w:ascii="宋体" w:hAnsi="宋体" w:eastAsia="宋体" w:cs="宋体"/>
          <w:sz w:val="28"/>
          <w:highlight w:val="none"/>
        </w:rPr>
        <w:t>中标通知书规定的时限内</w:t>
      </w:r>
      <w:r>
        <w:rPr>
          <w:rFonts w:hint="eastAsia" w:ascii="宋体" w:hAnsi="宋体" w:eastAsia="宋体" w:cs="宋体"/>
          <w:sz w:val="28"/>
          <w:szCs w:val="28"/>
          <w:highlight w:val="none"/>
        </w:rPr>
        <w:t>与服务单位签订合同。</w:t>
      </w:r>
    </w:p>
    <w:p w14:paraId="56F557E2">
      <w:pPr>
        <w:pStyle w:val="66"/>
        <w:spacing w:line="480" w:lineRule="atLeas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9.如中标，我单位将按照招标文件规定以及投标文件中承诺的相关事项向招标人提供完整相关证明材料或配合服务</w:t>
      </w:r>
      <w:r>
        <w:rPr>
          <w:rFonts w:hint="eastAsia" w:ascii="宋体" w:hAnsi="宋体" w:cs="宋体"/>
          <w:sz w:val="28"/>
          <w:szCs w:val="28"/>
          <w:highlight w:val="none"/>
          <w:lang w:val="en-US" w:eastAsia="zh-CN"/>
        </w:rPr>
        <w:t>人员</w:t>
      </w:r>
      <w:r>
        <w:rPr>
          <w:rFonts w:hint="eastAsia" w:ascii="宋体" w:hAnsi="宋体" w:eastAsia="宋体" w:cs="宋体"/>
          <w:sz w:val="28"/>
          <w:szCs w:val="28"/>
          <w:highlight w:val="none"/>
        </w:rPr>
        <w:t>做好相关工作。</w:t>
      </w:r>
    </w:p>
    <w:p w14:paraId="168D83F8">
      <w:pPr>
        <w:pStyle w:val="66"/>
        <w:spacing w:line="480" w:lineRule="atLeas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若我单位未能兑现以上承诺，愿意放弃本项目中标资格，愿意被招标人列入政府服务黑名单1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3年，愿意接受招标人和监管部门的</w:t>
      </w:r>
      <w:r>
        <w:rPr>
          <w:rFonts w:hint="eastAsia" w:ascii="宋体" w:hAnsi="宋体" w:cs="宋体"/>
          <w:sz w:val="28"/>
          <w:szCs w:val="28"/>
          <w:highlight w:val="none"/>
          <w:lang w:val="en-US" w:eastAsia="zh-CN"/>
        </w:rPr>
        <w:t>其他</w:t>
      </w:r>
      <w:r>
        <w:rPr>
          <w:rFonts w:hint="eastAsia" w:ascii="宋体" w:hAnsi="宋体" w:eastAsia="宋体" w:cs="宋体"/>
          <w:sz w:val="28"/>
          <w:szCs w:val="28"/>
          <w:highlight w:val="none"/>
        </w:rPr>
        <w:t>处罚，并愿意承担因违反上述承诺内容所引发的一切责任与后果。</w:t>
      </w:r>
    </w:p>
    <w:p w14:paraId="23E6302E">
      <w:pPr>
        <w:pStyle w:val="66"/>
        <w:spacing w:line="560" w:lineRule="atLeast"/>
        <w:rPr>
          <w:rFonts w:hint="eastAsia" w:ascii="宋体" w:hAnsi="宋体" w:eastAsia="宋体" w:cs="宋体"/>
          <w:sz w:val="24"/>
          <w:szCs w:val="24"/>
          <w:highlight w:val="none"/>
        </w:rPr>
      </w:pPr>
      <w:r>
        <w:rPr>
          <w:rFonts w:hint="eastAsia" w:ascii="宋体" w:hAnsi="宋体" w:eastAsia="宋体" w:cs="宋体"/>
          <w:sz w:val="28"/>
          <w:szCs w:val="28"/>
          <w:highlight w:val="none"/>
        </w:rPr>
        <w:t xml:space="preserve">                        </w:t>
      </w:r>
      <w:r>
        <w:rPr>
          <w:rFonts w:hint="eastAsia" w:ascii="宋体" w:hAnsi="宋体" w:eastAsia="宋体" w:cs="宋体"/>
          <w:sz w:val="24"/>
          <w:szCs w:val="24"/>
          <w:highlight w:val="none"/>
        </w:rPr>
        <w:t xml:space="preserve"> 投标人（盖公章）： </w:t>
      </w:r>
      <w:r>
        <w:rPr>
          <w:rFonts w:hint="eastAsia" w:ascii="宋体" w:hAnsi="宋体" w:eastAsia="宋体" w:cs="宋体"/>
          <w:sz w:val="24"/>
          <w:szCs w:val="24"/>
          <w:highlight w:val="none"/>
          <w:u w:val="single"/>
        </w:rPr>
        <w:t xml:space="preserve">                     </w:t>
      </w:r>
    </w:p>
    <w:p w14:paraId="645FA44D">
      <w:pPr>
        <w:pStyle w:val="66"/>
        <w:spacing w:line="56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4648D47">
      <w:pPr>
        <w:pStyle w:val="66"/>
        <w:spacing w:line="560" w:lineRule="atLeast"/>
        <w:ind w:firstLine="2940" w:firstLineChars="1225"/>
        <w:rPr>
          <w:rFonts w:hint="eastAsia" w:ascii="宋体" w:hAnsi="宋体" w:eastAsia="宋体" w:cs="宋体"/>
          <w:sz w:val="18"/>
          <w:szCs w:val="18"/>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666666"/>
          <w:sz w:val="24"/>
          <w:szCs w:val="24"/>
          <w:highlight w:val="none"/>
        </w:rPr>
        <w:t xml:space="preserve">                      </w:t>
      </w:r>
      <w:r>
        <w:rPr>
          <w:rFonts w:hint="eastAsia" w:ascii="宋体" w:hAnsi="宋体" w:eastAsia="宋体" w:cs="宋体"/>
          <w:color w:val="666666"/>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9F676C">
      <w:pPr>
        <w:spacing w:line="520" w:lineRule="exact"/>
        <w:jc w:val="center"/>
        <w:rPr>
          <w:rFonts w:hint="eastAsia" w:ascii="宋体" w:hAnsi="宋体" w:eastAsia="宋体" w:cs="宋体"/>
          <w:b/>
          <w:kern w:val="2"/>
          <w:sz w:val="30"/>
          <w:szCs w:val="30"/>
          <w:highlight w:val="none"/>
          <w:lang w:val="en-GB" w:eastAsia="zh-CN" w:bidi="ar-SA"/>
        </w:rPr>
      </w:pPr>
      <w:r>
        <w:rPr>
          <w:rFonts w:hint="eastAsia" w:ascii="宋体" w:hAnsi="宋体" w:eastAsia="宋体" w:cs="宋体"/>
          <w:highlight w:val="none"/>
        </w:rPr>
        <w:br w:type="page"/>
      </w:r>
      <w:r>
        <w:rPr>
          <w:rFonts w:hint="eastAsia" w:ascii="宋体" w:hAnsi="宋体" w:eastAsia="宋体" w:cs="宋体"/>
          <w:b/>
          <w:kern w:val="2"/>
          <w:sz w:val="30"/>
          <w:szCs w:val="30"/>
          <w:highlight w:val="none"/>
          <w:lang w:val="en-GB" w:eastAsia="zh-CN" w:bidi="ar-SA"/>
        </w:rPr>
        <w:t>投标人符合《</w:t>
      </w:r>
      <w:r>
        <w:rPr>
          <w:rFonts w:hint="eastAsia" w:ascii="宋体" w:hAnsi="宋体" w:cs="宋体"/>
          <w:b/>
          <w:kern w:val="2"/>
          <w:sz w:val="30"/>
          <w:szCs w:val="30"/>
          <w:highlight w:val="none"/>
          <w:lang w:val="en-GB" w:eastAsia="zh-CN" w:bidi="ar-SA"/>
        </w:rPr>
        <w:t>中华人民共和国政府采购法</w:t>
      </w:r>
      <w:r>
        <w:rPr>
          <w:rFonts w:hint="eastAsia" w:ascii="宋体" w:hAnsi="宋体" w:eastAsia="宋体" w:cs="宋体"/>
          <w:b/>
          <w:kern w:val="2"/>
          <w:sz w:val="30"/>
          <w:szCs w:val="30"/>
          <w:highlight w:val="none"/>
          <w:lang w:val="en-GB" w:eastAsia="zh-CN" w:bidi="ar-SA"/>
        </w:rPr>
        <w:t>》第二十二条规定条件的声明函</w:t>
      </w:r>
    </w:p>
    <w:p w14:paraId="31869DC8">
      <w:pPr>
        <w:spacing w:line="460" w:lineRule="exact"/>
        <w:rPr>
          <w:rFonts w:hint="eastAsia" w:ascii="宋体" w:hAnsi="宋体" w:eastAsia="宋体" w:cs="宋体"/>
          <w:b/>
          <w:kern w:val="2"/>
          <w:sz w:val="30"/>
          <w:szCs w:val="30"/>
          <w:highlight w:val="none"/>
          <w:lang w:val="en-GB" w:eastAsia="zh-CN" w:bidi="ar-SA"/>
        </w:rPr>
      </w:pPr>
    </w:p>
    <w:p w14:paraId="148C6A97">
      <w:pPr>
        <w:snapToGri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我单位参加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南通市海门区应急管理局采购VR智能安全体验馆物业管理服务项目</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（项目名称）投标活动。针对《中华人民共和国政府采购法》第二十二条规定做出如下声明：</w:t>
      </w:r>
    </w:p>
    <w:p w14:paraId="27134F18">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1.我单位具有独立承担民事责任的能力；</w:t>
      </w:r>
    </w:p>
    <w:p w14:paraId="6F38EDC6">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2.我单位具有良好的商业信誉和健全的财务会计制度；</w:t>
      </w:r>
    </w:p>
    <w:p w14:paraId="2EC20E41">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3.我单位具有履行合同所必需的设备和专业技术能力；</w:t>
      </w:r>
    </w:p>
    <w:p w14:paraId="2DE4CB9E">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4.我单位有依法缴纳税收和社会保障资金的良好记录；</w:t>
      </w:r>
    </w:p>
    <w:p w14:paraId="5881170C">
      <w:pPr>
        <w:snapToGrid w:val="0"/>
        <w:spacing w:line="50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52D8029">
      <w:pPr>
        <w:snapToGrid w:val="0"/>
        <w:spacing w:line="500" w:lineRule="exact"/>
        <w:ind w:firstLine="560" w:firstLineChars="200"/>
        <w:rPr>
          <w:rFonts w:hint="eastAsia" w:ascii="宋体" w:hAnsi="宋体" w:eastAsia="宋体" w:cs="宋体"/>
          <w:sz w:val="24"/>
          <w:szCs w:val="24"/>
        </w:rPr>
      </w:pPr>
      <w:r>
        <w:rPr>
          <w:rFonts w:hint="eastAsia" w:ascii="宋体" w:hAnsi="宋体" w:eastAsia="宋体" w:cs="宋体"/>
          <w:sz w:val="28"/>
          <w:szCs w:val="28"/>
        </w:rPr>
        <w:t>6.我单位满足法律、行政法规规定的其他条件。</w:t>
      </w:r>
    </w:p>
    <w:p w14:paraId="6F23A295">
      <w:pPr>
        <w:snapToGrid w:val="0"/>
        <w:spacing w:line="500" w:lineRule="exact"/>
        <w:ind w:firstLine="480"/>
        <w:rPr>
          <w:rFonts w:hint="eastAsia" w:ascii="宋体" w:hAnsi="宋体" w:eastAsia="宋体" w:cs="宋体"/>
          <w:sz w:val="24"/>
          <w:szCs w:val="24"/>
        </w:rPr>
      </w:pPr>
    </w:p>
    <w:p w14:paraId="1E105CFE">
      <w:pPr>
        <w:snapToGrid w:val="0"/>
        <w:spacing w:line="500" w:lineRule="exact"/>
        <w:rPr>
          <w:rFonts w:hint="eastAsia" w:ascii="宋体" w:hAnsi="宋体" w:eastAsia="宋体" w:cs="宋体"/>
          <w:sz w:val="24"/>
          <w:szCs w:val="24"/>
        </w:rPr>
      </w:pPr>
    </w:p>
    <w:p w14:paraId="327AAEF3">
      <w:pPr>
        <w:snapToGrid w:val="0"/>
        <w:spacing w:line="500" w:lineRule="exact"/>
        <w:ind w:firstLine="480"/>
        <w:rPr>
          <w:rFonts w:hint="eastAsia" w:ascii="宋体" w:hAnsi="宋体" w:eastAsia="宋体" w:cs="宋体"/>
          <w:sz w:val="24"/>
          <w:szCs w:val="24"/>
        </w:rPr>
      </w:pPr>
    </w:p>
    <w:p w14:paraId="1A930840">
      <w:pPr>
        <w:snapToGrid w:val="0"/>
        <w:spacing w:line="500" w:lineRule="exact"/>
        <w:ind w:firstLine="480"/>
        <w:rPr>
          <w:rFonts w:hint="eastAsia" w:ascii="宋体" w:hAnsi="宋体" w:eastAsia="宋体" w:cs="宋体"/>
          <w:sz w:val="28"/>
          <w:szCs w:val="28"/>
        </w:rPr>
      </w:pPr>
      <w:r>
        <w:rPr>
          <w:rFonts w:hint="eastAsia" w:ascii="宋体" w:hAnsi="宋体" w:eastAsia="宋体" w:cs="宋体"/>
          <w:sz w:val="24"/>
          <w:szCs w:val="24"/>
        </w:rPr>
        <w:t xml:space="preserve">                                    </w:t>
      </w:r>
      <w:r>
        <w:rPr>
          <w:rFonts w:hint="eastAsia" w:ascii="宋体" w:hAnsi="宋体" w:eastAsia="宋体" w:cs="宋体"/>
          <w:sz w:val="28"/>
          <w:szCs w:val="28"/>
        </w:rPr>
        <w:t>承诺人名称（公章）：</w:t>
      </w:r>
    </w:p>
    <w:p w14:paraId="31D516D1">
      <w:pPr>
        <w:snapToGrid w:val="0"/>
        <w:spacing w:line="500" w:lineRule="exact"/>
        <w:ind w:firstLine="480"/>
        <w:rPr>
          <w:rFonts w:hint="eastAsia" w:ascii="宋体" w:hAnsi="宋体" w:eastAsia="宋体" w:cs="宋体"/>
          <w:sz w:val="28"/>
          <w:szCs w:val="28"/>
        </w:rPr>
      </w:pPr>
    </w:p>
    <w:p w14:paraId="42A1CB4C">
      <w:pPr>
        <w:snapToGri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日期：    年    月    日</w:t>
      </w:r>
    </w:p>
    <w:p w14:paraId="03B987E6">
      <w:pPr>
        <w:pStyle w:val="66"/>
        <w:spacing w:line="560" w:lineRule="atLeast"/>
        <w:rPr>
          <w:rFonts w:hint="eastAsia" w:ascii="宋体" w:hAnsi="宋体" w:eastAsia="宋体" w:cs="宋体"/>
          <w:sz w:val="28"/>
          <w:szCs w:val="28"/>
        </w:rPr>
      </w:pPr>
    </w:p>
    <w:p w14:paraId="562B2CA8">
      <w:pPr>
        <w:pStyle w:val="7"/>
        <w:rPr>
          <w:rFonts w:hint="eastAsia" w:ascii="宋体" w:hAnsi="宋体" w:eastAsia="宋体" w:cs="宋体"/>
          <w:highlight w:val="none"/>
        </w:rPr>
      </w:pPr>
    </w:p>
    <w:p w14:paraId="3B5E48BE">
      <w:pPr>
        <w:pStyle w:val="8"/>
        <w:rPr>
          <w:rFonts w:hint="eastAsia"/>
        </w:rPr>
      </w:pPr>
    </w:p>
    <w:p w14:paraId="0386851F">
      <w:pPr>
        <w:pStyle w:val="7"/>
        <w:rPr>
          <w:rFonts w:hint="eastAsia" w:ascii="宋体" w:hAnsi="宋体" w:eastAsia="宋体" w:cs="宋体"/>
          <w:highlight w:val="none"/>
        </w:rPr>
      </w:pPr>
    </w:p>
    <w:p w14:paraId="61BD03FF">
      <w:pPr>
        <w:spacing w:line="360" w:lineRule="auto"/>
        <w:rPr>
          <w:rFonts w:hint="eastAsia" w:ascii="宋体" w:hAnsi="宋体" w:eastAsia="宋体" w:cs="宋体"/>
          <w:b/>
          <w:sz w:val="32"/>
          <w:szCs w:val="32"/>
          <w:highlight w:val="none"/>
          <w:u w:val="single"/>
        </w:rPr>
      </w:pPr>
    </w:p>
    <w:p w14:paraId="26FA255D">
      <w:pPr>
        <w:pStyle w:val="15"/>
        <w:rPr>
          <w:rFonts w:hint="eastAsia" w:ascii="宋体" w:hAnsi="宋体" w:eastAsia="宋体" w:cs="宋体"/>
          <w:b/>
          <w:sz w:val="32"/>
          <w:szCs w:val="32"/>
          <w:highlight w:val="none"/>
          <w:u w:val="single"/>
        </w:rPr>
      </w:pPr>
    </w:p>
    <w:p w14:paraId="632507C6">
      <w:pPr>
        <w:rPr>
          <w:rFonts w:hint="eastAsia" w:ascii="宋体" w:hAnsi="宋体" w:eastAsia="宋体" w:cs="宋体"/>
          <w:highlight w:val="none"/>
        </w:rPr>
      </w:pPr>
    </w:p>
    <w:p w14:paraId="6D86DB79">
      <w:pPr>
        <w:spacing w:line="360" w:lineRule="auto"/>
        <w:jc w:val="center"/>
        <w:rPr>
          <w:rFonts w:hint="eastAsia" w:ascii="宋体" w:hAnsi="宋体" w:eastAsia="宋体" w:cs="宋体"/>
          <w:b/>
          <w:sz w:val="36"/>
          <w:szCs w:val="36"/>
          <w:highlight w:val="none"/>
          <w:lang w:val="en-GB"/>
        </w:rPr>
      </w:pPr>
      <w:r>
        <w:rPr>
          <w:rFonts w:hint="eastAsia" w:ascii="宋体" w:hAnsi="宋体" w:eastAsia="宋体" w:cs="宋体"/>
          <w:b/>
          <w:sz w:val="36"/>
          <w:szCs w:val="36"/>
          <w:highlight w:val="none"/>
          <w:lang w:val="en-GB" w:eastAsia="zh-CN"/>
        </w:rPr>
        <w:t>南通市海门区应急管理局采购VR智能安全体验馆物业管理服务项目</w:t>
      </w:r>
      <w:r>
        <w:rPr>
          <w:rFonts w:hint="eastAsia" w:ascii="宋体" w:hAnsi="宋体" w:eastAsia="宋体" w:cs="宋体"/>
          <w:b/>
          <w:sz w:val="36"/>
          <w:szCs w:val="36"/>
          <w:highlight w:val="none"/>
          <w:lang w:val="en-GB"/>
        </w:rPr>
        <w:t>报价一览表</w:t>
      </w:r>
    </w:p>
    <w:p w14:paraId="38660EAB">
      <w:pPr>
        <w:spacing w:line="360" w:lineRule="auto"/>
        <w:rPr>
          <w:rFonts w:hint="eastAsia" w:ascii="宋体" w:hAnsi="宋体" w:eastAsia="宋体" w:cs="宋体"/>
          <w:b/>
          <w:sz w:val="32"/>
          <w:szCs w:val="32"/>
          <w:highlight w:val="none"/>
        </w:rPr>
      </w:pPr>
      <w:r>
        <w:rPr>
          <w:rFonts w:hint="eastAsia" w:ascii="宋体" w:hAnsi="宋体" w:eastAsia="宋体" w:cs="宋体"/>
          <w:bCs/>
          <w:sz w:val="24"/>
          <w:szCs w:val="24"/>
          <w:highlight w:val="none"/>
        </w:rPr>
        <w:t>投标单位：（盖章）</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27A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4FBDFEF4">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项目名称</w:t>
            </w:r>
          </w:p>
        </w:tc>
        <w:tc>
          <w:tcPr>
            <w:tcW w:w="2340" w:type="dxa"/>
            <w:noWrap w:val="0"/>
            <w:vAlign w:val="center"/>
          </w:tcPr>
          <w:p w14:paraId="46DBCADB">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最高限价</w:t>
            </w:r>
          </w:p>
          <w:p w14:paraId="301198A1">
            <w:pPr>
              <w:jc w:val="center"/>
              <w:rPr>
                <w:rFonts w:hint="eastAsia" w:ascii="宋体" w:hAnsi="宋体" w:eastAsia="宋体" w:cs="宋体"/>
                <w:sz w:val="30"/>
                <w:szCs w:val="30"/>
                <w:highlight w:val="none"/>
              </w:rPr>
            </w:pPr>
            <w:r>
              <w:rPr>
                <w:rFonts w:hint="eastAsia" w:ascii="宋体" w:hAnsi="宋体" w:eastAsia="宋体" w:cs="宋体"/>
                <w:b/>
                <w:sz w:val="30"/>
                <w:szCs w:val="30"/>
                <w:highlight w:val="none"/>
              </w:rPr>
              <w:t>（万元）</w:t>
            </w:r>
          </w:p>
        </w:tc>
        <w:tc>
          <w:tcPr>
            <w:tcW w:w="2220" w:type="dxa"/>
            <w:noWrap w:val="0"/>
            <w:vAlign w:val="center"/>
          </w:tcPr>
          <w:p w14:paraId="0C1CD772">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投标报价</w:t>
            </w:r>
          </w:p>
          <w:p w14:paraId="0A606AFD">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（万元）</w:t>
            </w:r>
          </w:p>
        </w:tc>
        <w:tc>
          <w:tcPr>
            <w:tcW w:w="1492" w:type="dxa"/>
            <w:noWrap w:val="0"/>
            <w:vAlign w:val="center"/>
          </w:tcPr>
          <w:p w14:paraId="41FA42CB">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备注</w:t>
            </w:r>
          </w:p>
        </w:tc>
      </w:tr>
      <w:tr w14:paraId="3CA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3802" w:type="dxa"/>
            <w:noWrap w:val="0"/>
            <w:vAlign w:val="center"/>
          </w:tcPr>
          <w:p w14:paraId="288ECADD">
            <w:pPr>
              <w:spacing w:line="360" w:lineRule="auto"/>
              <w:jc w:val="center"/>
              <w:rPr>
                <w:rFonts w:hint="eastAsia" w:ascii="宋体" w:hAnsi="宋体" w:eastAsia="宋体" w:cs="宋体"/>
                <w:bCs/>
                <w:sz w:val="30"/>
                <w:szCs w:val="30"/>
                <w:highlight w:val="none"/>
                <w:lang w:eastAsia="zh-CN"/>
              </w:rPr>
            </w:pPr>
            <w:r>
              <w:rPr>
                <w:rFonts w:hint="eastAsia" w:ascii="宋体" w:hAnsi="宋体" w:eastAsia="宋体" w:cs="宋体"/>
                <w:sz w:val="28"/>
                <w:szCs w:val="28"/>
                <w:highlight w:val="none"/>
                <w:u w:val="none"/>
                <w:lang w:eastAsia="zh-CN"/>
              </w:rPr>
              <w:t>南通市海门区应急管理局采购VR智能安全体验馆物业管理服务项目</w:t>
            </w:r>
          </w:p>
        </w:tc>
        <w:tc>
          <w:tcPr>
            <w:tcW w:w="2340" w:type="dxa"/>
            <w:noWrap w:val="0"/>
            <w:vAlign w:val="center"/>
          </w:tcPr>
          <w:p w14:paraId="3477A506">
            <w:pPr>
              <w:spacing w:line="360" w:lineRule="auto"/>
              <w:jc w:val="center"/>
              <w:rPr>
                <w:rFonts w:hint="default" w:ascii="宋体" w:hAnsi="宋体" w:eastAsia="宋体" w:cs="宋体"/>
                <w:bCs/>
                <w:highlight w:val="none"/>
                <w:lang w:val="en-US" w:eastAsia="zh-CN"/>
              </w:rPr>
            </w:pPr>
            <w:del w:id="4" w:author="WPS_1694424414" w:date="2024-11-01T14:46:30Z">
              <w:r>
                <w:rPr>
                  <w:rFonts w:hint="default" w:ascii="宋体" w:hAnsi="宋体" w:eastAsia="宋体" w:cs="宋体"/>
                  <w:bCs/>
                  <w:sz w:val="28"/>
                  <w:szCs w:val="28"/>
                  <w:highlight w:val="none"/>
                  <w:lang w:val="en-US" w:eastAsia="zh-CN"/>
                </w:rPr>
                <w:delText>25</w:delText>
              </w:r>
            </w:del>
            <w:ins w:id="5" w:author="WPS_1694424414" w:date="2024-11-01T14:46:30Z">
              <w:r>
                <w:rPr>
                  <w:rFonts w:hint="eastAsia" w:ascii="宋体" w:hAnsi="宋体" w:cs="宋体"/>
                  <w:bCs/>
                  <w:sz w:val="28"/>
                  <w:szCs w:val="28"/>
                  <w:highlight w:val="none"/>
                  <w:lang w:val="en-US" w:eastAsia="zh-CN"/>
                </w:rPr>
                <w:t>23.9</w:t>
              </w:r>
            </w:ins>
          </w:p>
        </w:tc>
        <w:tc>
          <w:tcPr>
            <w:tcW w:w="2220" w:type="dxa"/>
            <w:noWrap w:val="0"/>
            <w:vAlign w:val="center"/>
          </w:tcPr>
          <w:p w14:paraId="661B2D29">
            <w:pPr>
              <w:spacing w:line="360" w:lineRule="auto"/>
              <w:jc w:val="center"/>
              <w:rPr>
                <w:rFonts w:hint="eastAsia" w:ascii="宋体" w:hAnsi="宋体" w:eastAsia="宋体" w:cs="宋体"/>
                <w:bCs/>
                <w:sz w:val="32"/>
                <w:szCs w:val="32"/>
                <w:highlight w:val="none"/>
              </w:rPr>
            </w:pPr>
          </w:p>
        </w:tc>
        <w:tc>
          <w:tcPr>
            <w:tcW w:w="1492" w:type="dxa"/>
            <w:noWrap w:val="0"/>
            <w:vAlign w:val="center"/>
          </w:tcPr>
          <w:p w14:paraId="5B9AD744">
            <w:pPr>
              <w:snapToGrid w:val="0"/>
              <w:spacing w:line="360" w:lineRule="auto"/>
              <w:rPr>
                <w:rFonts w:hint="eastAsia" w:ascii="宋体" w:hAnsi="宋体" w:eastAsia="宋体" w:cs="宋体"/>
                <w:bCs/>
                <w:sz w:val="32"/>
                <w:szCs w:val="32"/>
                <w:highlight w:val="none"/>
              </w:rPr>
            </w:pPr>
          </w:p>
        </w:tc>
      </w:tr>
      <w:tr w14:paraId="6973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9854" w:type="dxa"/>
            <w:gridSpan w:val="4"/>
            <w:noWrap w:val="0"/>
            <w:vAlign w:val="center"/>
          </w:tcPr>
          <w:p w14:paraId="3ACF5DF3">
            <w:pP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人民币大写：</w:t>
            </w:r>
          </w:p>
        </w:tc>
      </w:tr>
    </w:tbl>
    <w:p w14:paraId="7A666F2B">
      <w:pPr>
        <w:spacing w:line="360" w:lineRule="auto"/>
        <w:ind w:left="2244" w:leftChars="304" w:hanging="1606" w:hangingChars="500"/>
        <w:jc w:val="center"/>
        <w:rPr>
          <w:rFonts w:hint="eastAsia" w:ascii="宋体" w:hAnsi="宋体" w:eastAsia="宋体" w:cs="宋体"/>
          <w:b/>
          <w:sz w:val="32"/>
          <w:szCs w:val="32"/>
          <w:highlight w:val="none"/>
        </w:rPr>
      </w:pPr>
    </w:p>
    <w:p w14:paraId="0D38B234">
      <w:pPr>
        <w:spacing w:line="360" w:lineRule="auto"/>
        <w:jc w:val="center"/>
        <w:rPr>
          <w:rFonts w:hint="eastAsia" w:ascii="宋体" w:hAnsi="宋体" w:eastAsia="宋体" w:cs="宋体"/>
          <w:bCs/>
          <w:sz w:val="28"/>
          <w:szCs w:val="28"/>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8"/>
          <w:szCs w:val="28"/>
          <w:highlight w:val="none"/>
        </w:rPr>
        <w:t xml:space="preserve">   法定代表人（授权代表）签名：</w:t>
      </w:r>
    </w:p>
    <w:p w14:paraId="3D8118A9">
      <w:pPr>
        <w:spacing w:line="360" w:lineRule="auto"/>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202</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年   月    日</w:t>
      </w:r>
    </w:p>
    <w:p w14:paraId="07A1C097">
      <w:pPr>
        <w:spacing w:line="440" w:lineRule="atLeast"/>
        <w:jc w:val="center"/>
        <w:rPr>
          <w:rFonts w:hint="eastAsia" w:ascii="宋体" w:hAnsi="宋体" w:eastAsia="宋体" w:cs="宋体"/>
          <w:b/>
          <w:highlight w:val="none"/>
        </w:rPr>
      </w:pPr>
    </w:p>
    <w:p w14:paraId="3D4EBB72">
      <w:pPr>
        <w:pStyle w:val="7"/>
        <w:spacing w:line="360" w:lineRule="auto"/>
        <w:ind w:firstLine="0"/>
        <w:rPr>
          <w:rFonts w:hint="eastAsia" w:ascii="宋体" w:hAnsi="宋体" w:eastAsia="宋体" w:cs="宋体"/>
          <w:b/>
          <w:color w:val="FF0000"/>
          <w:sz w:val="28"/>
          <w:szCs w:val="28"/>
          <w:highlight w:val="none"/>
        </w:rPr>
      </w:pPr>
    </w:p>
    <w:p w14:paraId="01E08B6E">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以下内容为开标时填写：</w:t>
      </w:r>
    </w:p>
    <w:p w14:paraId="2700020D">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现场最终报价：</w:t>
      </w:r>
    </w:p>
    <w:p w14:paraId="2F045A69">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大写：</w:t>
      </w:r>
    </w:p>
    <w:p w14:paraId="5ED5704D">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小写：</w:t>
      </w:r>
    </w:p>
    <w:p w14:paraId="203EE267">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签字：</w:t>
      </w:r>
    </w:p>
    <w:p w14:paraId="49B12641">
      <w:pPr>
        <w:pStyle w:val="7"/>
        <w:spacing w:line="360" w:lineRule="auto"/>
        <w:ind w:firstLine="0"/>
        <w:rPr>
          <w:rFonts w:hint="eastAsia" w:ascii="宋体" w:hAnsi="宋体" w:eastAsia="宋体" w:cs="宋体"/>
          <w:b/>
          <w:sz w:val="28"/>
          <w:szCs w:val="28"/>
          <w:highlight w:val="none"/>
        </w:rPr>
      </w:pPr>
      <w:r>
        <w:rPr>
          <w:rFonts w:hint="eastAsia" w:ascii="宋体" w:hAnsi="宋体" w:eastAsia="宋体" w:cs="宋体"/>
          <w:b/>
          <w:sz w:val="28"/>
          <w:szCs w:val="28"/>
          <w:highlight w:val="none"/>
        </w:rPr>
        <w:t>日期：       年  月  日</w:t>
      </w:r>
    </w:p>
    <w:p w14:paraId="0B5E7745">
      <w:pPr>
        <w:pStyle w:val="7"/>
        <w:spacing w:line="360" w:lineRule="auto"/>
        <w:ind w:firstLine="0"/>
        <w:rPr>
          <w:rFonts w:hint="eastAsia" w:ascii="宋体" w:hAnsi="宋体" w:eastAsia="宋体" w:cs="宋体"/>
          <w:b/>
          <w:sz w:val="28"/>
          <w:szCs w:val="28"/>
          <w:highlight w:val="none"/>
        </w:rPr>
      </w:pPr>
    </w:p>
    <w:p w14:paraId="1E4D5ABE">
      <w:pPr>
        <w:spacing w:line="360" w:lineRule="auto"/>
        <w:rPr>
          <w:rFonts w:hint="eastAsia" w:ascii="宋体" w:hAnsi="宋体" w:eastAsia="宋体" w:cs="宋体"/>
          <w:b/>
          <w:sz w:val="36"/>
          <w:szCs w:val="36"/>
          <w:highlight w:val="none"/>
        </w:rPr>
      </w:pPr>
    </w:p>
    <w:p w14:paraId="4E1F4A73">
      <w:pPr>
        <w:spacing w:line="360" w:lineRule="auto"/>
        <w:rPr>
          <w:rFonts w:hint="eastAsia" w:ascii="宋体" w:hAnsi="宋体" w:eastAsia="宋体" w:cs="宋体"/>
          <w:b/>
          <w:color w:val="000000"/>
          <w:kern w:val="0"/>
          <w:sz w:val="32"/>
          <w:szCs w:val="32"/>
          <w:highlight w:val="none"/>
        </w:rPr>
      </w:pPr>
    </w:p>
    <w:p w14:paraId="18EF804A">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中小企业声明函（服务）</w:t>
      </w:r>
    </w:p>
    <w:p w14:paraId="41B736A6">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本公司郑重声明，根据《政府采购促进中小企业发展管理办法》（财库﹝2020﹞46 号）的规定，本公司参加</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采购活动，服务全部由符合政策要求的中小企业承接。相关企业的具体情况如下：</w:t>
      </w:r>
    </w:p>
    <w:p w14:paraId="47F07EE4">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color w:val="000000"/>
          <w:kern w:val="0"/>
          <w:sz w:val="28"/>
          <w:szCs w:val="28"/>
          <w:highlight w:val="none"/>
        </w:rPr>
        <w:t>，属于</w:t>
      </w:r>
      <w:r>
        <w:rPr>
          <w:rFonts w:hint="eastAsia" w:ascii="宋体" w:hAnsi="宋体" w:eastAsia="宋体" w:cs="宋体"/>
          <w:color w:val="000000"/>
          <w:kern w:val="0"/>
          <w:sz w:val="28"/>
          <w:szCs w:val="28"/>
          <w:highlight w:val="none"/>
          <w:u w:val="single"/>
        </w:rPr>
        <w:t xml:space="preserve">其他未列明行业 </w:t>
      </w:r>
      <w:r>
        <w:rPr>
          <w:rFonts w:hint="eastAsia" w:ascii="宋体" w:hAnsi="宋体" w:eastAsia="宋体" w:cs="宋体"/>
          <w:color w:val="000000"/>
          <w:kern w:val="0"/>
          <w:sz w:val="28"/>
          <w:szCs w:val="28"/>
          <w:highlight w:val="none"/>
        </w:rPr>
        <w:t>；承建（承接）企业为</w:t>
      </w:r>
      <w:r>
        <w:rPr>
          <w:rFonts w:hint="eastAsia" w:ascii="宋体" w:hAnsi="宋体" w:eastAsia="宋体" w:cs="宋体"/>
          <w:color w:val="000000"/>
          <w:kern w:val="0"/>
          <w:sz w:val="28"/>
          <w:szCs w:val="28"/>
          <w:highlight w:val="none"/>
          <w:u w:val="single"/>
        </w:rPr>
        <w:t>（企业名称）</w:t>
      </w:r>
      <w:r>
        <w:rPr>
          <w:rFonts w:hint="eastAsia" w:ascii="宋体" w:hAnsi="宋体" w:eastAsia="宋体" w:cs="宋体"/>
          <w:color w:val="000000"/>
          <w:kern w:val="0"/>
          <w:sz w:val="28"/>
          <w:szCs w:val="28"/>
          <w:highlight w:val="none"/>
        </w:rPr>
        <w:t>，从业人员</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人，营业收入为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万元，资产总额为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万元，属于</w:t>
      </w:r>
      <w:r>
        <w:rPr>
          <w:rFonts w:hint="eastAsia" w:ascii="宋体" w:hAnsi="宋体" w:eastAsia="宋体" w:cs="宋体"/>
          <w:color w:val="000000"/>
          <w:kern w:val="0"/>
          <w:sz w:val="28"/>
          <w:szCs w:val="28"/>
          <w:highlight w:val="none"/>
          <w:u w:val="single"/>
        </w:rPr>
        <w:t>（中型企业、小型企业、微型企业）</w:t>
      </w:r>
      <w:r>
        <w:rPr>
          <w:rFonts w:hint="eastAsia" w:ascii="宋体" w:hAnsi="宋体" w:eastAsia="宋体" w:cs="宋体"/>
          <w:color w:val="000000"/>
          <w:kern w:val="0"/>
          <w:sz w:val="28"/>
          <w:szCs w:val="28"/>
          <w:highlight w:val="none"/>
        </w:rPr>
        <w:t xml:space="preserve">； </w:t>
      </w:r>
    </w:p>
    <w:p w14:paraId="4E11B956">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r>
        <w:rPr>
          <w:rFonts w:hint="eastAsia" w:ascii="宋体" w:hAnsi="宋体" w:eastAsia="宋体" w:cs="宋体"/>
          <w:sz w:val="28"/>
          <w:szCs w:val="28"/>
          <w:highlight w:val="none"/>
          <w:u w:val="single"/>
          <w:lang w:eastAsia="zh-CN"/>
        </w:rPr>
        <w:t>南通市海门区应急管理局采购VR智能安全体验馆物业管理服务项目</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，属于</w:t>
      </w:r>
      <w:r>
        <w:rPr>
          <w:rFonts w:hint="eastAsia" w:ascii="宋体" w:hAnsi="宋体" w:eastAsia="宋体" w:cs="宋体"/>
          <w:color w:val="000000"/>
          <w:kern w:val="0"/>
          <w:sz w:val="28"/>
          <w:szCs w:val="28"/>
          <w:highlight w:val="none"/>
          <w:u w:val="single"/>
        </w:rPr>
        <w:t>其他未列明行业</w:t>
      </w:r>
      <w:r>
        <w:rPr>
          <w:rFonts w:hint="eastAsia" w:ascii="宋体" w:hAnsi="宋体" w:eastAsia="宋体" w:cs="宋体"/>
          <w:color w:val="000000"/>
          <w:kern w:val="0"/>
          <w:sz w:val="28"/>
          <w:szCs w:val="28"/>
          <w:highlight w:val="none"/>
        </w:rPr>
        <w:t>；承建（承接）企业为（企业名称），从业人员</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人，营业收入为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万元，资产总额为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万元，属于</w:t>
      </w:r>
      <w:r>
        <w:rPr>
          <w:rFonts w:hint="eastAsia" w:ascii="宋体" w:hAnsi="宋体" w:eastAsia="宋体" w:cs="宋体"/>
          <w:color w:val="000000"/>
          <w:kern w:val="0"/>
          <w:sz w:val="28"/>
          <w:szCs w:val="28"/>
          <w:highlight w:val="none"/>
          <w:u w:val="single"/>
        </w:rPr>
        <w:t>（中型企业、小型企业、微型企业）</w:t>
      </w:r>
      <w:r>
        <w:rPr>
          <w:rFonts w:hint="eastAsia" w:ascii="宋体" w:hAnsi="宋体" w:eastAsia="宋体" w:cs="宋体"/>
          <w:color w:val="000000"/>
          <w:kern w:val="0"/>
          <w:sz w:val="28"/>
          <w:szCs w:val="28"/>
          <w:highlight w:val="none"/>
        </w:rPr>
        <w:t xml:space="preserve">； </w:t>
      </w:r>
    </w:p>
    <w:p w14:paraId="2A63A16F">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p w14:paraId="6967497C">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以上企业，不属于大企业的分支机构，不存在控股股东为大企业的情形，也不存在与大企业的负责人为同一人的情形。</w:t>
      </w:r>
    </w:p>
    <w:p w14:paraId="4EF8AA3B">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本企业对上述声明内容的真实性负责。如有虚假，将依法承担相应责任。 </w:t>
      </w:r>
    </w:p>
    <w:p w14:paraId="6D42045F">
      <w:pPr>
        <w:widowControl/>
        <w:spacing w:line="360" w:lineRule="auto"/>
        <w:jc w:val="left"/>
        <w:rPr>
          <w:rFonts w:hint="eastAsia" w:ascii="宋体" w:hAnsi="宋体" w:eastAsia="宋体" w:cs="宋体"/>
          <w:color w:val="000000"/>
          <w:kern w:val="0"/>
          <w:sz w:val="28"/>
          <w:szCs w:val="28"/>
          <w:highlight w:val="none"/>
        </w:rPr>
      </w:pPr>
    </w:p>
    <w:p w14:paraId="7C4A3287">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 xml:space="preserve">企业名称（盖章）： </w:t>
      </w:r>
    </w:p>
    <w:p w14:paraId="45101111">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 xml:space="preserve">日 期： </w:t>
      </w:r>
    </w:p>
    <w:p w14:paraId="0A753EF1">
      <w:pPr>
        <w:pStyle w:val="50"/>
        <w:ind w:left="0" w:leftChars="0" w:firstLine="0" w:firstLineChars="0"/>
        <w:rPr>
          <w:rFonts w:hint="eastAsia" w:ascii="宋体" w:hAnsi="宋体" w:eastAsia="宋体" w:cs="宋体"/>
          <w:b/>
          <w:kern w:val="0"/>
          <w:sz w:val="32"/>
          <w:szCs w:val="32"/>
          <w:highlight w:val="none"/>
          <w:lang w:bidi="ar"/>
        </w:rPr>
      </w:pPr>
    </w:p>
    <w:sectPr>
      <w:headerReference r:id="rId3" w:type="default"/>
      <w:footerReference r:id="rId4"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monospac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Bold">
    <w:altName w:val="Arial"/>
    <w:panose1 w:val="00000000000000000000"/>
    <w:charset w:val="00"/>
    <w:family w:val="decorative"/>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4785">
    <w:pPr>
      <w:framePr w:wrap="around" w:vAnchor="text" w:hAnchor="margin" w:xAlign="center" w:yAlign="top"/>
      <w:pBdr>
        <w:between w:val="none" w:color="auto" w:sz="0" w:space="0"/>
      </w:pBdr>
      <w:rPr>
        <w:rFonts w:hint="eastAsia"/>
      </w:rPr>
    </w:pPr>
    <w:r>
      <w:rPr>
        <w:rStyle w:val="31"/>
        <w:rFonts w:hint="eastAsia"/>
      </w:rPr>
      <w:t xml:space="preserve">第 </w:t>
    </w:r>
    <w:r>
      <w:rPr>
        <w:rFonts w:hint="eastAsia"/>
      </w:rPr>
      <w:fldChar w:fldCharType="begin"/>
    </w:r>
    <w:r>
      <w:rPr>
        <w:rStyle w:val="31"/>
        <w:rFonts w:hint="eastAsia"/>
      </w:rPr>
      <w:instrText xml:space="preserve"> PAGE  \* MERGEFORMAT </w:instrText>
    </w:r>
    <w:r>
      <w:rPr>
        <w:rFonts w:hint="eastAsia"/>
      </w:rPr>
      <w:fldChar w:fldCharType="separate"/>
    </w:r>
    <w:r>
      <w:t>1</w:t>
    </w:r>
    <w:r>
      <w:rPr>
        <w:rFonts w:hint="eastAsia"/>
      </w:rPr>
      <w:fldChar w:fldCharType="end"/>
    </w:r>
    <w:r>
      <w:rPr>
        <w:rStyle w:val="31"/>
        <w:rFonts w:hint="eastAsia"/>
      </w:rPr>
      <w:t xml:space="preserve"> 页 共 </w:t>
    </w:r>
    <w:r>
      <w:rPr>
        <w:rFonts w:hint="eastAsia"/>
      </w:rPr>
      <w:fldChar w:fldCharType="begin"/>
    </w:r>
    <w:r>
      <w:rPr>
        <w:rStyle w:val="31"/>
        <w:rFonts w:hint="eastAsia"/>
      </w:rPr>
      <w:instrText xml:space="preserve"> NUMPAGES  \* MERGEFORMAT </w:instrText>
    </w:r>
    <w:r>
      <w:rPr>
        <w:rFonts w:hint="eastAsia"/>
      </w:rPr>
      <w:fldChar w:fldCharType="separate"/>
    </w:r>
    <w:r>
      <w:rPr>
        <w:rStyle w:val="31"/>
      </w:rPr>
      <w:t>22</w:t>
    </w:r>
    <w:r>
      <w:rPr>
        <w:rFonts w:hint="eastAsia"/>
      </w:rPr>
      <w:fldChar w:fldCharType="end"/>
    </w:r>
    <w:r>
      <w:rPr>
        <w:rStyle w:val="31"/>
        <w:rFonts w:hint="eastAsia"/>
      </w:rPr>
      <w:t xml:space="preserve"> 页</w:t>
    </w:r>
  </w:p>
  <w:p w14:paraId="4E584E3D">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355E">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C5FFA"/>
    <w:multiLevelType w:val="singleLevel"/>
    <w:tmpl w:val="CC8C5FFA"/>
    <w:lvl w:ilvl="0" w:tentative="0">
      <w:start w:val="1"/>
      <w:numFmt w:val="bullet"/>
      <w:lvlText w:val=""/>
      <w:lvlJc w:val="left"/>
      <w:pPr>
        <w:tabs>
          <w:tab w:val="left" w:pos="420"/>
        </w:tabs>
        <w:ind w:left="840" w:hanging="420"/>
      </w:pPr>
      <w:rPr>
        <w:rFonts w:hint="default" w:ascii="Wingdings" w:hAnsi="Wingdings"/>
      </w:rPr>
    </w:lvl>
  </w:abstractNum>
  <w:abstractNum w:abstractNumId="1">
    <w:nsid w:val="F768A315"/>
    <w:multiLevelType w:val="singleLevel"/>
    <w:tmpl w:val="F768A315"/>
    <w:lvl w:ilvl="0" w:tentative="0">
      <w:start w:val="2"/>
      <w:numFmt w:val="decimal"/>
      <w:suff w:val="nothing"/>
      <w:lvlText w:val="（%1）"/>
      <w:lvlJc w:val="left"/>
    </w:lvl>
  </w:abstractNum>
  <w:abstractNum w:abstractNumId="2">
    <w:nsid w:val="04A9829A"/>
    <w:multiLevelType w:val="singleLevel"/>
    <w:tmpl w:val="04A9829A"/>
    <w:lvl w:ilvl="0" w:tentative="0">
      <w:start w:val="2"/>
      <w:numFmt w:val="decimal"/>
      <w:lvlText w:val="%1."/>
      <w:lvlJc w:val="left"/>
      <w:pPr>
        <w:tabs>
          <w:tab w:val="left" w:pos="312"/>
        </w:tabs>
      </w:pPr>
    </w:lvl>
  </w:abstractNum>
  <w:abstractNum w:abstractNumId="3">
    <w:nsid w:val="389B0B81"/>
    <w:multiLevelType w:val="singleLevel"/>
    <w:tmpl w:val="389B0B81"/>
    <w:lvl w:ilvl="0" w:tentative="0">
      <w:start w:val="1"/>
      <w:numFmt w:val="chineseCounting"/>
      <w:suff w:val="space"/>
      <w:lvlText w:val="第%1部分"/>
      <w:lvlJc w:val="left"/>
      <w:rPr>
        <w:rFonts w:hint="eastAsia"/>
      </w:rPr>
    </w:lvl>
  </w:abstractNum>
  <w:abstractNum w:abstractNumId="4">
    <w:nsid w:val="52D894CE"/>
    <w:multiLevelType w:val="singleLevel"/>
    <w:tmpl w:val="52D894CE"/>
    <w:lvl w:ilvl="0" w:tentative="0">
      <w:start w:val="1"/>
      <w:numFmt w:val="chineseCounting"/>
      <w:suff w:val="nothing"/>
      <w:lvlText w:val="%1、"/>
      <w:lvlJc w:val="left"/>
    </w:lvl>
  </w:abstractNum>
  <w:abstractNum w:abstractNumId="5">
    <w:nsid w:val="5B70867C"/>
    <w:multiLevelType w:val="singleLevel"/>
    <w:tmpl w:val="5B70867C"/>
    <w:lvl w:ilvl="0" w:tentative="0">
      <w:start w:val="3"/>
      <w:numFmt w:val="decimal"/>
      <w:suff w:val="nothing"/>
      <w:lvlText w:val="（%1）"/>
      <w:lvlJc w:val="left"/>
    </w:lvl>
  </w:abstractNum>
  <w:abstractNum w:abstractNumId="6">
    <w:nsid w:val="7F054565"/>
    <w:multiLevelType w:val="multilevel"/>
    <w:tmpl w:val="7F054565"/>
    <w:lvl w:ilvl="0" w:tentative="0">
      <w:start w:val="1"/>
      <w:numFmt w:val="chineseCountingThousand"/>
      <w:lvlText w:val="%1、"/>
      <w:lvlJc w:val="left"/>
      <w:pPr>
        <w:ind w:left="0" w:firstLine="0"/>
      </w:pPr>
      <w:rPr>
        <w:rFonts w:hint="eastAsia" w:ascii="仿宋" w:hAnsi="仿宋" w:eastAsia="仿宋"/>
        <w:b/>
        <w:i w:val="0"/>
        <w:sz w:val="28"/>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pStyle w:val="11"/>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isLgl/>
      <w:lvlText w:val="%1.%2.%3.%4.%5.%6.%7"/>
      <w:lvlJc w:val="left"/>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94424414">
    <w15:presenceInfo w15:providerId="WPS Office" w15:userId="7622936534"/>
  </w15:person>
  <w15:person w15:author="口天吴">
    <w15:presenceInfo w15:providerId="WPS Office" w15:userId="6467689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zU1ZjRmOTM5NGFlMjQ0NDk5MGNlZjM3YjJkMzgifQ=="/>
  </w:docVars>
  <w:rsids>
    <w:rsidRoot w:val="00172A27"/>
    <w:rsid w:val="00021787"/>
    <w:rsid w:val="00042884"/>
    <w:rsid w:val="0004591C"/>
    <w:rsid w:val="00046974"/>
    <w:rsid w:val="00055C88"/>
    <w:rsid w:val="00076A67"/>
    <w:rsid w:val="00076F8C"/>
    <w:rsid w:val="00077873"/>
    <w:rsid w:val="000A2342"/>
    <w:rsid w:val="000A2F9A"/>
    <w:rsid w:val="000A373E"/>
    <w:rsid w:val="000A46C8"/>
    <w:rsid w:val="000C2494"/>
    <w:rsid w:val="000C75B6"/>
    <w:rsid w:val="00106BE7"/>
    <w:rsid w:val="00113287"/>
    <w:rsid w:val="0011556F"/>
    <w:rsid w:val="00123D99"/>
    <w:rsid w:val="00153031"/>
    <w:rsid w:val="001A6082"/>
    <w:rsid w:val="001A7A46"/>
    <w:rsid w:val="001B69B7"/>
    <w:rsid w:val="001C4FD2"/>
    <w:rsid w:val="001C5011"/>
    <w:rsid w:val="001C7797"/>
    <w:rsid w:val="001D1287"/>
    <w:rsid w:val="001D6225"/>
    <w:rsid w:val="001E45AD"/>
    <w:rsid w:val="001F741F"/>
    <w:rsid w:val="00201F95"/>
    <w:rsid w:val="0021337F"/>
    <w:rsid w:val="00214076"/>
    <w:rsid w:val="0021409E"/>
    <w:rsid w:val="00215D70"/>
    <w:rsid w:val="00225BCB"/>
    <w:rsid w:val="0023086C"/>
    <w:rsid w:val="00232759"/>
    <w:rsid w:val="00252D25"/>
    <w:rsid w:val="00260FF3"/>
    <w:rsid w:val="0026141F"/>
    <w:rsid w:val="0026167B"/>
    <w:rsid w:val="00267CE4"/>
    <w:rsid w:val="002946B2"/>
    <w:rsid w:val="002A722F"/>
    <w:rsid w:val="002C0B3D"/>
    <w:rsid w:val="002C17B4"/>
    <w:rsid w:val="002C3FD4"/>
    <w:rsid w:val="002C5AAC"/>
    <w:rsid w:val="00316221"/>
    <w:rsid w:val="00325D58"/>
    <w:rsid w:val="00354415"/>
    <w:rsid w:val="00355DE3"/>
    <w:rsid w:val="0037171F"/>
    <w:rsid w:val="00376CBC"/>
    <w:rsid w:val="003A12A3"/>
    <w:rsid w:val="003A2B4D"/>
    <w:rsid w:val="003B6BAF"/>
    <w:rsid w:val="003C31A5"/>
    <w:rsid w:val="003C64F1"/>
    <w:rsid w:val="003D0FD4"/>
    <w:rsid w:val="003D69CA"/>
    <w:rsid w:val="003E57D9"/>
    <w:rsid w:val="003F1B4A"/>
    <w:rsid w:val="004026FD"/>
    <w:rsid w:val="00406AA0"/>
    <w:rsid w:val="00423811"/>
    <w:rsid w:val="00453BA1"/>
    <w:rsid w:val="00457F42"/>
    <w:rsid w:val="0046088C"/>
    <w:rsid w:val="00473B0A"/>
    <w:rsid w:val="004740D6"/>
    <w:rsid w:val="00474F36"/>
    <w:rsid w:val="00476DF3"/>
    <w:rsid w:val="004800A3"/>
    <w:rsid w:val="004C05C9"/>
    <w:rsid w:val="004C705A"/>
    <w:rsid w:val="004D1387"/>
    <w:rsid w:val="004E0413"/>
    <w:rsid w:val="004E66B4"/>
    <w:rsid w:val="004F1185"/>
    <w:rsid w:val="004F14A9"/>
    <w:rsid w:val="004F20C5"/>
    <w:rsid w:val="0050122D"/>
    <w:rsid w:val="00517D1F"/>
    <w:rsid w:val="005307F2"/>
    <w:rsid w:val="00541014"/>
    <w:rsid w:val="005626B7"/>
    <w:rsid w:val="00564444"/>
    <w:rsid w:val="005866BB"/>
    <w:rsid w:val="005A48B3"/>
    <w:rsid w:val="005B05F0"/>
    <w:rsid w:val="005C6305"/>
    <w:rsid w:val="005C7EC0"/>
    <w:rsid w:val="005D36A2"/>
    <w:rsid w:val="005E4D99"/>
    <w:rsid w:val="005E5845"/>
    <w:rsid w:val="005F77AB"/>
    <w:rsid w:val="0060379F"/>
    <w:rsid w:val="00635625"/>
    <w:rsid w:val="00652FB0"/>
    <w:rsid w:val="0066263E"/>
    <w:rsid w:val="00666C07"/>
    <w:rsid w:val="00681FFC"/>
    <w:rsid w:val="00684629"/>
    <w:rsid w:val="006860CC"/>
    <w:rsid w:val="0069400A"/>
    <w:rsid w:val="006941F6"/>
    <w:rsid w:val="006967E8"/>
    <w:rsid w:val="00696A20"/>
    <w:rsid w:val="006A20DE"/>
    <w:rsid w:val="006A3A15"/>
    <w:rsid w:val="006A6787"/>
    <w:rsid w:val="006B098A"/>
    <w:rsid w:val="006C0904"/>
    <w:rsid w:val="006C5C34"/>
    <w:rsid w:val="006D0B77"/>
    <w:rsid w:val="006D35B1"/>
    <w:rsid w:val="006D66C2"/>
    <w:rsid w:val="006E365C"/>
    <w:rsid w:val="006E535B"/>
    <w:rsid w:val="006F2390"/>
    <w:rsid w:val="006F3D25"/>
    <w:rsid w:val="006F4DD3"/>
    <w:rsid w:val="006F7E85"/>
    <w:rsid w:val="00702778"/>
    <w:rsid w:val="0070526E"/>
    <w:rsid w:val="00716C05"/>
    <w:rsid w:val="00724264"/>
    <w:rsid w:val="007326AA"/>
    <w:rsid w:val="00733142"/>
    <w:rsid w:val="00744314"/>
    <w:rsid w:val="00755520"/>
    <w:rsid w:val="00755E28"/>
    <w:rsid w:val="00762E24"/>
    <w:rsid w:val="00782FC7"/>
    <w:rsid w:val="0078581E"/>
    <w:rsid w:val="00797713"/>
    <w:rsid w:val="007A23CF"/>
    <w:rsid w:val="007A3B0C"/>
    <w:rsid w:val="007B0747"/>
    <w:rsid w:val="007C1441"/>
    <w:rsid w:val="007D4877"/>
    <w:rsid w:val="007D519E"/>
    <w:rsid w:val="007E0B2B"/>
    <w:rsid w:val="007E4958"/>
    <w:rsid w:val="007F77C3"/>
    <w:rsid w:val="00820369"/>
    <w:rsid w:val="00820D94"/>
    <w:rsid w:val="00824165"/>
    <w:rsid w:val="00846E9B"/>
    <w:rsid w:val="008627F2"/>
    <w:rsid w:val="00871646"/>
    <w:rsid w:val="008739E9"/>
    <w:rsid w:val="008923C7"/>
    <w:rsid w:val="00894648"/>
    <w:rsid w:val="00896B67"/>
    <w:rsid w:val="00897980"/>
    <w:rsid w:val="008A1642"/>
    <w:rsid w:val="008A1C93"/>
    <w:rsid w:val="008A6DB3"/>
    <w:rsid w:val="008D68A2"/>
    <w:rsid w:val="008D78E1"/>
    <w:rsid w:val="00902D3D"/>
    <w:rsid w:val="00934142"/>
    <w:rsid w:val="0094653E"/>
    <w:rsid w:val="009502BE"/>
    <w:rsid w:val="00953786"/>
    <w:rsid w:val="009700F9"/>
    <w:rsid w:val="009736DD"/>
    <w:rsid w:val="00973D55"/>
    <w:rsid w:val="0098525A"/>
    <w:rsid w:val="009863E6"/>
    <w:rsid w:val="00987374"/>
    <w:rsid w:val="009A0CDF"/>
    <w:rsid w:val="009A6C7A"/>
    <w:rsid w:val="009C020D"/>
    <w:rsid w:val="009C4DF5"/>
    <w:rsid w:val="009C6E5A"/>
    <w:rsid w:val="009D3B70"/>
    <w:rsid w:val="009D51C5"/>
    <w:rsid w:val="009D69D7"/>
    <w:rsid w:val="009D6F9C"/>
    <w:rsid w:val="009F3D28"/>
    <w:rsid w:val="00A054BD"/>
    <w:rsid w:val="00A05CAE"/>
    <w:rsid w:val="00A0765A"/>
    <w:rsid w:val="00A106C9"/>
    <w:rsid w:val="00A11584"/>
    <w:rsid w:val="00A35E48"/>
    <w:rsid w:val="00A506B6"/>
    <w:rsid w:val="00A74AE6"/>
    <w:rsid w:val="00A873C8"/>
    <w:rsid w:val="00A92179"/>
    <w:rsid w:val="00AC29C6"/>
    <w:rsid w:val="00AC660E"/>
    <w:rsid w:val="00AC70D1"/>
    <w:rsid w:val="00AD18BF"/>
    <w:rsid w:val="00AE1D25"/>
    <w:rsid w:val="00AE493B"/>
    <w:rsid w:val="00AE6C85"/>
    <w:rsid w:val="00AE76B8"/>
    <w:rsid w:val="00AF26A9"/>
    <w:rsid w:val="00AF2A34"/>
    <w:rsid w:val="00AF7446"/>
    <w:rsid w:val="00B0380E"/>
    <w:rsid w:val="00B070B4"/>
    <w:rsid w:val="00B10476"/>
    <w:rsid w:val="00B10E84"/>
    <w:rsid w:val="00B152AA"/>
    <w:rsid w:val="00B3133A"/>
    <w:rsid w:val="00B31A63"/>
    <w:rsid w:val="00B34D3A"/>
    <w:rsid w:val="00B41E8A"/>
    <w:rsid w:val="00B4262A"/>
    <w:rsid w:val="00B54228"/>
    <w:rsid w:val="00B72667"/>
    <w:rsid w:val="00B949E9"/>
    <w:rsid w:val="00BA4474"/>
    <w:rsid w:val="00BA655D"/>
    <w:rsid w:val="00BB1FD6"/>
    <w:rsid w:val="00BB44DD"/>
    <w:rsid w:val="00BB79B8"/>
    <w:rsid w:val="00BC7C25"/>
    <w:rsid w:val="00BE5C45"/>
    <w:rsid w:val="00BE6482"/>
    <w:rsid w:val="00BF793A"/>
    <w:rsid w:val="00C254F2"/>
    <w:rsid w:val="00C313AF"/>
    <w:rsid w:val="00C539A4"/>
    <w:rsid w:val="00C60B5F"/>
    <w:rsid w:val="00C620EF"/>
    <w:rsid w:val="00C71409"/>
    <w:rsid w:val="00C77F20"/>
    <w:rsid w:val="00C87C4C"/>
    <w:rsid w:val="00CA267B"/>
    <w:rsid w:val="00CA4AB9"/>
    <w:rsid w:val="00CB185D"/>
    <w:rsid w:val="00CC0069"/>
    <w:rsid w:val="00CC1964"/>
    <w:rsid w:val="00CD2EE6"/>
    <w:rsid w:val="00CD5184"/>
    <w:rsid w:val="00CD5B95"/>
    <w:rsid w:val="00CE076A"/>
    <w:rsid w:val="00CE2654"/>
    <w:rsid w:val="00D1417F"/>
    <w:rsid w:val="00D30D39"/>
    <w:rsid w:val="00D328BF"/>
    <w:rsid w:val="00D47CEF"/>
    <w:rsid w:val="00D54355"/>
    <w:rsid w:val="00D545BA"/>
    <w:rsid w:val="00DA3052"/>
    <w:rsid w:val="00DB3F02"/>
    <w:rsid w:val="00DE1109"/>
    <w:rsid w:val="00DF771E"/>
    <w:rsid w:val="00E002AC"/>
    <w:rsid w:val="00E305D0"/>
    <w:rsid w:val="00E32D86"/>
    <w:rsid w:val="00E55B00"/>
    <w:rsid w:val="00E6689E"/>
    <w:rsid w:val="00E732AE"/>
    <w:rsid w:val="00E74E71"/>
    <w:rsid w:val="00E85180"/>
    <w:rsid w:val="00E90907"/>
    <w:rsid w:val="00E9201F"/>
    <w:rsid w:val="00EA30F9"/>
    <w:rsid w:val="00EA4DF4"/>
    <w:rsid w:val="00EA6DEC"/>
    <w:rsid w:val="00EB0B06"/>
    <w:rsid w:val="00EB642E"/>
    <w:rsid w:val="00EB6DD5"/>
    <w:rsid w:val="00EC32AB"/>
    <w:rsid w:val="00ED2447"/>
    <w:rsid w:val="00ED4240"/>
    <w:rsid w:val="00EF03F3"/>
    <w:rsid w:val="00F00796"/>
    <w:rsid w:val="00F06556"/>
    <w:rsid w:val="00F17D60"/>
    <w:rsid w:val="00F22827"/>
    <w:rsid w:val="00F23F63"/>
    <w:rsid w:val="00F34F9A"/>
    <w:rsid w:val="00F37521"/>
    <w:rsid w:val="00F45819"/>
    <w:rsid w:val="00F531C9"/>
    <w:rsid w:val="00F672F0"/>
    <w:rsid w:val="00F67E0F"/>
    <w:rsid w:val="00F75CE1"/>
    <w:rsid w:val="00F8439D"/>
    <w:rsid w:val="00F932ED"/>
    <w:rsid w:val="00F97FE2"/>
    <w:rsid w:val="00FB03B2"/>
    <w:rsid w:val="00FB2C88"/>
    <w:rsid w:val="00FB3E8D"/>
    <w:rsid w:val="00FC7447"/>
    <w:rsid w:val="00FC7EB0"/>
    <w:rsid w:val="019437FF"/>
    <w:rsid w:val="01954E92"/>
    <w:rsid w:val="02E259DE"/>
    <w:rsid w:val="04F57A86"/>
    <w:rsid w:val="05317159"/>
    <w:rsid w:val="05CE62EB"/>
    <w:rsid w:val="07A8627E"/>
    <w:rsid w:val="08382CA8"/>
    <w:rsid w:val="094E31A4"/>
    <w:rsid w:val="098430F0"/>
    <w:rsid w:val="0B2A19E9"/>
    <w:rsid w:val="0B3C7C36"/>
    <w:rsid w:val="0B3D7D13"/>
    <w:rsid w:val="0B621280"/>
    <w:rsid w:val="0C193679"/>
    <w:rsid w:val="0C5C6893"/>
    <w:rsid w:val="0DC511A5"/>
    <w:rsid w:val="1207570F"/>
    <w:rsid w:val="120E3895"/>
    <w:rsid w:val="121216F1"/>
    <w:rsid w:val="12EE03E6"/>
    <w:rsid w:val="12FA0FB5"/>
    <w:rsid w:val="13252406"/>
    <w:rsid w:val="14A303CC"/>
    <w:rsid w:val="15372539"/>
    <w:rsid w:val="156A1DC7"/>
    <w:rsid w:val="15C657DD"/>
    <w:rsid w:val="16111CBF"/>
    <w:rsid w:val="16361D40"/>
    <w:rsid w:val="16C13B8D"/>
    <w:rsid w:val="193D0898"/>
    <w:rsid w:val="19EB5B79"/>
    <w:rsid w:val="1A47151E"/>
    <w:rsid w:val="1AB84685"/>
    <w:rsid w:val="1C28159A"/>
    <w:rsid w:val="1C366731"/>
    <w:rsid w:val="1CC943F3"/>
    <w:rsid w:val="1CF06D72"/>
    <w:rsid w:val="1D0F26FD"/>
    <w:rsid w:val="1E0819B6"/>
    <w:rsid w:val="1F346212"/>
    <w:rsid w:val="1F833F0D"/>
    <w:rsid w:val="20122687"/>
    <w:rsid w:val="223D1AE6"/>
    <w:rsid w:val="22965A26"/>
    <w:rsid w:val="22B10451"/>
    <w:rsid w:val="238118D8"/>
    <w:rsid w:val="252E378C"/>
    <w:rsid w:val="256B5BBD"/>
    <w:rsid w:val="274F6482"/>
    <w:rsid w:val="27DF61D1"/>
    <w:rsid w:val="280E1F78"/>
    <w:rsid w:val="28D44B79"/>
    <w:rsid w:val="29251788"/>
    <w:rsid w:val="2A622A0A"/>
    <w:rsid w:val="2AFA7800"/>
    <w:rsid w:val="2D952045"/>
    <w:rsid w:val="2E487AE6"/>
    <w:rsid w:val="2F13675D"/>
    <w:rsid w:val="2F2A7C95"/>
    <w:rsid w:val="2F4067A0"/>
    <w:rsid w:val="30A143FB"/>
    <w:rsid w:val="30D17E27"/>
    <w:rsid w:val="31EC00D0"/>
    <w:rsid w:val="32165CB5"/>
    <w:rsid w:val="321B49C0"/>
    <w:rsid w:val="32451B5B"/>
    <w:rsid w:val="32D05693"/>
    <w:rsid w:val="33251527"/>
    <w:rsid w:val="332B2FAE"/>
    <w:rsid w:val="338C1C13"/>
    <w:rsid w:val="346729E0"/>
    <w:rsid w:val="35FE6564"/>
    <w:rsid w:val="365E7567"/>
    <w:rsid w:val="37404185"/>
    <w:rsid w:val="37550FA5"/>
    <w:rsid w:val="379B2762"/>
    <w:rsid w:val="37B42DDD"/>
    <w:rsid w:val="38C5169D"/>
    <w:rsid w:val="3969336A"/>
    <w:rsid w:val="3A1860D2"/>
    <w:rsid w:val="3A615733"/>
    <w:rsid w:val="3A6E16C0"/>
    <w:rsid w:val="3DB03203"/>
    <w:rsid w:val="3DC45F85"/>
    <w:rsid w:val="3E157CEF"/>
    <w:rsid w:val="3E18366C"/>
    <w:rsid w:val="3EFC1444"/>
    <w:rsid w:val="3FA10D58"/>
    <w:rsid w:val="404479D3"/>
    <w:rsid w:val="40B13431"/>
    <w:rsid w:val="43794EB7"/>
    <w:rsid w:val="4394784E"/>
    <w:rsid w:val="43C60ED4"/>
    <w:rsid w:val="43DF1F63"/>
    <w:rsid w:val="44536273"/>
    <w:rsid w:val="445E2CD2"/>
    <w:rsid w:val="448049E5"/>
    <w:rsid w:val="455D65F5"/>
    <w:rsid w:val="460F52AE"/>
    <w:rsid w:val="462920DA"/>
    <w:rsid w:val="46D06EA9"/>
    <w:rsid w:val="473726CB"/>
    <w:rsid w:val="48527241"/>
    <w:rsid w:val="4963512F"/>
    <w:rsid w:val="4A3279B3"/>
    <w:rsid w:val="4B6E5E35"/>
    <w:rsid w:val="4C8B3026"/>
    <w:rsid w:val="4D0249A3"/>
    <w:rsid w:val="4D7F134B"/>
    <w:rsid w:val="5262572B"/>
    <w:rsid w:val="52DF6D4C"/>
    <w:rsid w:val="53AA2AA0"/>
    <w:rsid w:val="545C4ED1"/>
    <w:rsid w:val="545D72C6"/>
    <w:rsid w:val="54AF1533"/>
    <w:rsid w:val="54E646E1"/>
    <w:rsid w:val="54F91BBC"/>
    <w:rsid w:val="54FD2906"/>
    <w:rsid w:val="55545FA6"/>
    <w:rsid w:val="56096A87"/>
    <w:rsid w:val="56D36DDF"/>
    <w:rsid w:val="574705AC"/>
    <w:rsid w:val="57681E20"/>
    <w:rsid w:val="57B0222A"/>
    <w:rsid w:val="57C67482"/>
    <w:rsid w:val="584C3187"/>
    <w:rsid w:val="585F5750"/>
    <w:rsid w:val="586E19FA"/>
    <w:rsid w:val="58A56A3A"/>
    <w:rsid w:val="58F67427"/>
    <w:rsid w:val="59326B6C"/>
    <w:rsid w:val="5A235E5C"/>
    <w:rsid w:val="5B597015"/>
    <w:rsid w:val="5DB373C4"/>
    <w:rsid w:val="5DCA37FC"/>
    <w:rsid w:val="5E87066C"/>
    <w:rsid w:val="5EC71609"/>
    <w:rsid w:val="60747439"/>
    <w:rsid w:val="63532B17"/>
    <w:rsid w:val="642A0D3F"/>
    <w:rsid w:val="64B6710E"/>
    <w:rsid w:val="65BF438F"/>
    <w:rsid w:val="674A080E"/>
    <w:rsid w:val="67902011"/>
    <w:rsid w:val="6892520E"/>
    <w:rsid w:val="691E1603"/>
    <w:rsid w:val="69873DAA"/>
    <w:rsid w:val="69E4077A"/>
    <w:rsid w:val="6A25350A"/>
    <w:rsid w:val="6A4C3BAD"/>
    <w:rsid w:val="6A7904D9"/>
    <w:rsid w:val="6B0E77A5"/>
    <w:rsid w:val="6BA25945"/>
    <w:rsid w:val="6D000DA6"/>
    <w:rsid w:val="6DAA1AEC"/>
    <w:rsid w:val="6E7A56D6"/>
    <w:rsid w:val="6FC36CFC"/>
    <w:rsid w:val="71997DED"/>
    <w:rsid w:val="72155337"/>
    <w:rsid w:val="723B6606"/>
    <w:rsid w:val="72F06237"/>
    <w:rsid w:val="73C13A03"/>
    <w:rsid w:val="74176BB3"/>
    <w:rsid w:val="74790B77"/>
    <w:rsid w:val="748233CB"/>
    <w:rsid w:val="7495630E"/>
    <w:rsid w:val="75B6295B"/>
    <w:rsid w:val="76830447"/>
    <w:rsid w:val="77087560"/>
    <w:rsid w:val="7802282E"/>
    <w:rsid w:val="78BA0743"/>
    <w:rsid w:val="79C72BD4"/>
    <w:rsid w:val="7ADE5451"/>
    <w:rsid w:val="7B963037"/>
    <w:rsid w:val="7BE6629A"/>
    <w:rsid w:val="7C055DEE"/>
    <w:rsid w:val="7C16716A"/>
    <w:rsid w:val="7E0806FB"/>
    <w:rsid w:val="7E2722EA"/>
    <w:rsid w:val="7ECD244C"/>
    <w:rsid w:val="7F0A1075"/>
    <w:rsid w:val="7F1430D0"/>
    <w:rsid w:val="7F4B1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2"/>
    <w:qFormat/>
    <w:uiPriority w:val="0"/>
    <w:pPr>
      <w:keepNext/>
      <w:keepLines/>
      <w:adjustRightInd w:val="0"/>
      <w:spacing w:before="340" w:after="330" w:line="578" w:lineRule="atLeast"/>
      <w:textAlignment w:val="baseline"/>
      <w:outlineLvl w:val="0"/>
    </w:pPr>
    <w:rPr>
      <w:b/>
      <w:bCs/>
      <w:kern w:val="44"/>
      <w:sz w:val="44"/>
      <w:szCs w:val="44"/>
    </w:rPr>
  </w:style>
  <w:style w:type="paragraph" w:styleId="6">
    <w:name w:val="heading 2"/>
    <w:basedOn w:val="1"/>
    <w:next w:val="7"/>
    <w:link w:val="43"/>
    <w:qFormat/>
    <w:uiPriority w:val="0"/>
    <w:pPr>
      <w:keepNext/>
      <w:keepLines/>
      <w:spacing w:before="120" w:beforeLines="0" w:after="120" w:afterLines="0"/>
      <w:jc w:val="center"/>
      <w:outlineLvl w:val="1"/>
    </w:pPr>
    <w:rPr>
      <w:rFonts w:ascii="Arial" w:hAnsi="Arial" w:eastAsia="黑体"/>
      <w:b/>
      <w:sz w:val="28"/>
      <w:szCs w:val="28"/>
    </w:rPr>
  </w:style>
  <w:style w:type="paragraph" w:styleId="10">
    <w:name w:val="heading 3"/>
    <w:basedOn w:val="1"/>
    <w:next w:val="7"/>
    <w:qFormat/>
    <w:uiPriority w:val="0"/>
    <w:pPr>
      <w:keepNext/>
      <w:keepLines/>
      <w:spacing w:before="120" w:beforeLines="0" w:after="120" w:afterLines="0"/>
      <w:outlineLvl w:val="2"/>
    </w:pPr>
    <w:rPr>
      <w:rFonts w:eastAsia="黑体"/>
      <w:b/>
      <w:sz w:val="32"/>
    </w:rPr>
  </w:style>
  <w:style w:type="paragraph" w:styleId="11">
    <w:name w:val="heading 4"/>
    <w:basedOn w:val="1"/>
    <w:next w:val="1"/>
    <w:qFormat/>
    <w:uiPriority w:val="9"/>
    <w:pPr>
      <w:keepNext/>
      <w:keepLines/>
      <w:numPr>
        <w:ilvl w:val="3"/>
        <w:numId w:val="1"/>
      </w:numPr>
      <w:spacing w:before="240" w:after="240"/>
      <w:ind w:firstLine="0" w:firstLineChars="0"/>
      <w:outlineLvl w:val="3"/>
    </w:pPr>
    <w:rPr>
      <w:rFonts w:eastAsia="仿宋" w:cs="Times New Roman"/>
      <w:b/>
      <w:bCs/>
      <w:sz w:val="28"/>
      <w:szCs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next w:val="4"/>
    <w:qFormat/>
    <w:uiPriority w:val="0"/>
    <w:pPr>
      <w:ind w:left="765"/>
    </w:pPr>
    <w:rPr>
      <w:rFonts w:ascii="仿宋_GB2312" w:eastAsia="仿宋_GB2312"/>
      <w:sz w:val="28"/>
      <w:szCs w:val="20"/>
    </w:rPr>
  </w:style>
  <w:style w:type="paragraph" w:customStyle="1" w:styleId="4">
    <w:name w:val="寄信人地址1"/>
    <w:basedOn w:val="1"/>
    <w:qFormat/>
    <w:uiPriority w:val="99"/>
    <w:rPr>
      <w:rFonts w:ascii="Arial" w:hAnsi="Arial"/>
    </w:rPr>
  </w:style>
  <w:style w:type="paragraph" w:styleId="7">
    <w:name w:val="Normal Indent"/>
    <w:basedOn w:val="1"/>
    <w:next w:val="8"/>
    <w:link w:val="44"/>
    <w:qFormat/>
    <w:uiPriority w:val="0"/>
    <w:pPr>
      <w:ind w:firstLine="4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jc w:val="left"/>
    </w:pPr>
  </w:style>
  <w:style w:type="paragraph" w:styleId="14">
    <w:name w:val="Closing"/>
    <w:basedOn w:val="1"/>
    <w:qFormat/>
    <w:uiPriority w:val="0"/>
    <w:pPr>
      <w:ind w:left="100" w:leftChars="2100"/>
    </w:pPr>
  </w:style>
  <w:style w:type="paragraph" w:styleId="15">
    <w:name w:val="Body Text"/>
    <w:basedOn w:val="1"/>
    <w:next w:val="1"/>
    <w:qFormat/>
    <w:uiPriority w:val="0"/>
    <w:rPr>
      <w:rFonts w:ascii="方正楷体_GB2312" w:hAnsi="Arial" w:eastAsia="方正楷体_GB2312"/>
      <w:kern w:val="0"/>
      <w:sz w:val="28"/>
      <w:szCs w:val="20"/>
    </w:rPr>
  </w:style>
  <w:style w:type="paragraph" w:styleId="16">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17">
    <w:name w:val="index 3"/>
    <w:basedOn w:val="1"/>
    <w:next w:val="1"/>
    <w:qFormat/>
    <w:uiPriority w:val="0"/>
    <w:pPr>
      <w:ind w:left="400" w:leftChars="400"/>
    </w:pPr>
  </w:style>
  <w:style w:type="paragraph" w:styleId="18">
    <w:name w:val="Date"/>
    <w:basedOn w:val="1"/>
    <w:next w:val="1"/>
    <w:qFormat/>
    <w:uiPriority w:val="0"/>
    <w:pPr>
      <w:ind w:left="100" w:leftChars="2500"/>
    </w:pPr>
    <w:rPr>
      <w:szCs w:val="24"/>
    </w:rPr>
  </w:style>
  <w:style w:type="paragraph" w:styleId="19">
    <w:name w:val="Body Text Indent 2"/>
    <w:basedOn w:val="1"/>
    <w:qFormat/>
    <w:uiPriority w:val="0"/>
    <w:pPr>
      <w:spacing w:after="120" w:afterLines="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5"/>
    <w:qFormat/>
    <w:uiPriority w:val="0"/>
    <w:pPr>
      <w:tabs>
        <w:tab w:val="center" w:pos="4153"/>
        <w:tab w:val="right" w:pos="8306"/>
      </w:tabs>
      <w:snapToGrid w:val="0"/>
      <w:jc w:val="left"/>
    </w:pPr>
    <w:rPr>
      <w:sz w:val="18"/>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rPr>
  </w:style>
  <w:style w:type="paragraph" w:styleId="23">
    <w:name w:val="Body Text 2"/>
    <w:basedOn w:val="1"/>
    <w:next w:val="15"/>
    <w:qFormat/>
    <w:uiPriority w:val="99"/>
    <w:pPr>
      <w:spacing w:after="120" w:line="480" w:lineRule="auto"/>
    </w:pPr>
    <w:rPr>
      <w:kern w:val="0"/>
      <w:sz w:val="2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Body Text First Indent"/>
    <w:basedOn w:val="15"/>
    <w:qFormat/>
    <w:uiPriority w:val="0"/>
    <w:pPr>
      <w:spacing w:after="120"/>
      <w:ind w:firstLine="420" w:firstLineChars="100"/>
    </w:pPr>
    <w:rPr>
      <w:rFonts w:ascii="Times New Roman" w:eastAsia="宋体"/>
      <w:szCs w:val="24"/>
    </w:rPr>
  </w:style>
  <w:style w:type="paragraph" w:styleId="26">
    <w:name w:val="Body Text First Indent 2"/>
    <w:basedOn w:val="8"/>
    <w:next w:val="1"/>
    <w:qFormat/>
    <w:uiPriority w:val="99"/>
    <w:pPr>
      <w:ind w:firstLine="420" w:firstLineChars="200"/>
    </w:p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style>
  <w:style w:type="character" w:styleId="31">
    <w:name w:val="page number"/>
    <w:qFormat/>
    <w:uiPriority w:val="0"/>
  </w:style>
  <w:style w:type="character" w:styleId="32">
    <w:name w:val="FollowedHyperlink"/>
    <w:qFormat/>
    <w:uiPriority w:val="0"/>
    <w:rPr>
      <w:color w:val="800080"/>
      <w:u w:val="none"/>
    </w:rPr>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none"/>
    </w:rPr>
  </w:style>
  <w:style w:type="character" w:styleId="38">
    <w:name w:val="HTML Code"/>
    <w:qFormat/>
    <w:uiPriority w:val="0"/>
    <w:rPr>
      <w:rFonts w:hint="default" w:ascii="monospace" w:hAnsi="monospace" w:eastAsia="monospace" w:cs="monospace"/>
      <w:sz w:val="20"/>
    </w:rPr>
  </w:style>
  <w:style w:type="character" w:styleId="39">
    <w:name w:val="HTML Cite"/>
    <w:qFormat/>
    <w:uiPriority w:val="0"/>
  </w:style>
  <w:style w:type="character" w:styleId="40">
    <w:name w:val="HTML Keyboard"/>
    <w:qFormat/>
    <w:uiPriority w:val="0"/>
    <w:rPr>
      <w:rFonts w:ascii="monospace" w:hAnsi="monospace" w:eastAsia="monospace" w:cs="monospace"/>
      <w:b/>
      <w:sz w:val="20"/>
    </w:rPr>
  </w:style>
  <w:style w:type="character" w:styleId="41">
    <w:name w:val="HTML Sample"/>
    <w:qFormat/>
    <w:uiPriority w:val="0"/>
    <w:rPr>
      <w:rFonts w:hint="default" w:ascii="monospace" w:hAnsi="monospace" w:eastAsia="monospace" w:cs="monospace"/>
    </w:rPr>
  </w:style>
  <w:style w:type="character" w:customStyle="1" w:styleId="42">
    <w:name w:val="标题 1 字符"/>
    <w:link w:val="5"/>
    <w:qFormat/>
    <w:uiPriority w:val="0"/>
    <w:rPr>
      <w:rFonts w:eastAsia="宋体"/>
      <w:b/>
      <w:bCs/>
      <w:kern w:val="44"/>
      <w:sz w:val="44"/>
      <w:szCs w:val="44"/>
      <w:lang w:val="en-US" w:eastAsia="zh-CN" w:bidi="ar-SA"/>
    </w:rPr>
  </w:style>
  <w:style w:type="character" w:customStyle="1" w:styleId="43">
    <w:name w:val="标题 2 字符"/>
    <w:link w:val="6"/>
    <w:qFormat/>
    <w:uiPriority w:val="0"/>
    <w:rPr>
      <w:rFonts w:ascii="Arial" w:hAnsi="Arial" w:eastAsia="黑体"/>
      <w:b/>
      <w:kern w:val="2"/>
      <w:sz w:val="28"/>
      <w:szCs w:val="28"/>
    </w:rPr>
  </w:style>
  <w:style w:type="character" w:customStyle="1" w:styleId="44">
    <w:name w:val="正文缩进 字符"/>
    <w:link w:val="7"/>
    <w:qFormat/>
    <w:uiPriority w:val="0"/>
    <w:rPr>
      <w:rFonts w:eastAsia="宋体"/>
      <w:kern w:val="2"/>
      <w:sz w:val="21"/>
      <w:lang w:val="en-US" w:eastAsia="zh-CN" w:bidi="ar-SA"/>
    </w:rPr>
  </w:style>
  <w:style w:type="character" w:customStyle="1" w:styleId="45">
    <w:name w:val="页脚 字符"/>
    <w:link w:val="21"/>
    <w:qFormat/>
    <w:uiPriority w:val="0"/>
    <w:rPr>
      <w:rFonts w:eastAsia="宋体"/>
      <w:kern w:val="2"/>
      <w:sz w:val="18"/>
      <w:lang w:val="en-US" w:eastAsia="zh-CN" w:bidi="ar-SA"/>
    </w:rPr>
  </w:style>
  <w:style w:type="character" w:customStyle="1" w:styleId="46">
    <w:name w:val="页眉 字符"/>
    <w:link w:val="22"/>
    <w:qFormat/>
    <w:uiPriority w:val="0"/>
    <w:rPr>
      <w:rFonts w:eastAsia="宋体"/>
      <w:kern w:val="2"/>
      <w:sz w:val="18"/>
      <w:lang w:val="en-US" w:eastAsia="zh-CN" w:bidi="ar-SA"/>
    </w:rPr>
  </w:style>
  <w:style w:type="paragraph" w:customStyle="1" w:styleId="47">
    <w:name w:val="样式 标题 1 + 宋体 居中 段前: 17 磅 段后: 16.5 磅"/>
    <w:basedOn w:val="5"/>
    <w:qFormat/>
    <w:uiPriority w:val="0"/>
    <w:pPr>
      <w:keepNext w:val="0"/>
      <w:keepLines w:val="0"/>
      <w:tabs>
        <w:tab w:val="left" w:pos="840"/>
      </w:tabs>
      <w:wordWrap w:val="0"/>
      <w:snapToGrid w:val="0"/>
      <w:spacing w:line="579" w:lineRule="auto"/>
      <w:ind w:left="840" w:hanging="420"/>
      <w:jc w:val="left"/>
    </w:pPr>
    <w:rPr>
      <w:rFonts w:ascii="华文中宋" w:hAnsi="华文中宋" w:eastAsia="华文中宋" w:cs="宋体"/>
      <w:b w:val="0"/>
      <w:bCs w:val="0"/>
      <w:sz w:val="28"/>
      <w:szCs w:val="20"/>
    </w:rPr>
  </w:style>
  <w:style w:type="paragraph" w:customStyle="1" w:styleId="48">
    <w:name w:val="Char"/>
    <w:basedOn w:val="1"/>
    <w:qFormat/>
    <w:uiPriority w:val="0"/>
    <w:rPr>
      <w:rFonts w:ascii="Tahoma" w:hAnsi="Tahoma" w:eastAsia="宋体" w:cs="Times New Roman"/>
      <w:sz w:val="24"/>
      <w:szCs w:val="20"/>
    </w:rPr>
  </w:style>
  <w:style w:type="paragraph" w:customStyle="1" w:styleId="49">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0">
    <w:name w:val="DAS正文"/>
    <w:basedOn w:val="1"/>
    <w:qFormat/>
    <w:uiPriority w:val="0"/>
    <w:pPr>
      <w:spacing w:line="360" w:lineRule="auto"/>
      <w:ind w:right="181" w:firstLine="480"/>
    </w:pPr>
    <w:rPr>
      <w:rFonts w:ascii="Verdana" w:hAnsi="Verdana"/>
      <w:szCs w:val="24"/>
    </w:rPr>
  </w:style>
  <w:style w:type="paragraph" w:customStyle="1" w:styleId="51">
    <w:name w:val="style4"/>
    <w:basedOn w:val="1"/>
    <w:next w:val="52"/>
    <w:qFormat/>
    <w:uiPriority w:val="99"/>
    <w:pPr>
      <w:widowControl/>
      <w:spacing w:before="280" w:after="280"/>
    </w:pPr>
    <w:rPr>
      <w:rFonts w:ascii="宋体"/>
      <w:sz w:val="18"/>
    </w:rPr>
  </w:style>
  <w:style w:type="paragraph" w:customStyle="1" w:styleId="5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53">
    <w:name w:val="hover"/>
    <w:qFormat/>
    <w:uiPriority w:val="0"/>
    <w:rPr>
      <w:color w:val="5FB878"/>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font21"/>
    <w:qFormat/>
    <w:uiPriority w:val="0"/>
    <w:rPr>
      <w:rFonts w:hint="default" w:ascii="Times New Roman" w:hAnsi="Times New Roman" w:cs="Times New Roman"/>
      <w:color w:val="000000"/>
      <w:sz w:val="24"/>
      <w:szCs w:val="24"/>
      <w:u w:val="none"/>
    </w:rPr>
  </w:style>
  <w:style w:type="character" w:customStyle="1" w:styleId="56">
    <w:name w:val="hover1"/>
    <w:qFormat/>
    <w:uiPriority w:val="0"/>
    <w:rPr>
      <w:color w:val="5FB878"/>
    </w:rPr>
  </w:style>
  <w:style w:type="character" w:customStyle="1" w:styleId="57">
    <w:name w:val="hover2"/>
    <w:qFormat/>
    <w:uiPriority w:val="0"/>
    <w:rPr>
      <w:color w:val="FFFFFF"/>
    </w:rPr>
  </w:style>
  <w:style w:type="character" w:customStyle="1" w:styleId="58">
    <w:name w:val="font01"/>
    <w:qFormat/>
    <w:uiPriority w:val="0"/>
    <w:rPr>
      <w:rFonts w:hint="eastAsia" w:ascii="宋体" w:hAnsi="宋体" w:eastAsia="宋体" w:cs="宋体"/>
      <w:color w:val="000000"/>
      <w:sz w:val="24"/>
      <w:szCs w:val="24"/>
      <w:u w:val="none"/>
    </w:rPr>
  </w:style>
  <w:style w:type="character" w:customStyle="1" w:styleId="59">
    <w:name w:val="font11"/>
    <w:qFormat/>
    <w:uiPriority w:val="0"/>
    <w:rPr>
      <w:rFonts w:hint="default" w:ascii="Times New Roman" w:hAnsi="Times New Roman" w:cs="Times New Roman"/>
      <w:color w:val="000000"/>
      <w:sz w:val="24"/>
      <w:szCs w:val="24"/>
      <w:u w:val="none"/>
    </w:rPr>
  </w:style>
  <w:style w:type="paragraph" w:customStyle="1" w:styleId="60">
    <w:name w:val="p0 paragraphinden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1">
    <w:name w:val="默认段落字体 Para Char Char Char Char"/>
    <w:basedOn w:val="1"/>
    <w:qFormat/>
    <w:uiPriority w:val="0"/>
  </w:style>
  <w:style w:type="paragraph" w:customStyle="1" w:styleId="62">
    <w:name w:val="正"/>
    <w:basedOn w:val="1"/>
    <w:qFormat/>
    <w:uiPriority w:val="0"/>
    <w:pPr>
      <w:spacing w:line="360" w:lineRule="auto"/>
      <w:ind w:left="360" w:hanging="360" w:hangingChars="150"/>
    </w:pPr>
    <w:rPr>
      <w:rFonts w:ascii="Times New Roman" w:hAnsi="Times New Roman" w:cs="Times New Roman"/>
      <w:snapToGrid/>
      <w:kern w:val="2"/>
      <w:sz w:val="24"/>
      <w:szCs w:val="24"/>
    </w:rPr>
  </w:style>
  <w:style w:type="paragraph" w:customStyle="1" w:styleId="63">
    <w:name w:val=" Char Char Char Char"/>
    <w:basedOn w:val="12"/>
    <w:qFormat/>
    <w:uiPriority w:val="0"/>
    <w:rPr>
      <w:rFonts w:ascii="Tahoma" w:hAnsi="Tahoma"/>
      <w:sz w:val="24"/>
      <w:szCs w:val="24"/>
    </w:rPr>
  </w:style>
  <w:style w:type="paragraph" w:customStyle="1" w:styleId="64">
    <w:name w:val="Char Char1"/>
    <w:basedOn w:val="1"/>
    <w:qFormat/>
    <w:uiPriority w:val="0"/>
    <w:rPr>
      <w:szCs w:val="24"/>
    </w:rPr>
  </w:style>
  <w:style w:type="paragraph" w:customStyle="1" w:styleId="6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p0"/>
    <w:qFormat/>
    <w:uiPriority w:val="0"/>
    <w:rPr>
      <w:rFonts w:ascii="Times New Roman" w:hAnsi="Times New Roman" w:eastAsia="宋体" w:cs="Times New Roman"/>
      <w:szCs w:val="21"/>
      <w:lang w:val="en-US" w:eastAsia="zh-CN" w:bidi="ar-SA"/>
    </w:rPr>
  </w:style>
  <w:style w:type="paragraph" w:customStyle="1" w:styleId="67">
    <w:name w:val=" Char Char1 Char Char Char Char Char Char Char"/>
    <w:basedOn w:val="1"/>
    <w:qFormat/>
    <w:uiPriority w:val="0"/>
  </w:style>
  <w:style w:type="paragraph" w:customStyle="1" w:styleId="6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0">
    <w:name w:val="正文1"/>
    <w:qFormat/>
    <w:uiPriority w:val="0"/>
    <w:pPr>
      <w:widowControl w:val="0"/>
      <w:jc w:val="both"/>
    </w:pPr>
    <w:rPr>
      <w:rFonts w:hint="default"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33</Pages>
  <Words>17764</Words>
  <Characters>18210</Characters>
  <Lines>108</Lines>
  <Paragraphs>30</Paragraphs>
  <TotalTime>40</TotalTime>
  <ScaleCrop>false</ScaleCrop>
  <LinksUpToDate>false</LinksUpToDate>
  <CharactersWithSpaces>19198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2023-09-08T01:24:00Z</dcterms:created>
  <dc:creator>中国名望</dc:creator>
  <cp:lastModifiedBy>口天吴</cp:lastModifiedBy>
  <cp:lastPrinted>2023-11-01T08:37:00Z</cp:lastPrinted>
  <dcterms:modified xsi:type="dcterms:W3CDTF">2024-11-01T07:50:47Z</dcterms:modified>
  <dc:title>海门市政府采购招标文件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6581468162A1404FBE85228E06B8DCC3_13</vt:lpwstr>
  </property>
</Properties>
</file>