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C64A">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原海门市禾丰化学肥料有限公司地块土壤污染风险评估报告公示</w:t>
      </w:r>
      <w:bookmarkStart w:id="1" w:name="_GoBack"/>
      <w:bookmarkEnd w:id="1"/>
    </w:p>
    <w:p w14:paraId="1262BC8F">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b/>
          <w:kern w:val="0"/>
          <w:sz w:val="32"/>
          <w:szCs w:val="32"/>
        </w:rPr>
      </w:pPr>
    </w:p>
    <w:p w14:paraId="70E86BD9">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项目名称：原海门市禾丰化学肥料有限公司地块土壤污染风险评估报告</w:t>
      </w:r>
    </w:p>
    <w:p w14:paraId="1F7E62FD">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委托单位：南通市海门鸿业建设投资有限公司</w:t>
      </w:r>
    </w:p>
    <w:p w14:paraId="4EA840D4">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调查单位：南京大学环境规划设计研究院集团股份公司</w:t>
      </w:r>
    </w:p>
    <w:p w14:paraId="27CBD258">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采样及检测单位：江苏光质检测科技有限公司</w:t>
      </w:r>
    </w:p>
    <w:p w14:paraId="51513ED4">
      <w:pPr>
        <w:keepNext w:val="0"/>
        <w:keepLines w:val="0"/>
        <w:pageBreakBefore w:val="0"/>
        <w:kinsoku/>
        <w:wordWrap/>
        <w:overflowPunct/>
        <w:topLinePunct w:val="0"/>
        <w:autoSpaceDE/>
        <w:autoSpaceDN/>
        <w:bidi w:val="0"/>
        <w:spacing w:line="560" w:lineRule="exact"/>
        <w:ind w:firstLine="560"/>
        <w:textAlignment w:val="auto"/>
        <w:rPr>
          <w:rFonts w:hint="default" w:ascii="Times New Roman" w:hAnsi="Times New Roman" w:eastAsia="方正仿宋_GBK" w:cs="Times New Roman"/>
          <w:sz w:val="32"/>
          <w:szCs w:val="32"/>
        </w:rPr>
      </w:pPr>
    </w:p>
    <w:p w14:paraId="7E9C13D3">
      <w:pPr>
        <w:keepNext w:val="0"/>
        <w:keepLines w:val="0"/>
        <w:pageBreakBefore w:val="0"/>
        <w:kinsoku/>
        <w:wordWrap/>
        <w:overflowPunct/>
        <w:topLinePunct w:val="0"/>
        <w:autoSpaceDE/>
        <w:autoSpaceDN/>
        <w:bidi w:val="0"/>
        <w:spacing w:line="560" w:lineRule="exact"/>
        <w:ind w:firstLine="56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海门市禾丰化学肥料有限公司地块位于南通市海门区青龙化工园大庆路1号。地块东侧为海门兆丰化工有限公司（已停产）；西侧为海门贝斯特精细化工有限公司（已停产）；北侧为青化河，向北延伸为空地；南侧为大庆路，大庆路南侧为南通永禹化工有限公司（已停产），目前该地块已拆除并进行生态覆绿。地块总面积为24447.6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约36.7亩）。本地块历史上主要涉及海门县磷肥厂和海门市禾丰化学肥料有限公司，为工业用地。目前地块内除办公楼外，原企业各类生产设备、构筑物已全部拆除，地块现状为一片荒地。根据《南通市海门区国土空间总体规划》（2021-2035年），本地块规划用途为二类工业用地（M2），属于《土壤环境质量 建设用地土壤污染风险管控标准（试行）》(GB 36600-2018)中规定的第二类用地。</w:t>
      </w:r>
    </w:p>
    <w:p w14:paraId="44B194B1">
      <w:pPr>
        <w:keepNext w:val="0"/>
        <w:keepLines w:val="0"/>
        <w:pageBreakBefore w:val="0"/>
        <w:kinsoku/>
        <w:wordWrap/>
        <w:overflowPunct/>
        <w:topLinePunct w:val="0"/>
        <w:autoSpaceDE/>
        <w:autoSpaceDN/>
        <w:bidi w:val="0"/>
        <w:spacing w:line="560" w:lineRule="exact"/>
        <w:ind w:firstLine="56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江苏圣泰环境科技股份有限公司编制的《海门市禾丰化学肥料有限公司地块信息风险筛查报告》（2019.05），地块风险筛查分数为55.8，为中度关注地块；因地块工业利用时间长，且属于长江1km内沿线关闭退出化工地块，被确定为重点行业企业用地调查中的高风险地块。</w:t>
      </w:r>
    </w:p>
    <w:p w14:paraId="6BA21AB2">
      <w:pPr>
        <w:keepNext w:val="0"/>
        <w:keepLines w:val="0"/>
        <w:pageBreakBefore w:val="0"/>
        <w:kinsoku/>
        <w:wordWrap/>
        <w:overflowPunct/>
        <w:topLinePunct w:val="0"/>
        <w:autoSpaceDE/>
        <w:autoSpaceDN/>
        <w:bidi w:val="0"/>
        <w:spacing w:line="560" w:lineRule="exact"/>
        <w:ind w:firstLine="56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Cs/>
          <w:sz w:val="32"/>
          <w:szCs w:val="32"/>
        </w:rPr>
        <w:t>根据2025年6月完成的《原海门市禾丰化学肥料有限公司地块土壤污染状况调查报告》结论：调查地块土壤中砷、氯仿及甲醛的检出浓度超过《土壤环境质量 建设用地土壤污染风险管控标准（试行）》（GB 36600-2018），超标深度最深至6.0m；地下水中</w:t>
      </w:r>
      <w:r>
        <w:rPr>
          <w:rFonts w:hint="default" w:ascii="Times New Roman" w:hAnsi="Times New Roman" w:eastAsia="方正仿宋_GBK" w:cs="Times New Roman"/>
          <w:sz w:val="32"/>
          <w:szCs w:val="32"/>
          <w:lang w:val="zh-CN"/>
        </w:rPr>
        <w:t>pH、氯化物、硫酸盐、氨氮、氟化物、硝酸盐、亚硝酸盐、挥发酚、阴离子表面活性剂（LAS）、锰、铜、锌、钴、砷、镉、镍、铍、铅、钒、钼、1,2-二氯乙烷和氯仿</w:t>
      </w:r>
      <w:r>
        <w:rPr>
          <w:rFonts w:hint="default" w:ascii="Times New Roman" w:hAnsi="Times New Roman" w:eastAsia="方正仿宋_GBK" w:cs="Times New Roman"/>
          <w:bCs/>
          <w:sz w:val="32"/>
          <w:szCs w:val="32"/>
        </w:rPr>
        <w:t>的检出浓度超过《地下水质量标准》（GB/T 14848-2017）中IV类水质标准及相关标准限值，地下水超标监测井深度为6.0m，潜水含水层中部监测井（15m）污染物检出浓度未超标。</w:t>
      </w:r>
    </w:p>
    <w:p w14:paraId="44E71B0C">
      <w:pPr>
        <w:keepNext w:val="0"/>
        <w:keepLines w:val="0"/>
        <w:pageBreakBefore w:val="0"/>
        <w:kinsoku/>
        <w:wordWrap/>
        <w:overflowPunct/>
        <w:topLinePunct w:val="0"/>
        <w:autoSpaceDE/>
        <w:autoSpaceDN/>
        <w:bidi w:val="0"/>
        <w:spacing w:line="560" w:lineRule="exact"/>
        <w:ind w:firstLine="56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根据《建设用地土壤污染风险评估技术导则》（HJ25.3-2019）的相关规定，在地下水不考虑饮用水暴露途径下，南京大学环境规划设计研究院集团股份公司开展了原海门市禾丰化学肥料有限公司地块风险评估工作。评估结果表明：</w:t>
      </w:r>
      <w:bookmarkStart w:id="0" w:name="_Hlk212801543"/>
      <w:r>
        <w:rPr>
          <w:rFonts w:hint="default" w:ascii="Times New Roman" w:hAnsi="Times New Roman" w:eastAsia="方正仿宋_GBK" w:cs="Times New Roman"/>
          <w:sz w:val="32"/>
          <w:szCs w:val="32"/>
        </w:rPr>
        <w:t>本地块</w:t>
      </w:r>
      <w:r>
        <w:rPr>
          <w:rFonts w:hint="default" w:ascii="Times New Roman" w:hAnsi="Times New Roman" w:eastAsia="方正仿宋_GBK" w:cs="Times New Roman"/>
          <w:sz w:val="32"/>
          <w:szCs w:val="32"/>
          <w:lang w:val="zh-CN" w:eastAsia="zh-CN"/>
        </w:rPr>
        <w:t>土壤中</w:t>
      </w:r>
      <w:r>
        <w:rPr>
          <w:rFonts w:hint="default" w:ascii="Times New Roman" w:hAnsi="Times New Roman" w:eastAsia="方正仿宋_GBK" w:cs="Times New Roman"/>
          <w:sz w:val="32"/>
          <w:szCs w:val="32"/>
          <w:lang w:val="zh-CN"/>
        </w:rPr>
        <w:t>关注污染物</w:t>
      </w:r>
      <w:r>
        <w:rPr>
          <w:rFonts w:hint="default" w:ascii="Times New Roman" w:hAnsi="Times New Roman" w:eastAsia="方正仿宋_GBK" w:cs="Times New Roman"/>
          <w:sz w:val="32"/>
          <w:szCs w:val="32"/>
        </w:rPr>
        <w:t>砷、苯并(a)芘、氯仿、甲醛的健康均风险不可接受。地下水中关注污染物硝酸盐、亚硝酸盐、锰、氨氮、氟化物、挥发酚、铜、锌、钴、砷、镉、镍、铍、铅、钒、钼、1,2-二氯乙烷健康风险可接受，</w:t>
      </w:r>
      <w:r>
        <w:rPr>
          <w:rFonts w:hint="default" w:ascii="Times New Roman" w:hAnsi="Times New Roman" w:eastAsia="方正仿宋_GBK" w:cs="Times New Roman"/>
          <w:sz w:val="32"/>
          <w:szCs w:val="32"/>
          <w:lang w:eastAsia="zh-TW"/>
        </w:rPr>
        <w:t>氯仿</w:t>
      </w:r>
      <w:r>
        <w:rPr>
          <w:rFonts w:hint="default" w:ascii="Times New Roman" w:hAnsi="Times New Roman" w:eastAsia="方正仿宋_GBK" w:cs="Times New Roman"/>
          <w:sz w:val="32"/>
          <w:szCs w:val="32"/>
        </w:rPr>
        <w:t>的健康风险不可接受。</w:t>
      </w:r>
      <w:bookmarkEnd w:id="0"/>
      <w:r>
        <w:rPr>
          <w:rFonts w:hint="default" w:ascii="Times New Roman" w:hAnsi="Times New Roman" w:eastAsia="方正仿宋_GBK" w:cs="Times New Roman"/>
          <w:sz w:val="32"/>
          <w:szCs w:val="32"/>
        </w:rPr>
        <w:t>因此需要对风险不可接受区域的土壤和地下水实施修复或风险管控工作。</w:t>
      </w:r>
    </w:p>
    <w:p w14:paraId="710562EA">
      <w:pPr>
        <w:keepNext w:val="0"/>
        <w:keepLines w:val="0"/>
        <w:pageBreakBefore w:val="0"/>
        <w:kinsoku/>
        <w:wordWrap/>
        <w:overflowPunct/>
        <w:topLinePunct w:val="0"/>
        <w:autoSpaceDE/>
        <w:autoSpaceDN/>
        <w:bidi w:val="0"/>
        <w:adjustRightInd/>
        <w:snapToGrid/>
        <w:spacing w:line="560" w:lineRule="exact"/>
        <w:ind w:firstLine="560"/>
        <w:textAlignment w:val="auto"/>
        <w:rPr>
          <w:sz w:val="32"/>
          <w:szCs w:val="32"/>
        </w:rPr>
      </w:pPr>
      <w:r>
        <w:rPr>
          <w:rFonts w:hint="eastAsia"/>
          <w:sz w:val="32"/>
          <w:szCs w:val="32"/>
        </w:rPr>
        <w:t>本报告对土壤和地下水修复范围和方量进行了估算，本地块</w:t>
      </w:r>
      <w:r>
        <w:rPr>
          <w:sz w:val="32"/>
          <w:szCs w:val="32"/>
        </w:rPr>
        <w:t>土壤</w:t>
      </w:r>
      <w:r>
        <w:rPr>
          <w:rFonts w:hint="eastAsia"/>
          <w:sz w:val="32"/>
          <w:szCs w:val="32"/>
        </w:rPr>
        <w:t>的</w:t>
      </w:r>
      <w:r>
        <w:rPr>
          <w:sz w:val="32"/>
          <w:szCs w:val="32"/>
        </w:rPr>
        <w:t>修复总面积约为4063.2m</w:t>
      </w:r>
      <w:r>
        <w:rPr>
          <w:sz w:val="32"/>
          <w:szCs w:val="32"/>
          <w:vertAlign w:val="superscript"/>
        </w:rPr>
        <w:t>2</w:t>
      </w:r>
      <w:r>
        <w:rPr>
          <w:sz w:val="32"/>
          <w:szCs w:val="32"/>
        </w:rPr>
        <w:t>，</w:t>
      </w:r>
      <w:r>
        <w:rPr>
          <w:rFonts w:hint="eastAsia"/>
          <w:sz w:val="32"/>
          <w:szCs w:val="32"/>
        </w:rPr>
        <w:t>修复深度最深为8.0m，</w:t>
      </w:r>
      <w:r>
        <w:rPr>
          <w:sz w:val="32"/>
          <w:szCs w:val="32"/>
        </w:rPr>
        <w:t>总</w:t>
      </w:r>
      <w:r>
        <w:rPr>
          <w:rFonts w:hint="eastAsia"/>
          <w:sz w:val="32"/>
          <w:szCs w:val="32"/>
        </w:rPr>
        <w:t>方量</w:t>
      </w:r>
      <w:r>
        <w:rPr>
          <w:sz w:val="32"/>
          <w:szCs w:val="32"/>
        </w:rPr>
        <w:t>约为15660.4m</w:t>
      </w:r>
      <w:r>
        <w:rPr>
          <w:sz w:val="32"/>
          <w:szCs w:val="32"/>
          <w:vertAlign w:val="superscript"/>
        </w:rPr>
        <w:t>3</w:t>
      </w:r>
      <w:r>
        <w:rPr>
          <w:rFonts w:hint="eastAsia"/>
          <w:sz w:val="32"/>
          <w:szCs w:val="32"/>
        </w:rPr>
        <w:t>。本地块</w:t>
      </w:r>
      <w:r>
        <w:rPr>
          <w:sz w:val="32"/>
          <w:szCs w:val="32"/>
        </w:rPr>
        <w:t>潜水含水层需要修复</w:t>
      </w:r>
      <w:r>
        <w:rPr>
          <w:rFonts w:hint="eastAsia"/>
          <w:sz w:val="32"/>
          <w:szCs w:val="32"/>
        </w:rPr>
        <w:t>，修复面积</w:t>
      </w:r>
      <w:r>
        <w:rPr>
          <w:sz w:val="32"/>
          <w:szCs w:val="32"/>
        </w:rPr>
        <w:t>总计约3185m</w:t>
      </w:r>
      <w:r>
        <w:rPr>
          <w:sz w:val="32"/>
          <w:szCs w:val="32"/>
          <w:vertAlign w:val="superscript"/>
        </w:rPr>
        <w:t>2</w:t>
      </w:r>
      <w:r>
        <w:rPr>
          <w:rFonts w:hint="eastAsia"/>
          <w:sz w:val="32"/>
          <w:szCs w:val="32"/>
        </w:rPr>
        <w:t>，修复潜水层深度为27m，</w:t>
      </w:r>
      <w:r>
        <w:rPr>
          <w:rStyle w:val="39"/>
          <w:rFonts w:hint="eastAsia"/>
          <w:sz w:val="32"/>
          <w:szCs w:val="32"/>
        </w:rPr>
        <w:t>修复方量后期编制修复（管控）方案时依据小试确定。</w:t>
      </w:r>
    </w:p>
    <w:p w14:paraId="3D5FBDFC">
      <w:pPr>
        <w:keepNext w:val="0"/>
        <w:keepLines w:val="0"/>
        <w:pageBreakBefore w:val="0"/>
        <w:kinsoku/>
        <w:wordWrap/>
        <w:overflowPunct/>
        <w:topLinePunct w:val="0"/>
        <w:autoSpaceDE/>
        <w:autoSpaceDN/>
        <w:bidi w:val="0"/>
        <w:spacing w:line="560" w:lineRule="exact"/>
        <w:ind w:firstLine="560"/>
        <w:textAlignment w:val="auto"/>
        <w:rPr>
          <w:sz w:val="32"/>
          <w:szCs w:val="32"/>
        </w:rPr>
      </w:pPr>
      <w:r>
        <w:rPr>
          <w:rFonts w:hint="eastAsia"/>
          <w:sz w:val="32"/>
          <w:szCs w:val="32"/>
        </w:rPr>
        <w:t>本次公示期间，公众对本项目有生态环境相关意见的，请以书面形式反馈，个人需署真实姓名，单位须加盖公章。</w:t>
      </w:r>
    </w:p>
    <w:p w14:paraId="1D0833F5">
      <w:pPr>
        <w:keepNext w:val="0"/>
        <w:keepLines w:val="0"/>
        <w:pageBreakBefore w:val="0"/>
        <w:kinsoku/>
        <w:wordWrap/>
        <w:overflowPunct/>
        <w:topLinePunct w:val="0"/>
        <w:autoSpaceDE/>
        <w:autoSpaceDN/>
        <w:bidi w:val="0"/>
        <w:spacing w:line="560" w:lineRule="exact"/>
        <w:ind w:firstLine="560"/>
        <w:textAlignment w:val="auto"/>
        <w:rPr>
          <w:sz w:val="32"/>
          <w:szCs w:val="32"/>
        </w:rPr>
      </w:pPr>
    </w:p>
    <w:p w14:paraId="5EBDF573">
      <w:pPr>
        <w:keepNext w:val="0"/>
        <w:keepLines w:val="0"/>
        <w:pageBreakBefore w:val="0"/>
        <w:kinsoku/>
        <w:wordWrap/>
        <w:overflowPunct/>
        <w:topLinePunct w:val="0"/>
        <w:autoSpaceDE/>
        <w:autoSpaceDN/>
        <w:bidi w:val="0"/>
        <w:spacing w:line="560" w:lineRule="exact"/>
        <w:ind w:firstLine="560"/>
        <w:textAlignment w:val="auto"/>
        <w:rPr>
          <w:sz w:val="32"/>
          <w:szCs w:val="32"/>
        </w:rPr>
      </w:pPr>
      <w:r>
        <w:rPr>
          <w:sz w:val="32"/>
          <w:szCs w:val="32"/>
        </w:rPr>
        <w:t>联系人：</w:t>
      </w:r>
      <w:r>
        <w:rPr>
          <w:rFonts w:hint="eastAsia"/>
          <w:sz w:val="32"/>
          <w:szCs w:val="32"/>
        </w:rPr>
        <w:t>戴工</w:t>
      </w:r>
    </w:p>
    <w:p w14:paraId="387E2680">
      <w:pPr>
        <w:keepNext w:val="0"/>
        <w:keepLines w:val="0"/>
        <w:pageBreakBefore w:val="0"/>
        <w:kinsoku/>
        <w:wordWrap/>
        <w:overflowPunct/>
        <w:topLinePunct w:val="0"/>
        <w:autoSpaceDE/>
        <w:autoSpaceDN/>
        <w:bidi w:val="0"/>
        <w:spacing w:line="560" w:lineRule="exact"/>
        <w:ind w:firstLine="560"/>
        <w:textAlignment w:val="auto"/>
        <w:rPr>
          <w:sz w:val="32"/>
          <w:szCs w:val="32"/>
        </w:rPr>
      </w:pPr>
      <w:r>
        <w:rPr>
          <w:sz w:val="32"/>
          <w:szCs w:val="32"/>
        </w:rPr>
        <w:t>联系电话：025-83686095</w:t>
      </w:r>
    </w:p>
    <w:p w14:paraId="7BF17746">
      <w:pPr>
        <w:keepNext w:val="0"/>
        <w:keepLines w:val="0"/>
        <w:pageBreakBefore w:val="0"/>
        <w:kinsoku/>
        <w:wordWrap/>
        <w:overflowPunct/>
        <w:topLinePunct w:val="0"/>
        <w:autoSpaceDE/>
        <w:autoSpaceDN/>
        <w:bidi w:val="0"/>
        <w:spacing w:line="560" w:lineRule="exact"/>
        <w:ind w:firstLine="560"/>
        <w:textAlignment w:val="auto"/>
        <w:rPr>
          <w:rFonts w:hint="eastAsia"/>
          <w:sz w:val="32"/>
          <w:szCs w:val="32"/>
        </w:rPr>
      </w:pPr>
      <w:r>
        <w:rPr>
          <w:sz w:val="32"/>
          <w:szCs w:val="32"/>
        </w:rPr>
        <w:t>通讯地址：南京市鼓楼区</w:t>
      </w:r>
      <w:r>
        <w:rPr>
          <w:rFonts w:hint="eastAsia"/>
          <w:sz w:val="32"/>
          <w:szCs w:val="32"/>
        </w:rPr>
        <w:t>金银街16号南京大学鼓楼校区科学楼</w:t>
      </w:r>
      <w:r>
        <w:rPr>
          <w:sz w:val="32"/>
          <w:szCs w:val="32"/>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D7223">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951C">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3FBAD">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8204E">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D6B5">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49289">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24"/>
    <w:rsid w:val="000C0D98"/>
    <w:rsid w:val="001E3294"/>
    <w:rsid w:val="00297ACB"/>
    <w:rsid w:val="00340EF5"/>
    <w:rsid w:val="00343524"/>
    <w:rsid w:val="004B27E6"/>
    <w:rsid w:val="005F4A8A"/>
    <w:rsid w:val="0066326E"/>
    <w:rsid w:val="006C05CC"/>
    <w:rsid w:val="007E6297"/>
    <w:rsid w:val="008D6002"/>
    <w:rsid w:val="00997101"/>
    <w:rsid w:val="009B4005"/>
    <w:rsid w:val="00A559B0"/>
    <w:rsid w:val="00B243DF"/>
    <w:rsid w:val="00B3281D"/>
    <w:rsid w:val="00C050E9"/>
    <w:rsid w:val="00C30AAB"/>
    <w:rsid w:val="00CA331A"/>
    <w:rsid w:val="00DB49CA"/>
    <w:rsid w:val="428E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18"/>
    <w:qFormat/>
    <w:uiPriority w:val="9"/>
    <w:pPr>
      <w:keepNext/>
      <w:keepLines/>
      <w:adjustRightInd/>
      <w:snapToGrid/>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adjustRightInd/>
      <w:snapToGrid/>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adjustRightInd/>
      <w:snapToGrid/>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adjustRightInd/>
      <w:snapToGrid/>
      <w:spacing w:before="80" w:after="40"/>
      <w:outlineLvl w:val="3"/>
    </w:pPr>
    <w:rPr>
      <w:rFonts w:asciiTheme="minorHAnsi" w:hAnsiTheme="minorHAnsi" w:eastAsiaTheme="minorEastAsia" w:cstheme="majorBidi"/>
      <w:color w:val="104862" w:themeColor="accent1" w:themeShade="BF"/>
      <w:szCs w:val="28"/>
    </w:rPr>
  </w:style>
  <w:style w:type="paragraph" w:styleId="6">
    <w:name w:val="heading 5"/>
    <w:basedOn w:val="1"/>
    <w:next w:val="1"/>
    <w:link w:val="22"/>
    <w:semiHidden/>
    <w:unhideWhenUsed/>
    <w:qFormat/>
    <w:uiPriority w:val="9"/>
    <w:pPr>
      <w:keepNext/>
      <w:keepLines/>
      <w:adjustRightInd/>
      <w:snapToGrid/>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3"/>
    <w:semiHidden/>
    <w:unhideWhenUsed/>
    <w:qFormat/>
    <w:uiPriority w:val="9"/>
    <w:pPr>
      <w:keepNext/>
      <w:keepLines/>
      <w:adjustRightInd/>
      <w:snapToGrid/>
      <w:spacing w:before="40"/>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4"/>
    <w:semiHidden/>
    <w:unhideWhenUsed/>
    <w:qFormat/>
    <w:uiPriority w:val="9"/>
    <w:pPr>
      <w:keepNext/>
      <w:keepLines/>
      <w:adjustRightInd/>
      <w:snapToGrid/>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adjustRightInd/>
      <w:snapToGrid/>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adjustRightInd/>
      <w:snapToGrid/>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adjustRightInd/>
      <w:spacing w:line="240" w:lineRule="atLeast"/>
      <w:jc w:val="left"/>
    </w:pPr>
    <w:rPr>
      <w:rFonts w:cstheme="minorBidi"/>
      <w:sz w:val="18"/>
      <w:szCs w:val="18"/>
    </w:rPr>
  </w:style>
  <w:style w:type="paragraph" w:styleId="12">
    <w:name w:val="header"/>
    <w:basedOn w:val="1"/>
    <w:link w:val="36"/>
    <w:unhideWhenUsed/>
    <w:qFormat/>
    <w:uiPriority w:val="99"/>
    <w:pPr>
      <w:tabs>
        <w:tab w:val="center" w:pos="4153"/>
        <w:tab w:val="right" w:pos="8306"/>
      </w:tabs>
      <w:adjustRightInd/>
      <w:spacing w:line="240" w:lineRule="atLeast"/>
      <w:jc w:val="center"/>
    </w:pPr>
    <w:rPr>
      <w:rFonts w:cstheme="minorBidi"/>
      <w:sz w:val="18"/>
      <w:szCs w:val="18"/>
    </w:rPr>
  </w:style>
  <w:style w:type="paragraph" w:styleId="13">
    <w:name w:val="Subtitle"/>
    <w:basedOn w:val="1"/>
    <w:next w:val="1"/>
    <w:link w:val="28"/>
    <w:qFormat/>
    <w:uiPriority w:val="11"/>
    <w:pPr>
      <w:adjustRightInd/>
      <w:snapToGrid/>
      <w:spacing w:after="160"/>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4">
    <w:name w:val="Title"/>
    <w:basedOn w:val="1"/>
    <w:next w:val="1"/>
    <w:link w:val="27"/>
    <w:qFormat/>
    <w:uiPriority w:val="0"/>
    <w:pPr>
      <w:adjustRightInd/>
      <w:snapToGrid/>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sz w:val="28"/>
    </w:rPr>
  </w:style>
  <w:style w:type="character" w:customStyle="1" w:styleId="24">
    <w:name w:val="标题 7 字符"/>
    <w:basedOn w:val="17"/>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7">
    <w:name w:val="标题 字符"/>
    <w:basedOn w:val="17"/>
    <w:link w:val="14"/>
    <w:qFormat/>
    <w:uiPriority w:val="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adjustRightInd/>
      <w:snapToGrid/>
      <w:spacing w:before="160" w:after="160"/>
      <w:jc w:val="center"/>
    </w:pPr>
    <w:rPr>
      <w:rFonts w:cstheme="minorBidi"/>
      <w:i/>
      <w:iCs/>
      <w:color w:val="404040" w:themeColor="text1" w:themeTint="BF"/>
      <w:szCs w:val="22"/>
      <w14:textFill>
        <w14:solidFill>
          <w14:schemeClr w14:val="tx1">
            <w14:lumMod w14:val="75000"/>
            <w14:lumOff w14:val="25000"/>
          </w14:schemeClr>
        </w14:solidFill>
      </w14:textFill>
    </w:rPr>
  </w:style>
  <w:style w:type="character" w:customStyle="1" w:styleId="30">
    <w:name w:val="引用 字符"/>
    <w:basedOn w:val="17"/>
    <w:link w:val="29"/>
    <w:uiPriority w:val="29"/>
    <w:rPr>
      <w:rFonts w:ascii="Times New Roman" w:hAnsi="Times New Roman" w:eastAsia="仿宋_GB2312"/>
      <w:i/>
      <w:iCs/>
      <w:color w:val="404040" w:themeColor="text1" w:themeTint="BF"/>
      <w:sz w:val="28"/>
      <w14:textFill>
        <w14:solidFill>
          <w14:schemeClr w14:val="tx1">
            <w14:lumMod w14:val="75000"/>
            <w14:lumOff w14:val="25000"/>
          </w14:schemeClr>
        </w14:solidFill>
      </w14:textFill>
    </w:rPr>
  </w:style>
  <w:style w:type="paragraph" w:styleId="31">
    <w:name w:val="List Paragraph"/>
    <w:basedOn w:val="1"/>
    <w:qFormat/>
    <w:uiPriority w:val="34"/>
    <w:pPr>
      <w:adjustRightInd/>
      <w:snapToGrid/>
      <w:ind w:left="720"/>
      <w:contextualSpacing/>
    </w:pPr>
    <w:rPr>
      <w:rFonts w:cstheme="minorBidi"/>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adjustRightInd/>
      <w:snapToGrid/>
      <w:spacing w:before="360" w:after="360"/>
      <w:ind w:left="864" w:right="864"/>
      <w:jc w:val="center"/>
    </w:pPr>
    <w:rPr>
      <w:rFonts w:cstheme="minorBidi"/>
      <w:i/>
      <w:iCs/>
      <w:color w:val="104862" w:themeColor="accent1" w:themeShade="BF"/>
      <w:szCs w:val="22"/>
    </w:rPr>
  </w:style>
  <w:style w:type="character" w:customStyle="1" w:styleId="34">
    <w:name w:val="明显引用 字符"/>
    <w:basedOn w:val="17"/>
    <w:link w:val="33"/>
    <w:qFormat/>
    <w:uiPriority w:val="30"/>
    <w:rPr>
      <w:rFonts w:ascii="Times New Roman" w:hAnsi="Times New Roman" w:eastAsia="仿宋_GB2312"/>
      <w:i/>
      <w:iCs/>
      <w:color w:val="104862" w:themeColor="accent1" w:themeShade="BF"/>
      <w:sz w:val="28"/>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rFonts w:ascii="Times New Roman" w:hAnsi="Times New Roman" w:eastAsia="仿宋_GB2312"/>
      <w:sz w:val="18"/>
      <w:szCs w:val="18"/>
    </w:rPr>
  </w:style>
  <w:style w:type="character" w:customStyle="1" w:styleId="37">
    <w:name w:val="页脚 字符"/>
    <w:basedOn w:val="17"/>
    <w:link w:val="11"/>
    <w:uiPriority w:val="99"/>
    <w:rPr>
      <w:rFonts w:ascii="Times New Roman" w:hAnsi="Times New Roman" w:eastAsia="仿宋_GB2312"/>
      <w:sz w:val="18"/>
      <w:szCs w:val="18"/>
    </w:rPr>
  </w:style>
  <w:style w:type="paragraph" w:customStyle="1" w:styleId="38">
    <w:name w:val="报告正文"/>
    <w:basedOn w:val="1"/>
    <w:link w:val="39"/>
    <w:autoRedefine/>
    <w:qFormat/>
    <w:uiPriority w:val="0"/>
    <w:pPr>
      <w:widowControl/>
      <w:adjustRightInd/>
      <w:snapToGrid/>
    </w:pPr>
    <w:rPr>
      <w:kern w:val="0"/>
    </w:rPr>
  </w:style>
  <w:style w:type="character" w:customStyle="1" w:styleId="39">
    <w:name w:val="报告正文 Char"/>
    <w:basedOn w:val="17"/>
    <w:link w:val="38"/>
    <w:autoRedefine/>
    <w:qFormat/>
    <w:uiPriority w:val="0"/>
    <w:rPr>
      <w:rFonts w:ascii="Times New Roman" w:hAnsi="Times New Roman" w:eastAsia="仿宋_GB2312"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1238</Words>
  <Characters>1373</Characters>
  <Lines>9</Lines>
  <Paragraphs>2</Paragraphs>
  <TotalTime>33</TotalTime>
  <ScaleCrop>false</ScaleCrop>
  <LinksUpToDate>false</LinksUpToDate>
  <CharactersWithSpaces>1378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2025-12-25T06:25:00Z</dcterms:created>
  <dc:creator>振宇 戴</dc:creator>
  <cp:lastModifiedBy>向凌宇</cp:lastModifiedBy>
  <dcterms:modified xsi:type="dcterms:W3CDTF">2025-12-29T02:55:15Z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eyJoZGlkIjoiMzIxMDNlMDI1N2ZlYTgzNTk5ZWQ4MWQ4YmE3NThiMTUiLCJ1c2VySWQiOiI2NzI4NTg5NDQifQ==</vt:lpwstr>
  </property>
  <property fmtid="{D5CDD505-2E9C-101B-9397-08002B2CF9AE}" pid="3" name="KSOProductBuildVer">
    <vt:lpwstr>2052-12.1.0.20784</vt:lpwstr>
  </property>
  <property fmtid="{D5CDD505-2E9C-101B-9397-08002B2CF9AE}" pid="4" name="ICV">
    <vt:lpwstr>0CCCF0E734AF4B39B8B618D9CA5A966F_12</vt:lpwstr>
  </property>
</Properties>
</file>