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rPr>
          <w:rFonts w:ascii="黑体" w:eastAsia="黑体"/>
          <w:sz w:val="32"/>
          <w:szCs w:val="32"/>
        </w:rPr>
      </w:pPr>
    </w:p>
    <w:p>
      <w:pPr>
        <w:pStyle w:val="2"/>
        <w:rPr>
          <w:rFonts w:ascii="黑体" w:eastAsia="黑体"/>
          <w:sz w:val="32"/>
          <w:szCs w:val="32"/>
        </w:rPr>
      </w:pPr>
    </w:p>
    <w:p/>
    <w:p>
      <w:pPr>
        <w:tabs>
          <w:tab w:val="left" w:pos="8553"/>
        </w:tabs>
        <w:adjustRightInd w:val="0"/>
        <w:snapToGrid w:val="0"/>
        <w:spacing w:line="1600" w:lineRule="exact"/>
        <w:ind w:right="300" w:rightChars="143"/>
        <w:jc w:val="center"/>
        <w:rPr>
          <w:rFonts w:ascii="方正小标宋_GBK" w:eastAsia="方正小标宋_GBK"/>
          <w:color w:val="FF0000"/>
          <w:spacing w:val="38"/>
          <w:w w:val="50"/>
          <w:sz w:val="120"/>
          <w:szCs w:val="120"/>
        </w:rPr>
      </w:pPr>
      <w:r>
        <w:rPr>
          <w:rFonts w:hint="eastAsia" w:ascii="方正小标宋_GBK" w:eastAsia="方正小标宋_GBK"/>
          <w:color w:val="FF0000"/>
          <w:spacing w:val="38"/>
          <w:w w:val="50"/>
          <w:sz w:val="120"/>
          <w:szCs w:val="120"/>
        </w:rPr>
        <w:t>中共南通市海门区委办公室</w:t>
      </w:r>
    </w:p>
    <w:p>
      <w:pPr>
        <w:adjustRightInd w:val="0"/>
        <w:snapToGrid w:val="0"/>
        <w:spacing w:line="640" w:lineRule="exact"/>
        <w:rPr>
          <w:rFonts w:ascii="仿宋_GB2312" w:eastAsia="仿宋_GB2312"/>
          <w:sz w:val="32"/>
          <w:szCs w:val="32"/>
        </w:rPr>
      </w:pPr>
    </w:p>
    <w:p>
      <w:pPr>
        <w:snapToGrid w:val="0"/>
        <w:spacing w:line="160" w:lineRule="exact"/>
        <w:jc w:val="center"/>
        <w:rPr>
          <w:rFonts w:eastAsia="仿宋_GB2312"/>
          <w:sz w:val="32"/>
        </w:rPr>
      </w:pPr>
    </w:p>
    <w:p>
      <w:pPr>
        <w:snapToGrid w:val="0"/>
        <w:jc w:val="center"/>
        <w:rPr>
          <w:rFonts w:eastAsia="楷体_GB2312"/>
          <w:sz w:val="32"/>
        </w:rPr>
      </w:pPr>
      <w:r>
        <w:rPr>
          <w:rFonts w:hint="eastAsia" w:eastAsia="仿宋_GB2312"/>
          <w:sz w:val="32"/>
        </w:rPr>
        <w:t xml:space="preserve"> 海办</w:t>
      </w:r>
      <w:r>
        <w:rPr>
          <w:rFonts w:hint="eastAsia" w:ascii="仿宋_GB2312" w:hAnsi="仿宋_GB2312" w:eastAsia="仿宋_GB2312" w:cs="仿宋_GB2312"/>
          <w:sz w:val="32"/>
        </w:rPr>
        <w:t>〔</w:t>
      </w:r>
      <w:r>
        <w:rPr>
          <w:rFonts w:ascii="仿宋_GB2312" w:hAnsi="仿宋_GB2312" w:eastAsia="仿宋_GB2312" w:cs="仿宋_GB2312"/>
          <w:sz w:val="32"/>
        </w:rPr>
        <w:t>20</w:t>
      </w:r>
      <w:r>
        <w:rPr>
          <w:rFonts w:hint="eastAsia" w:ascii="仿宋_GB2312" w:hAnsi="仿宋_GB2312" w:eastAsia="仿宋_GB2312" w:cs="仿宋_GB2312"/>
          <w:sz w:val="32"/>
        </w:rPr>
        <w:t>22〕</w:t>
      </w:r>
      <w:r>
        <w:rPr>
          <w:rFonts w:ascii="仿宋_GB2312" w:hAnsi="仿宋_GB2312" w:eastAsia="仿宋_GB2312" w:cs="仿宋_GB2312"/>
          <w:sz w:val="32"/>
        </w:rPr>
        <w:t>22</w:t>
      </w:r>
      <w:r>
        <w:rPr>
          <w:rFonts w:hint="eastAsia" w:eastAsia="仿宋_GB2312"/>
          <w:sz w:val="32"/>
        </w:rPr>
        <w:t>号</w:t>
      </w:r>
    </w:p>
    <w:p>
      <w:pPr>
        <w:pBdr>
          <w:between w:val="single" w:color="FF0000" w:sz="18" w:space="1"/>
        </w:pBdr>
        <w:adjustRightInd w:val="0"/>
        <w:snapToGrid w:val="0"/>
        <w:rPr>
          <w:rFonts w:ascii="仿宋_GB2312" w:eastAsia="仿宋_GB2312"/>
          <w:sz w:val="11"/>
          <w:szCs w:val="11"/>
        </w:rPr>
      </w:pPr>
    </w:p>
    <w:p>
      <w:pPr>
        <w:pBdr>
          <w:between w:val="single" w:color="FF0000" w:sz="18" w:space="1"/>
        </w:pBdr>
        <w:adjustRightInd w:val="0"/>
        <w:snapToGrid w:val="0"/>
        <w:spacing w:line="400" w:lineRule="exact"/>
        <w:rPr>
          <w:rFonts w:ascii="仿宋_GB2312" w:eastAsia="仿宋_GB2312"/>
          <w:sz w:val="32"/>
          <w:szCs w:val="32"/>
        </w:rPr>
      </w:pPr>
    </w:p>
    <w:p>
      <w:pPr>
        <w:adjustRightInd w:val="0"/>
        <w:snapToGrid w:val="0"/>
        <w:spacing w:line="560" w:lineRule="exact"/>
        <w:jc w:val="center"/>
        <w:rPr>
          <w:rFonts w:ascii="方正大标宋简体" w:hAnsi="新宋体" w:eastAsia="方正大标宋简体"/>
          <w:snapToGrid w:val="0"/>
          <w:kern w:val="0"/>
          <w:sz w:val="44"/>
          <w:szCs w:val="44"/>
        </w:rPr>
      </w:pPr>
    </w:p>
    <w:p>
      <w:pPr>
        <w:adjustRightInd w:val="0"/>
        <w:snapToGrid w:val="0"/>
        <w:spacing w:line="560" w:lineRule="exact"/>
        <w:jc w:val="center"/>
        <w:rPr>
          <w:rFonts w:ascii="方正小标宋简体" w:eastAsia="方正小标宋简体"/>
          <w:snapToGrid w:val="0"/>
          <w:sz w:val="44"/>
          <w:szCs w:val="44"/>
        </w:rPr>
      </w:pPr>
      <w:r>
        <w:rPr>
          <w:rFonts w:hint="eastAsia" w:ascii="方正小标宋简体" w:eastAsia="方正小标宋简体"/>
          <w:snapToGrid w:val="0"/>
          <w:sz w:val="44"/>
          <w:szCs w:val="44"/>
        </w:rPr>
        <w:t>区委办公室  区政府办公室</w:t>
      </w:r>
    </w:p>
    <w:p>
      <w:pPr>
        <w:spacing w:beforeLines="50" w:line="560" w:lineRule="exact"/>
        <w:jc w:val="center"/>
        <w:rPr>
          <w:rFonts w:ascii="方正小标宋简体" w:eastAsia="方正小标宋简体"/>
          <w:bCs/>
          <w:snapToGrid w:val="0"/>
          <w:sz w:val="44"/>
          <w:szCs w:val="44"/>
          <w:lang w:bidi="en-US"/>
        </w:rPr>
      </w:pPr>
      <w:r>
        <w:rPr>
          <w:rFonts w:hint="eastAsia" w:ascii="方正小标宋简体" w:eastAsia="方正小标宋简体"/>
          <w:bCs/>
          <w:snapToGrid w:val="0"/>
          <w:sz w:val="44"/>
          <w:szCs w:val="44"/>
          <w:lang w:bidi="en-US"/>
        </w:rPr>
        <w:t>关于印发《南通市海门区重点行业转型升级和</w:t>
      </w:r>
    </w:p>
    <w:p>
      <w:pPr>
        <w:spacing w:beforeLines="50" w:line="560" w:lineRule="exact"/>
        <w:jc w:val="center"/>
        <w:rPr>
          <w:rFonts w:ascii="方正小标宋简体" w:eastAsia="方正小标宋简体"/>
          <w:bCs/>
          <w:snapToGrid w:val="0"/>
          <w:sz w:val="44"/>
          <w:szCs w:val="44"/>
          <w:lang w:bidi="en-US"/>
        </w:rPr>
      </w:pPr>
      <w:r>
        <w:rPr>
          <w:rFonts w:hint="eastAsia" w:ascii="方正小标宋简体" w:eastAsia="方正小标宋简体"/>
          <w:bCs/>
          <w:snapToGrid w:val="0"/>
          <w:sz w:val="44"/>
          <w:szCs w:val="44"/>
          <w:lang w:bidi="en-US"/>
        </w:rPr>
        <w:t>绿色发展工作方案》的通知</w:t>
      </w:r>
    </w:p>
    <w:p>
      <w:pPr>
        <w:adjustRightInd w:val="0"/>
        <w:snapToGrid w:val="0"/>
        <w:spacing w:line="560" w:lineRule="exact"/>
        <w:rPr>
          <w:rFonts w:ascii="仿宋_GB2312" w:eastAsia="仿宋_GB2312"/>
          <w:snapToGrid w:val="0"/>
          <w:sz w:val="34"/>
          <w:szCs w:val="34"/>
        </w:rPr>
      </w:pPr>
    </w:p>
    <w:p>
      <w:pPr>
        <w:tabs>
          <w:tab w:val="left" w:pos="7360"/>
          <w:tab w:val="left" w:pos="7840"/>
        </w:tabs>
        <w:spacing w:line="560" w:lineRule="exact"/>
        <w:rPr>
          <w:rFonts w:ascii="仿宋_GB2312" w:eastAsia="仿宋_GB2312"/>
          <w:color w:val="000000"/>
          <w:sz w:val="32"/>
          <w:szCs w:val="32"/>
        </w:rPr>
      </w:pPr>
      <w:r>
        <w:rPr>
          <w:rFonts w:hint="eastAsia" w:ascii="仿宋_GB2312" w:hAnsi="仿宋_GB2312" w:eastAsia="仿宋_GB2312"/>
          <w:color w:val="000000"/>
          <w:sz w:val="32"/>
          <w:szCs w:val="32"/>
        </w:rPr>
        <w:t>各区镇（街道）党（工）委、政府（管委会、办事处），区委各部委办局，区各委办局，区各人民团体和直属单位，各垂直管理部门（单位）：</w:t>
      </w:r>
    </w:p>
    <w:p>
      <w:pPr>
        <w:tabs>
          <w:tab w:val="left" w:pos="7360"/>
          <w:tab w:val="left" w:pos="7840"/>
        </w:tabs>
        <w:spacing w:line="560" w:lineRule="exact"/>
        <w:ind w:firstLine="640" w:firstLineChars="200"/>
        <w:rPr>
          <w:rFonts w:ascii="仿宋_GB2312" w:eastAsia="仿宋_GB2312"/>
          <w:color w:val="000000"/>
          <w:sz w:val="32"/>
          <w:szCs w:val="32"/>
        </w:rPr>
      </w:pPr>
      <w:r>
        <w:rPr>
          <w:rFonts w:hint="eastAsia" w:ascii="仿宋_GB2312" w:hAnsi="仿宋_GB2312" w:eastAsia="仿宋_GB2312"/>
          <w:color w:val="000000"/>
          <w:sz w:val="32"/>
          <w:szCs w:val="32"/>
        </w:rPr>
        <w:t>《南通市海门区重点行业转型升级和绿色发展工作方案》已经区委、区政府同意，现予印发，请认真贯彻执行。</w:t>
      </w:r>
    </w:p>
    <w:p>
      <w:pPr>
        <w:tabs>
          <w:tab w:val="left" w:pos="7560"/>
        </w:tabs>
        <w:spacing w:line="560" w:lineRule="exact"/>
        <w:rPr>
          <w:rFonts w:ascii="仿宋_GB2312" w:eastAsia="仿宋_GB2312"/>
          <w:color w:val="000000"/>
          <w:sz w:val="32"/>
          <w:szCs w:val="32"/>
        </w:rPr>
      </w:pPr>
    </w:p>
    <w:p>
      <w:pPr>
        <w:tabs>
          <w:tab w:val="left" w:pos="4890"/>
        </w:tabs>
        <w:spacing w:line="560" w:lineRule="exact"/>
        <w:ind w:right="611" w:rightChars="291"/>
        <w:jc w:val="right"/>
        <w:rPr>
          <w:rFonts w:ascii="仿宋_GB2312" w:hAnsi="宋体" w:eastAsia="仿宋_GB2312"/>
          <w:color w:val="000000"/>
          <w:sz w:val="32"/>
          <w:szCs w:val="32"/>
        </w:rPr>
      </w:pPr>
      <w:r>
        <w:rPr>
          <w:rFonts w:hint="eastAsia" w:ascii="仿宋_GB2312" w:hAnsi="宋体" w:eastAsia="仿宋_GB2312" w:cs="宋体"/>
          <w:color w:val="000000"/>
          <w:spacing w:val="-20"/>
          <w:sz w:val="32"/>
          <w:szCs w:val="32"/>
        </w:rPr>
        <w:t>中共南通市海门区委办公室</w:t>
      </w:r>
      <w:r>
        <w:rPr>
          <w:rFonts w:hint="eastAsia" w:ascii="仿宋_GB2312" w:hAnsi="宋体" w:eastAsia="仿宋_GB2312" w:cs="宋体"/>
          <w:color w:val="000000"/>
          <w:sz w:val="32"/>
          <w:szCs w:val="32"/>
        </w:rPr>
        <w:t xml:space="preserve">    </w:t>
      </w:r>
      <w:r>
        <w:rPr>
          <w:rFonts w:hint="eastAsia" w:ascii="仿宋_GB2312" w:hAnsi="宋体" w:eastAsia="仿宋_GB2312" w:cs="宋体"/>
          <w:color w:val="000000"/>
          <w:spacing w:val="-20"/>
          <w:sz w:val="32"/>
          <w:szCs w:val="32"/>
        </w:rPr>
        <w:t>南通市海门区人民政府办公室</w:t>
      </w:r>
    </w:p>
    <w:p>
      <w:pPr>
        <w:tabs>
          <w:tab w:val="left" w:pos="7573"/>
          <w:tab w:val="left" w:pos="7797"/>
        </w:tabs>
        <w:spacing w:line="560" w:lineRule="exact"/>
        <w:ind w:right="1260" w:rightChars="600"/>
        <w:jc w:val="right"/>
        <w:rPr>
          <w:rFonts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  2022年</w:t>
      </w:r>
      <w:r>
        <w:rPr>
          <w:rFonts w:hint="eastAsia" w:ascii="仿宋_GB2312" w:eastAsia="仿宋_GB2312"/>
          <w:color w:val="000000"/>
          <w:sz w:val="32"/>
          <w:szCs w:val="32"/>
        </w:rPr>
        <w:t>2</w:t>
      </w:r>
      <w:r>
        <w:rPr>
          <w:rFonts w:hint="eastAsia" w:ascii="仿宋_GB2312" w:hAnsi="宋体" w:eastAsia="仿宋_GB2312" w:cs="宋体"/>
          <w:color w:val="000000"/>
          <w:sz w:val="32"/>
          <w:szCs w:val="32"/>
        </w:rPr>
        <w:t>月23日</w:t>
      </w:r>
    </w:p>
    <w:p>
      <w:pPr>
        <w:pStyle w:val="2"/>
        <w:spacing w:line="560" w:lineRule="exact"/>
        <w:rPr>
          <w:rFonts w:ascii="仿宋_GB2312" w:eastAsia="仿宋_GB2312"/>
          <w:sz w:val="32"/>
          <w:szCs w:val="32"/>
        </w:rPr>
        <w:sectPr>
          <w:footerReference r:id="rId3" w:type="default"/>
          <w:footerReference r:id="rId4" w:type="even"/>
          <w:pgSz w:w="11906" w:h="16838"/>
          <w:pgMar w:top="2041" w:right="1531" w:bottom="2041" w:left="1531" w:header="510" w:footer="1474" w:gutter="0"/>
          <w:cols w:space="425" w:num="1"/>
          <w:docGrid w:type="lines" w:linePitch="312" w:charSpace="0"/>
        </w:sectPr>
      </w:pPr>
    </w:p>
    <w:p>
      <w:pPr>
        <w:spacing w:line="560" w:lineRule="exact"/>
        <w:jc w:val="center"/>
        <w:rPr>
          <w:rStyle w:val="10"/>
          <w:rFonts w:ascii="方正小标宋简体" w:hAnsi="方正小标宋简体" w:eastAsia="方正小标宋简体" w:cs="方正小标宋简体"/>
          <w:spacing w:val="-10"/>
          <w:sz w:val="44"/>
          <w:szCs w:val="44"/>
        </w:rPr>
      </w:pPr>
    </w:p>
    <w:p>
      <w:pPr>
        <w:spacing w:line="560" w:lineRule="exact"/>
        <w:jc w:val="center"/>
        <w:rPr>
          <w:rStyle w:val="10"/>
          <w:rFonts w:ascii="方正小标宋简体" w:hAnsi="方正小标宋简体" w:eastAsia="方正小标宋简体" w:cs="Times New Roman"/>
          <w:color w:val="000000"/>
          <w:spacing w:val="-10"/>
          <w:sz w:val="44"/>
          <w:szCs w:val="44"/>
        </w:rPr>
      </w:pPr>
      <w:r>
        <w:rPr>
          <w:rStyle w:val="10"/>
          <w:rFonts w:hint="eastAsia" w:ascii="方正小标宋简体" w:hAnsi="方正小标宋简体" w:eastAsia="方正小标宋简体" w:cs="方正小标宋简体"/>
          <w:spacing w:val="-10"/>
          <w:sz w:val="44"/>
          <w:szCs w:val="44"/>
        </w:rPr>
        <w:t>南通市海门区</w:t>
      </w:r>
      <w:r>
        <w:rPr>
          <w:rStyle w:val="10"/>
          <w:rFonts w:hint="eastAsia" w:ascii="方正小标宋简体" w:hAnsi="方正小标宋简体" w:eastAsia="方正小标宋简体" w:cs="方正小标宋简体"/>
          <w:color w:val="000000"/>
          <w:spacing w:val="-10"/>
          <w:sz w:val="44"/>
          <w:szCs w:val="44"/>
        </w:rPr>
        <w:t>重点行业转型升级和绿色发展</w:t>
      </w:r>
    </w:p>
    <w:p>
      <w:pPr>
        <w:spacing w:line="560" w:lineRule="exact"/>
        <w:jc w:val="center"/>
        <w:rPr>
          <w:rStyle w:val="10"/>
          <w:rFonts w:ascii="方正小标宋简体" w:hAnsi="方正小标宋简体" w:eastAsia="方正小标宋简体" w:cs="Times New Roman"/>
          <w:color w:val="000000"/>
          <w:sz w:val="44"/>
          <w:szCs w:val="44"/>
        </w:rPr>
      </w:pPr>
      <w:r>
        <w:rPr>
          <w:rStyle w:val="10"/>
          <w:rFonts w:hint="eastAsia" w:ascii="方正小标宋简体" w:hAnsi="方正小标宋简体" w:eastAsia="方正小标宋简体" w:cs="方正小标宋简体"/>
          <w:color w:val="000000"/>
          <w:sz w:val="44"/>
          <w:szCs w:val="44"/>
        </w:rPr>
        <w:t>工作方案</w:t>
      </w:r>
    </w:p>
    <w:p>
      <w:pPr>
        <w:spacing w:line="560" w:lineRule="exact"/>
        <w:ind w:firstLine="640" w:firstLineChars="200"/>
        <w:jc w:val="center"/>
        <w:rPr>
          <w:rStyle w:val="10"/>
          <w:rFonts w:ascii="方正小标宋简体" w:hAnsi="方正小标宋简体" w:eastAsia="方正小标宋简体" w:cs="Times New Roman"/>
          <w:color w:val="000000"/>
          <w:sz w:val="32"/>
          <w:szCs w:val="32"/>
        </w:rPr>
      </w:pPr>
    </w:p>
    <w:p>
      <w:pPr>
        <w:spacing w:line="560" w:lineRule="exact"/>
        <w:ind w:firstLine="640" w:firstLineChars="200"/>
        <w:rPr>
          <w:rStyle w:val="10"/>
          <w:rFonts w:ascii="仿宋_GB2312" w:hAnsi="仿宋_GB2312" w:eastAsia="仿宋_GB2312" w:cs="Times New Roman"/>
          <w:color w:val="000000"/>
          <w:sz w:val="32"/>
          <w:szCs w:val="32"/>
        </w:rPr>
      </w:pPr>
      <w:r>
        <w:rPr>
          <w:rStyle w:val="10"/>
          <w:rFonts w:hint="eastAsia" w:ascii="仿宋_GB2312" w:hAnsi="仿宋_GB2312" w:eastAsia="仿宋_GB2312" w:cs="仿宋_GB2312"/>
          <w:color w:val="000000"/>
          <w:sz w:val="32"/>
          <w:szCs w:val="32"/>
        </w:rPr>
        <w:t>为贯彻落实习近平生态文明思想，认真做好碳达峰、碳中和工作，根据《省政府关于推进绿色产业发展的意见》（苏政发〔</w:t>
      </w:r>
      <w:r>
        <w:rPr>
          <w:rStyle w:val="10"/>
          <w:rFonts w:ascii="仿宋_GB2312" w:hAnsi="仿宋_GB2312" w:eastAsia="仿宋_GB2312" w:cs="仿宋_GB2312"/>
          <w:color w:val="000000"/>
          <w:sz w:val="32"/>
          <w:szCs w:val="32"/>
        </w:rPr>
        <w:t>2020</w:t>
      </w:r>
      <w:r>
        <w:rPr>
          <w:rStyle w:val="10"/>
          <w:rFonts w:hint="eastAsia" w:ascii="仿宋_GB2312" w:hAnsi="仿宋_GB2312" w:eastAsia="仿宋_GB2312" w:cs="仿宋_GB2312"/>
          <w:color w:val="000000"/>
          <w:sz w:val="32"/>
          <w:szCs w:val="32"/>
        </w:rPr>
        <w:t>〕</w:t>
      </w:r>
      <w:r>
        <w:rPr>
          <w:rStyle w:val="10"/>
          <w:rFonts w:ascii="仿宋_GB2312" w:hAnsi="仿宋_GB2312" w:eastAsia="仿宋_GB2312" w:cs="仿宋_GB2312"/>
          <w:color w:val="000000"/>
          <w:sz w:val="32"/>
          <w:szCs w:val="32"/>
        </w:rPr>
        <w:t>28</w:t>
      </w:r>
      <w:r>
        <w:rPr>
          <w:rStyle w:val="10"/>
          <w:rFonts w:hint="eastAsia" w:ascii="仿宋_GB2312" w:hAnsi="仿宋_GB2312" w:eastAsia="仿宋_GB2312" w:cs="仿宋_GB2312"/>
          <w:color w:val="000000"/>
          <w:sz w:val="32"/>
          <w:szCs w:val="32"/>
        </w:rPr>
        <w:t>号）、《省政府办公厅关于印发江苏省“产业强链”三年工作计划（</w:t>
      </w:r>
      <w:r>
        <w:rPr>
          <w:rStyle w:val="10"/>
          <w:rFonts w:ascii="仿宋_GB2312" w:hAnsi="仿宋_GB2312" w:eastAsia="仿宋_GB2312" w:cs="仿宋_GB2312"/>
          <w:color w:val="000000"/>
          <w:sz w:val="32"/>
          <w:szCs w:val="32"/>
        </w:rPr>
        <w:t>2021-2023</w:t>
      </w:r>
      <w:r>
        <w:rPr>
          <w:rStyle w:val="10"/>
          <w:rFonts w:hint="eastAsia" w:ascii="仿宋_GB2312" w:hAnsi="仿宋_GB2312" w:eastAsia="仿宋_GB2312" w:cs="仿宋_GB2312"/>
          <w:color w:val="000000"/>
          <w:sz w:val="32"/>
          <w:szCs w:val="32"/>
        </w:rPr>
        <w:t>年）》（苏政办发〔</w:t>
      </w:r>
      <w:r>
        <w:rPr>
          <w:rStyle w:val="10"/>
          <w:rFonts w:ascii="仿宋_GB2312" w:hAnsi="仿宋_GB2312" w:eastAsia="仿宋_GB2312" w:cs="仿宋_GB2312"/>
          <w:color w:val="000000"/>
          <w:sz w:val="32"/>
          <w:szCs w:val="32"/>
        </w:rPr>
        <w:t>2020</w:t>
      </w:r>
      <w:r>
        <w:rPr>
          <w:rStyle w:val="10"/>
          <w:rFonts w:hint="eastAsia" w:ascii="仿宋_GB2312" w:hAnsi="仿宋_GB2312" w:eastAsia="仿宋_GB2312" w:cs="仿宋_GB2312"/>
          <w:color w:val="000000"/>
          <w:sz w:val="32"/>
          <w:szCs w:val="32"/>
        </w:rPr>
        <w:t>〕</w:t>
      </w:r>
      <w:r>
        <w:rPr>
          <w:rStyle w:val="10"/>
          <w:rFonts w:ascii="仿宋_GB2312" w:hAnsi="仿宋_GB2312" w:eastAsia="仿宋_GB2312" w:cs="仿宋_GB2312"/>
          <w:color w:val="000000"/>
          <w:sz w:val="32"/>
          <w:szCs w:val="32"/>
        </w:rPr>
        <w:t>82</w:t>
      </w:r>
      <w:r>
        <w:rPr>
          <w:rStyle w:val="10"/>
          <w:rFonts w:hint="eastAsia" w:ascii="仿宋_GB2312" w:hAnsi="仿宋_GB2312" w:eastAsia="仿宋_GB2312" w:cs="仿宋_GB2312"/>
          <w:color w:val="000000"/>
          <w:sz w:val="32"/>
          <w:szCs w:val="32"/>
        </w:rPr>
        <w:t>号）、《市委办公室市政府办公室印发</w:t>
      </w:r>
      <w:r>
        <w:rPr>
          <w:rStyle w:val="10"/>
          <w:rFonts w:ascii="仿宋_GB2312" w:hAnsi="仿宋_GB2312" w:eastAsia="仿宋_GB2312" w:cs="仿宋_GB2312"/>
          <w:color w:val="000000"/>
          <w:sz w:val="32"/>
          <w:szCs w:val="32"/>
        </w:rPr>
        <w:t>&lt;</w:t>
      </w:r>
      <w:r>
        <w:rPr>
          <w:rStyle w:val="10"/>
          <w:rFonts w:hint="eastAsia" w:ascii="仿宋_GB2312" w:hAnsi="仿宋_GB2312" w:eastAsia="仿宋_GB2312" w:cs="仿宋_GB2312"/>
          <w:color w:val="000000"/>
          <w:sz w:val="32"/>
          <w:szCs w:val="32"/>
        </w:rPr>
        <w:t>南通市关于加大污染减排力度推进重点行业绿色发展的指导意见</w:t>
      </w:r>
      <w:r>
        <w:rPr>
          <w:rStyle w:val="10"/>
          <w:rFonts w:ascii="仿宋_GB2312" w:hAnsi="仿宋_GB2312" w:eastAsia="仿宋_GB2312" w:cs="仿宋_GB2312"/>
          <w:color w:val="000000"/>
          <w:sz w:val="32"/>
          <w:szCs w:val="32"/>
        </w:rPr>
        <w:t>&gt;</w:t>
      </w:r>
      <w:r>
        <w:rPr>
          <w:rStyle w:val="10"/>
          <w:rFonts w:hint="eastAsia" w:ascii="仿宋_GB2312" w:hAnsi="仿宋_GB2312" w:eastAsia="仿宋_GB2312" w:cs="仿宋_GB2312"/>
          <w:color w:val="000000"/>
          <w:sz w:val="32"/>
          <w:szCs w:val="32"/>
        </w:rPr>
        <w:t>的通知》（通办〔</w:t>
      </w:r>
      <w:r>
        <w:rPr>
          <w:rStyle w:val="10"/>
          <w:rFonts w:ascii="仿宋_GB2312" w:hAnsi="仿宋_GB2312" w:eastAsia="仿宋_GB2312" w:cs="仿宋_GB2312"/>
          <w:color w:val="000000"/>
          <w:sz w:val="32"/>
          <w:szCs w:val="32"/>
        </w:rPr>
        <w:t>2021</w:t>
      </w:r>
      <w:r>
        <w:rPr>
          <w:rStyle w:val="10"/>
          <w:rFonts w:hint="eastAsia" w:ascii="仿宋_GB2312" w:hAnsi="仿宋_GB2312" w:eastAsia="仿宋_GB2312" w:cs="仿宋_GB2312"/>
          <w:color w:val="000000"/>
          <w:sz w:val="32"/>
          <w:szCs w:val="32"/>
        </w:rPr>
        <w:t>〕</w:t>
      </w:r>
      <w:r>
        <w:rPr>
          <w:rStyle w:val="10"/>
          <w:rFonts w:ascii="仿宋_GB2312" w:hAnsi="仿宋_GB2312" w:eastAsia="仿宋_GB2312" w:cs="仿宋_GB2312"/>
          <w:color w:val="000000"/>
          <w:sz w:val="32"/>
          <w:szCs w:val="32"/>
        </w:rPr>
        <w:t>59</w:t>
      </w:r>
      <w:r>
        <w:rPr>
          <w:rStyle w:val="10"/>
          <w:rFonts w:hint="eastAsia" w:ascii="仿宋_GB2312" w:hAnsi="仿宋_GB2312" w:eastAsia="仿宋_GB2312" w:cs="仿宋_GB2312"/>
          <w:color w:val="000000"/>
          <w:sz w:val="32"/>
          <w:szCs w:val="32"/>
        </w:rPr>
        <w:t>号）等文件精神，进一步加大污染减排力度，扎实推进纺织印染、装备制造、船舶海工等六个重点行业绿色发展，现制定如下方案。</w:t>
      </w:r>
    </w:p>
    <w:p>
      <w:pPr>
        <w:numPr>
          <w:ilvl w:val="0"/>
          <w:numId w:val="1"/>
        </w:numPr>
        <w:spacing w:line="560" w:lineRule="exact"/>
        <w:ind w:firstLine="880"/>
        <w:rPr>
          <w:rStyle w:val="10"/>
          <w:rFonts w:ascii="黑体" w:hAnsi="黑体" w:eastAsia="黑体" w:cs="Times New Roman"/>
          <w:color w:val="000000"/>
          <w:sz w:val="32"/>
          <w:szCs w:val="32"/>
        </w:rPr>
      </w:pPr>
      <w:r>
        <w:rPr>
          <w:rStyle w:val="10"/>
          <w:rFonts w:hint="eastAsia" w:ascii="黑体" w:hAnsi="黑体" w:eastAsia="黑体" w:cs="黑体"/>
          <w:color w:val="000000"/>
          <w:sz w:val="32"/>
          <w:szCs w:val="32"/>
        </w:rPr>
        <w:t>指导思想</w:t>
      </w:r>
    </w:p>
    <w:p>
      <w:pPr>
        <w:widowControl w:val="0"/>
        <w:snapToGrid w:val="0"/>
        <w:spacing w:line="560" w:lineRule="exact"/>
        <w:ind w:firstLine="640" w:firstLineChars="200"/>
        <w:rPr>
          <w:rStyle w:val="10"/>
          <w:rFonts w:ascii="仿宋_GB2312" w:hAnsi="仿宋_GB2312" w:eastAsia="仿宋_GB2312" w:cs="Times New Roman"/>
          <w:color w:val="000000"/>
          <w:sz w:val="32"/>
          <w:szCs w:val="32"/>
        </w:rPr>
      </w:pPr>
      <w:r>
        <w:rPr>
          <w:rStyle w:val="10"/>
          <w:rFonts w:hint="eastAsia" w:ascii="仿宋_GB2312" w:eastAsia="仿宋_GB2312" w:cs="仿宋_GB2312"/>
          <w:sz w:val="32"/>
          <w:szCs w:val="32"/>
        </w:rPr>
        <w:t>以习近平新时代中国特色社会主义思想为指导，深入贯彻党的十九大和十九届二中、三中、四中、五中、六中全会精神，自觉践行新发展理念，以推动海门高质量发展为导向，推进重点行业转型升级，培育产业绿色发展优势，拓展产业绿色发展新路径、新空间，完善产业绿色发展的体制机制，为勇当全省</w:t>
      </w:r>
      <w:r>
        <w:rPr>
          <w:rStyle w:val="10"/>
          <w:rFonts w:hint="eastAsia" w:ascii="仿宋_GB2312" w:eastAsia="仿宋_GB2312"/>
          <w:sz w:val="32"/>
          <w:szCs w:val="32"/>
        </w:rPr>
        <w:t>“</w:t>
      </w:r>
      <w:r>
        <w:rPr>
          <w:rStyle w:val="10"/>
          <w:rFonts w:hint="eastAsia" w:ascii="仿宋_GB2312" w:eastAsia="仿宋_GB2312" w:cs="仿宋_GB2312"/>
          <w:sz w:val="32"/>
          <w:szCs w:val="32"/>
        </w:rPr>
        <w:t>争当表率、争做示范、走在前列</w:t>
      </w:r>
      <w:r>
        <w:rPr>
          <w:rStyle w:val="10"/>
          <w:rFonts w:hint="eastAsia" w:ascii="仿宋_GB2312" w:eastAsia="仿宋_GB2312"/>
          <w:sz w:val="32"/>
          <w:szCs w:val="32"/>
        </w:rPr>
        <w:t>”</w:t>
      </w:r>
      <w:r>
        <w:rPr>
          <w:rStyle w:val="10"/>
          <w:rFonts w:hint="eastAsia" w:ascii="仿宋_GB2312" w:eastAsia="仿宋_GB2312" w:cs="仿宋_GB2312"/>
          <w:sz w:val="32"/>
          <w:szCs w:val="32"/>
        </w:rPr>
        <w:t>领跑者，奋力开拓</w:t>
      </w:r>
      <w:r>
        <w:rPr>
          <w:rStyle w:val="10"/>
          <w:rFonts w:hint="eastAsia" w:ascii="仿宋_GB2312" w:eastAsia="仿宋_GB2312"/>
          <w:sz w:val="32"/>
          <w:szCs w:val="32"/>
        </w:rPr>
        <w:t>“</w:t>
      </w:r>
      <w:r>
        <w:rPr>
          <w:rStyle w:val="10"/>
          <w:rFonts w:hint="eastAsia" w:ascii="仿宋_GB2312" w:eastAsia="仿宋_GB2312" w:cs="仿宋_GB2312"/>
          <w:sz w:val="32"/>
          <w:szCs w:val="32"/>
        </w:rPr>
        <w:t>强富美高</w:t>
      </w:r>
      <w:r>
        <w:rPr>
          <w:rStyle w:val="10"/>
          <w:rFonts w:hint="eastAsia" w:ascii="仿宋_GB2312" w:eastAsia="仿宋_GB2312"/>
          <w:sz w:val="32"/>
          <w:szCs w:val="32"/>
        </w:rPr>
        <w:t>”</w:t>
      </w:r>
      <w:r>
        <w:rPr>
          <w:rStyle w:val="10"/>
          <w:rFonts w:hint="eastAsia" w:ascii="仿宋_GB2312" w:eastAsia="仿宋_GB2312" w:cs="仿宋_GB2312"/>
          <w:sz w:val="32"/>
          <w:szCs w:val="32"/>
        </w:rPr>
        <w:t>新境界提供坚强保障。</w:t>
      </w:r>
    </w:p>
    <w:p>
      <w:pPr>
        <w:widowControl w:val="0"/>
        <w:numPr>
          <w:ilvl w:val="0"/>
          <w:numId w:val="1"/>
        </w:numPr>
        <w:spacing w:line="560" w:lineRule="exact"/>
        <w:ind w:left="-249" w:firstLine="879"/>
        <w:rPr>
          <w:rStyle w:val="10"/>
          <w:rFonts w:ascii="黑体" w:hAnsi="黑体" w:eastAsia="黑体" w:cs="Times New Roman"/>
          <w:color w:val="000000"/>
          <w:sz w:val="32"/>
          <w:szCs w:val="32"/>
        </w:rPr>
      </w:pPr>
      <w:r>
        <w:rPr>
          <w:rStyle w:val="10"/>
          <w:rFonts w:hint="eastAsia" w:ascii="黑体" w:hAnsi="黑体" w:eastAsia="黑体" w:cs="黑体"/>
          <w:color w:val="000000"/>
          <w:sz w:val="32"/>
          <w:szCs w:val="32"/>
        </w:rPr>
        <w:t>基本原则</w:t>
      </w:r>
    </w:p>
    <w:p>
      <w:pPr>
        <w:widowControl w:val="0"/>
        <w:snapToGrid w:val="0"/>
        <w:spacing w:line="560" w:lineRule="exact"/>
        <w:ind w:firstLine="640" w:firstLineChars="200"/>
        <w:rPr>
          <w:rStyle w:val="10"/>
          <w:rFonts w:ascii="仿宋_GB2312" w:eastAsia="仿宋_GB2312" w:cs="Times New Roman"/>
          <w:sz w:val="32"/>
          <w:szCs w:val="32"/>
        </w:rPr>
      </w:pPr>
      <w:r>
        <w:rPr>
          <w:rStyle w:val="10"/>
          <w:rFonts w:ascii="黑体" w:eastAsia="黑体"/>
          <w:sz w:val="32"/>
          <w:szCs w:val="32"/>
        </w:rPr>
        <w:t>——</w:t>
      </w:r>
      <w:r>
        <w:rPr>
          <w:rStyle w:val="10"/>
          <w:rFonts w:hint="eastAsia" w:ascii="仿宋_GB2312" w:eastAsia="仿宋_GB2312" w:cs="仿宋_GB2312"/>
          <w:sz w:val="32"/>
          <w:szCs w:val="32"/>
        </w:rPr>
        <w:t>实事求是，稳步推进。从解决产业绿色发展的突出矛盾入手，强化源头治理，推进重点区域环境质量持续改善，合理制定近、远期目标。</w:t>
      </w:r>
    </w:p>
    <w:p>
      <w:pPr>
        <w:snapToGrid w:val="0"/>
        <w:spacing w:line="560" w:lineRule="exact"/>
        <w:ind w:firstLine="640" w:firstLineChars="200"/>
        <w:rPr>
          <w:rStyle w:val="10"/>
          <w:rFonts w:ascii="仿宋_GB2312" w:eastAsia="仿宋_GB2312" w:cs="Times New Roman"/>
          <w:sz w:val="32"/>
          <w:szCs w:val="32"/>
        </w:rPr>
      </w:pPr>
      <w:r>
        <w:rPr>
          <w:rStyle w:val="10"/>
          <w:rFonts w:ascii="黑体" w:eastAsia="黑体"/>
          <w:sz w:val="32"/>
          <w:szCs w:val="32"/>
        </w:rPr>
        <w:t>——</w:t>
      </w:r>
      <w:r>
        <w:rPr>
          <w:rStyle w:val="10"/>
          <w:rFonts w:hint="eastAsia" w:ascii="仿宋_GB2312" w:eastAsia="仿宋_GB2312" w:cs="仿宋_GB2312"/>
          <w:sz w:val="32"/>
          <w:szCs w:val="32"/>
        </w:rPr>
        <w:t>对标先进，规划先行。新建企业准入门槛对标国内领先，现有企业转型升级对标苏南。制定重点区域、重点行业发展规划，加快构建具有南通特色的产业发展模式。</w:t>
      </w:r>
    </w:p>
    <w:p>
      <w:pPr>
        <w:snapToGrid w:val="0"/>
        <w:spacing w:line="560" w:lineRule="exact"/>
        <w:ind w:firstLine="640" w:firstLineChars="200"/>
        <w:rPr>
          <w:rStyle w:val="10"/>
          <w:rFonts w:ascii="仿宋_GB2312" w:eastAsia="仿宋_GB2312" w:cs="Times New Roman"/>
          <w:sz w:val="32"/>
          <w:szCs w:val="32"/>
        </w:rPr>
      </w:pPr>
      <w:r>
        <w:rPr>
          <w:rStyle w:val="10"/>
          <w:rFonts w:ascii="黑体" w:eastAsia="黑体"/>
          <w:sz w:val="32"/>
          <w:szCs w:val="32"/>
        </w:rPr>
        <w:t>——</w:t>
      </w:r>
      <w:r>
        <w:rPr>
          <w:rStyle w:val="10"/>
          <w:rFonts w:hint="eastAsia" w:ascii="仿宋_GB2312" w:eastAsia="仿宋_GB2312" w:cs="仿宋_GB2312"/>
          <w:sz w:val="32"/>
          <w:szCs w:val="32"/>
        </w:rPr>
        <w:t>改造存量，优化增量。加快现有产业改造升级，构建低效产业退出机制；优化空间布局，提高资源能源利用效率，培育行业核心竞争力。</w:t>
      </w:r>
    </w:p>
    <w:p>
      <w:pPr>
        <w:snapToGrid w:val="0"/>
        <w:spacing w:line="560" w:lineRule="exact"/>
        <w:ind w:firstLine="640" w:firstLineChars="200"/>
        <w:rPr>
          <w:rStyle w:val="10"/>
          <w:rFonts w:ascii="仿宋_GB2312" w:eastAsia="仿宋_GB2312" w:cs="Times New Roman"/>
          <w:sz w:val="32"/>
          <w:szCs w:val="32"/>
        </w:rPr>
      </w:pPr>
      <w:r>
        <w:rPr>
          <w:rStyle w:val="10"/>
          <w:rFonts w:ascii="黑体" w:eastAsia="黑体"/>
          <w:sz w:val="32"/>
          <w:szCs w:val="32"/>
        </w:rPr>
        <w:t>——</w:t>
      </w:r>
      <w:r>
        <w:rPr>
          <w:rStyle w:val="10"/>
          <w:rFonts w:hint="eastAsia" w:ascii="仿宋_GB2312" w:eastAsia="仿宋_GB2312" w:cs="仿宋_GB2312"/>
          <w:sz w:val="32"/>
          <w:szCs w:val="32"/>
        </w:rPr>
        <w:t>改革引领，创新驱动。坚持科技创新和制度创新并进，一手抓绿色技术，一手抓绿色体制，有效提升产业发展质量。</w:t>
      </w:r>
    </w:p>
    <w:p>
      <w:pPr>
        <w:snapToGrid w:val="0"/>
        <w:spacing w:line="560" w:lineRule="exact"/>
        <w:ind w:firstLine="640" w:firstLineChars="200"/>
        <w:rPr>
          <w:rStyle w:val="10"/>
          <w:rFonts w:ascii="仿宋_GB2312" w:hAnsi="仿宋_GB2312" w:eastAsia="仿宋_GB2312" w:cs="Times New Roman"/>
          <w:color w:val="000000"/>
          <w:sz w:val="32"/>
          <w:szCs w:val="32"/>
        </w:rPr>
      </w:pPr>
      <w:r>
        <w:rPr>
          <w:rStyle w:val="10"/>
          <w:rFonts w:ascii="黑体" w:eastAsia="黑体"/>
          <w:sz w:val="32"/>
          <w:szCs w:val="32"/>
        </w:rPr>
        <w:t>——</w:t>
      </w:r>
      <w:r>
        <w:rPr>
          <w:rStyle w:val="10"/>
          <w:rFonts w:hint="eastAsia" w:ascii="仿宋_GB2312" w:eastAsia="仿宋_GB2312" w:cs="仿宋_GB2312"/>
          <w:sz w:val="32"/>
          <w:szCs w:val="32"/>
        </w:rPr>
        <w:t>市场主导，政府引导。充分发挥经济杠杆和市场调节手段，发挥政府产业培育引导作用，激发践行绿色发展动力。</w:t>
      </w:r>
    </w:p>
    <w:p>
      <w:pPr>
        <w:numPr>
          <w:ilvl w:val="0"/>
          <w:numId w:val="1"/>
        </w:numPr>
        <w:spacing w:line="560" w:lineRule="exact"/>
        <w:ind w:firstLine="880"/>
        <w:rPr>
          <w:rStyle w:val="10"/>
          <w:rFonts w:ascii="黑体" w:hAnsi="黑体" w:eastAsia="黑体" w:cs="Times New Roman"/>
          <w:color w:val="000000"/>
          <w:sz w:val="32"/>
          <w:szCs w:val="32"/>
        </w:rPr>
      </w:pPr>
      <w:r>
        <w:rPr>
          <w:rStyle w:val="10"/>
          <w:rFonts w:hint="eastAsia" w:ascii="黑体" w:hAnsi="黑体" w:eastAsia="黑体" w:cs="黑体"/>
          <w:color w:val="000000"/>
          <w:sz w:val="32"/>
          <w:szCs w:val="32"/>
        </w:rPr>
        <w:t>主要目标</w:t>
      </w:r>
    </w:p>
    <w:p>
      <w:pPr>
        <w:snapToGrid w:val="0"/>
        <w:spacing w:line="560" w:lineRule="exact"/>
        <w:ind w:firstLine="640" w:firstLineChars="200"/>
        <w:rPr>
          <w:rStyle w:val="10"/>
          <w:rFonts w:ascii="楷体_GB2312" w:eastAsia="楷体_GB2312" w:cs="Times New Roman"/>
          <w:sz w:val="32"/>
          <w:szCs w:val="32"/>
        </w:rPr>
      </w:pPr>
      <w:r>
        <w:rPr>
          <w:rStyle w:val="10"/>
          <w:rFonts w:hint="eastAsia" w:ascii="楷体_GB2312" w:eastAsia="楷体_GB2312" w:cs="楷体_GB2312"/>
          <w:sz w:val="32"/>
          <w:szCs w:val="32"/>
        </w:rPr>
        <w:t>（一）总体目标</w:t>
      </w:r>
    </w:p>
    <w:p>
      <w:pPr>
        <w:snapToGrid w:val="0"/>
        <w:spacing w:line="560" w:lineRule="exact"/>
        <w:ind w:firstLine="640" w:firstLineChars="200"/>
        <w:rPr>
          <w:rStyle w:val="10"/>
          <w:rFonts w:ascii="仿宋_GB2312" w:eastAsia="仿宋_GB2312" w:cs="Times New Roman"/>
          <w:sz w:val="32"/>
          <w:szCs w:val="32"/>
        </w:rPr>
      </w:pPr>
      <w:r>
        <w:rPr>
          <w:rStyle w:val="10"/>
          <w:rFonts w:hint="eastAsia" w:ascii="仿宋_GB2312" w:eastAsia="仿宋_GB2312" w:cs="仿宋_GB2312"/>
          <w:sz w:val="32"/>
          <w:szCs w:val="32"/>
        </w:rPr>
        <w:t>到</w:t>
      </w:r>
      <w:r>
        <w:rPr>
          <w:rStyle w:val="10"/>
          <w:rFonts w:ascii="仿宋_GB2312" w:eastAsia="仿宋_GB2312" w:cs="仿宋_GB2312"/>
          <w:sz w:val="32"/>
          <w:szCs w:val="32"/>
        </w:rPr>
        <w:t>2023</w:t>
      </w:r>
      <w:r>
        <w:rPr>
          <w:rStyle w:val="10"/>
          <w:rFonts w:hint="eastAsia" w:ascii="仿宋_GB2312" w:eastAsia="仿宋_GB2312" w:cs="仿宋_GB2312"/>
          <w:sz w:val="32"/>
          <w:szCs w:val="32"/>
        </w:rPr>
        <w:t>年，产业结构明显优化，绿色发展水平显著提升，产业链耦合共生、资源能源高效利用的绿色低碳循环体系初步建立，绿色产业发展的体制机制逐步完善，主要污染物排放总量明显减少，能耗大幅下降，资源利用效率显著提升，碳排放强度合理优化，生态环境持续改善。</w:t>
      </w:r>
    </w:p>
    <w:p>
      <w:pPr>
        <w:widowControl w:val="0"/>
        <w:snapToGrid w:val="0"/>
        <w:spacing w:line="560" w:lineRule="exact"/>
        <w:ind w:firstLine="640" w:firstLineChars="200"/>
        <w:rPr>
          <w:rStyle w:val="10"/>
          <w:rFonts w:ascii="仿宋_GB2312" w:eastAsia="仿宋_GB2312" w:cs="Times New Roman"/>
          <w:sz w:val="32"/>
          <w:szCs w:val="32"/>
        </w:rPr>
      </w:pPr>
      <w:r>
        <w:rPr>
          <w:rStyle w:val="10"/>
          <w:rFonts w:ascii="黑体" w:eastAsia="黑体"/>
          <w:sz w:val="32"/>
          <w:szCs w:val="32"/>
        </w:rPr>
        <w:t>——</w:t>
      </w:r>
      <w:r>
        <w:rPr>
          <w:rStyle w:val="10"/>
          <w:rFonts w:hint="eastAsia" w:ascii="仿宋_GB2312" w:eastAsia="仿宋_GB2312" w:cs="仿宋_GB2312"/>
          <w:sz w:val="32"/>
          <w:szCs w:val="32"/>
        </w:rPr>
        <w:t>传统行业绿色发展水平明显提升。进一步提升传统行业规范化建设水平，改进工艺技术，更新设备装置，提高污染防治水平和能源利用效率，腾退土地资源，树立一批行业转型标杆企业。</w:t>
      </w:r>
    </w:p>
    <w:p>
      <w:pPr>
        <w:widowControl w:val="0"/>
        <w:snapToGrid w:val="0"/>
        <w:spacing w:line="560" w:lineRule="exact"/>
        <w:ind w:firstLine="640" w:firstLineChars="200"/>
        <w:rPr>
          <w:rStyle w:val="10"/>
          <w:rFonts w:ascii="仿宋_GB2312" w:eastAsia="仿宋_GB2312" w:cs="Times New Roman"/>
          <w:sz w:val="32"/>
          <w:szCs w:val="32"/>
        </w:rPr>
      </w:pPr>
      <w:r>
        <w:rPr>
          <w:rStyle w:val="10"/>
          <w:rFonts w:ascii="黑体" w:eastAsia="黑体"/>
          <w:sz w:val="32"/>
          <w:szCs w:val="32"/>
        </w:rPr>
        <w:t>——</w:t>
      </w:r>
      <w:r>
        <w:rPr>
          <w:rStyle w:val="10"/>
          <w:rFonts w:hint="eastAsia" w:ascii="仿宋_GB2312" w:eastAsia="仿宋_GB2312" w:cs="仿宋_GB2312"/>
          <w:sz w:val="32"/>
          <w:szCs w:val="32"/>
        </w:rPr>
        <w:t>新兴产业空间布局规划更加合理。引进一批清洁生产水平更高、产业链耦合共生更紧密的项目，形成产业绿色发展集群，实现沿江向沿海转移、主城区向郊区转移、由分散到集中的空间布局。</w:t>
      </w:r>
    </w:p>
    <w:p>
      <w:pPr>
        <w:snapToGrid w:val="0"/>
        <w:spacing w:line="560" w:lineRule="exact"/>
        <w:ind w:firstLine="640" w:firstLineChars="200"/>
        <w:rPr>
          <w:rStyle w:val="10"/>
          <w:rFonts w:ascii="仿宋_GB2312" w:eastAsia="仿宋_GB2312" w:cs="Times New Roman"/>
          <w:sz w:val="32"/>
          <w:szCs w:val="32"/>
        </w:rPr>
      </w:pPr>
      <w:r>
        <w:rPr>
          <w:rStyle w:val="10"/>
          <w:rFonts w:ascii="黑体" w:eastAsia="黑体"/>
          <w:sz w:val="32"/>
          <w:szCs w:val="32"/>
        </w:rPr>
        <w:t>——</w:t>
      </w:r>
      <w:r>
        <w:rPr>
          <w:rStyle w:val="10"/>
          <w:rFonts w:hint="eastAsia" w:ascii="仿宋_GB2312" w:eastAsia="仿宋_GB2312" w:cs="仿宋_GB2312"/>
          <w:sz w:val="32"/>
          <w:szCs w:val="32"/>
        </w:rPr>
        <w:t>资源能源利用水平更加集约高效。重点行业单位产值能耗、水耗、物耗及污染物排放水平持续下降，单位产值二氧化碳排放强度合理优化。调整优化热电联产规划与布局。大力发展新能源产业，充分利用丰富的太阳能、生物质能等，建设光伏发电、生物质发电等新能源系统。</w:t>
      </w:r>
    </w:p>
    <w:p>
      <w:pPr>
        <w:snapToGrid w:val="0"/>
        <w:spacing w:line="560" w:lineRule="exact"/>
        <w:ind w:firstLine="640" w:firstLineChars="200"/>
        <w:rPr>
          <w:rStyle w:val="10"/>
          <w:rFonts w:ascii="仿宋_GB2312" w:eastAsia="仿宋_GB2312" w:cs="Times New Roman"/>
          <w:sz w:val="32"/>
          <w:szCs w:val="32"/>
        </w:rPr>
      </w:pPr>
      <w:r>
        <w:rPr>
          <w:rStyle w:val="10"/>
          <w:rFonts w:ascii="黑体" w:eastAsia="黑体"/>
          <w:sz w:val="32"/>
          <w:szCs w:val="32"/>
        </w:rPr>
        <w:t>——</w:t>
      </w:r>
      <w:r>
        <w:rPr>
          <w:rStyle w:val="10"/>
          <w:rFonts w:hint="eastAsia" w:ascii="仿宋_GB2312" w:eastAsia="仿宋_GB2312" w:cs="仿宋_GB2312"/>
          <w:sz w:val="32"/>
          <w:szCs w:val="32"/>
        </w:rPr>
        <w:t>绿色产业发展体制机制日益健全。排污权、用能权、用水权、碳排放权等市场化交易制度更加完善，生态环境治理体系和治理能力现代化水平迈上新台阶。</w:t>
      </w:r>
    </w:p>
    <w:p>
      <w:pPr>
        <w:snapToGrid w:val="0"/>
        <w:spacing w:line="560" w:lineRule="exact"/>
        <w:ind w:firstLine="640" w:firstLineChars="200"/>
        <w:rPr>
          <w:rStyle w:val="10"/>
          <w:rFonts w:ascii="仿宋_GB2312" w:eastAsia="仿宋_GB2312" w:cs="Times New Roman"/>
          <w:sz w:val="32"/>
          <w:szCs w:val="32"/>
        </w:rPr>
      </w:pPr>
      <w:r>
        <w:rPr>
          <w:rStyle w:val="10"/>
          <w:rFonts w:hint="eastAsia" w:ascii="仿宋_GB2312" w:eastAsia="仿宋_GB2312" w:cs="仿宋_GB2312"/>
          <w:sz w:val="32"/>
          <w:szCs w:val="32"/>
        </w:rPr>
        <w:t>到</w:t>
      </w:r>
      <w:r>
        <w:rPr>
          <w:rStyle w:val="10"/>
          <w:rFonts w:ascii="仿宋_GB2312" w:eastAsia="仿宋_GB2312" w:cs="仿宋_GB2312"/>
          <w:sz w:val="32"/>
          <w:szCs w:val="32"/>
        </w:rPr>
        <w:t>2030</w:t>
      </w:r>
      <w:r>
        <w:rPr>
          <w:rStyle w:val="10"/>
          <w:rFonts w:hint="eastAsia" w:ascii="仿宋_GB2312" w:eastAsia="仿宋_GB2312" w:cs="仿宋_GB2312"/>
          <w:sz w:val="32"/>
          <w:szCs w:val="32"/>
        </w:rPr>
        <w:t>年，产业绿色发展成为海门高质量发展</w:t>
      </w:r>
      <w:r>
        <w:rPr>
          <w:rStyle w:val="10"/>
          <w:rFonts w:hint="eastAsia" w:ascii="仿宋_GB2312" w:eastAsia="仿宋_GB2312"/>
          <w:sz w:val="32"/>
          <w:szCs w:val="32"/>
        </w:rPr>
        <w:t>“</w:t>
      </w:r>
      <w:r>
        <w:rPr>
          <w:rStyle w:val="10"/>
          <w:rFonts w:hint="eastAsia" w:ascii="仿宋_GB2312" w:eastAsia="仿宋_GB2312" w:cs="仿宋_GB2312"/>
          <w:sz w:val="32"/>
          <w:szCs w:val="32"/>
        </w:rPr>
        <w:t>沧桑巨变</w:t>
      </w:r>
      <w:r>
        <w:rPr>
          <w:rStyle w:val="10"/>
          <w:rFonts w:hint="eastAsia" w:ascii="仿宋_GB2312" w:eastAsia="仿宋_GB2312"/>
          <w:sz w:val="32"/>
          <w:szCs w:val="32"/>
        </w:rPr>
        <w:t>”</w:t>
      </w:r>
      <w:r>
        <w:rPr>
          <w:rStyle w:val="10"/>
          <w:rFonts w:hint="eastAsia" w:ascii="仿宋_GB2312" w:eastAsia="仿宋_GB2312" w:cs="仿宋_GB2312"/>
          <w:sz w:val="32"/>
          <w:szCs w:val="32"/>
        </w:rPr>
        <w:t>的重要组成部分，形成一批经济效益更突出、资源利用更高效的产业集群，经济高质量发展和生态环境高水平保护持续走在全市前列。</w:t>
      </w:r>
    </w:p>
    <w:p>
      <w:pPr>
        <w:snapToGrid w:val="0"/>
        <w:spacing w:line="560" w:lineRule="exact"/>
        <w:ind w:firstLine="640" w:firstLineChars="200"/>
        <w:rPr>
          <w:rStyle w:val="10"/>
          <w:rFonts w:ascii="楷体_GB2312" w:eastAsia="楷体_GB2312" w:cs="Times New Roman"/>
          <w:sz w:val="32"/>
          <w:szCs w:val="32"/>
        </w:rPr>
      </w:pPr>
      <w:r>
        <w:rPr>
          <w:rStyle w:val="10"/>
          <w:rFonts w:hint="eastAsia" w:ascii="楷体_GB2312" w:eastAsia="楷体_GB2312" w:cs="楷体_GB2312"/>
          <w:sz w:val="32"/>
          <w:szCs w:val="32"/>
        </w:rPr>
        <w:t>（二）分行业目标</w:t>
      </w:r>
    </w:p>
    <w:p>
      <w:pPr>
        <w:snapToGrid w:val="0"/>
        <w:spacing w:line="560" w:lineRule="exact"/>
        <w:ind w:firstLine="640" w:firstLineChars="200"/>
        <w:rPr>
          <w:rStyle w:val="10"/>
          <w:rFonts w:ascii="仿宋_GB2312" w:eastAsia="仿宋_GB2312" w:cs="Times New Roman"/>
          <w:sz w:val="32"/>
          <w:szCs w:val="32"/>
        </w:rPr>
      </w:pPr>
      <w:r>
        <w:rPr>
          <w:rStyle w:val="10"/>
          <w:rFonts w:ascii="仿宋_GB2312" w:eastAsia="仿宋_GB2312" w:cs="仿宋_GB2312"/>
          <w:sz w:val="32"/>
          <w:szCs w:val="32"/>
        </w:rPr>
        <w:t>1.</w:t>
      </w:r>
      <w:r>
        <w:rPr>
          <w:rStyle w:val="10"/>
          <w:rFonts w:hint="eastAsia" w:ascii="仿宋_GB2312" w:eastAsia="仿宋_GB2312" w:cs="仿宋_GB2312"/>
          <w:sz w:val="32"/>
          <w:szCs w:val="32"/>
        </w:rPr>
        <w:t>纺织印染。新建含印染工段项目，废水排放强度</w:t>
      </w:r>
      <w:r>
        <w:rPr>
          <w:rStyle w:val="10"/>
          <w:rFonts w:ascii="仿宋_GB2312" w:eastAsia="仿宋_GB2312"/>
          <w:sz w:val="32"/>
          <w:szCs w:val="32"/>
        </w:rPr>
        <w:t>≤</w:t>
      </w:r>
      <w:r>
        <w:rPr>
          <w:rStyle w:val="10"/>
          <w:rFonts w:ascii="仿宋_GB2312" w:eastAsia="仿宋_GB2312" w:cs="仿宋_GB2312"/>
          <w:sz w:val="32"/>
          <w:szCs w:val="32"/>
        </w:rPr>
        <w:t>10.4</w:t>
      </w:r>
      <w:r>
        <w:rPr>
          <w:rStyle w:val="10"/>
          <w:rFonts w:hint="eastAsia" w:ascii="仿宋_GB2312" w:eastAsia="仿宋_GB2312" w:cs="仿宋_GB2312"/>
          <w:sz w:val="32"/>
          <w:szCs w:val="32"/>
        </w:rPr>
        <w:t>吨</w:t>
      </w:r>
      <w:r>
        <w:rPr>
          <w:rStyle w:val="10"/>
          <w:rFonts w:ascii="仿宋_GB2312" w:eastAsia="仿宋_GB2312" w:cs="仿宋_GB2312"/>
          <w:sz w:val="32"/>
          <w:szCs w:val="32"/>
        </w:rPr>
        <w:t>/</w:t>
      </w:r>
      <w:r>
        <w:rPr>
          <w:rStyle w:val="10"/>
          <w:rFonts w:hint="eastAsia" w:ascii="仿宋_GB2312" w:eastAsia="仿宋_GB2312" w:cs="仿宋_GB2312"/>
          <w:sz w:val="32"/>
          <w:szCs w:val="32"/>
        </w:rPr>
        <w:t>万元，综合能耗符合《印染行业规范条件》（</w:t>
      </w:r>
      <w:r>
        <w:rPr>
          <w:rStyle w:val="10"/>
          <w:rFonts w:ascii="仿宋_GB2312" w:eastAsia="仿宋_GB2312" w:cs="仿宋_GB2312"/>
          <w:sz w:val="32"/>
          <w:szCs w:val="32"/>
        </w:rPr>
        <w:t>2017</w:t>
      </w:r>
      <w:r>
        <w:rPr>
          <w:rStyle w:val="10"/>
          <w:rFonts w:hint="eastAsia" w:ascii="仿宋_GB2312" w:eastAsia="仿宋_GB2312" w:cs="仿宋_GB2312"/>
          <w:sz w:val="32"/>
          <w:szCs w:val="32"/>
        </w:rPr>
        <w:t>版），工艺、装备、清洁生产水平基本达到国际先进水平。现有含印染工段的企业应以废水排放强度</w:t>
      </w:r>
      <w:r>
        <w:rPr>
          <w:rStyle w:val="10"/>
          <w:rFonts w:ascii="仿宋_GB2312" w:eastAsia="仿宋_GB2312"/>
          <w:sz w:val="32"/>
          <w:szCs w:val="32"/>
        </w:rPr>
        <w:t>≤</w:t>
      </w:r>
      <w:r>
        <w:rPr>
          <w:rStyle w:val="10"/>
          <w:rFonts w:ascii="仿宋_GB2312" w:eastAsia="仿宋_GB2312" w:cs="仿宋_GB2312"/>
          <w:sz w:val="32"/>
          <w:szCs w:val="32"/>
        </w:rPr>
        <w:t>18.9</w:t>
      </w:r>
      <w:r>
        <w:rPr>
          <w:rStyle w:val="10"/>
          <w:rFonts w:hint="eastAsia" w:ascii="仿宋_GB2312" w:eastAsia="仿宋_GB2312" w:cs="仿宋_GB2312"/>
          <w:sz w:val="32"/>
          <w:szCs w:val="32"/>
        </w:rPr>
        <w:t>吨</w:t>
      </w:r>
      <w:r>
        <w:rPr>
          <w:rStyle w:val="10"/>
          <w:rFonts w:ascii="仿宋_GB2312" w:eastAsia="仿宋_GB2312" w:cs="仿宋_GB2312"/>
          <w:sz w:val="32"/>
          <w:szCs w:val="32"/>
        </w:rPr>
        <w:t>/</w:t>
      </w:r>
      <w:r>
        <w:rPr>
          <w:rStyle w:val="10"/>
          <w:rFonts w:hint="eastAsia" w:ascii="仿宋_GB2312" w:eastAsia="仿宋_GB2312" w:cs="仿宋_GB2312"/>
          <w:sz w:val="32"/>
          <w:szCs w:val="32"/>
        </w:rPr>
        <w:t>万元，综合能耗符合《印染行业规范条件》（</w:t>
      </w:r>
      <w:r>
        <w:rPr>
          <w:rStyle w:val="10"/>
          <w:rFonts w:ascii="仿宋_GB2312" w:eastAsia="仿宋_GB2312" w:cs="仿宋_GB2312"/>
          <w:sz w:val="32"/>
          <w:szCs w:val="32"/>
        </w:rPr>
        <w:t>2017</w:t>
      </w:r>
      <w:r>
        <w:rPr>
          <w:rStyle w:val="10"/>
          <w:rFonts w:hint="eastAsia" w:ascii="仿宋_GB2312" w:eastAsia="仿宋_GB2312" w:cs="仿宋_GB2312"/>
          <w:sz w:val="32"/>
          <w:szCs w:val="32"/>
        </w:rPr>
        <w:t>版）为目标限期提标改造，</w:t>
      </w:r>
      <w:r>
        <w:rPr>
          <w:rStyle w:val="10"/>
          <w:rFonts w:ascii="仿宋_GB2312" w:eastAsia="仿宋_GB2312" w:cs="仿宋_GB2312"/>
          <w:sz w:val="32"/>
          <w:szCs w:val="32"/>
        </w:rPr>
        <w:t>2023</w:t>
      </w:r>
      <w:r>
        <w:rPr>
          <w:rStyle w:val="10"/>
          <w:rFonts w:hint="eastAsia" w:ascii="仿宋_GB2312" w:eastAsia="仿宋_GB2312" w:cs="仿宋_GB2312"/>
          <w:sz w:val="32"/>
          <w:szCs w:val="32"/>
        </w:rPr>
        <w:t>年底整治不达标企业全部退出到位。</w:t>
      </w:r>
    </w:p>
    <w:p>
      <w:pPr>
        <w:widowControl w:val="0"/>
        <w:snapToGrid w:val="0"/>
        <w:spacing w:line="560" w:lineRule="exact"/>
        <w:ind w:firstLine="640" w:firstLineChars="200"/>
        <w:rPr>
          <w:rStyle w:val="10"/>
          <w:rFonts w:ascii="仿宋_GB2312" w:eastAsia="仿宋_GB2312" w:cs="Times New Roman"/>
          <w:sz w:val="32"/>
          <w:szCs w:val="32"/>
        </w:rPr>
      </w:pPr>
      <w:r>
        <w:rPr>
          <w:rStyle w:val="10"/>
          <w:rFonts w:ascii="仿宋_GB2312" w:eastAsia="仿宋_GB2312" w:cs="仿宋_GB2312"/>
          <w:sz w:val="32"/>
          <w:szCs w:val="32"/>
        </w:rPr>
        <w:t>2.</w:t>
      </w:r>
      <w:r>
        <w:rPr>
          <w:rStyle w:val="10"/>
          <w:rFonts w:hint="eastAsia" w:ascii="仿宋_GB2312" w:eastAsia="仿宋_GB2312" w:cs="仿宋_GB2312"/>
          <w:sz w:val="32"/>
          <w:szCs w:val="32"/>
        </w:rPr>
        <w:t>装备制造。综合能耗应符合《机械工业工程节能设计规范》（</w:t>
      </w:r>
      <w:r>
        <w:rPr>
          <w:rStyle w:val="10"/>
          <w:rFonts w:ascii="仿宋_GB2312" w:eastAsia="仿宋_GB2312" w:cs="仿宋_GB2312"/>
          <w:sz w:val="32"/>
          <w:szCs w:val="32"/>
        </w:rPr>
        <w:t>GB50910-2013</w:t>
      </w:r>
      <w:r>
        <w:rPr>
          <w:rStyle w:val="10"/>
          <w:rFonts w:hint="eastAsia" w:ascii="仿宋_GB2312" w:eastAsia="仿宋_GB2312" w:cs="仿宋_GB2312"/>
          <w:sz w:val="32"/>
          <w:szCs w:val="32"/>
        </w:rPr>
        <w:t>）；铸造企业冶炼工序能耗应符合《铸造企业规范条件》（</w:t>
      </w:r>
      <w:r>
        <w:rPr>
          <w:rStyle w:val="10"/>
          <w:rFonts w:ascii="仿宋_GB2312" w:eastAsia="仿宋_GB2312" w:cs="仿宋_GB2312"/>
          <w:sz w:val="32"/>
          <w:szCs w:val="32"/>
        </w:rPr>
        <w:t>T/CFA 0310021</w:t>
      </w:r>
      <w:r>
        <w:rPr>
          <w:rStyle w:val="10"/>
          <w:rFonts w:ascii="仿宋_GB2312" w:eastAsia="仿宋_GB2312"/>
          <w:sz w:val="32"/>
          <w:szCs w:val="32"/>
        </w:rPr>
        <w:t>–</w:t>
      </w:r>
      <w:r>
        <w:rPr>
          <w:rStyle w:val="10"/>
          <w:rFonts w:ascii="仿宋_GB2312" w:eastAsia="仿宋_GB2312" w:cs="仿宋_GB2312"/>
          <w:sz w:val="32"/>
          <w:szCs w:val="32"/>
        </w:rPr>
        <w:t>2019</w:t>
      </w:r>
      <w:r>
        <w:rPr>
          <w:rStyle w:val="10"/>
          <w:rFonts w:hint="eastAsia" w:ascii="仿宋_GB2312" w:eastAsia="仿宋_GB2312" w:cs="仿宋_GB2312"/>
          <w:sz w:val="32"/>
          <w:szCs w:val="32"/>
        </w:rPr>
        <w:t>）、综合能耗符合《铸造企业清洁生产综合评价方法》（</w:t>
      </w:r>
      <w:r>
        <w:rPr>
          <w:rStyle w:val="10"/>
          <w:rFonts w:ascii="仿宋_GB2312" w:eastAsia="仿宋_GB2312" w:cs="仿宋_GB2312"/>
          <w:sz w:val="32"/>
          <w:szCs w:val="32"/>
        </w:rPr>
        <w:t>JB/T 11995-2014</w:t>
      </w:r>
      <w:r>
        <w:rPr>
          <w:rStyle w:val="10"/>
          <w:rFonts w:hint="eastAsia" w:ascii="仿宋_GB2312" w:eastAsia="仿宋_GB2312" w:cs="仿宋_GB2312"/>
          <w:sz w:val="32"/>
          <w:szCs w:val="32"/>
        </w:rPr>
        <w:t>）。禁止引进纯电镀项目（为本地产业配套的</w:t>
      </w:r>
      <w:r>
        <w:rPr>
          <w:rStyle w:val="10"/>
          <w:rFonts w:hint="eastAsia" w:ascii="仿宋_GB2312" w:eastAsia="仿宋_GB2312"/>
          <w:sz w:val="32"/>
          <w:szCs w:val="32"/>
        </w:rPr>
        <w:t>“</w:t>
      </w:r>
      <w:r>
        <w:rPr>
          <w:rStyle w:val="10"/>
          <w:rFonts w:hint="eastAsia" w:ascii="仿宋_GB2312" w:eastAsia="仿宋_GB2312" w:cs="仿宋_GB2312"/>
          <w:sz w:val="32"/>
          <w:szCs w:val="32"/>
        </w:rPr>
        <w:t>绿岛</w:t>
      </w:r>
      <w:r>
        <w:rPr>
          <w:rStyle w:val="10"/>
          <w:rFonts w:hint="eastAsia" w:ascii="仿宋_GB2312" w:eastAsia="仿宋_GB2312"/>
          <w:sz w:val="32"/>
          <w:szCs w:val="32"/>
        </w:rPr>
        <w:t>”</w:t>
      </w:r>
      <w:r>
        <w:rPr>
          <w:rStyle w:val="10"/>
          <w:rFonts w:hint="eastAsia" w:ascii="仿宋_GB2312" w:eastAsia="仿宋_GB2312" w:cs="仿宋_GB2312"/>
          <w:sz w:val="32"/>
          <w:szCs w:val="32"/>
        </w:rPr>
        <w:t>类项目除外）；禁止引入涉及含氰电镀、含氰沉锌工艺的项目。加快推进海门港新区完成 “绿岛”示范园区配套建设，现有园区外含涉重电镀工序企业完成限期整改或搬入“绿岛”，加强涉重企业管理，淘汰全区落后电镀企业，淘汰能耗不符合清洁生产标准的铸造企业。</w:t>
      </w:r>
    </w:p>
    <w:p>
      <w:pPr>
        <w:snapToGrid w:val="0"/>
        <w:spacing w:line="560" w:lineRule="exact"/>
        <w:ind w:firstLine="640" w:firstLineChars="200"/>
        <w:rPr>
          <w:rStyle w:val="10"/>
          <w:rFonts w:ascii="仿宋_GB2312" w:eastAsia="仿宋_GB2312" w:cs="Times New Roman"/>
          <w:sz w:val="32"/>
          <w:szCs w:val="32"/>
        </w:rPr>
      </w:pPr>
      <w:r>
        <w:rPr>
          <w:rStyle w:val="10"/>
          <w:rFonts w:ascii="仿宋_GB2312" w:eastAsia="仿宋_GB2312" w:cs="仿宋_GB2312"/>
          <w:sz w:val="32"/>
          <w:szCs w:val="32"/>
        </w:rPr>
        <w:t xml:space="preserve">3. </w:t>
      </w:r>
      <w:r>
        <w:rPr>
          <w:rStyle w:val="10"/>
          <w:rFonts w:hint="eastAsia" w:ascii="仿宋_GB2312" w:eastAsia="仿宋_GB2312" w:cs="仿宋_GB2312"/>
          <w:sz w:val="32"/>
          <w:szCs w:val="32"/>
        </w:rPr>
        <w:t>电子信息。电子器件制造业综合能耗应符合《电子器件（半导体芯片）制造业清洁生产评价指标体系》</w:t>
      </w:r>
      <w:r>
        <w:rPr>
          <w:rFonts w:hint="eastAsia" w:ascii="仿宋_GB2312" w:eastAsia="仿宋_GB2312"/>
          <w:snapToGrid w:val="0"/>
          <w:sz w:val="32"/>
          <w:szCs w:val="32"/>
        </w:rPr>
        <w:t>Ⅱ级</w:t>
      </w:r>
      <w:r>
        <w:rPr>
          <w:rStyle w:val="10"/>
          <w:rFonts w:hint="eastAsia" w:ascii="仿宋_GB2312" w:eastAsia="仿宋_GB2312" w:cs="仿宋_GB2312"/>
          <w:sz w:val="32"/>
          <w:szCs w:val="32"/>
        </w:rPr>
        <w:t>基准值要求，通信设备制造、电子元件及电子专用材料制造、其他电子设备制造业综合能耗符合《电子信息行业节能减排先进适用技术指南》要求，废水排放强度</w:t>
      </w:r>
      <w:r>
        <w:rPr>
          <w:rStyle w:val="10"/>
          <w:rFonts w:ascii="仿宋_GB2312" w:eastAsia="仿宋_GB2312"/>
          <w:sz w:val="32"/>
          <w:szCs w:val="32"/>
        </w:rPr>
        <w:t>≤</w:t>
      </w:r>
      <w:r>
        <w:rPr>
          <w:rStyle w:val="10"/>
          <w:rFonts w:ascii="仿宋_GB2312" w:eastAsia="仿宋_GB2312" w:cs="仿宋_GB2312"/>
          <w:sz w:val="32"/>
          <w:szCs w:val="32"/>
        </w:rPr>
        <w:t>4</w:t>
      </w:r>
      <w:r>
        <w:rPr>
          <w:rStyle w:val="10"/>
          <w:rFonts w:hint="eastAsia" w:ascii="仿宋_GB2312" w:eastAsia="仿宋_GB2312" w:cs="仿宋_GB2312"/>
          <w:sz w:val="32"/>
          <w:szCs w:val="32"/>
        </w:rPr>
        <w:t>吨</w:t>
      </w:r>
      <w:r>
        <w:rPr>
          <w:rStyle w:val="10"/>
          <w:rFonts w:ascii="仿宋_GB2312" w:eastAsia="仿宋_GB2312" w:cs="仿宋_GB2312"/>
          <w:sz w:val="32"/>
          <w:szCs w:val="32"/>
        </w:rPr>
        <w:t>/</w:t>
      </w:r>
      <w:r>
        <w:rPr>
          <w:rStyle w:val="10"/>
          <w:rFonts w:hint="eastAsia" w:ascii="仿宋_GB2312" w:eastAsia="仿宋_GB2312" w:cs="仿宋_GB2312"/>
          <w:sz w:val="32"/>
          <w:szCs w:val="32"/>
        </w:rPr>
        <w:t>万元，工艺、装备、清洁生产水平基本达到国际先进水平。鼓励重点排放企业开展中水回用示范工程。</w:t>
      </w:r>
      <w:r>
        <w:rPr>
          <w:rStyle w:val="10"/>
          <w:rFonts w:ascii="仿宋_GB2312" w:eastAsia="仿宋_GB2312" w:cs="仿宋_GB2312"/>
          <w:sz w:val="32"/>
          <w:szCs w:val="32"/>
        </w:rPr>
        <w:t>202</w:t>
      </w:r>
      <w:r>
        <w:rPr>
          <w:rStyle w:val="10"/>
          <w:rFonts w:hint="eastAsia" w:ascii="仿宋_GB2312" w:eastAsia="仿宋_GB2312" w:cs="仿宋_GB2312"/>
          <w:sz w:val="32"/>
          <w:szCs w:val="32"/>
        </w:rPr>
        <w:t>3年底前，废水排放强度</w:t>
      </w:r>
      <w:r>
        <w:rPr>
          <w:rStyle w:val="10"/>
          <w:rFonts w:ascii="仿宋_GB2312" w:eastAsia="仿宋_GB2312"/>
          <w:sz w:val="32"/>
          <w:szCs w:val="32"/>
        </w:rPr>
        <w:t>≥</w:t>
      </w:r>
      <w:r>
        <w:rPr>
          <w:rStyle w:val="10"/>
          <w:rFonts w:ascii="仿宋_GB2312" w:eastAsia="仿宋_GB2312" w:cs="仿宋_GB2312"/>
          <w:sz w:val="32"/>
          <w:szCs w:val="32"/>
        </w:rPr>
        <w:t>10</w:t>
      </w:r>
      <w:r>
        <w:rPr>
          <w:rStyle w:val="10"/>
          <w:rFonts w:hint="eastAsia" w:ascii="仿宋_GB2312" w:eastAsia="仿宋_GB2312" w:cs="仿宋_GB2312"/>
          <w:sz w:val="32"/>
          <w:szCs w:val="32"/>
        </w:rPr>
        <w:t>吨</w:t>
      </w:r>
      <w:r>
        <w:rPr>
          <w:rStyle w:val="10"/>
          <w:rFonts w:ascii="仿宋_GB2312" w:eastAsia="仿宋_GB2312" w:cs="仿宋_GB2312"/>
          <w:sz w:val="32"/>
          <w:szCs w:val="32"/>
        </w:rPr>
        <w:t>/</w:t>
      </w:r>
      <w:r>
        <w:rPr>
          <w:rStyle w:val="10"/>
          <w:rFonts w:hint="eastAsia" w:ascii="仿宋_GB2312" w:eastAsia="仿宋_GB2312" w:cs="仿宋_GB2312"/>
          <w:sz w:val="32"/>
          <w:szCs w:val="32"/>
        </w:rPr>
        <w:t>万元的企业废水排放量削减</w:t>
      </w:r>
      <w:r>
        <w:rPr>
          <w:rStyle w:val="10"/>
          <w:rFonts w:ascii="仿宋_GB2312" w:eastAsia="仿宋_GB2312" w:cs="仿宋_GB2312"/>
          <w:sz w:val="32"/>
          <w:szCs w:val="32"/>
        </w:rPr>
        <w:t>60%</w:t>
      </w:r>
      <w:r>
        <w:rPr>
          <w:rStyle w:val="10"/>
          <w:rFonts w:hint="eastAsia" w:ascii="仿宋_GB2312" w:eastAsia="仿宋_GB2312" w:cs="仿宋_GB2312"/>
          <w:sz w:val="32"/>
          <w:szCs w:val="32"/>
        </w:rPr>
        <w:t>以上。</w:t>
      </w:r>
    </w:p>
    <w:p>
      <w:pPr>
        <w:snapToGrid w:val="0"/>
        <w:spacing w:line="560" w:lineRule="exact"/>
        <w:ind w:firstLine="640" w:firstLineChars="200"/>
        <w:rPr>
          <w:rStyle w:val="10"/>
          <w:rFonts w:ascii="仿宋_GB2312" w:eastAsia="仿宋_GB2312" w:cs="仿宋_GB2312"/>
          <w:sz w:val="32"/>
          <w:szCs w:val="32"/>
        </w:rPr>
      </w:pPr>
      <w:r>
        <w:rPr>
          <w:rStyle w:val="10"/>
          <w:rFonts w:ascii="仿宋_GB2312" w:eastAsia="仿宋_GB2312" w:cs="仿宋_GB2312"/>
          <w:sz w:val="32"/>
          <w:szCs w:val="32"/>
        </w:rPr>
        <w:t xml:space="preserve">4. </w:t>
      </w:r>
      <w:r>
        <w:rPr>
          <w:rStyle w:val="10"/>
          <w:rFonts w:hint="eastAsia" w:ascii="仿宋_GB2312" w:eastAsia="仿宋_GB2312" w:cs="仿宋_GB2312"/>
          <w:sz w:val="32"/>
          <w:szCs w:val="32"/>
        </w:rPr>
        <w:t>船舶海工。企业生产工艺、装备、清洁生产水平基本达到国际先进水平。以挥发性有机物排放强度</w:t>
      </w:r>
      <w:r>
        <w:rPr>
          <w:rStyle w:val="10"/>
          <w:rFonts w:ascii="仿宋_GB2312" w:eastAsia="仿宋_GB2312"/>
          <w:sz w:val="32"/>
          <w:szCs w:val="32"/>
        </w:rPr>
        <w:t>≤</w:t>
      </w:r>
      <w:r>
        <w:rPr>
          <w:rStyle w:val="10"/>
          <w:rFonts w:ascii="仿宋_GB2312" w:eastAsia="仿宋_GB2312" w:cs="仿宋_GB2312"/>
          <w:sz w:val="32"/>
          <w:szCs w:val="32"/>
        </w:rPr>
        <w:t>1.5kg/</w:t>
      </w:r>
      <w:r>
        <w:rPr>
          <w:rStyle w:val="10"/>
          <w:rFonts w:hint="eastAsia" w:ascii="仿宋_GB2312" w:eastAsia="仿宋_GB2312" w:cs="仿宋_GB2312"/>
          <w:sz w:val="32"/>
          <w:szCs w:val="32"/>
        </w:rPr>
        <w:t>万元、颗粒物排放强度</w:t>
      </w:r>
      <w:r>
        <w:rPr>
          <w:rStyle w:val="10"/>
          <w:rFonts w:ascii="仿宋_GB2312" w:eastAsia="仿宋_GB2312"/>
          <w:sz w:val="32"/>
          <w:szCs w:val="32"/>
        </w:rPr>
        <w:t>≤</w:t>
      </w:r>
      <w:r>
        <w:rPr>
          <w:rStyle w:val="10"/>
          <w:rFonts w:ascii="仿宋_GB2312" w:eastAsia="仿宋_GB2312" w:cs="仿宋_GB2312"/>
          <w:sz w:val="32"/>
          <w:szCs w:val="32"/>
        </w:rPr>
        <w:t>0.5kg/</w:t>
      </w:r>
      <w:r>
        <w:rPr>
          <w:rStyle w:val="10"/>
          <w:rFonts w:hint="eastAsia" w:ascii="仿宋_GB2312" w:eastAsia="仿宋_GB2312" w:cs="仿宋_GB2312"/>
          <w:sz w:val="32"/>
          <w:szCs w:val="32"/>
        </w:rPr>
        <w:t>万元为标准，推进船舶企业完成提标改造，</w:t>
      </w:r>
      <w:r>
        <w:rPr>
          <w:rStyle w:val="10"/>
          <w:rFonts w:ascii="仿宋_GB2312" w:eastAsia="仿宋_GB2312" w:cs="仿宋_GB2312"/>
          <w:sz w:val="32"/>
          <w:szCs w:val="32"/>
        </w:rPr>
        <w:t>202</w:t>
      </w:r>
      <w:r>
        <w:rPr>
          <w:rStyle w:val="10"/>
          <w:rFonts w:hint="eastAsia" w:ascii="仿宋_GB2312" w:eastAsia="仿宋_GB2312" w:cs="仿宋_GB2312"/>
          <w:sz w:val="32"/>
          <w:szCs w:val="32"/>
        </w:rPr>
        <w:t>3年底前整治不达标的企业退出到位。</w:t>
      </w:r>
    </w:p>
    <w:p>
      <w:pPr>
        <w:snapToGrid w:val="0"/>
        <w:spacing w:line="560" w:lineRule="exact"/>
        <w:ind w:firstLine="640" w:firstLineChars="200"/>
        <w:rPr>
          <w:rStyle w:val="10"/>
          <w:rFonts w:ascii="仿宋_GB2312" w:eastAsia="仿宋_GB2312" w:cs="Times New Roman"/>
          <w:sz w:val="32"/>
          <w:szCs w:val="32"/>
        </w:rPr>
      </w:pPr>
      <w:r>
        <w:rPr>
          <w:rStyle w:val="10"/>
          <w:rFonts w:ascii="仿宋_GB2312" w:eastAsia="仿宋_GB2312" w:cs="仿宋_GB2312"/>
          <w:sz w:val="32"/>
          <w:szCs w:val="32"/>
        </w:rPr>
        <w:t xml:space="preserve">5. </w:t>
      </w:r>
      <w:r>
        <w:rPr>
          <w:rStyle w:val="10"/>
          <w:rFonts w:hint="eastAsia" w:ascii="仿宋_GB2312" w:eastAsia="仿宋_GB2312" w:cs="仿宋_GB2312"/>
          <w:sz w:val="32"/>
          <w:szCs w:val="32"/>
        </w:rPr>
        <w:t>非金属矿物制品。水泥制品类企业外购熟料可比水泥综合能耗准入值符合《水泥单位产品能源消耗限额》（</w:t>
      </w:r>
      <w:r>
        <w:rPr>
          <w:rStyle w:val="10"/>
          <w:rFonts w:ascii="仿宋_GB2312" w:eastAsia="仿宋_GB2312" w:cs="仿宋_GB2312"/>
          <w:sz w:val="32"/>
          <w:szCs w:val="32"/>
        </w:rPr>
        <w:t>GB 16780-2012</w:t>
      </w:r>
      <w:r>
        <w:rPr>
          <w:rStyle w:val="10"/>
          <w:rFonts w:hint="eastAsia" w:ascii="仿宋_GB2312" w:eastAsia="仿宋_GB2312" w:cs="仿宋_GB2312"/>
          <w:sz w:val="32"/>
          <w:szCs w:val="32"/>
        </w:rPr>
        <w:t>）要求，玻璃制品类企业单位产品综合能耗限定值应符合《玻璃和铸石单位产品能源消耗限额》（</w:t>
      </w:r>
      <w:r>
        <w:rPr>
          <w:rStyle w:val="10"/>
          <w:rFonts w:ascii="仿宋_GB2312" w:eastAsia="仿宋_GB2312" w:cs="仿宋_GB2312"/>
          <w:sz w:val="32"/>
          <w:szCs w:val="32"/>
        </w:rPr>
        <w:t>GB 21340-2019</w:t>
      </w:r>
      <w:r>
        <w:rPr>
          <w:rStyle w:val="10"/>
          <w:rFonts w:hint="eastAsia" w:ascii="仿宋_GB2312" w:eastAsia="仿宋_GB2312" w:cs="仿宋_GB2312"/>
          <w:sz w:val="32"/>
          <w:szCs w:val="32"/>
        </w:rPr>
        <w:t>）。炭素制品类企业单位产品综合能耗限定值应符合《炭素单位产品能源消耗限额》（</w:t>
      </w:r>
      <w:r>
        <w:rPr>
          <w:rStyle w:val="10"/>
          <w:rFonts w:ascii="仿宋_GB2312" w:eastAsia="仿宋_GB2312" w:cs="仿宋_GB2312"/>
          <w:sz w:val="32"/>
          <w:szCs w:val="32"/>
        </w:rPr>
        <w:t>GB 21370-2017</w:t>
      </w:r>
      <w:r>
        <w:rPr>
          <w:rStyle w:val="10"/>
          <w:rFonts w:hint="eastAsia" w:ascii="仿宋_GB2312" w:eastAsia="仿宋_GB2312" w:cs="仿宋_GB2312"/>
          <w:sz w:val="32"/>
          <w:szCs w:val="32"/>
        </w:rPr>
        <w:t>）。严禁违规新增水泥、砖瓦建材等</w:t>
      </w:r>
      <w:r>
        <w:rPr>
          <w:rStyle w:val="10"/>
          <w:rFonts w:hint="eastAsia" w:ascii="仿宋_GB2312" w:eastAsia="仿宋_GB2312" w:cs="仿宋_GB2312"/>
          <w:sz w:val="32"/>
          <w:szCs w:val="32"/>
          <w:highlight w:val="yellow"/>
        </w:rPr>
        <w:t>高耗能、高排放</w:t>
      </w:r>
      <w:r>
        <w:rPr>
          <w:rStyle w:val="10"/>
          <w:rFonts w:hint="eastAsia" w:ascii="仿宋_GB2312" w:eastAsia="仿宋_GB2312" w:cs="仿宋_GB2312"/>
          <w:sz w:val="32"/>
          <w:szCs w:val="32"/>
        </w:rPr>
        <w:t>的非金属</w:t>
      </w:r>
      <w:bookmarkStart w:id="0" w:name="_GoBack"/>
      <w:bookmarkEnd w:id="0"/>
      <w:r>
        <w:rPr>
          <w:rStyle w:val="10"/>
          <w:rFonts w:hint="eastAsia" w:ascii="仿宋_GB2312" w:eastAsia="仿宋_GB2312" w:cs="仿宋_GB2312"/>
          <w:sz w:val="32"/>
          <w:szCs w:val="32"/>
        </w:rPr>
        <w:t>矿物制品行业产能。根据清洁生产标准及重污染天气重点行业应急减排措施，开展水泥、建材和玻璃制品等行业分级整治、提标改造，对重点企业全面开展清洁生产审核，力争将玻璃制品、建材、水泥等行业的污染物排放和综合能耗、电耗等细分项提升至</w:t>
      </w:r>
      <w:r>
        <w:rPr>
          <w:rFonts w:hint="eastAsia" w:ascii="仿宋_GB2312" w:eastAsia="仿宋_GB2312"/>
          <w:snapToGrid w:val="0"/>
          <w:sz w:val="32"/>
          <w:szCs w:val="32"/>
        </w:rPr>
        <w:t>清洁生产Ⅰ级基准值</w:t>
      </w:r>
      <w:r>
        <w:rPr>
          <w:rStyle w:val="10"/>
          <w:rFonts w:hint="eastAsia" w:ascii="仿宋_GB2312" w:eastAsia="仿宋_GB2312" w:cs="仿宋_GB2312"/>
          <w:sz w:val="32"/>
          <w:szCs w:val="32"/>
        </w:rPr>
        <w:t>，工艺、装备水平基本达到国际先进水平。对建材行业进行深入整顿，全面清理规模以下隧道窑生产线和人造板加工生产线，</w:t>
      </w:r>
      <w:r>
        <w:rPr>
          <w:rStyle w:val="10"/>
          <w:rFonts w:ascii="仿宋_GB2312" w:eastAsia="仿宋_GB2312" w:cs="仿宋_GB2312"/>
          <w:sz w:val="32"/>
          <w:szCs w:val="32"/>
        </w:rPr>
        <w:t>202</w:t>
      </w:r>
      <w:r>
        <w:rPr>
          <w:rStyle w:val="10"/>
          <w:rFonts w:hint="eastAsia" w:ascii="仿宋_GB2312" w:eastAsia="仿宋_GB2312" w:cs="仿宋_GB2312"/>
          <w:sz w:val="32"/>
          <w:szCs w:val="32"/>
        </w:rPr>
        <w:t>3年底完成整顿工作。</w:t>
      </w:r>
    </w:p>
    <w:p>
      <w:pPr>
        <w:snapToGrid w:val="0"/>
        <w:spacing w:line="560" w:lineRule="exact"/>
        <w:ind w:firstLine="640" w:firstLineChars="200"/>
        <w:rPr>
          <w:rFonts w:ascii="仿宋_GB2312" w:eastAsia="仿宋_GB2312"/>
          <w:snapToGrid w:val="0"/>
          <w:sz w:val="32"/>
          <w:szCs w:val="32"/>
        </w:rPr>
      </w:pPr>
      <w:r>
        <w:rPr>
          <w:rStyle w:val="10"/>
          <w:rFonts w:hint="eastAsia" w:ascii="仿宋_GB2312" w:eastAsia="仿宋_GB2312" w:cs="仿宋_GB2312"/>
          <w:sz w:val="32"/>
          <w:szCs w:val="32"/>
        </w:rPr>
        <w:t>6</w:t>
      </w:r>
      <w:r>
        <w:rPr>
          <w:rStyle w:val="10"/>
          <w:rFonts w:ascii="仿宋_GB2312" w:eastAsia="仿宋_GB2312" w:cs="仿宋_GB2312"/>
          <w:sz w:val="32"/>
          <w:szCs w:val="32"/>
        </w:rPr>
        <w:t>.</w:t>
      </w:r>
      <w:r>
        <w:rPr>
          <w:rStyle w:val="10"/>
          <w:rFonts w:hint="eastAsia" w:ascii="仿宋_GB2312" w:eastAsia="仿宋_GB2312" w:cs="仿宋_GB2312"/>
          <w:sz w:val="32"/>
          <w:szCs w:val="32"/>
        </w:rPr>
        <w:t>生物医药。</w:t>
      </w:r>
      <w:r>
        <w:rPr>
          <w:rFonts w:hint="eastAsia" w:ascii="仿宋_GB2312" w:eastAsia="仿宋_GB2312"/>
          <w:snapToGrid w:val="0"/>
          <w:sz w:val="32"/>
          <w:szCs w:val="32"/>
        </w:rPr>
        <w:t>立足海门生物医药产业基础，重点支持药品、高端医疗器械、先进制药装备及材料、数字化医疗（医药）等领域。推动生物医药企业绿色发展。开展循环化改造，组织企业开展清洁生产审核，大力推行绿色制造，创建一批低能耗、低排放的绿色示范工厂，创建绿色园区，打造绿色生物医药供应链，建立生态安全、低碳循环的生物医药产业绿色发展模式。新建生物医药类项目清洁生产水平应基本达到国内先进水平。</w:t>
      </w:r>
    </w:p>
    <w:p>
      <w:pPr>
        <w:widowControl w:val="0"/>
        <w:spacing w:line="560" w:lineRule="exact"/>
        <w:ind w:firstLine="640" w:firstLineChars="200"/>
        <w:rPr>
          <w:rFonts w:ascii="仿宋_GB2312" w:eastAsia="仿宋_GB2312"/>
          <w:snapToGrid w:val="0"/>
          <w:sz w:val="32"/>
          <w:szCs w:val="32"/>
        </w:rPr>
      </w:pPr>
      <w:r>
        <w:rPr>
          <w:rFonts w:hint="eastAsia" w:ascii="仿宋_GB2312" w:eastAsia="仿宋_GB2312"/>
          <w:snapToGrid w:val="0"/>
          <w:sz w:val="32"/>
          <w:szCs w:val="32"/>
        </w:rPr>
        <w:t>上述新建项目投资强度、亩均税收等指标，按照《南通市关于加大污染减排力度推进重点行业绿色发展的指导意见》（通办〔2021〕59号）、《关于进一步推进工业用地提质增效的实施意见（试行）》（通政办发〔2022〕1号）及《海门区产业项目质量综合评估办法（试行）》等文件精神执行，由项目办联合相关部门进行评估审定后予以实施。</w:t>
      </w:r>
    </w:p>
    <w:p>
      <w:pPr>
        <w:numPr>
          <w:ilvl w:val="0"/>
          <w:numId w:val="1"/>
        </w:numPr>
        <w:spacing w:line="560" w:lineRule="exact"/>
        <w:ind w:firstLine="880"/>
        <w:rPr>
          <w:rStyle w:val="10"/>
          <w:rFonts w:ascii="黑体" w:hAnsi="黑体" w:eastAsia="黑体" w:cs="Times New Roman"/>
          <w:color w:val="000000"/>
          <w:sz w:val="32"/>
          <w:szCs w:val="32"/>
        </w:rPr>
      </w:pPr>
      <w:r>
        <w:rPr>
          <w:rStyle w:val="10"/>
          <w:rFonts w:hint="eastAsia" w:ascii="黑体" w:hAnsi="黑体" w:eastAsia="黑体" w:cs="黑体"/>
          <w:color w:val="000000"/>
          <w:sz w:val="32"/>
          <w:szCs w:val="32"/>
        </w:rPr>
        <w:t>主要任务</w:t>
      </w:r>
    </w:p>
    <w:p>
      <w:pPr>
        <w:snapToGrid w:val="0"/>
        <w:spacing w:line="560" w:lineRule="exact"/>
        <w:ind w:firstLine="640" w:firstLineChars="200"/>
        <w:rPr>
          <w:rStyle w:val="10"/>
          <w:rFonts w:ascii="楷体_GB2312" w:eastAsia="楷体_GB2312" w:cs="Times New Roman"/>
          <w:sz w:val="32"/>
          <w:szCs w:val="32"/>
        </w:rPr>
      </w:pPr>
      <w:r>
        <w:rPr>
          <w:rStyle w:val="10"/>
          <w:rFonts w:hint="eastAsia" w:ascii="楷体_GB2312" w:eastAsia="楷体_GB2312" w:cs="楷体_GB2312"/>
          <w:sz w:val="32"/>
          <w:szCs w:val="32"/>
        </w:rPr>
        <w:t>（一）优化空间布局</w:t>
      </w:r>
    </w:p>
    <w:p>
      <w:pPr>
        <w:snapToGrid w:val="0"/>
        <w:spacing w:line="560" w:lineRule="exact"/>
        <w:ind w:firstLine="640" w:firstLineChars="200"/>
        <w:rPr>
          <w:rStyle w:val="10"/>
          <w:rFonts w:ascii="仿宋_GB2312" w:hAnsi="Times New Roman" w:eastAsia="仿宋_GB2312" w:cs="Times New Roman"/>
          <w:sz w:val="32"/>
          <w:szCs w:val="32"/>
          <w:u w:val="single"/>
        </w:rPr>
      </w:pPr>
      <w:r>
        <w:rPr>
          <w:rStyle w:val="10"/>
          <w:rFonts w:hint="eastAsia" w:ascii="仿宋_GB2312" w:eastAsia="仿宋_GB2312" w:cs="仿宋_GB2312"/>
          <w:sz w:val="32"/>
          <w:szCs w:val="32"/>
        </w:rPr>
        <w:t>严格落实长江经济带</w:t>
      </w:r>
      <w:r>
        <w:rPr>
          <w:rStyle w:val="10"/>
          <w:rFonts w:hint="eastAsia" w:ascii="仿宋_GB2312" w:eastAsia="仿宋_GB2312"/>
          <w:sz w:val="32"/>
          <w:szCs w:val="32"/>
        </w:rPr>
        <w:t>“</w:t>
      </w:r>
      <w:r>
        <w:rPr>
          <w:rStyle w:val="10"/>
          <w:rFonts w:hint="eastAsia" w:ascii="仿宋_GB2312" w:eastAsia="仿宋_GB2312" w:cs="仿宋_GB2312"/>
          <w:sz w:val="32"/>
          <w:szCs w:val="32"/>
        </w:rPr>
        <w:t>共抓大保护、不搞大开发</w:t>
      </w:r>
      <w:r>
        <w:rPr>
          <w:rStyle w:val="10"/>
          <w:rFonts w:hint="eastAsia" w:ascii="仿宋_GB2312" w:eastAsia="仿宋_GB2312"/>
          <w:sz w:val="32"/>
          <w:szCs w:val="32"/>
        </w:rPr>
        <w:t>”</w:t>
      </w:r>
      <w:r>
        <w:rPr>
          <w:rStyle w:val="10"/>
          <w:rFonts w:hint="eastAsia" w:ascii="仿宋_GB2312" w:eastAsia="仿宋_GB2312" w:cs="仿宋_GB2312"/>
          <w:sz w:val="32"/>
          <w:szCs w:val="32"/>
        </w:rPr>
        <w:t>要求，坚持生态优先、绿色发展，突出沿江向沿海布局、区外分散向园区集聚的总体方向。结合国土空间规划编制，</w:t>
      </w:r>
      <w:r>
        <w:rPr>
          <w:rStyle w:val="10"/>
          <w:rFonts w:ascii="仿宋_GB2312" w:eastAsia="仿宋_GB2312" w:cs="仿宋_GB2312"/>
          <w:sz w:val="32"/>
          <w:szCs w:val="32"/>
        </w:rPr>
        <w:t>2021</w:t>
      </w:r>
      <w:r>
        <w:rPr>
          <w:rStyle w:val="10"/>
          <w:rFonts w:hint="eastAsia" w:ascii="仿宋_GB2312" w:eastAsia="仿宋_GB2312" w:cs="仿宋_GB2312"/>
          <w:sz w:val="32"/>
          <w:szCs w:val="32"/>
        </w:rPr>
        <w:t>年底完成编制海门区</w:t>
      </w:r>
      <w:r>
        <w:rPr>
          <w:rStyle w:val="10"/>
          <w:rFonts w:hint="eastAsia" w:ascii="仿宋_GB2312" w:eastAsia="仿宋_GB2312"/>
          <w:sz w:val="32"/>
          <w:szCs w:val="32"/>
        </w:rPr>
        <w:t>“</w:t>
      </w:r>
      <w:r>
        <w:rPr>
          <w:rStyle w:val="10"/>
          <w:rFonts w:hint="eastAsia" w:ascii="仿宋_GB2312" w:eastAsia="仿宋_GB2312" w:cs="仿宋_GB2312"/>
          <w:sz w:val="32"/>
          <w:szCs w:val="32"/>
        </w:rPr>
        <w:t>三线一单</w:t>
      </w:r>
      <w:r>
        <w:rPr>
          <w:rStyle w:val="10"/>
          <w:rFonts w:hint="eastAsia" w:ascii="仿宋_GB2312" w:eastAsia="仿宋_GB2312"/>
          <w:sz w:val="32"/>
          <w:szCs w:val="32"/>
        </w:rPr>
        <w:t>”</w:t>
      </w:r>
      <w:r>
        <w:rPr>
          <w:rStyle w:val="10"/>
          <w:rFonts w:hint="eastAsia" w:ascii="仿宋_GB2312" w:eastAsia="仿宋_GB2312" w:cs="仿宋_GB2312"/>
          <w:sz w:val="32"/>
          <w:szCs w:val="32"/>
        </w:rPr>
        <w:t>研究</w:t>
      </w:r>
      <w:r>
        <w:rPr>
          <w:rStyle w:val="10"/>
          <w:rFonts w:hint="eastAsia" w:ascii="仿宋_GB2312" w:hAnsi="Times New Roman" w:eastAsia="仿宋_GB2312" w:cs="仿宋_GB2312"/>
          <w:sz w:val="32"/>
          <w:szCs w:val="32"/>
        </w:rPr>
        <w:t>报告，细化管控单元及行业准入条件，建立重点产业项目准入机制，优化重点产业</w:t>
      </w:r>
      <w:r>
        <w:rPr>
          <w:rStyle w:val="10"/>
          <w:rFonts w:hint="eastAsia" w:ascii="仿宋_GB2312" w:eastAsia="仿宋_GB2312" w:cs="仿宋_GB2312"/>
          <w:sz w:val="32"/>
          <w:szCs w:val="32"/>
        </w:rPr>
        <w:t>空间格局，协调江海河关系，加大生态保护力度，凸显江海生态资源特色。综合考量不同区域资源环境承载能力，兼顾不同领域和行业发展特点，注重差异化发展，引导不同区域打造特色产业园区，</w:t>
      </w:r>
      <w:r>
        <w:rPr>
          <w:rStyle w:val="10"/>
          <w:rFonts w:ascii="仿宋_GB2312" w:eastAsia="仿宋_GB2312" w:cs="仿宋_GB2312"/>
          <w:sz w:val="32"/>
          <w:szCs w:val="32"/>
        </w:rPr>
        <w:t>2022</w:t>
      </w:r>
      <w:r>
        <w:rPr>
          <w:rStyle w:val="10"/>
          <w:rFonts w:hint="eastAsia" w:ascii="仿宋_GB2312" w:eastAsia="仿宋_GB2312" w:cs="仿宋_GB2312"/>
          <w:sz w:val="32"/>
          <w:szCs w:val="32"/>
        </w:rPr>
        <w:t>年</w:t>
      </w:r>
      <w:r>
        <w:rPr>
          <w:rStyle w:val="10"/>
          <w:rFonts w:ascii="仿宋_GB2312" w:eastAsia="仿宋_GB2312" w:cs="仿宋_GB2312"/>
          <w:sz w:val="32"/>
          <w:szCs w:val="32"/>
        </w:rPr>
        <w:t>6</w:t>
      </w:r>
      <w:r>
        <w:rPr>
          <w:rStyle w:val="10"/>
          <w:rFonts w:hint="eastAsia" w:ascii="仿宋_GB2312" w:hAnsi="Times New Roman" w:eastAsia="仿宋_GB2312" w:cs="仿宋_GB2312"/>
          <w:sz w:val="32"/>
          <w:szCs w:val="32"/>
        </w:rPr>
        <w:t>月前各重点管控单元结合自身定位形成具有特色的规划环评并完成评审。引导建设涉重</w:t>
      </w:r>
      <w:r>
        <w:rPr>
          <w:rStyle w:val="10"/>
          <w:rFonts w:hint="eastAsia" w:ascii="仿宋_GB2312" w:eastAsia="仿宋_GB2312"/>
          <w:sz w:val="32"/>
          <w:szCs w:val="32"/>
        </w:rPr>
        <w:t>“</w:t>
      </w:r>
      <w:r>
        <w:rPr>
          <w:rStyle w:val="10"/>
          <w:rFonts w:hint="eastAsia" w:ascii="仿宋_GB2312" w:hAnsi="Times New Roman" w:eastAsia="仿宋_GB2312" w:cs="仿宋_GB2312"/>
          <w:sz w:val="32"/>
          <w:szCs w:val="32"/>
        </w:rPr>
        <w:t>绿岛</w:t>
      </w:r>
      <w:r>
        <w:rPr>
          <w:rStyle w:val="10"/>
          <w:rFonts w:hint="eastAsia" w:ascii="仿宋_GB2312" w:eastAsia="仿宋_GB2312"/>
          <w:sz w:val="32"/>
          <w:szCs w:val="32"/>
        </w:rPr>
        <w:t>”</w:t>
      </w:r>
      <w:r>
        <w:rPr>
          <w:rStyle w:val="10"/>
          <w:rFonts w:hint="eastAsia" w:ascii="仿宋_GB2312" w:hAnsi="Times New Roman" w:eastAsia="仿宋_GB2312" w:cs="仿宋_GB2312"/>
          <w:sz w:val="32"/>
          <w:szCs w:val="32"/>
        </w:rPr>
        <w:t>示范园区，园区外涉重电镀全部整改或搬入“绿岛”。</w:t>
      </w:r>
    </w:p>
    <w:p>
      <w:pPr>
        <w:snapToGrid w:val="0"/>
        <w:spacing w:line="560" w:lineRule="exact"/>
        <w:ind w:firstLine="640" w:firstLineChars="200"/>
        <w:rPr>
          <w:rStyle w:val="10"/>
          <w:rFonts w:ascii="楷体_GB2312" w:eastAsia="楷体_GB2312" w:cs="Times New Roman"/>
          <w:sz w:val="32"/>
          <w:szCs w:val="32"/>
        </w:rPr>
      </w:pPr>
      <w:r>
        <w:rPr>
          <w:rStyle w:val="10"/>
          <w:rFonts w:hint="eastAsia" w:ascii="楷体_GB2312" w:eastAsia="楷体_GB2312" w:cs="楷体_GB2312"/>
          <w:sz w:val="32"/>
          <w:szCs w:val="32"/>
        </w:rPr>
        <w:t>（二）推进低碳发展</w:t>
      </w:r>
    </w:p>
    <w:p>
      <w:pPr>
        <w:snapToGrid w:val="0"/>
        <w:spacing w:line="560" w:lineRule="exact"/>
        <w:ind w:firstLine="640" w:firstLineChars="200"/>
        <w:rPr>
          <w:rStyle w:val="10"/>
          <w:rFonts w:ascii="仿宋_GB2312" w:eastAsia="仿宋_GB2312" w:cs="Times New Roman"/>
          <w:sz w:val="32"/>
          <w:szCs w:val="32"/>
          <w:u w:val="single"/>
        </w:rPr>
      </w:pPr>
      <w:r>
        <w:rPr>
          <w:rStyle w:val="10"/>
          <w:rFonts w:hint="eastAsia" w:ascii="仿宋_GB2312" w:eastAsia="仿宋_GB2312" w:cs="仿宋_GB2312"/>
          <w:sz w:val="32"/>
          <w:szCs w:val="32"/>
        </w:rPr>
        <w:t>制定碳达峰实施方案，严格控制碳排放增量，完善能耗双控制度，将碳排放强度目标任务纳入高质量发展考核和污染防治攻坚战成效考核，确保完成南通下达的指标任务。强化节能审查制度，提升新上项目能效水平。加大节能管理力度，提高重点用能单位能源效率。完善能耗双控考核，推动能耗强度持续降低。将电力、钢铁、水泥等重点行业项目环评作为碳评试点，增加碳排放评价章节，推动碳达峰、碳中和要求与环境影响评价有机结合。加大散煤治理力度，开展涉</w:t>
      </w:r>
      <w:r>
        <w:rPr>
          <w:rStyle w:val="10"/>
          <w:rFonts w:ascii="仿宋_GB2312" w:eastAsia="仿宋_GB2312" w:cs="仿宋_GB2312"/>
          <w:sz w:val="32"/>
          <w:szCs w:val="32"/>
        </w:rPr>
        <w:t>VOCs</w:t>
      </w:r>
      <w:r>
        <w:rPr>
          <w:rStyle w:val="10"/>
          <w:rFonts w:hint="eastAsia" w:ascii="仿宋_GB2312" w:eastAsia="仿宋_GB2312" w:cs="仿宋_GB2312"/>
          <w:sz w:val="32"/>
          <w:szCs w:val="32"/>
        </w:rPr>
        <w:t>企业集群排查整治，推进重点行业工业炉窑完成超低排放改造或深度治理、清洁能源替代。完善碳监测能力，进一步提升碳监测水平。开展碳排放统计工作，尝试在园区试点开展能耗和二氧化碳排放统计、监测、报告、评估。充分发挥市场机制的决定性作用，加快碳市场建设，降低经济的碳强度。</w:t>
      </w:r>
    </w:p>
    <w:p>
      <w:pPr>
        <w:snapToGrid w:val="0"/>
        <w:spacing w:line="560" w:lineRule="exact"/>
        <w:ind w:firstLine="640" w:firstLineChars="200"/>
        <w:rPr>
          <w:rStyle w:val="10"/>
          <w:rFonts w:ascii="楷体_GB2312" w:eastAsia="楷体_GB2312" w:cs="Times New Roman"/>
          <w:sz w:val="32"/>
          <w:szCs w:val="32"/>
        </w:rPr>
      </w:pPr>
      <w:r>
        <w:rPr>
          <w:rStyle w:val="10"/>
          <w:rFonts w:hint="eastAsia" w:ascii="楷体_GB2312" w:eastAsia="楷体_GB2312" w:cs="楷体_GB2312"/>
          <w:sz w:val="32"/>
          <w:szCs w:val="32"/>
        </w:rPr>
        <w:t>（三）创建生态园区</w:t>
      </w:r>
    </w:p>
    <w:p>
      <w:pPr>
        <w:snapToGrid w:val="0"/>
        <w:spacing w:line="560" w:lineRule="exact"/>
        <w:ind w:firstLine="640" w:firstLineChars="200"/>
        <w:rPr>
          <w:rStyle w:val="10"/>
          <w:rFonts w:ascii="仿宋_GB2312" w:eastAsia="仿宋_GB2312" w:cs="Times New Roman"/>
          <w:sz w:val="32"/>
          <w:szCs w:val="32"/>
        </w:rPr>
      </w:pPr>
      <w:r>
        <w:rPr>
          <w:rStyle w:val="10"/>
          <w:rFonts w:hint="eastAsia" w:ascii="仿宋_GB2312" w:eastAsia="仿宋_GB2312" w:cs="仿宋_GB2312"/>
          <w:sz w:val="32"/>
          <w:szCs w:val="32"/>
        </w:rPr>
        <w:t>推动园区产业向</w:t>
      </w:r>
      <w:r>
        <w:rPr>
          <w:rStyle w:val="10"/>
          <w:rFonts w:hint="eastAsia" w:ascii="仿宋_GB2312" w:eastAsia="仿宋_GB2312"/>
          <w:sz w:val="32"/>
          <w:szCs w:val="32"/>
        </w:rPr>
        <w:t>“</w:t>
      </w:r>
      <w:r>
        <w:rPr>
          <w:rStyle w:val="10"/>
          <w:rFonts w:hint="eastAsia" w:ascii="仿宋_GB2312" w:eastAsia="仿宋_GB2312" w:cs="仿宋_GB2312"/>
          <w:sz w:val="32"/>
          <w:szCs w:val="32"/>
        </w:rPr>
        <w:t>专精特新</w:t>
      </w:r>
      <w:r>
        <w:rPr>
          <w:rStyle w:val="10"/>
          <w:rFonts w:hint="eastAsia" w:ascii="仿宋_GB2312" w:eastAsia="仿宋_GB2312"/>
          <w:sz w:val="32"/>
          <w:szCs w:val="32"/>
        </w:rPr>
        <w:t>”</w:t>
      </w:r>
      <w:r>
        <w:rPr>
          <w:rStyle w:val="10"/>
          <w:rFonts w:hint="eastAsia" w:ascii="仿宋_GB2312" w:eastAsia="仿宋_GB2312" w:cs="仿宋_GB2312"/>
          <w:sz w:val="32"/>
          <w:szCs w:val="32"/>
        </w:rPr>
        <w:t>方向发展。引导省级以上园区重点打造</w:t>
      </w:r>
      <w:r>
        <w:rPr>
          <w:rStyle w:val="10"/>
          <w:rFonts w:ascii="仿宋_GB2312" w:eastAsia="仿宋_GB2312" w:cs="仿宋_GB2312"/>
          <w:sz w:val="32"/>
          <w:szCs w:val="32"/>
        </w:rPr>
        <w:t>1</w:t>
      </w:r>
      <w:r>
        <w:rPr>
          <w:rStyle w:val="10"/>
          <w:rFonts w:hint="eastAsia" w:ascii="仿宋_GB2312" w:eastAsia="仿宋_GB2312" w:cs="仿宋_GB2312"/>
          <w:sz w:val="32"/>
          <w:szCs w:val="32"/>
        </w:rPr>
        <w:t>～</w:t>
      </w:r>
      <w:r>
        <w:rPr>
          <w:rStyle w:val="10"/>
          <w:rFonts w:ascii="仿宋_GB2312" w:eastAsia="仿宋_GB2312" w:cs="仿宋_GB2312"/>
          <w:sz w:val="32"/>
          <w:szCs w:val="32"/>
        </w:rPr>
        <w:t>2</w:t>
      </w:r>
      <w:r>
        <w:rPr>
          <w:rStyle w:val="10"/>
          <w:rFonts w:hint="eastAsia" w:ascii="仿宋_GB2312" w:eastAsia="仿宋_GB2312" w:cs="仿宋_GB2312"/>
          <w:sz w:val="32"/>
          <w:szCs w:val="32"/>
        </w:rPr>
        <w:t>个特色主导产业、</w:t>
      </w:r>
      <w:r>
        <w:rPr>
          <w:rStyle w:val="10"/>
          <w:rFonts w:ascii="仿宋_GB2312" w:eastAsia="仿宋_GB2312" w:cs="仿宋_GB2312"/>
          <w:sz w:val="32"/>
          <w:szCs w:val="32"/>
        </w:rPr>
        <w:t>1</w:t>
      </w:r>
      <w:r>
        <w:rPr>
          <w:rStyle w:val="10"/>
          <w:rFonts w:hint="eastAsia" w:ascii="仿宋_GB2312" w:eastAsia="仿宋_GB2312" w:cs="仿宋_GB2312"/>
          <w:sz w:val="32"/>
          <w:szCs w:val="32"/>
        </w:rPr>
        <w:t>～</w:t>
      </w:r>
      <w:r>
        <w:rPr>
          <w:rStyle w:val="10"/>
          <w:rFonts w:ascii="仿宋_GB2312" w:eastAsia="仿宋_GB2312" w:cs="仿宋_GB2312"/>
          <w:sz w:val="32"/>
          <w:szCs w:val="32"/>
        </w:rPr>
        <w:t>2</w:t>
      </w:r>
      <w:r>
        <w:rPr>
          <w:rStyle w:val="10"/>
          <w:rFonts w:hint="eastAsia" w:ascii="仿宋_GB2312" w:eastAsia="仿宋_GB2312" w:cs="仿宋_GB2312"/>
          <w:sz w:val="32"/>
          <w:szCs w:val="32"/>
        </w:rPr>
        <w:t>个新兴产业。实施园区循环化改造，推动企业循环式生产、产业循环式组合，搭建资源共享、废物处理公共平台，提高能源资源综合利用效率。推动园区基础公共设施共建共享、能源梯级利用、资源循环利用和污染物集中安全处置等。因地制宜布局污水资源化利用设施，提高水重复利用率。</w:t>
      </w:r>
    </w:p>
    <w:p>
      <w:pPr>
        <w:snapToGrid w:val="0"/>
        <w:spacing w:line="560" w:lineRule="exact"/>
        <w:ind w:firstLine="640" w:firstLineChars="200"/>
        <w:rPr>
          <w:rStyle w:val="10"/>
          <w:rFonts w:ascii="楷体_GB2312" w:eastAsia="楷体_GB2312" w:cs="Times New Roman"/>
          <w:sz w:val="32"/>
          <w:szCs w:val="32"/>
        </w:rPr>
      </w:pPr>
      <w:r>
        <w:rPr>
          <w:rStyle w:val="10"/>
          <w:rFonts w:hint="eastAsia" w:ascii="楷体_GB2312" w:eastAsia="楷体_GB2312" w:cs="楷体_GB2312"/>
          <w:sz w:val="32"/>
          <w:szCs w:val="32"/>
        </w:rPr>
        <w:t>（四）打造绿色产业</w:t>
      </w:r>
    </w:p>
    <w:p>
      <w:pPr>
        <w:snapToGrid w:val="0"/>
        <w:spacing w:line="560" w:lineRule="exact"/>
        <w:ind w:firstLine="640" w:firstLineChars="200"/>
        <w:rPr>
          <w:rStyle w:val="10"/>
          <w:rFonts w:ascii="仿宋_GB2312" w:eastAsia="仿宋_GB2312" w:cs="Times New Roman"/>
          <w:sz w:val="32"/>
          <w:szCs w:val="32"/>
        </w:rPr>
      </w:pPr>
      <w:r>
        <w:rPr>
          <w:rStyle w:val="10"/>
          <w:rFonts w:hint="eastAsia" w:ascii="仿宋_GB2312" w:eastAsia="仿宋_GB2312" w:cs="仿宋_GB2312"/>
          <w:sz w:val="32"/>
          <w:szCs w:val="32"/>
        </w:rPr>
        <w:t>实施新兴产业培育工程，重点培育生物医药和高端医疗器械、智能装备产业等种子产业。围绕海上风能、高效光伏制造、智能电网、储能、生物能源、智能汽车等重点领域，培育一批引领绿色产业发展的新能源装备制造领军企业。结合海门实际，在纺织印染、装备制造、电子信息、船舶海工、非金属矿物制品、生物医药等6个行业，开展海门区污染减排暨重点行业绿色发展研究。排查制定</w:t>
      </w:r>
      <w:r>
        <w:rPr>
          <w:rStyle w:val="10"/>
          <w:rFonts w:hint="eastAsia" w:ascii="仿宋_GB2312" w:eastAsia="仿宋_GB2312"/>
          <w:sz w:val="32"/>
          <w:szCs w:val="32"/>
        </w:rPr>
        <w:t>“</w:t>
      </w:r>
      <w:r>
        <w:rPr>
          <w:rStyle w:val="10"/>
          <w:rFonts w:hint="eastAsia" w:ascii="仿宋_GB2312" w:eastAsia="仿宋_GB2312" w:cs="仿宋_GB2312"/>
          <w:sz w:val="32"/>
          <w:szCs w:val="32"/>
        </w:rPr>
        <w:t>一企一策</w:t>
      </w:r>
      <w:r>
        <w:rPr>
          <w:rStyle w:val="10"/>
          <w:rFonts w:hint="eastAsia" w:ascii="仿宋_GB2312" w:eastAsia="仿宋_GB2312"/>
          <w:sz w:val="32"/>
          <w:szCs w:val="32"/>
        </w:rPr>
        <w:t>”</w:t>
      </w:r>
      <w:r>
        <w:rPr>
          <w:rStyle w:val="10"/>
          <w:rFonts w:hint="eastAsia" w:ascii="仿宋_GB2312" w:eastAsia="仿宋_GB2312" w:cs="仿宋_GB2312"/>
          <w:sz w:val="32"/>
          <w:szCs w:val="32"/>
        </w:rPr>
        <w:t>以及分批次的目标任务，优化升级原有产业。</w:t>
      </w:r>
    </w:p>
    <w:p>
      <w:pPr>
        <w:snapToGrid w:val="0"/>
        <w:spacing w:line="560" w:lineRule="exact"/>
        <w:ind w:firstLine="640" w:firstLineChars="200"/>
        <w:rPr>
          <w:rStyle w:val="10"/>
          <w:rFonts w:ascii="楷体_GB2312" w:eastAsia="楷体_GB2312" w:cs="Times New Roman"/>
          <w:sz w:val="32"/>
          <w:szCs w:val="32"/>
        </w:rPr>
      </w:pPr>
      <w:r>
        <w:rPr>
          <w:rStyle w:val="10"/>
          <w:rFonts w:hint="eastAsia" w:ascii="楷体_GB2312" w:eastAsia="楷体_GB2312" w:cs="楷体_GB2312"/>
          <w:sz w:val="32"/>
          <w:szCs w:val="32"/>
        </w:rPr>
        <w:t>（五）强制清洁生产</w:t>
      </w:r>
    </w:p>
    <w:p>
      <w:pPr>
        <w:snapToGrid w:val="0"/>
        <w:spacing w:line="560" w:lineRule="exact"/>
        <w:ind w:firstLine="640" w:firstLineChars="200"/>
        <w:rPr>
          <w:rStyle w:val="10"/>
          <w:rFonts w:ascii="仿宋_GB2312" w:eastAsia="仿宋_GB2312" w:cs="仿宋_GB2312"/>
          <w:sz w:val="32"/>
          <w:szCs w:val="32"/>
        </w:rPr>
      </w:pPr>
      <w:r>
        <w:rPr>
          <w:rStyle w:val="10"/>
          <w:rFonts w:hint="eastAsia" w:ascii="仿宋_GB2312" w:eastAsia="仿宋_GB2312" w:cs="仿宋_GB2312"/>
          <w:sz w:val="32"/>
          <w:szCs w:val="32"/>
        </w:rPr>
        <w:t>在重点行业现有企业全面推行强制性清洁生产审核，提高精细化管理水平，推广节水技术，改进生产工艺，降低能耗、减少污染排放。鼓励集成电路封装、电子专用材料制造等重点排放企业开展中水回用示范工程，力争将非金属传统行业环境绩效提升至清洁生产</w:t>
      </w:r>
      <w:r>
        <w:rPr>
          <w:rStyle w:val="10"/>
          <w:rFonts w:hint="eastAsia" w:ascii="宋体" w:hAnsi="宋体" w:cs="宋体"/>
          <w:sz w:val="32"/>
          <w:szCs w:val="32"/>
        </w:rPr>
        <w:t>Ⅰ</w:t>
      </w:r>
      <w:r>
        <w:rPr>
          <w:rStyle w:val="10"/>
          <w:rFonts w:hint="eastAsia" w:ascii="仿宋_GB2312" w:eastAsia="仿宋_GB2312" w:cs="仿宋_GB2312"/>
          <w:sz w:val="32"/>
          <w:szCs w:val="32"/>
        </w:rPr>
        <w:t>级标准。将国际国内清洁生产一流标准作为新项目招引、落户的关键因素。推进</w:t>
      </w:r>
      <w:r>
        <w:rPr>
          <w:rStyle w:val="10"/>
          <w:rFonts w:hint="eastAsia" w:ascii="仿宋_GB2312" w:eastAsia="仿宋_GB2312"/>
          <w:sz w:val="32"/>
          <w:szCs w:val="32"/>
        </w:rPr>
        <w:t>“</w:t>
      </w:r>
      <w:r>
        <w:rPr>
          <w:rStyle w:val="10"/>
          <w:rFonts w:hint="eastAsia" w:ascii="仿宋_GB2312" w:eastAsia="仿宋_GB2312" w:cs="仿宋_GB2312"/>
          <w:sz w:val="32"/>
          <w:szCs w:val="32"/>
        </w:rPr>
        <w:t>散乱污</w:t>
      </w:r>
      <w:r>
        <w:rPr>
          <w:rStyle w:val="10"/>
          <w:rFonts w:hint="eastAsia" w:ascii="仿宋_GB2312" w:eastAsia="仿宋_GB2312"/>
          <w:sz w:val="32"/>
          <w:szCs w:val="32"/>
        </w:rPr>
        <w:t>”</w:t>
      </w:r>
      <w:r>
        <w:rPr>
          <w:rStyle w:val="10"/>
          <w:rFonts w:hint="eastAsia" w:ascii="仿宋_GB2312" w:eastAsia="仿宋_GB2312" w:cs="仿宋_GB2312"/>
          <w:sz w:val="32"/>
          <w:szCs w:val="32"/>
        </w:rPr>
        <w:t>企业整治，分类实施关停取缔、整改提升。</w:t>
      </w:r>
    </w:p>
    <w:p>
      <w:pPr>
        <w:snapToGrid w:val="0"/>
        <w:spacing w:line="560" w:lineRule="exact"/>
        <w:ind w:firstLine="640" w:firstLineChars="200"/>
        <w:rPr>
          <w:rStyle w:val="10"/>
          <w:rFonts w:ascii="楷体_GB2312" w:eastAsia="楷体_GB2312" w:cs="Times New Roman"/>
          <w:sz w:val="32"/>
          <w:szCs w:val="32"/>
        </w:rPr>
      </w:pPr>
      <w:r>
        <w:rPr>
          <w:rStyle w:val="10"/>
          <w:rFonts w:hint="eastAsia" w:ascii="楷体_GB2312" w:eastAsia="楷体_GB2312" w:cs="楷体_GB2312"/>
          <w:sz w:val="32"/>
          <w:szCs w:val="32"/>
        </w:rPr>
        <w:t>（六）严守准入门槛</w:t>
      </w:r>
    </w:p>
    <w:p>
      <w:pPr>
        <w:snapToGrid w:val="0"/>
        <w:spacing w:line="560" w:lineRule="exact"/>
        <w:ind w:firstLine="640" w:firstLineChars="200"/>
        <w:rPr>
          <w:rStyle w:val="10"/>
          <w:rFonts w:ascii="仿宋_GB2312" w:eastAsia="仿宋_GB2312" w:cs="Times New Roman"/>
          <w:sz w:val="32"/>
          <w:szCs w:val="32"/>
        </w:rPr>
      </w:pPr>
      <w:r>
        <w:rPr>
          <w:rStyle w:val="10"/>
          <w:rFonts w:hint="eastAsia" w:ascii="仿宋_GB2312" w:eastAsia="仿宋_GB2312" w:cs="仿宋_GB2312"/>
          <w:sz w:val="32"/>
          <w:szCs w:val="32"/>
        </w:rPr>
        <w:t>严格执行《长江经济带发展负面清单指南（试行）》及江苏省实施细则、国家生态保护红线及江苏省生态空间管控区域规划，落实</w:t>
      </w:r>
      <w:r>
        <w:rPr>
          <w:rStyle w:val="10"/>
          <w:rFonts w:hint="eastAsia" w:ascii="仿宋_GB2312" w:eastAsia="仿宋_GB2312"/>
          <w:sz w:val="32"/>
          <w:szCs w:val="32"/>
        </w:rPr>
        <w:t>“</w:t>
      </w:r>
      <w:r>
        <w:rPr>
          <w:rStyle w:val="10"/>
          <w:rFonts w:hint="eastAsia" w:ascii="仿宋_GB2312" w:eastAsia="仿宋_GB2312" w:cs="仿宋_GB2312"/>
          <w:sz w:val="32"/>
          <w:szCs w:val="32"/>
        </w:rPr>
        <w:t>三线一单</w:t>
      </w:r>
      <w:r>
        <w:rPr>
          <w:rStyle w:val="10"/>
          <w:rFonts w:hint="eastAsia" w:ascii="仿宋_GB2312" w:eastAsia="仿宋_GB2312"/>
          <w:sz w:val="32"/>
          <w:szCs w:val="32"/>
        </w:rPr>
        <w:t>”</w:t>
      </w:r>
      <w:r>
        <w:rPr>
          <w:rStyle w:val="10"/>
          <w:rFonts w:hint="eastAsia" w:ascii="仿宋_GB2312" w:eastAsia="仿宋_GB2312" w:cs="仿宋_GB2312"/>
          <w:sz w:val="32"/>
          <w:szCs w:val="32"/>
        </w:rPr>
        <w:t>管控方案、管控单元及行业准入条件及重点产业项目准入机制。强化项目可研、环评、安评、能评、稳评等许可（备案）联动，严控高能耗高排放建设、严禁高污染不安全项目落地。</w:t>
      </w:r>
    </w:p>
    <w:p>
      <w:pPr>
        <w:snapToGrid w:val="0"/>
        <w:spacing w:line="560" w:lineRule="exact"/>
        <w:ind w:firstLine="640" w:firstLineChars="200"/>
        <w:rPr>
          <w:rStyle w:val="10"/>
          <w:rFonts w:ascii="楷体_GB2312" w:eastAsia="楷体_GB2312" w:cs="Times New Roman"/>
          <w:sz w:val="32"/>
          <w:szCs w:val="32"/>
        </w:rPr>
      </w:pPr>
      <w:r>
        <w:rPr>
          <w:rStyle w:val="10"/>
          <w:rFonts w:hint="eastAsia" w:ascii="楷体_GB2312" w:eastAsia="楷体_GB2312" w:cs="楷体_GB2312"/>
          <w:sz w:val="32"/>
          <w:szCs w:val="32"/>
        </w:rPr>
        <w:t>（七）鼓励科技创新</w:t>
      </w:r>
    </w:p>
    <w:p>
      <w:pPr>
        <w:snapToGrid w:val="0"/>
        <w:spacing w:line="560" w:lineRule="exact"/>
        <w:ind w:firstLine="640" w:firstLineChars="200"/>
        <w:rPr>
          <w:rStyle w:val="10"/>
          <w:rFonts w:ascii="仿宋_GB2312" w:eastAsia="仿宋_GB2312" w:cs="Times New Roman"/>
          <w:sz w:val="32"/>
          <w:szCs w:val="32"/>
        </w:rPr>
      </w:pPr>
      <w:r>
        <w:rPr>
          <w:rStyle w:val="10"/>
          <w:rFonts w:hint="eastAsia" w:ascii="仿宋_GB2312" w:eastAsia="仿宋_GB2312" w:cs="仿宋_GB2312"/>
          <w:sz w:val="32"/>
          <w:szCs w:val="32"/>
        </w:rPr>
        <w:t>健全以企业为主体的产学研用协同创新体系，实施“揭榜挂帅”攻坚计划项目，支持联合攻关。培育科技创新企业，强化平台载体建设，深化开放合作创新，广聚创新创业人才，加强知识产权保护。加强节能降耗、清洁生产、污染治理、循环利用等领域的技术创新和成果转化，大力推进集成创新和引进消化吸收再创新。增强创新储备，提升创新全链条支撑能力，为实现重大创新突破、培育高端产业奠定重要基础。</w:t>
      </w:r>
    </w:p>
    <w:p>
      <w:pPr>
        <w:snapToGrid w:val="0"/>
        <w:spacing w:line="560" w:lineRule="exact"/>
        <w:ind w:firstLine="640" w:firstLineChars="200"/>
        <w:rPr>
          <w:rStyle w:val="10"/>
          <w:rFonts w:ascii="楷体_GB2312" w:eastAsia="楷体_GB2312" w:cs="Times New Roman"/>
          <w:sz w:val="32"/>
          <w:szCs w:val="32"/>
        </w:rPr>
      </w:pPr>
      <w:r>
        <w:rPr>
          <w:rStyle w:val="10"/>
          <w:rFonts w:hint="eastAsia" w:ascii="楷体_GB2312" w:eastAsia="楷体_GB2312" w:cs="楷体_GB2312"/>
          <w:sz w:val="32"/>
          <w:szCs w:val="32"/>
        </w:rPr>
        <w:t>（八）构建绿色供应链</w:t>
      </w:r>
    </w:p>
    <w:p>
      <w:pPr>
        <w:snapToGrid w:val="0"/>
        <w:spacing w:line="560" w:lineRule="exact"/>
        <w:ind w:firstLine="640" w:firstLineChars="200"/>
        <w:rPr>
          <w:rStyle w:val="10"/>
          <w:rFonts w:ascii="仿宋_GB2312" w:eastAsia="仿宋_GB2312" w:cs="Times New Roman"/>
          <w:sz w:val="32"/>
          <w:szCs w:val="32"/>
        </w:rPr>
      </w:pPr>
      <w:r>
        <w:rPr>
          <w:rStyle w:val="10"/>
          <w:rFonts w:hint="eastAsia" w:ascii="仿宋_GB2312" w:eastAsia="仿宋_GB2312" w:cs="仿宋_GB2312"/>
          <w:sz w:val="32"/>
          <w:szCs w:val="32"/>
        </w:rPr>
        <w:t>加快建设绿色制造体系，实施一批绿色制造示范项目，打造一批具有示范带动作用的绿色工厂和绿色供应链。鼓励企业开展绿色设计、选择绿色材料、实施绿色采购、打造绿色制造工艺、推行绿色包装、开展绿色运输、做好废弃产品回收处理，实现产品全周期的绿色环保。鼓励行业协会通过制定规范、咨询服务、行业自律等方式提高行业供应链绿色化水平。</w:t>
      </w:r>
    </w:p>
    <w:p>
      <w:pPr>
        <w:snapToGrid w:val="0"/>
        <w:spacing w:line="560" w:lineRule="exact"/>
        <w:ind w:firstLine="640" w:firstLineChars="200"/>
        <w:rPr>
          <w:rStyle w:val="10"/>
          <w:rFonts w:ascii="楷体_GB2312" w:eastAsia="楷体_GB2312" w:cs="Times New Roman"/>
          <w:sz w:val="32"/>
          <w:szCs w:val="32"/>
        </w:rPr>
      </w:pPr>
      <w:r>
        <w:rPr>
          <w:rStyle w:val="10"/>
          <w:rFonts w:hint="eastAsia" w:ascii="楷体_GB2312" w:eastAsia="楷体_GB2312" w:cs="楷体_GB2312"/>
          <w:sz w:val="32"/>
          <w:szCs w:val="32"/>
        </w:rPr>
        <w:t>（九）强化绿色信用</w:t>
      </w:r>
    </w:p>
    <w:p>
      <w:pPr>
        <w:snapToGrid w:val="0"/>
        <w:spacing w:line="560" w:lineRule="exact"/>
        <w:ind w:firstLine="640" w:firstLineChars="200"/>
        <w:rPr>
          <w:rStyle w:val="10"/>
          <w:rFonts w:ascii="仿宋_GB2312" w:eastAsia="仿宋_GB2312" w:cs="Times New Roman"/>
          <w:sz w:val="32"/>
          <w:szCs w:val="32"/>
        </w:rPr>
      </w:pPr>
      <w:r>
        <w:rPr>
          <w:rStyle w:val="10"/>
          <w:rFonts w:hint="eastAsia" w:ascii="仿宋_GB2312" w:eastAsia="仿宋_GB2312" w:cs="仿宋_GB2312"/>
          <w:sz w:val="32"/>
          <w:szCs w:val="32"/>
        </w:rPr>
        <w:t>进一步完善企业环境信用评价标准，优化环保示范性企事业单位评价体系，不断扩大参评企业范围，有效发挥绿色信贷约束机制，以企业环境信用倒逼企业环保自觉、提升环境管理水平。推广</w:t>
      </w:r>
      <w:r>
        <w:rPr>
          <w:rStyle w:val="10"/>
          <w:rFonts w:hint="eastAsia" w:ascii="仿宋_GB2312" w:eastAsia="仿宋_GB2312"/>
          <w:sz w:val="32"/>
          <w:szCs w:val="32"/>
        </w:rPr>
        <w:t>“</w:t>
      </w:r>
      <w:r>
        <w:rPr>
          <w:rStyle w:val="10"/>
          <w:rFonts w:hint="eastAsia" w:ascii="仿宋_GB2312" w:eastAsia="仿宋_GB2312" w:cs="仿宋_GB2312"/>
          <w:sz w:val="32"/>
          <w:szCs w:val="32"/>
        </w:rPr>
        <w:t>环保脸谱</w:t>
      </w:r>
      <w:r>
        <w:rPr>
          <w:rStyle w:val="10"/>
          <w:rFonts w:hint="eastAsia" w:ascii="仿宋_GB2312" w:eastAsia="仿宋_GB2312"/>
          <w:sz w:val="32"/>
          <w:szCs w:val="32"/>
        </w:rPr>
        <w:t>”</w:t>
      </w:r>
      <w:r>
        <w:rPr>
          <w:rStyle w:val="10"/>
          <w:rFonts w:hint="eastAsia" w:ascii="仿宋_GB2312" w:eastAsia="仿宋_GB2312" w:cs="仿宋_GB2312"/>
          <w:sz w:val="32"/>
          <w:szCs w:val="32"/>
        </w:rPr>
        <w:t>体系建设与运用。积极探索在政府采购、招投标等领域运用评级结果。扩大环保信用信息的流动范围，挖掘应用价值，引导市场监管、海关等部门对环境信用好的企业激励扶持。积极拓展证券、保险等部门的参与，以环保信用评级为平台，更好地拓展绿色金融工作。</w:t>
      </w:r>
    </w:p>
    <w:p>
      <w:pPr>
        <w:snapToGrid w:val="0"/>
        <w:spacing w:line="560" w:lineRule="exact"/>
        <w:ind w:firstLine="640" w:firstLineChars="200"/>
        <w:rPr>
          <w:rStyle w:val="10"/>
          <w:rFonts w:ascii="楷体_GB2312" w:eastAsia="楷体_GB2312" w:cs="Times New Roman"/>
          <w:sz w:val="32"/>
          <w:szCs w:val="32"/>
        </w:rPr>
      </w:pPr>
      <w:r>
        <w:rPr>
          <w:rStyle w:val="10"/>
          <w:rFonts w:hint="eastAsia" w:ascii="楷体_GB2312" w:eastAsia="楷体_GB2312" w:cs="楷体_GB2312"/>
          <w:sz w:val="32"/>
          <w:szCs w:val="32"/>
        </w:rPr>
        <w:t>（十）制定绿色标准</w:t>
      </w:r>
    </w:p>
    <w:p>
      <w:pPr>
        <w:snapToGrid w:val="0"/>
        <w:spacing w:line="560" w:lineRule="exact"/>
        <w:ind w:firstLine="640" w:firstLineChars="200"/>
        <w:rPr>
          <w:rStyle w:val="10"/>
          <w:rFonts w:ascii="仿宋_GB2312" w:eastAsia="仿宋_GB2312" w:cs="仿宋_GB2312"/>
          <w:sz w:val="32"/>
          <w:szCs w:val="32"/>
        </w:rPr>
      </w:pPr>
      <w:r>
        <w:rPr>
          <w:rStyle w:val="10"/>
          <w:rFonts w:hint="eastAsia" w:ascii="仿宋_GB2312" w:eastAsia="仿宋_GB2312" w:cs="仿宋_GB2312"/>
          <w:sz w:val="32"/>
          <w:szCs w:val="32"/>
        </w:rPr>
        <w:t>推进纳入</w:t>
      </w:r>
      <w:r>
        <w:rPr>
          <w:rStyle w:val="10"/>
          <w:rFonts w:hint="eastAsia" w:ascii="仿宋_GB2312" w:eastAsia="仿宋_GB2312"/>
          <w:sz w:val="32"/>
          <w:szCs w:val="32"/>
        </w:rPr>
        <w:t>“</w:t>
      </w:r>
      <w:r>
        <w:rPr>
          <w:rStyle w:val="10"/>
          <w:rFonts w:hint="eastAsia" w:ascii="仿宋_GB2312" w:eastAsia="仿宋_GB2312" w:cs="仿宋_GB2312"/>
          <w:sz w:val="32"/>
          <w:szCs w:val="32"/>
        </w:rPr>
        <w:t>三线一单</w:t>
      </w:r>
      <w:r>
        <w:rPr>
          <w:rStyle w:val="10"/>
          <w:rFonts w:hint="eastAsia" w:ascii="仿宋_GB2312" w:eastAsia="仿宋_GB2312"/>
          <w:sz w:val="32"/>
          <w:szCs w:val="32"/>
        </w:rPr>
        <w:t>”</w:t>
      </w:r>
      <w:r>
        <w:rPr>
          <w:rStyle w:val="10"/>
          <w:rFonts w:hint="eastAsia" w:ascii="仿宋_GB2312" w:eastAsia="仿宋_GB2312" w:cs="仿宋_GB2312"/>
          <w:sz w:val="32"/>
          <w:szCs w:val="32"/>
        </w:rPr>
        <w:t>管控单元的各工业园区（集中区）污染物排放限值管理，提高生态环境精细化监管水平，强化源头管控和末端污染治理。从严执行污染物排放标准，加快实施重点行业超低、超净排放改造。强化环评审批与总量控制、排污权交易与排污许可制度的衔接，将有限的环境要素资源向绿色友好产业倾斜。鼓励探索环境管家、绿色联盟、第三方环境服务等创新发展模式，推广绿色整体服务和全过程服务。</w:t>
      </w:r>
    </w:p>
    <w:p>
      <w:pPr>
        <w:snapToGrid w:val="0"/>
        <w:spacing w:line="560" w:lineRule="exact"/>
        <w:ind w:firstLine="640" w:firstLineChars="200"/>
        <w:rPr>
          <w:rStyle w:val="10"/>
          <w:rFonts w:ascii="黑体" w:hAnsi="黑体" w:eastAsia="黑体" w:cs="Times New Roman"/>
          <w:color w:val="000000"/>
          <w:sz w:val="32"/>
          <w:szCs w:val="32"/>
        </w:rPr>
      </w:pPr>
      <w:r>
        <w:rPr>
          <w:rStyle w:val="10"/>
          <w:rFonts w:hint="eastAsia" w:ascii="黑体" w:hAnsi="黑体" w:eastAsia="黑体" w:cs="黑体"/>
          <w:color w:val="000000"/>
          <w:sz w:val="32"/>
          <w:szCs w:val="32"/>
        </w:rPr>
        <w:t>五、保障措施</w:t>
      </w:r>
    </w:p>
    <w:p>
      <w:pPr>
        <w:snapToGrid w:val="0"/>
        <w:spacing w:line="560" w:lineRule="exact"/>
        <w:ind w:firstLine="640" w:firstLineChars="200"/>
        <w:rPr>
          <w:rStyle w:val="10"/>
          <w:rFonts w:ascii="仿宋_GB2312" w:eastAsia="仿宋_GB2312" w:cs="Times New Roman"/>
          <w:sz w:val="32"/>
          <w:szCs w:val="32"/>
        </w:rPr>
      </w:pPr>
      <w:r>
        <w:rPr>
          <w:rStyle w:val="10"/>
          <w:rFonts w:hint="eastAsia" w:ascii="楷体_GB2312" w:eastAsia="楷体_GB2312" w:cs="楷体_GB2312"/>
          <w:sz w:val="32"/>
          <w:szCs w:val="32"/>
        </w:rPr>
        <w:t>（一）加强组织领导。</w:t>
      </w:r>
      <w:r>
        <w:rPr>
          <w:rStyle w:val="10"/>
          <w:rFonts w:hint="eastAsia" w:ascii="仿宋_GB2312" w:eastAsia="仿宋_GB2312" w:cs="仿宋_GB2312" w:hAnsiTheme="minorHAnsi"/>
          <w:sz w:val="32"/>
          <w:szCs w:val="32"/>
        </w:rPr>
        <w:t>区委、区政府成立以主要领导为组长的南通市海门区重点行业绿色发</w:t>
      </w:r>
      <w:r>
        <w:rPr>
          <w:rStyle w:val="10"/>
          <w:rFonts w:hint="eastAsia" w:ascii="仿宋_GB2312" w:eastAsia="仿宋_GB2312" w:cs="仿宋_GB2312"/>
          <w:sz w:val="32"/>
          <w:szCs w:val="32"/>
        </w:rPr>
        <w:t>展领导小组，领导小组办公室设在海门生态环境局。</w:t>
      </w:r>
      <w:r>
        <w:rPr>
          <w:rStyle w:val="10"/>
          <w:rFonts w:hint="eastAsia" w:ascii="仿宋_GB2312" w:eastAsia="仿宋_GB2312" w:cs="仿宋_GB2312" w:hAnsiTheme="minorHAnsi"/>
          <w:sz w:val="32"/>
          <w:szCs w:val="32"/>
        </w:rPr>
        <w:t>六大重点行业绿色发展分别由区各牵头责任部门指导督促：区发改委牵头负责纺织印染、装备制造、船舶海工、非金属矿物制品，区科技局牵头负责电子信息，区市场监督管理局与区发改委联合负责生物医药。各区</w:t>
      </w:r>
      <w:r>
        <w:rPr>
          <w:rStyle w:val="10"/>
          <w:rFonts w:hint="eastAsia" w:ascii="仿宋_GB2312" w:eastAsia="仿宋_GB2312" w:cs="仿宋_GB2312"/>
          <w:sz w:val="32"/>
          <w:szCs w:val="32"/>
        </w:rPr>
        <w:t>镇落实属地责任，负责具体推进。</w:t>
      </w:r>
    </w:p>
    <w:p>
      <w:pPr>
        <w:snapToGrid w:val="0"/>
        <w:spacing w:line="560" w:lineRule="exact"/>
        <w:ind w:firstLine="640" w:firstLineChars="200"/>
        <w:rPr>
          <w:rStyle w:val="10"/>
          <w:rFonts w:ascii="仿宋_GB2312" w:eastAsia="仿宋_GB2312" w:cs="Times New Roman"/>
          <w:sz w:val="32"/>
          <w:szCs w:val="32"/>
        </w:rPr>
      </w:pPr>
      <w:r>
        <w:rPr>
          <w:rStyle w:val="10"/>
          <w:rFonts w:hint="eastAsia" w:ascii="楷体_GB2312" w:eastAsia="楷体_GB2312" w:cs="楷体_GB2312"/>
          <w:sz w:val="32"/>
          <w:szCs w:val="32"/>
        </w:rPr>
        <w:t>（二）科学制定规划。</w:t>
      </w:r>
      <w:r>
        <w:rPr>
          <w:rStyle w:val="10"/>
          <w:rFonts w:hint="eastAsia" w:ascii="仿宋_GB2312" w:eastAsia="仿宋_GB2312" w:cs="仿宋_GB2312"/>
          <w:sz w:val="32"/>
          <w:szCs w:val="32"/>
        </w:rPr>
        <w:t>区各牵头责任部门要细化工作计划，建立部门合作机制，充分发挥行业协会、产业联盟等桥梁纽带作用，协同推进重点任务落实。优化调整产业布局，推动工业园区（集中区）空间再造，腾退低效用地，盘活土地资源、招引优质项目。</w:t>
      </w:r>
    </w:p>
    <w:p>
      <w:pPr>
        <w:snapToGrid w:val="0"/>
        <w:spacing w:line="560" w:lineRule="exact"/>
        <w:ind w:firstLine="640" w:firstLineChars="200"/>
        <w:rPr>
          <w:rStyle w:val="10"/>
          <w:rFonts w:ascii="仿宋_GB2312" w:eastAsia="仿宋_GB2312" w:cs="Times New Roman"/>
          <w:sz w:val="32"/>
          <w:szCs w:val="32"/>
        </w:rPr>
      </w:pPr>
      <w:r>
        <w:rPr>
          <w:rStyle w:val="10"/>
          <w:rFonts w:hint="eastAsia" w:ascii="楷体_GB2312" w:eastAsia="楷体_GB2312" w:cs="楷体_GB2312"/>
          <w:sz w:val="32"/>
          <w:szCs w:val="32"/>
        </w:rPr>
        <w:t>（三）完善评估体系。</w:t>
      </w:r>
      <w:r>
        <w:rPr>
          <w:rStyle w:val="10"/>
          <w:rFonts w:hint="eastAsia" w:ascii="仿宋_GB2312" w:eastAsia="仿宋_GB2312" w:cs="仿宋_GB2312"/>
          <w:sz w:val="32"/>
          <w:szCs w:val="32"/>
        </w:rPr>
        <w:t>各责任牵头部门要进一步强化产业绿色发展目标责任评价考核，将资源消耗、环境损害、生态效益纳入区域经济和产业发展评价体系。建立正向激励机制，各地转型升级腾出的排污权</w:t>
      </w:r>
      <w:r>
        <w:rPr>
          <w:rStyle w:val="10"/>
          <w:rFonts w:ascii="仿宋_GB2312" w:eastAsia="仿宋_GB2312" w:cs="仿宋_GB2312"/>
          <w:sz w:val="32"/>
          <w:szCs w:val="32"/>
        </w:rPr>
        <w:t>40%</w:t>
      </w:r>
      <w:r>
        <w:rPr>
          <w:rStyle w:val="10"/>
          <w:rFonts w:hint="eastAsia" w:ascii="仿宋_GB2312" w:eastAsia="仿宋_GB2312" w:cs="仿宋_GB2312"/>
          <w:sz w:val="32"/>
          <w:szCs w:val="32"/>
        </w:rPr>
        <w:t>由南通市有偿储备，</w:t>
      </w:r>
      <w:r>
        <w:rPr>
          <w:rStyle w:val="10"/>
          <w:rFonts w:ascii="仿宋_GB2312" w:eastAsia="仿宋_GB2312" w:cs="仿宋_GB2312"/>
          <w:sz w:val="32"/>
          <w:szCs w:val="32"/>
        </w:rPr>
        <w:t>60%</w:t>
      </w:r>
      <w:r>
        <w:rPr>
          <w:rStyle w:val="10"/>
          <w:rFonts w:hint="eastAsia" w:ascii="仿宋_GB2312" w:eastAsia="仿宋_GB2312" w:cs="仿宋_GB2312"/>
          <w:sz w:val="32"/>
          <w:szCs w:val="32"/>
        </w:rPr>
        <w:t>由海门区有偿储备，海门储备的排污权优先用于转型升级腾出排污权的地区。</w:t>
      </w:r>
    </w:p>
    <w:p>
      <w:pPr>
        <w:widowControl w:val="0"/>
        <w:snapToGrid w:val="0"/>
        <w:spacing w:line="560" w:lineRule="exact"/>
        <w:ind w:firstLine="640" w:firstLineChars="200"/>
        <w:rPr>
          <w:rStyle w:val="10"/>
          <w:rFonts w:ascii="仿宋_GB2312" w:eastAsia="仿宋_GB2312" w:cs="Times New Roman"/>
          <w:sz w:val="32"/>
          <w:szCs w:val="32"/>
        </w:rPr>
      </w:pPr>
      <w:r>
        <w:rPr>
          <w:rStyle w:val="10"/>
          <w:rFonts w:hint="eastAsia" w:ascii="楷体_GB2312" w:eastAsia="楷体_GB2312" w:cs="楷体_GB2312"/>
          <w:sz w:val="32"/>
          <w:szCs w:val="32"/>
        </w:rPr>
        <w:t>（四）加强金融服务。</w:t>
      </w:r>
      <w:r>
        <w:rPr>
          <w:rStyle w:val="10"/>
          <w:rFonts w:hint="eastAsia" w:ascii="仿宋_GB2312" w:eastAsia="仿宋_GB2312" w:cs="仿宋_GB2312"/>
          <w:sz w:val="32"/>
          <w:szCs w:val="32"/>
        </w:rPr>
        <w:t>全面落实资源综合利用、节能节水及环保（专用）装备等领域财税支持政策。继续利用财政资金和预算内投资支持环境基础设施补短板强弱项、绿色环保产业发展、能源高效利用、资源循环利用等。支持符合条件的绿色企业上市融资。进一步健全排污权、用能权、用水权、碳排放权等交易机制。</w:t>
      </w:r>
    </w:p>
    <w:p>
      <w:pPr>
        <w:snapToGrid w:val="0"/>
        <w:spacing w:line="560" w:lineRule="exact"/>
        <w:ind w:firstLine="640" w:firstLineChars="200"/>
        <w:rPr>
          <w:rStyle w:val="10"/>
          <w:rFonts w:ascii="仿宋_GB2312" w:eastAsia="仿宋_GB2312" w:cs="Times New Roman"/>
          <w:sz w:val="32"/>
          <w:szCs w:val="32"/>
        </w:rPr>
      </w:pPr>
      <w:r>
        <w:rPr>
          <w:rStyle w:val="10"/>
          <w:rFonts w:hint="eastAsia" w:ascii="楷体_GB2312" w:eastAsia="楷体_GB2312" w:cs="楷体_GB2312"/>
          <w:sz w:val="32"/>
          <w:szCs w:val="32"/>
        </w:rPr>
        <w:t>（五）优化营商环境。</w:t>
      </w:r>
      <w:r>
        <w:rPr>
          <w:rStyle w:val="10"/>
          <w:rFonts w:hint="eastAsia" w:ascii="仿宋_GB2312" w:eastAsia="仿宋_GB2312" w:cs="仿宋_GB2312"/>
          <w:sz w:val="32"/>
          <w:szCs w:val="32"/>
        </w:rPr>
        <w:t>各有关部门要加强服务指导和监督管理，认真落实</w:t>
      </w:r>
      <w:r>
        <w:rPr>
          <w:rStyle w:val="10"/>
          <w:rFonts w:hint="eastAsia" w:ascii="仿宋_GB2312" w:eastAsia="仿宋_GB2312"/>
          <w:sz w:val="32"/>
          <w:szCs w:val="32"/>
        </w:rPr>
        <w:t>“</w:t>
      </w:r>
      <w:r>
        <w:rPr>
          <w:rStyle w:val="10"/>
          <w:rFonts w:hint="eastAsia" w:ascii="仿宋_GB2312" w:eastAsia="仿宋_GB2312" w:cs="仿宋_GB2312"/>
          <w:sz w:val="32"/>
          <w:szCs w:val="32"/>
        </w:rPr>
        <w:t>放管服</w:t>
      </w:r>
      <w:r>
        <w:rPr>
          <w:rStyle w:val="10"/>
          <w:rFonts w:hint="eastAsia" w:ascii="仿宋_GB2312" w:eastAsia="仿宋_GB2312"/>
          <w:sz w:val="32"/>
          <w:szCs w:val="32"/>
        </w:rPr>
        <w:t>”</w:t>
      </w:r>
      <w:r>
        <w:rPr>
          <w:rStyle w:val="10"/>
          <w:rFonts w:hint="eastAsia" w:ascii="仿宋_GB2312" w:eastAsia="仿宋_GB2312" w:cs="仿宋_GB2312"/>
          <w:sz w:val="32"/>
          <w:szCs w:val="32"/>
        </w:rPr>
        <w:t>改革和</w:t>
      </w:r>
      <w:r>
        <w:rPr>
          <w:rStyle w:val="10"/>
          <w:rFonts w:hint="eastAsia" w:ascii="仿宋_GB2312" w:eastAsia="仿宋_GB2312"/>
          <w:sz w:val="32"/>
          <w:szCs w:val="32"/>
        </w:rPr>
        <w:t>“</w:t>
      </w:r>
      <w:r>
        <w:rPr>
          <w:rStyle w:val="10"/>
          <w:rFonts w:hint="eastAsia" w:ascii="仿宋_GB2312" w:eastAsia="仿宋_GB2312" w:cs="仿宋_GB2312"/>
          <w:sz w:val="32"/>
          <w:szCs w:val="32"/>
        </w:rPr>
        <w:t>不见面审批</w:t>
      </w:r>
      <w:r>
        <w:rPr>
          <w:rStyle w:val="10"/>
          <w:rFonts w:hint="eastAsia" w:ascii="仿宋_GB2312" w:eastAsia="仿宋_GB2312"/>
          <w:sz w:val="32"/>
          <w:szCs w:val="32"/>
        </w:rPr>
        <w:t>”</w:t>
      </w:r>
      <w:r>
        <w:rPr>
          <w:rStyle w:val="10"/>
          <w:rFonts w:hint="eastAsia" w:ascii="仿宋_GB2312" w:eastAsia="仿宋_GB2312" w:cs="仿宋_GB2312"/>
          <w:sz w:val="32"/>
          <w:szCs w:val="32"/>
        </w:rPr>
        <w:t>要求，建立畅通绿色通道，及时高效办理各项审批手续。按照节约、集约的原则，切实提高资源要素的配置效率。坚持</w:t>
      </w:r>
      <w:r>
        <w:rPr>
          <w:rStyle w:val="10"/>
          <w:rFonts w:hint="eastAsia" w:ascii="仿宋_GB2312" w:eastAsia="仿宋_GB2312"/>
          <w:sz w:val="32"/>
          <w:szCs w:val="32"/>
        </w:rPr>
        <w:t>“</w:t>
      </w:r>
      <w:r>
        <w:rPr>
          <w:rStyle w:val="10"/>
          <w:rFonts w:hint="eastAsia" w:ascii="仿宋_GB2312" w:eastAsia="仿宋_GB2312" w:cs="仿宋_GB2312"/>
          <w:sz w:val="32"/>
          <w:szCs w:val="32"/>
        </w:rPr>
        <w:t>要素跟着项目走</w:t>
      </w:r>
      <w:r>
        <w:rPr>
          <w:rStyle w:val="10"/>
          <w:rFonts w:hint="eastAsia" w:ascii="仿宋_GB2312" w:eastAsia="仿宋_GB2312"/>
          <w:sz w:val="32"/>
          <w:szCs w:val="32"/>
        </w:rPr>
        <w:t>”</w:t>
      </w:r>
      <w:r>
        <w:rPr>
          <w:rStyle w:val="10"/>
          <w:rFonts w:hint="eastAsia" w:ascii="仿宋_GB2312" w:eastAsia="仿宋_GB2312" w:cs="仿宋_GB2312"/>
          <w:sz w:val="32"/>
          <w:szCs w:val="32"/>
        </w:rPr>
        <w:t>，在重大项目符合规划、自然资源、环境保护等法律法规及相关政策规定的前提下，积极支持保障所需资源要素。</w:t>
      </w:r>
    </w:p>
    <w:p>
      <w:pPr>
        <w:snapToGrid w:val="0"/>
        <w:spacing w:line="560" w:lineRule="exact"/>
        <w:ind w:firstLine="640" w:firstLineChars="200"/>
        <w:rPr>
          <w:rStyle w:val="10"/>
          <w:rFonts w:ascii="仿宋_GB2312" w:eastAsia="仿宋_GB2312" w:cs="Times New Roman"/>
          <w:sz w:val="32"/>
          <w:szCs w:val="32"/>
        </w:rPr>
      </w:pPr>
      <w:r>
        <w:rPr>
          <w:rStyle w:val="10"/>
          <w:rFonts w:hint="eastAsia" w:ascii="楷体_GB2312" w:eastAsia="楷体_GB2312" w:cs="楷体_GB2312"/>
          <w:sz w:val="32"/>
          <w:szCs w:val="32"/>
        </w:rPr>
        <w:t>（六）强化宣传引导。</w:t>
      </w:r>
      <w:r>
        <w:rPr>
          <w:rStyle w:val="10"/>
          <w:rFonts w:hint="eastAsia" w:ascii="仿宋_GB2312" w:eastAsia="仿宋_GB2312" w:cs="仿宋_GB2312"/>
          <w:sz w:val="32"/>
          <w:szCs w:val="32"/>
        </w:rPr>
        <w:t>加强舆论宣传引导，开展多层次、多形式的宣传教育，积极开展公益性的宣传活动，大力传播绿色发展理念。充分发挥各类媒体、公益组织、行业协会、产业联盟、舆论监督等的积极作用，引导企业转型升级，为绿色发展营造良好舆论氛围。</w:t>
      </w:r>
    </w:p>
    <w:p>
      <w:pPr>
        <w:spacing w:line="560" w:lineRule="exact"/>
        <w:rPr>
          <w:rStyle w:val="10"/>
          <w:rFonts w:ascii="仿宋_GB2312" w:hAnsi="仿宋_GB2312" w:eastAsia="仿宋_GB2312" w:cs="Times New Roman"/>
          <w:color w:val="000000"/>
          <w:sz w:val="32"/>
          <w:szCs w:val="32"/>
        </w:rPr>
      </w:pPr>
    </w:p>
    <w:p>
      <w:pPr>
        <w:snapToGrid w:val="0"/>
        <w:spacing w:line="560" w:lineRule="exact"/>
        <w:ind w:firstLine="640" w:firstLineChars="200"/>
        <w:rPr>
          <w:rStyle w:val="10"/>
          <w:rFonts w:ascii="仿宋_GB2312" w:eastAsia="仿宋_GB2312" w:cs="Times New Roman"/>
          <w:sz w:val="32"/>
          <w:szCs w:val="32"/>
        </w:rPr>
      </w:pPr>
      <w:r>
        <w:rPr>
          <w:rStyle w:val="10"/>
          <w:rFonts w:hint="eastAsia" w:ascii="仿宋_GB2312" w:eastAsia="仿宋_GB2312" w:cs="仿宋_GB2312"/>
          <w:sz w:val="32"/>
          <w:szCs w:val="32"/>
        </w:rPr>
        <w:t>附件：南通市海门区重点行业绿色发展任务分解表</w:t>
      </w:r>
    </w:p>
    <w:p>
      <w:pPr>
        <w:spacing w:line="590" w:lineRule="exact"/>
        <w:sectPr>
          <w:pgSz w:w="11906" w:h="16838"/>
          <w:pgMar w:top="1814" w:right="1531" w:bottom="1984" w:left="1531" w:header="850" w:footer="1474" w:gutter="0"/>
          <w:cols w:space="0" w:num="1"/>
          <w:docGrid w:type="lines" w:linePitch="312" w:charSpace="0"/>
        </w:sectPr>
      </w:pPr>
    </w:p>
    <w:p>
      <w:pPr>
        <w:snapToGrid w:val="0"/>
        <w:spacing w:line="590" w:lineRule="exact"/>
        <w:rPr>
          <w:rStyle w:val="10"/>
          <w:rFonts w:ascii="黑体" w:hAnsi="黑体" w:eastAsia="黑体" w:cs="Times New Roman"/>
          <w:color w:val="000000"/>
          <w:kern w:val="0"/>
          <w:sz w:val="28"/>
          <w:szCs w:val="28"/>
        </w:rPr>
      </w:pPr>
      <w:r>
        <w:rPr>
          <w:rStyle w:val="10"/>
          <w:rFonts w:hint="eastAsia" w:ascii="黑体" w:hAnsi="黑体" w:eastAsia="黑体" w:cs="方正黑体_GBK"/>
          <w:color w:val="000000"/>
          <w:kern w:val="0"/>
          <w:sz w:val="32"/>
          <w:szCs w:val="32"/>
        </w:rPr>
        <w:t>附件</w:t>
      </w:r>
    </w:p>
    <w:p>
      <w:pPr>
        <w:snapToGrid w:val="0"/>
        <w:spacing w:line="590" w:lineRule="exact"/>
        <w:jc w:val="center"/>
        <w:rPr>
          <w:rStyle w:val="10"/>
          <w:rFonts w:ascii="方正小标宋简体" w:eastAsia="方正小标宋简体" w:cs="Times New Roman"/>
          <w:color w:val="000000"/>
          <w:sz w:val="44"/>
          <w:szCs w:val="44"/>
        </w:rPr>
      </w:pPr>
      <w:r>
        <w:rPr>
          <w:rStyle w:val="10"/>
          <w:rFonts w:hint="eastAsia" w:ascii="方正小标宋简体" w:eastAsia="方正小标宋简体" w:cs="方正大标宋简体"/>
          <w:color w:val="000000"/>
          <w:sz w:val="44"/>
          <w:szCs w:val="44"/>
        </w:rPr>
        <w:t>南通市海门区重点行业绿色发展任务分解表</w:t>
      </w:r>
    </w:p>
    <w:tbl>
      <w:tblPr>
        <w:tblStyle w:val="6"/>
        <w:tblW w:w="14443"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658"/>
        <w:gridCol w:w="846"/>
        <w:gridCol w:w="7647"/>
        <w:gridCol w:w="2693"/>
        <w:gridCol w:w="259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80" w:hRule="exact"/>
          <w:tblHeader/>
          <w:jc w:val="center"/>
        </w:trPr>
        <w:tc>
          <w:tcPr>
            <w:tcW w:w="658" w:type="dxa"/>
            <w:tcBorders>
              <w:top w:val="single" w:color="000000" w:sz="12" w:space="0"/>
            </w:tcBorders>
            <w:vAlign w:val="center"/>
          </w:tcPr>
          <w:p>
            <w:pPr>
              <w:jc w:val="center"/>
              <w:textAlignment w:val="center"/>
              <w:rPr>
                <w:rStyle w:val="10"/>
                <w:rFonts w:ascii="黑体" w:hAnsi="黑体" w:eastAsia="黑体" w:cs="Times New Roman"/>
                <w:color w:val="000000"/>
                <w:sz w:val="24"/>
                <w:szCs w:val="24"/>
              </w:rPr>
            </w:pPr>
            <w:r>
              <w:rPr>
                <w:rStyle w:val="10"/>
                <w:rFonts w:hint="eastAsia" w:ascii="黑体" w:hAnsi="黑体" w:eastAsia="黑体" w:cs="宋体"/>
                <w:color w:val="000000"/>
                <w:kern w:val="0"/>
                <w:sz w:val="24"/>
                <w:szCs w:val="24"/>
              </w:rPr>
              <w:t>分类</w:t>
            </w:r>
          </w:p>
        </w:tc>
        <w:tc>
          <w:tcPr>
            <w:tcW w:w="846" w:type="dxa"/>
            <w:tcBorders>
              <w:top w:val="single" w:color="000000" w:sz="12" w:space="0"/>
            </w:tcBorders>
            <w:vAlign w:val="center"/>
          </w:tcPr>
          <w:p>
            <w:pPr>
              <w:jc w:val="center"/>
              <w:textAlignment w:val="center"/>
              <w:rPr>
                <w:rStyle w:val="10"/>
                <w:rFonts w:ascii="黑体" w:hAnsi="黑体" w:eastAsia="黑体" w:cs="Times New Roman"/>
                <w:color w:val="000000"/>
                <w:sz w:val="24"/>
                <w:szCs w:val="24"/>
              </w:rPr>
            </w:pPr>
            <w:r>
              <w:rPr>
                <w:rStyle w:val="10"/>
                <w:rFonts w:hint="eastAsia" w:ascii="黑体" w:hAnsi="黑体" w:eastAsia="黑体" w:cs="宋体"/>
                <w:color w:val="000000"/>
                <w:kern w:val="0"/>
                <w:sz w:val="24"/>
                <w:szCs w:val="24"/>
              </w:rPr>
              <w:t>序号</w:t>
            </w:r>
          </w:p>
        </w:tc>
        <w:tc>
          <w:tcPr>
            <w:tcW w:w="7647" w:type="dxa"/>
            <w:tcBorders>
              <w:top w:val="single" w:color="000000" w:sz="12" w:space="0"/>
            </w:tcBorders>
            <w:vAlign w:val="center"/>
          </w:tcPr>
          <w:p>
            <w:pPr>
              <w:jc w:val="center"/>
              <w:textAlignment w:val="center"/>
              <w:rPr>
                <w:rStyle w:val="10"/>
                <w:rFonts w:ascii="黑体" w:hAnsi="黑体" w:eastAsia="黑体" w:cs="Times New Roman"/>
                <w:color w:val="000000"/>
                <w:sz w:val="24"/>
                <w:szCs w:val="24"/>
              </w:rPr>
            </w:pPr>
            <w:r>
              <w:rPr>
                <w:rStyle w:val="10"/>
                <w:rFonts w:hint="eastAsia" w:ascii="黑体" w:hAnsi="黑体" w:eastAsia="黑体" w:cs="宋体"/>
                <w:color w:val="000000"/>
                <w:kern w:val="0"/>
                <w:sz w:val="24"/>
                <w:szCs w:val="24"/>
              </w:rPr>
              <w:t>任务内容</w:t>
            </w:r>
          </w:p>
        </w:tc>
        <w:tc>
          <w:tcPr>
            <w:tcW w:w="2693" w:type="dxa"/>
            <w:tcBorders>
              <w:top w:val="single" w:color="000000" w:sz="12" w:space="0"/>
            </w:tcBorders>
            <w:vAlign w:val="center"/>
          </w:tcPr>
          <w:p>
            <w:pPr>
              <w:jc w:val="center"/>
              <w:textAlignment w:val="center"/>
              <w:rPr>
                <w:rStyle w:val="10"/>
                <w:rFonts w:ascii="黑体" w:hAnsi="黑体" w:eastAsia="黑体" w:cs="Times New Roman"/>
                <w:color w:val="000000"/>
                <w:sz w:val="24"/>
                <w:szCs w:val="24"/>
              </w:rPr>
            </w:pPr>
            <w:r>
              <w:rPr>
                <w:rStyle w:val="10"/>
                <w:rFonts w:hint="eastAsia" w:ascii="黑体" w:hAnsi="黑体" w:eastAsia="黑体" w:cs="宋体"/>
                <w:color w:val="000000"/>
                <w:kern w:val="0"/>
                <w:sz w:val="24"/>
                <w:szCs w:val="24"/>
              </w:rPr>
              <w:t>责任单位</w:t>
            </w:r>
          </w:p>
        </w:tc>
        <w:tc>
          <w:tcPr>
            <w:tcW w:w="2599" w:type="dxa"/>
            <w:tcBorders>
              <w:top w:val="single" w:color="000000" w:sz="12" w:space="0"/>
            </w:tcBorders>
            <w:vAlign w:val="center"/>
          </w:tcPr>
          <w:p>
            <w:pPr>
              <w:jc w:val="center"/>
              <w:textAlignment w:val="center"/>
              <w:rPr>
                <w:rStyle w:val="10"/>
                <w:rFonts w:ascii="黑体" w:hAnsi="黑体" w:eastAsia="黑体" w:cs="Times New Roman"/>
                <w:color w:val="000000"/>
                <w:sz w:val="24"/>
                <w:szCs w:val="24"/>
              </w:rPr>
            </w:pPr>
            <w:r>
              <w:rPr>
                <w:rStyle w:val="10"/>
                <w:rFonts w:hint="eastAsia" w:ascii="黑体" w:hAnsi="黑体" w:eastAsia="黑体" w:cs="宋体"/>
                <w:color w:val="000000"/>
                <w:kern w:val="0"/>
                <w:sz w:val="24"/>
                <w:szCs w:val="24"/>
              </w:rPr>
              <w:t>进度安排</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34" w:hRule="atLeast"/>
          <w:jc w:val="center"/>
        </w:trPr>
        <w:tc>
          <w:tcPr>
            <w:tcW w:w="658" w:type="dxa"/>
            <w:vMerge w:val="restart"/>
            <w:vAlign w:val="center"/>
          </w:tcPr>
          <w:p>
            <w:pPr>
              <w:jc w:val="center"/>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优化空间布局</w:t>
            </w:r>
          </w:p>
        </w:tc>
        <w:tc>
          <w:tcPr>
            <w:tcW w:w="846" w:type="dxa"/>
            <w:vAlign w:val="center"/>
          </w:tcPr>
          <w:p>
            <w:pPr>
              <w:jc w:val="center"/>
              <w:textAlignment w:val="center"/>
              <w:rPr>
                <w:rStyle w:val="10"/>
                <w:rFonts w:ascii="宋体" w:cs="Times New Roman"/>
                <w:color w:val="000000"/>
                <w:kern w:val="0"/>
                <w:sz w:val="24"/>
                <w:szCs w:val="24"/>
              </w:rPr>
            </w:pPr>
            <w:r>
              <w:rPr>
                <w:rStyle w:val="10"/>
                <w:rFonts w:ascii="宋体" w:hAnsi="宋体" w:cs="宋体"/>
                <w:color w:val="000000"/>
                <w:kern w:val="0"/>
                <w:sz w:val="24"/>
                <w:szCs w:val="24"/>
              </w:rPr>
              <w:t>1</w:t>
            </w:r>
          </w:p>
        </w:tc>
        <w:tc>
          <w:tcPr>
            <w:tcW w:w="7647" w:type="dxa"/>
            <w:vAlign w:val="center"/>
          </w:tcPr>
          <w:p>
            <w:pPr>
              <w:textAlignment w:val="center"/>
              <w:rPr>
                <w:rStyle w:val="10"/>
                <w:rFonts w:ascii="宋体" w:cs="Times New Roman"/>
                <w:color w:val="000000"/>
                <w:kern w:val="0"/>
                <w:sz w:val="24"/>
                <w:szCs w:val="24"/>
              </w:rPr>
            </w:pPr>
            <w:r>
              <w:rPr>
                <w:rStyle w:val="10"/>
                <w:rFonts w:hint="eastAsia" w:ascii="宋体" w:hAnsi="宋体" w:cs="宋体"/>
                <w:color w:val="000000"/>
                <w:kern w:val="0"/>
                <w:sz w:val="24"/>
                <w:szCs w:val="24"/>
              </w:rPr>
              <w:t>全面深化</w:t>
            </w:r>
            <w:r>
              <w:rPr>
                <w:rStyle w:val="10"/>
                <w:rFonts w:hint="eastAsia" w:ascii="宋体" w:cs="宋体"/>
                <w:color w:val="000000"/>
                <w:kern w:val="0"/>
                <w:sz w:val="24"/>
                <w:szCs w:val="24"/>
              </w:rPr>
              <w:t>“</w:t>
            </w:r>
            <w:r>
              <w:rPr>
                <w:rStyle w:val="10"/>
                <w:rFonts w:hint="eastAsia" w:ascii="宋体" w:hAnsi="宋体" w:cs="宋体"/>
                <w:color w:val="000000"/>
                <w:kern w:val="0"/>
                <w:sz w:val="24"/>
                <w:szCs w:val="24"/>
              </w:rPr>
              <w:t>三线一单</w:t>
            </w:r>
            <w:r>
              <w:rPr>
                <w:rStyle w:val="10"/>
                <w:rFonts w:hint="eastAsia" w:ascii="宋体" w:cs="宋体"/>
                <w:color w:val="000000"/>
                <w:kern w:val="0"/>
                <w:sz w:val="24"/>
                <w:szCs w:val="24"/>
              </w:rPr>
              <w:t>”</w:t>
            </w:r>
            <w:r>
              <w:rPr>
                <w:rStyle w:val="10"/>
                <w:rFonts w:hint="eastAsia" w:ascii="宋体" w:hAnsi="宋体" w:cs="宋体"/>
                <w:color w:val="000000"/>
                <w:kern w:val="0"/>
                <w:sz w:val="24"/>
                <w:szCs w:val="24"/>
              </w:rPr>
              <w:t>管控方案、细化管控单元及行业准入条件，建立重点产业项目准入机制，优化产业发展。</w:t>
            </w:r>
          </w:p>
        </w:tc>
        <w:tc>
          <w:tcPr>
            <w:tcW w:w="2693" w:type="dxa"/>
            <w:vMerge w:val="restart"/>
            <w:vAlign w:val="center"/>
          </w:tcPr>
          <w:p>
            <w:pPr>
              <w:jc w:val="center"/>
              <w:textAlignment w:val="center"/>
              <w:rPr>
                <w:rStyle w:val="10"/>
                <w:rFonts w:ascii="宋体" w:hAnsi="宋体" w:cs="宋体"/>
                <w:color w:val="000000"/>
                <w:kern w:val="0"/>
                <w:sz w:val="24"/>
                <w:szCs w:val="24"/>
              </w:rPr>
            </w:pPr>
            <w:r>
              <w:rPr>
                <w:rStyle w:val="10"/>
                <w:rFonts w:hint="eastAsia" w:ascii="宋体" w:hAnsi="宋体" w:cs="宋体"/>
                <w:color w:val="000000"/>
                <w:kern w:val="0"/>
                <w:sz w:val="24"/>
                <w:szCs w:val="24"/>
              </w:rPr>
              <w:t>生态环境局</w:t>
            </w:r>
          </w:p>
          <w:p>
            <w:pPr>
              <w:jc w:val="center"/>
              <w:textAlignment w:val="center"/>
              <w:rPr>
                <w:rStyle w:val="10"/>
                <w:rFonts w:ascii="宋体" w:hAnsi="宋体" w:cs="宋体"/>
                <w:color w:val="000000"/>
                <w:kern w:val="0"/>
                <w:sz w:val="24"/>
                <w:szCs w:val="24"/>
              </w:rPr>
            </w:pPr>
            <w:r>
              <w:rPr>
                <w:rStyle w:val="10"/>
                <w:rFonts w:hint="eastAsia" w:ascii="宋体" w:hAnsi="宋体" w:cs="宋体"/>
                <w:color w:val="000000"/>
                <w:kern w:val="0"/>
                <w:sz w:val="24"/>
                <w:szCs w:val="24"/>
              </w:rPr>
              <w:t>自然资源和规划局</w:t>
            </w:r>
          </w:p>
          <w:p>
            <w:pPr>
              <w:jc w:val="center"/>
              <w:textAlignment w:val="center"/>
              <w:rPr>
                <w:rFonts w:ascii="宋体" w:hAnsi="宋体" w:cs="宋体"/>
                <w:color w:val="000000"/>
                <w:kern w:val="0"/>
                <w:sz w:val="24"/>
                <w:szCs w:val="24"/>
              </w:rPr>
            </w:pPr>
            <w:r>
              <w:rPr>
                <w:rStyle w:val="10"/>
                <w:rFonts w:hint="eastAsia" w:ascii="宋体" w:hAnsi="宋体" w:cs="宋体"/>
                <w:color w:val="000000"/>
                <w:kern w:val="0"/>
                <w:sz w:val="24"/>
                <w:szCs w:val="24"/>
              </w:rPr>
              <w:t>各区镇</w:t>
            </w:r>
          </w:p>
        </w:tc>
        <w:tc>
          <w:tcPr>
            <w:tcW w:w="2599" w:type="dxa"/>
            <w:vAlign w:val="center"/>
          </w:tcPr>
          <w:p>
            <w:pPr>
              <w:jc w:val="center"/>
              <w:textAlignment w:val="center"/>
              <w:rPr>
                <w:rStyle w:val="10"/>
                <w:rFonts w:ascii="宋体" w:hAnsi="宋体" w:cs="宋体"/>
                <w:color w:val="000000"/>
                <w:kern w:val="0"/>
                <w:sz w:val="24"/>
                <w:szCs w:val="24"/>
              </w:rPr>
            </w:pPr>
            <w:r>
              <w:rPr>
                <w:rStyle w:val="10"/>
                <w:rFonts w:ascii="宋体" w:hAnsi="宋体" w:cs="宋体"/>
                <w:color w:val="000000"/>
                <w:kern w:val="0"/>
                <w:sz w:val="24"/>
                <w:szCs w:val="24"/>
              </w:rPr>
              <w:t>202</w:t>
            </w:r>
            <w:r>
              <w:rPr>
                <w:rStyle w:val="10"/>
                <w:rFonts w:hint="eastAsia" w:ascii="宋体" w:hAnsi="宋体" w:cs="宋体"/>
                <w:color w:val="000000"/>
                <w:kern w:val="0"/>
                <w:sz w:val="24"/>
                <w:szCs w:val="24"/>
              </w:rPr>
              <w:t>2年初</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1606" w:hRule="atLeast"/>
          <w:jc w:val="center"/>
        </w:trPr>
        <w:tc>
          <w:tcPr>
            <w:tcW w:w="658" w:type="dxa"/>
            <w:vMerge w:val="continue"/>
            <w:vAlign w:val="center"/>
          </w:tcPr>
          <w:p>
            <w:pPr>
              <w:jc w:val="center"/>
              <w:rPr>
                <w:rStyle w:val="10"/>
                <w:rFonts w:ascii="宋体" w:cs="Times New Roman"/>
                <w:color w:val="000000"/>
                <w:sz w:val="28"/>
                <w:szCs w:val="28"/>
              </w:rPr>
            </w:pPr>
          </w:p>
        </w:tc>
        <w:tc>
          <w:tcPr>
            <w:tcW w:w="846" w:type="dxa"/>
            <w:vAlign w:val="center"/>
          </w:tcPr>
          <w:p>
            <w:pPr>
              <w:jc w:val="center"/>
              <w:textAlignment w:val="center"/>
              <w:rPr>
                <w:rStyle w:val="10"/>
                <w:rFonts w:ascii="宋体" w:cs="Times New Roman"/>
                <w:color w:val="000000"/>
                <w:sz w:val="28"/>
                <w:szCs w:val="28"/>
              </w:rPr>
            </w:pPr>
            <w:r>
              <w:rPr>
                <w:rStyle w:val="10"/>
                <w:rFonts w:ascii="宋体" w:hAnsi="宋体" w:cs="宋体"/>
                <w:color w:val="000000"/>
                <w:kern w:val="0"/>
                <w:sz w:val="24"/>
                <w:szCs w:val="24"/>
              </w:rPr>
              <w:t>2</w:t>
            </w:r>
          </w:p>
        </w:tc>
        <w:tc>
          <w:tcPr>
            <w:tcW w:w="7647" w:type="dxa"/>
            <w:vAlign w:val="center"/>
          </w:tcPr>
          <w:p>
            <w:pPr>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结合国土空间规划编制，优化重点产业空间格局；协调江海河关系，加大生态保护力度，凸显江海生态资源特色，建设品质优良的长江口生态区；综合考量不同区域资源环境承载能力，兼顾不同领域和行业发展特点，注重差异化发展，形成具有园区特色的规划，并完成规划环评。</w:t>
            </w:r>
          </w:p>
        </w:tc>
        <w:tc>
          <w:tcPr>
            <w:tcW w:w="2693" w:type="dxa"/>
            <w:vMerge w:val="continue"/>
            <w:vAlign w:val="center"/>
          </w:tcPr>
          <w:p>
            <w:pPr>
              <w:jc w:val="center"/>
              <w:rPr>
                <w:rStyle w:val="10"/>
                <w:rFonts w:ascii="宋体" w:cs="Times New Roman"/>
                <w:color w:val="000000"/>
                <w:sz w:val="28"/>
                <w:szCs w:val="28"/>
              </w:rPr>
            </w:pPr>
          </w:p>
        </w:tc>
        <w:tc>
          <w:tcPr>
            <w:tcW w:w="2599" w:type="dxa"/>
            <w:vAlign w:val="center"/>
          </w:tcPr>
          <w:p>
            <w:pPr>
              <w:jc w:val="center"/>
              <w:textAlignment w:val="center"/>
              <w:rPr>
                <w:rStyle w:val="10"/>
                <w:rFonts w:ascii="宋体" w:cs="宋体"/>
                <w:color w:val="000000"/>
                <w:kern w:val="0"/>
                <w:sz w:val="24"/>
                <w:szCs w:val="24"/>
              </w:rPr>
            </w:pPr>
            <w:r>
              <w:rPr>
                <w:rStyle w:val="10"/>
                <w:rFonts w:ascii="宋体" w:hAnsi="宋体" w:cs="宋体"/>
                <w:color w:val="000000"/>
                <w:kern w:val="0"/>
                <w:sz w:val="24"/>
                <w:szCs w:val="24"/>
              </w:rPr>
              <w:t>2022</w:t>
            </w:r>
            <w:r>
              <w:rPr>
                <w:rStyle w:val="10"/>
                <w:rFonts w:hint="eastAsia" w:ascii="宋体" w:hAnsi="宋体" w:cs="宋体"/>
                <w:color w:val="000000"/>
                <w:kern w:val="0"/>
                <w:sz w:val="24"/>
                <w:szCs w:val="24"/>
              </w:rPr>
              <w:t>年</w:t>
            </w:r>
            <w:r>
              <w:rPr>
                <w:rStyle w:val="10"/>
                <w:rFonts w:ascii="宋体" w:hAnsi="宋体" w:cs="宋体"/>
                <w:color w:val="000000"/>
                <w:kern w:val="0"/>
                <w:sz w:val="24"/>
                <w:szCs w:val="24"/>
              </w:rPr>
              <w:t>6</w:t>
            </w:r>
            <w:r>
              <w:rPr>
                <w:rStyle w:val="10"/>
                <w:rFonts w:hint="eastAsia" w:ascii="宋体" w:hAnsi="宋体" w:cs="宋体"/>
                <w:color w:val="000000"/>
                <w:kern w:val="0"/>
                <w:sz w:val="24"/>
                <w:szCs w:val="24"/>
              </w:rPr>
              <w:t>月底前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658" w:type="dxa"/>
            <w:vMerge w:val="continue"/>
            <w:vAlign w:val="center"/>
          </w:tcPr>
          <w:p>
            <w:pPr>
              <w:jc w:val="center"/>
              <w:rPr>
                <w:rStyle w:val="10"/>
                <w:rFonts w:ascii="宋体" w:cs="Times New Roman"/>
                <w:color w:val="000000"/>
                <w:sz w:val="28"/>
                <w:szCs w:val="28"/>
              </w:rPr>
            </w:pPr>
          </w:p>
        </w:tc>
        <w:tc>
          <w:tcPr>
            <w:tcW w:w="846" w:type="dxa"/>
            <w:vAlign w:val="center"/>
          </w:tcPr>
          <w:p>
            <w:pPr>
              <w:jc w:val="center"/>
              <w:textAlignment w:val="center"/>
              <w:rPr>
                <w:rStyle w:val="10"/>
                <w:rFonts w:ascii="宋体" w:cs="Times New Roman"/>
                <w:color w:val="000000"/>
                <w:sz w:val="28"/>
                <w:szCs w:val="28"/>
              </w:rPr>
            </w:pPr>
            <w:r>
              <w:rPr>
                <w:rStyle w:val="10"/>
                <w:rFonts w:ascii="宋体" w:hAnsi="宋体" w:cs="宋体"/>
                <w:color w:val="000000"/>
                <w:kern w:val="0"/>
                <w:sz w:val="24"/>
                <w:szCs w:val="24"/>
              </w:rPr>
              <w:t>3</w:t>
            </w:r>
          </w:p>
        </w:tc>
        <w:tc>
          <w:tcPr>
            <w:tcW w:w="7647" w:type="dxa"/>
            <w:vAlign w:val="center"/>
          </w:tcPr>
          <w:p>
            <w:pPr>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引导建设涉重</w:t>
            </w:r>
            <w:r>
              <w:rPr>
                <w:rStyle w:val="10"/>
                <w:rFonts w:hint="eastAsia" w:ascii="宋体" w:cs="宋体"/>
                <w:color w:val="000000"/>
                <w:kern w:val="0"/>
                <w:sz w:val="24"/>
                <w:szCs w:val="24"/>
              </w:rPr>
              <w:t>“</w:t>
            </w:r>
            <w:r>
              <w:rPr>
                <w:rStyle w:val="10"/>
                <w:rFonts w:hint="eastAsia" w:ascii="宋体" w:hAnsi="宋体" w:cs="宋体"/>
                <w:color w:val="000000"/>
                <w:kern w:val="0"/>
                <w:sz w:val="24"/>
                <w:szCs w:val="24"/>
              </w:rPr>
              <w:t>绿岛</w:t>
            </w:r>
            <w:r>
              <w:rPr>
                <w:rStyle w:val="10"/>
                <w:rFonts w:hint="eastAsia" w:ascii="宋体" w:cs="宋体"/>
                <w:color w:val="000000"/>
                <w:kern w:val="0"/>
                <w:sz w:val="24"/>
                <w:szCs w:val="24"/>
              </w:rPr>
              <w:t>”</w:t>
            </w:r>
            <w:r>
              <w:rPr>
                <w:rStyle w:val="10"/>
                <w:rFonts w:hint="eastAsia" w:ascii="宋体" w:hAnsi="宋体" w:cs="宋体"/>
                <w:color w:val="000000"/>
                <w:kern w:val="0"/>
                <w:sz w:val="24"/>
                <w:szCs w:val="24"/>
              </w:rPr>
              <w:t>示范园区，园区外涉重电镀全部整改或搬入“绿岛”。</w:t>
            </w:r>
          </w:p>
        </w:tc>
        <w:tc>
          <w:tcPr>
            <w:tcW w:w="2693" w:type="dxa"/>
            <w:vMerge w:val="continue"/>
            <w:vAlign w:val="center"/>
          </w:tcPr>
          <w:p>
            <w:pPr>
              <w:jc w:val="center"/>
              <w:rPr>
                <w:rStyle w:val="10"/>
                <w:rFonts w:ascii="宋体" w:cs="Times New Roman"/>
                <w:color w:val="000000"/>
                <w:sz w:val="28"/>
                <w:szCs w:val="28"/>
              </w:rPr>
            </w:pPr>
          </w:p>
        </w:tc>
        <w:tc>
          <w:tcPr>
            <w:tcW w:w="2599" w:type="dxa"/>
            <w:vAlign w:val="center"/>
          </w:tcPr>
          <w:p>
            <w:pPr>
              <w:jc w:val="center"/>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持续推进</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99" w:hRule="atLeast"/>
          <w:jc w:val="center"/>
        </w:trPr>
        <w:tc>
          <w:tcPr>
            <w:tcW w:w="658" w:type="dxa"/>
            <w:vMerge w:val="restart"/>
            <w:vAlign w:val="center"/>
          </w:tcPr>
          <w:p>
            <w:pPr>
              <w:jc w:val="center"/>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推进低碳发展</w:t>
            </w:r>
          </w:p>
        </w:tc>
        <w:tc>
          <w:tcPr>
            <w:tcW w:w="846" w:type="dxa"/>
            <w:vAlign w:val="center"/>
          </w:tcPr>
          <w:p>
            <w:pPr>
              <w:jc w:val="center"/>
              <w:textAlignment w:val="center"/>
              <w:rPr>
                <w:rStyle w:val="10"/>
                <w:rFonts w:ascii="宋体" w:cs="Times New Roman"/>
                <w:color w:val="000000"/>
                <w:sz w:val="28"/>
                <w:szCs w:val="28"/>
              </w:rPr>
            </w:pPr>
            <w:r>
              <w:rPr>
                <w:rStyle w:val="10"/>
                <w:rFonts w:ascii="宋体" w:hAnsi="宋体" w:cs="宋体"/>
                <w:color w:val="000000"/>
                <w:kern w:val="0"/>
                <w:sz w:val="24"/>
                <w:szCs w:val="24"/>
              </w:rPr>
              <w:t>1</w:t>
            </w:r>
          </w:p>
        </w:tc>
        <w:tc>
          <w:tcPr>
            <w:tcW w:w="7647" w:type="dxa"/>
            <w:vAlign w:val="center"/>
          </w:tcPr>
          <w:p>
            <w:pPr>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制定碳达峰实施方案。</w:t>
            </w:r>
          </w:p>
        </w:tc>
        <w:tc>
          <w:tcPr>
            <w:tcW w:w="2693" w:type="dxa"/>
            <w:vMerge w:val="restart"/>
            <w:vAlign w:val="center"/>
          </w:tcPr>
          <w:p>
            <w:pPr>
              <w:jc w:val="center"/>
              <w:textAlignment w:val="center"/>
              <w:rPr>
                <w:rStyle w:val="10"/>
                <w:rFonts w:ascii="宋体" w:hAnsi="宋体" w:cs="宋体"/>
                <w:color w:val="000000"/>
                <w:kern w:val="0"/>
                <w:sz w:val="24"/>
                <w:szCs w:val="24"/>
              </w:rPr>
            </w:pPr>
            <w:r>
              <w:rPr>
                <w:rStyle w:val="10"/>
                <w:rFonts w:hint="eastAsia" w:ascii="宋体" w:hAnsi="宋体" w:cs="宋体"/>
                <w:color w:val="000000"/>
                <w:kern w:val="0"/>
                <w:sz w:val="24"/>
                <w:szCs w:val="24"/>
              </w:rPr>
              <w:t>发改委</w:t>
            </w:r>
          </w:p>
          <w:p>
            <w:pPr>
              <w:jc w:val="center"/>
              <w:textAlignment w:val="center"/>
              <w:rPr>
                <w:rStyle w:val="10"/>
                <w:rFonts w:ascii="宋体" w:hAnsi="宋体" w:cs="宋体"/>
                <w:color w:val="000000"/>
                <w:kern w:val="0"/>
                <w:sz w:val="24"/>
                <w:szCs w:val="24"/>
              </w:rPr>
            </w:pPr>
            <w:r>
              <w:rPr>
                <w:rStyle w:val="10"/>
                <w:rFonts w:hint="eastAsia" w:ascii="宋体" w:hAnsi="宋体" w:cs="宋体"/>
                <w:color w:val="000000"/>
                <w:kern w:val="0"/>
                <w:sz w:val="24"/>
                <w:szCs w:val="24"/>
              </w:rPr>
              <w:t>生态环境局</w:t>
            </w:r>
          </w:p>
          <w:p>
            <w:pPr>
              <w:jc w:val="center"/>
              <w:textAlignment w:val="center"/>
              <w:rPr>
                <w:rStyle w:val="10"/>
                <w:rFonts w:ascii="宋体" w:hAnsi="宋体" w:cs="宋体"/>
                <w:color w:val="000000"/>
                <w:kern w:val="0"/>
                <w:sz w:val="24"/>
                <w:szCs w:val="24"/>
              </w:rPr>
            </w:pPr>
            <w:r>
              <w:rPr>
                <w:rStyle w:val="10"/>
                <w:rFonts w:hint="eastAsia" w:ascii="宋体" w:hAnsi="宋体" w:cs="宋体"/>
                <w:color w:val="000000"/>
                <w:kern w:val="0"/>
                <w:sz w:val="24"/>
                <w:szCs w:val="24"/>
              </w:rPr>
              <w:t>行政审批局</w:t>
            </w:r>
          </w:p>
          <w:p>
            <w:pPr>
              <w:jc w:val="center"/>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各区镇</w:t>
            </w:r>
          </w:p>
        </w:tc>
        <w:tc>
          <w:tcPr>
            <w:tcW w:w="2599" w:type="dxa"/>
            <w:vAlign w:val="center"/>
          </w:tcPr>
          <w:p>
            <w:pPr>
              <w:jc w:val="center"/>
              <w:textAlignment w:val="center"/>
              <w:rPr>
                <w:rStyle w:val="10"/>
                <w:rFonts w:ascii="宋体" w:cs="Times New Roman"/>
                <w:color w:val="000000"/>
                <w:sz w:val="28"/>
                <w:szCs w:val="28"/>
              </w:rPr>
            </w:pPr>
            <w:r>
              <w:rPr>
                <w:rStyle w:val="10"/>
                <w:rFonts w:ascii="宋体" w:hAnsi="宋体" w:cs="宋体"/>
                <w:color w:val="000000"/>
                <w:kern w:val="0"/>
                <w:sz w:val="24"/>
                <w:szCs w:val="24"/>
              </w:rPr>
              <w:t>2022</w:t>
            </w:r>
            <w:r>
              <w:rPr>
                <w:rStyle w:val="10"/>
                <w:rFonts w:hint="eastAsia" w:ascii="宋体" w:hAnsi="宋体" w:cs="宋体"/>
                <w:color w:val="000000"/>
                <w:kern w:val="0"/>
                <w:sz w:val="24"/>
                <w:szCs w:val="24"/>
              </w:rPr>
              <w:t>年底前形成达峰方案，后期持续推进</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72" w:hRule="atLeast"/>
          <w:jc w:val="center"/>
        </w:trPr>
        <w:tc>
          <w:tcPr>
            <w:tcW w:w="658" w:type="dxa"/>
            <w:vMerge w:val="continue"/>
            <w:vAlign w:val="center"/>
          </w:tcPr>
          <w:p>
            <w:pPr>
              <w:jc w:val="center"/>
              <w:rPr>
                <w:rStyle w:val="10"/>
                <w:rFonts w:ascii="宋体" w:cs="Times New Roman"/>
                <w:color w:val="000000"/>
                <w:sz w:val="28"/>
                <w:szCs w:val="28"/>
              </w:rPr>
            </w:pPr>
          </w:p>
        </w:tc>
        <w:tc>
          <w:tcPr>
            <w:tcW w:w="846" w:type="dxa"/>
            <w:vAlign w:val="center"/>
          </w:tcPr>
          <w:p>
            <w:pPr>
              <w:jc w:val="center"/>
              <w:textAlignment w:val="center"/>
              <w:rPr>
                <w:rStyle w:val="10"/>
                <w:rFonts w:ascii="宋体" w:cs="Times New Roman"/>
                <w:color w:val="000000"/>
                <w:sz w:val="28"/>
                <w:szCs w:val="28"/>
              </w:rPr>
            </w:pPr>
            <w:r>
              <w:rPr>
                <w:rStyle w:val="10"/>
                <w:rFonts w:ascii="宋体" w:hAnsi="宋体" w:cs="宋体"/>
                <w:color w:val="000000"/>
                <w:kern w:val="0"/>
                <w:sz w:val="24"/>
                <w:szCs w:val="24"/>
              </w:rPr>
              <w:t>2</w:t>
            </w:r>
          </w:p>
        </w:tc>
        <w:tc>
          <w:tcPr>
            <w:tcW w:w="7647" w:type="dxa"/>
            <w:vAlign w:val="center"/>
          </w:tcPr>
          <w:p>
            <w:pPr>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电力、钢铁、水泥等重点行业项目环评作为碳评试点，增加碳排放评价章节，推动碳达峰、碳中和要求与环境影响评价有机结合。</w:t>
            </w:r>
          </w:p>
        </w:tc>
        <w:tc>
          <w:tcPr>
            <w:tcW w:w="2693" w:type="dxa"/>
            <w:vMerge w:val="continue"/>
            <w:vAlign w:val="center"/>
          </w:tcPr>
          <w:p>
            <w:pPr>
              <w:jc w:val="center"/>
              <w:rPr>
                <w:rStyle w:val="10"/>
                <w:rFonts w:ascii="宋体" w:cs="Times New Roman"/>
                <w:color w:val="000000"/>
                <w:sz w:val="28"/>
                <w:szCs w:val="28"/>
              </w:rPr>
            </w:pPr>
          </w:p>
        </w:tc>
        <w:tc>
          <w:tcPr>
            <w:tcW w:w="2599" w:type="dxa"/>
            <w:vAlign w:val="center"/>
          </w:tcPr>
          <w:p>
            <w:pPr>
              <w:jc w:val="center"/>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持续推进</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888" w:hRule="atLeast"/>
          <w:jc w:val="center"/>
        </w:trPr>
        <w:tc>
          <w:tcPr>
            <w:tcW w:w="658" w:type="dxa"/>
            <w:vMerge w:val="continue"/>
            <w:vAlign w:val="center"/>
          </w:tcPr>
          <w:p>
            <w:pPr>
              <w:jc w:val="center"/>
              <w:rPr>
                <w:rStyle w:val="10"/>
                <w:rFonts w:ascii="宋体" w:cs="Times New Roman"/>
                <w:color w:val="000000"/>
                <w:sz w:val="28"/>
                <w:szCs w:val="28"/>
              </w:rPr>
            </w:pPr>
          </w:p>
        </w:tc>
        <w:tc>
          <w:tcPr>
            <w:tcW w:w="846" w:type="dxa"/>
            <w:vAlign w:val="center"/>
          </w:tcPr>
          <w:p>
            <w:pPr>
              <w:jc w:val="center"/>
              <w:textAlignment w:val="center"/>
              <w:rPr>
                <w:rStyle w:val="10"/>
                <w:rFonts w:ascii="宋体" w:cs="Times New Roman"/>
                <w:color w:val="000000"/>
                <w:kern w:val="0"/>
                <w:sz w:val="24"/>
                <w:szCs w:val="24"/>
              </w:rPr>
            </w:pPr>
            <w:r>
              <w:rPr>
                <w:rStyle w:val="10"/>
                <w:rFonts w:ascii="宋体" w:hAnsi="宋体" w:cs="宋体"/>
                <w:color w:val="000000"/>
                <w:kern w:val="0"/>
                <w:sz w:val="24"/>
                <w:szCs w:val="24"/>
              </w:rPr>
              <w:t>3</w:t>
            </w:r>
          </w:p>
        </w:tc>
        <w:tc>
          <w:tcPr>
            <w:tcW w:w="7647" w:type="dxa"/>
            <w:vAlign w:val="center"/>
          </w:tcPr>
          <w:p>
            <w:pPr>
              <w:textAlignment w:val="center"/>
              <w:rPr>
                <w:rStyle w:val="10"/>
                <w:rFonts w:ascii="宋体" w:cs="Times New Roman"/>
                <w:color w:val="000000"/>
                <w:kern w:val="0"/>
                <w:sz w:val="24"/>
                <w:szCs w:val="24"/>
              </w:rPr>
            </w:pPr>
            <w:r>
              <w:rPr>
                <w:rStyle w:val="10"/>
                <w:rFonts w:hint="eastAsia" w:ascii="宋体" w:hAnsi="宋体" w:cs="宋体"/>
                <w:color w:val="000000"/>
                <w:kern w:val="0"/>
                <w:sz w:val="24"/>
                <w:szCs w:val="24"/>
              </w:rPr>
              <w:t>优化能源结构，减少煤炭消费比重。加大散煤治理力度，开展涉</w:t>
            </w:r>
            <w:r>
              <w:rPr>
                <w:rStyle w:val="10"/>
                <w:rFonts w:ascii="宋体" w:hAnsi="宋体" w:cs="宋体"/>
                <w:color w:val="000000"/>
                <w:kern w:val="0"/>
                <w:sz w:val="24"/>
                <w:szCs w:val="24"/>
              </w:rPr>
              <w:t>VOCs</w:t>
            </w:r>
            <w:r>
              <w:rPr>
                <w:rStyle w:val="10"/>
                <w:rFonts w:hint="eastAsia" w:ascii="宋体" w:hAnsi="宋体" w:cs="宋体"/>
                <w:color w:val="000000"/>
                <w:kern w:val="0"/>
                <w:sz w:val="24"/>
                <w:szCs w:val="24"/>
              </w:rPr>
              <w:t>企业集群排查整治，推进重点行业工业炉窑完成超低排放改造或深度治理、清洁能源替代。完善政策措施，充分发挥市场机制的决定性作用，加快碳市场建设，降低经济的碳强度。</w:t>
            </w:r>
          </w:p>
        </w:tc>
        <w:tc>
          <w:tcPr>
            <w:tcW w:w="2693" w:type="dxa"/>
            <w:vMerge w:val="continue"/>
            <w:vAlign w:val="center"/>
          </w:tcPr>
          <w:p>
            <w:pPr>
              <w:jc w:val="center"/>
              <w:rPr>
                <w:rStyle w:val="10"/>
                <w:rFonts w:ascii="宋体" w:cs="Times New Roman"/>
                <w:color w:val="000000"/>
                <w:sz w:val="28"/>
                <w:szCs w:val="28"/>
              </w:rPr>
            </w:pPr>
          </w:p>
        </w:tc>
        <w:tc>
          <w:tcPr>
            <w:tcW w:w="2599" w:type="dxa"/>
            <w:vAlign w:val="center"/>
          </w:tcPr>
          <w:p>
            <w:pPr>
              <w:jc w:val="center"/>
              <w:textAlignment w:val="center"/>
              <w:rPr>
                <w:rStyle w:val="10"/>
                <w:rFonts w:ascii="宋体" w:cs="Times New Roman"/>
                <w:color w:val="000000"/>
                <w:kern w:val="0"/>
                <w:sz w:val="24"/>
                <w:szCs w:val="24"/>
              </w:rPr>
            </w:pPr>
            <w:r>
              <w:rPr>
                <w:rStyle w:val="10"/>
                <w:rFonts w:hint="eastAsia" w:ascii="宋体" w:hAnsi="宋体" w:cs="宋体"/>
                <w:color w:val="000000"/>
                <w:kern w:val="0"/>
                <w:sz w:val="24"/>
                <w:szCs w:val="24"/>
              </w:rPr>
              <w:t>持续推进</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888" w:hRule="atLeast"/>
          <w:jc w:val="center"/>
        </w:trPr>
        <w:tc>
          <w:tcPr>
            <w:tcW w:w="658" w:type="dxa"/>
            <w:vMerge w:val="continue"/>
            <w:vAlign w:val="center"/>
          </w:tcPr>
          <w:p>
            <w:pPr>
              <w:jc w:val="center"/>
              <w:rPr>
                <w:rStyle w:val="10"/>
                <w:rFonts w:ascii="宋体" w:cs="Times New Roman"/>
                <w:color w:val="000000"/>
                <w:sz w:val="28"/>
                <w:szCs w:val="28"/>
              </w:rPr>
            </w:pPr>
          </w:p>
        </w:tc>
        <w:tc>
          <w:tcPr>
            <w:tcW w:w="846" w:type="dxa"/>
            <w:vAlign w:val="center"/>
          </w:tcPr>
          <w:p>
            <w:pPr>
              <w:jc w:val="center"/>
              <w:textAlignment w:val="center"/>
              <w:rPr>
                <w:rFonts w:ascii="宋体" w:cs="Times New Roman"/>
                <w:color w:val="000000"/>
                <w:sz w:val="28"/>
                <w:szCs w:val="28"/>
              </w:rPr>
            </w:pPr>
            <w:r>
              <w:rPr>
                <w:rStyle w:val="10"/>
                <w:rFonts w:ascii="宋体" w:hAnsi="宋体" w:cs="宋体"/>
                <w:color w:val="000000"/>
                <w:sz w:val="28"/>
                <w:szCs w:val="28"/>
              </w:rPr>
              <w:t>4</w:t>
            </w:r>
          </w:p>
        </w:tc>
        <w:tc>
          <w:tcPr>
            <w:tcW w:w="7647" w:type="dxa"/>
            <w:vAlign w:val="center"/>
          </w:tcPr>
          <w:p>
            <w:pPr>
              <w:textAlignment w:val="center"/>
              <w:rPr>
                <w:rFonts w:ascii="宋体" w:cs="Times New Roman"/>
                <w:color w:val="000000"/>
                <w:sz w:val="28"/>
                <w:szCs w:val="28"/>
              </w:rPr>
            </w:pPr>
            <w:r>
              <w:rPr>
                <w:rStyle w:val="10"/>
                <w:rFonts w:hint="eastAsia" w:ascii="宋体" w:hAnsi="宋体" w:cs="宋体"/>
                <w:color w:val="000000"/>
                <w:kern w:val="0"/>
                <w:sz w:val="24"/>
                <w:szCs w:val="24"/>
              </w:rPr>
              <w:t>完善能耗双控制度，强化节能审查制度，提升新上项目能效水平。加大节能管理力度，提高重点用能单位能源效率。完善能耗双控考核，推动能耗强度持续降低。</w:t>
            </w:r>
          </w:p>
        </w:tc>
        <w:tc>
          <w:tcPr>
            <w:tcW w:w="2693" w:type="dxa"/>
            <w:vMerge w:val="continue"/>
            <w:vAlign w:val="center"/>
          </w:tcPr>
          <w:p>
            <w:pPr>
              <w:jc w:val="center"/>
              <w:rPr>
                <w:rFonts w:ascii="宋体" w:cs="Times New Roman"/>
                <w:color w:val="000000"/>
                <w:sz w:val="28"/>
                <w:szCs w:val="28"/>
              </w:rPr>
            </w:pPr>
          </w:p>
        </w:tc>
        <w:tc>
          <w:tcPr>
            <w:tcW w:w="2599" w:type="dxa"/>
            <w:vAlign w:val="center"/>
          </w:tcPr>
          <w:p>
            <w:pPr>
              <w:jc w:val="center"/>
              <w:textAlignment w:val="center"/>
              <w:rPr>
                <w:rFonts w:ascii="宋体" w:cs="Times New Roman"/>
                <w:color w:val="000000"/>
                <w:sz w:val="28"/>
                <w:szCs w:val="28"/>
              </w:rPr>
            </w:pPr>
            <w:r>
              <w:rPr>
                <w:rStyle w:val="10"/>
                <w:rFonts w:hint="eastAsia" w:ascii="宋体" w:hAnsi="宋体" w:cs="宋体"/>
                <w:color w:val="000000"/>
                <w:kern w:val="0"/>
                <w:sz w:val="24"/>
                <w:szCs w:val="24"/>
              </w:rPr>
              <w:t>持续推进</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888" w:hRule="atLeast"/>
          <w:jc w:val="center"/>
        </w:trPr>
        <w:tc>
          <w:tcPr>
            <w:tcW w:w="658" w:type="dxa"/>
            <w:vMerge w:val="continue"/>
            <w:vAlign w:val="center"/>
          </w:tcPr>
          <w:p>
            <w:pPr>
              <w:jc w:val="center"/>
              <w:rPr>
                <w:rStyle w:val="10"/>
                <w:rFonts w:ascii="宋体" w:cs="Times New Roman"/>
                <w:color w:val="000000"/>
                <w:sz w:val="28"/>
                <w:szCs w:val="28"/>
              </w:rPr>
            </w:pPr>
          </w:p>
        </w:tc>
        <w:tc>
          <w:tcPr>
            <w:tcW w:w="846" w:type="dxa"/>
            <w:vAlign w:val="center"/>
          </w:tcPr>
          <w:p>
            <w:pPr>
              <w:jc w:val="center"/>
              <w:textAlignment w:val="center"/>
              <w:rPr>
                <w:rStyle w:val="10"/>
                <w:rFonts w:ascii="宋体" w:cs="Times New Roman"/>
                <w:color w:val="000000"/>
                <w:sz w:val="28"/>
                <w:szCs w:val="28"/>
              </w:rPr>
            </w:pPr>
            <w:r>
              <w:rPr>
                <w:rStyle w:val="10"/>
                <w:rFonts w:ascii="宋体" w:hAnsi="宋体" w:cs="宋体"/>
                <w:color w:val="000000"/>
                <w:sz w:val="28"/>
                <w:szCs w:val="28"/>
              </w:rPr>
              <w:t>5</w:t>
            </w:r>
          </w:p>
        </w:tc>
        <w:tc>
          <w:tcPr>
            <w:tcW w:w="7647" w:type="dxa"/>
            <w:vAlign w:val="center"/>
          </w:tcPr>
          <w:p>
            <w:pPr>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完善碳监测能力，进一步提升碳监测水平。开展碳排放统计工作，尝试在园区试点开展能耗和二氧化碳排放统计、监测、报告、评估。</w:t>
            </w:r>
          </w:p>
        </w:tc>
        <w:tc>
          <w:tcPr>
            <w:tcW w:w="2693" w:type="dxa"/>
            <w:vMerge w:val="continue"/>
            <w:vAlign w:val="center"/>
          </w:tcPr>
          <w:p>
            <w:pPr>
              <w:jc w:val="center"/>
              <w:rPr>
                <w:rStyle w:val="10"/>
                <w:rFonts w:ascii="宋体" w:cs="Times New Roman"/>
                <w:color w:val="000000"/>
                <w:sz w:val="28"/>
                <w:szCs w:val="28"/>
              </w:rPr>
            </w:pPr>
          </w:p>
        </w:tc>
        <w:tc>
          <w:tcPr>
            <w:tcW w:w="2599" w:type="dxa"/>
            <w:vAlign w:val="center"/>
          </w:tcPr>
          <w:p>
            <w:pPr>
              <w:jc w:val="center"/>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持续推进</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839" w:hRule="atLeast"/>
          <w:jc w:val="center"/>
        </w:trPr>
        <w:tc>
          <w:tcPr>
            <w:tcW w:w="658" w:type="dxa"/>
            <w:vMerge w:val="restart"/>
            <w:vAlign w:val="center"/>
          </w:tcPr>
          <w:p>
            <w:pPr>
              <w:jc w:val="center"/>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建设生态园区</w:t>
            </w:r>
          </w:p>
        </w:tc>
        <w:tc>
          <w:tcPr>
            <w:tcW w:w="846" w:type="dxa"/>
            <w:vAlign w:val="center"/>
          </w:tcPr>
          <w:p>
            <w:pPr>
              <w:jc w:val="center"/>
              <w:textAlignment w:val="center"/>
              <w:rPr>
                <w:rStyle w:val="10"/>
                <w:rFonts w:ascii="宋体" w:cs="Times New Roman"/>
                <w:color w:val="000000"/>
                <w:sz w:val="28"/>
                <w:szCs w:val="28"/>
              </w:rPr>
            </w:pPr>
            <w:r>
              <w:rPr>
                <w:rStyle w:val="10"/>
                <w:rFonts w:ascii="宋体" w:hAnsi="宋体" w:cs="宋体"/>
                <w:color w:val="000000"/>
                <w:kern w:val="0"/>
                <w:sz w:val="24"/>
                <w:szCs w:val="24"/>
              </w:rPr>
              <w:t>1</w:t>
            </w:r>
          </w:p>
        </w:tc>
        <w:tc>
          <w:tcPr>
            <w:tcW w:w="7647" w:type="dxa"/>
            <w:vAlign w:val="center"/>
          </w:tcPr>
          <w:p>
            <w:pPr>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推动园区产业向</w:t>
            </w:r>
            <w:r>
              <w:rPr>
                <w:rStyle w:val="10"/>
                <w:rFonts w:hint="eastAsia" w:ascii="宋体" w:cs="宋体"/>
                <w:color w:val="000000"/>
                <w:kern w:val="0"/>
                <w:sz w:val="24"/>
                <w:szCs w:val="24"/>
              </w:rPr>
              <w:t>“</w:t>
            </w:r>
            <w:r>
              <w:rPr>
                <w:rStyle w:val="10"/>
                <w:rFonts w:hint="eastAsia" w:ascii="宋体" w:hAnsi="宋体" w:cs="宋体"/>
                <w:color w:val="000000"/>
                <w:kern w:val="0"/>
                <w:sz w:val="24"/>
                <w:szCs w:val="24"/>
              </w:rPr>
              <w:t>专精特</w:t>
            </w:r>
            <w:r>
              <w:rPr>
                <w:rStyle w:val="10"/>
                <w:rFonts w:hint="eastAsia" w:ascii="宋体" w:hAnsi="宋体" w:cs="宋体"/>
                <w:color w:val="000000"/>
                <w:kern w:val="0"/>
                <w:sz w:val="24"/>
                <w:szCs w:val="24"/>
                <w:u w:val="none"/>
              </w:rPr>
              <w:t>新</w:t>
            </w:r>
            <w:r>
              <w:rPr>
                <w:rStyle w:val="10"/>
                <w:rFonts w:hint="eastAsia" w:ascii="宋体" w:cs="宋体"/>
                <w:color w:val="000000"/>
                <w:kern w:val="0"/>
                <w:sz w:val="24"/>
                <w:szCs w:val="24"/>
              </w:rPr>
              <w:t>”</w:t>
            </w:r>
            <w:r>
              <w:rPr>
                <w:rStyle w:val="10"/>
                <w:rFonts w:hint="eastAsia" w:ascii="宋体" w:hAnsi="宋体" w:cs="宋体"/>
                <w:color w:val="000000"/>
                <w:kern w:val="0"/>
                <w:sz w:val="24"/>
                <w:szCs w:val="24"/>
              </w:rPr>
              <w:t>方向发展。引导省级以上园区重点打造</w:t>
            </w:r>
            <w:r>
              <w:rPr>
                <w:rStyle w:val="10"/>
                <w:rFonts w:ascii="宋体" w:hAnsi="宋体" w:cs="宋体"/>
                <w:color w:val="000000"/>
                <w:kern w:val="0"/>
                <w:sz w:val="24"/>
                <w:szCs w:val="24"/>
              </w:rPr>
              <w:t>1—2</w:t>
            </w:r>
            <w:r>
              <w:rPr>
                <w:rStyle w:val="10"/>
                <w:rFonts w:hint="eastAsia" w:ascii="宋体" w:hAnsi="宋体" w:cs="宋体"/>
                <w:color w:val="000000"/>
                <w:kern w:val="0"/>
                <w:sz w:val="24"/>
                <w:szCs w:val="24"/>
              </w:rPr>
              <w:t>个特色主导产业、</w:t>
            </w:r>
            <w:r>
              <w:rPr>
                <w:rStyle w:val="10"/>
                <w:rFonts w:ascii="宋体" w:hAnsi="宋体" w:cs="宋体"/>
                <w:color w:val="000000"/>
                <w:kern w:val="0"/>
                <w:sz w:val="24"/>
                <w:szCs w:val="24"/>
              </w:rPr>
              <w:t>1—2</w:t>
            </w:r>
            <w:r>
              <w:rPr>
                <w:rStyle w:val="10"/>
                <w:rFonts w:hint="eastAsia" w:ascii="宋体" w:hAnsi="宋体" w:cs="宋体"/>
                <w:color w:val="000000"/>
                <w:kern w:val="0"/>
                <w:sz w:val="24"/>
                <w:szCs w:val="24"/>
              </w:rPr>
              <w:t>个新兴产业。</w:t>
            </w:r>
          </w:p>
        </w:tc>
        <w:tc>
          <w:tcPr>
            <w:tcW w:w="2693" w:type="dxa"/>
            <w:vMerge w:val="restart"/>
            <w:vAlign w:val="center"/>
          </w:tcPr>
          <w:p>
            <w:pPr>
              <w:jc w:val="center"/>
              <w:textAlignment w:val="center"/>
              <w:rPr>
                <w:rStyle w:val="10"/>
                <w:rFonts w:ascii="宋体" w:hAnsi="宋体" w:cs="宋体"/>
                <w:color w:val="000000"/>
                <w:kern w:val="0"/>
                <w:sz w:val="24"/>
                <w:szCs w:val="24"/>
              </w:rPr>
            </w:pPr>
            <w:r>
              <w:rPr>
                <w:rStyle w:val="10"/>
                <w:rFonts w:hint="eastAsia" w:ascii="宋体" w:hAnsi="宋体" w:cs="宋体"/>
                <w:color w:val="000000"/>
                <w:kern w:val="0"/>
                <w:sz w:val="24"/>
                <w:szCs w:val="24"/>
              </w:rPr>
              <w:t>发改委</w:t>
            </w:r>
          </w:p>
          <w:p>
            <w:pPr>
              <w:jc w:val="center"/>
              <w:textAlignment w:val="center"/>
              <w:rPr>
                <w:rStyle w:val="10"/>
                <w:rFonts w:ascii="宋体" w:hAnsi="宋体" w:cs="宋体"/>
                <w:color w:val="000000"/>
                <w:kern w:val="0"/>
                <w:sz w:val="24"/>
                <w:szCs w:val="24"/>
              </w:rPr>
            </w:pPr>
            <w:r>
              <w:rPr>
                <w:rStyle w:val="10"/>
                <w:rFonts w:hint="eastAsia" w:ascii="宋体" w:hAnsi="宋体" w:cs="宋体"/>
                <w:color w:val="000000"/>
                <w:kern w:val="0"/>
                <w:sz w:val="24"/>
                <w:szCs w:val="24"/>
              </w:rPr>
              <w:t>生态环境局</w:t>
            </w:r>
          </w:p>
          <w:p>
            <w:pPr>
              <w:jc w:val="center"/>
              <w:textAlignment w:val="center"/>
              <w:rPr>
                <w:rStyle w:val="10"/>
                <w:rFonts w:ascii="宋体" w:hAnsi="宋体" w:cs="宋体"/>
                <w:color w:val="000000"/>
                <w:kern w:val="0"/>
                <w:sz w:val="24"/>
                <w:szCs w:val="24"/>
              </w:rPr>
            </w:pPr>
            <w:r>
              <w:rPr>
                <w:rStyle w:val="10"/>
                <w:rFonts w:hint="eastAsia" w:ascii="宋体" w:hAnsi="宋体" w:cs="宋体"/>
                <w:color w:val="000000"/>
                <w:kern w:val="0"/>
                <w:sz w:val="24"/>
                <w:szCs w:val="24"/>
              </w:rPr>
              <w:t>商务局</w:t>
            </w:r>
          </w:p>
          <w:p>
            <w:pPr>
              <w:jc w:val="center"/>
              <w:textAlignment w:val="center"/>
              <w:rPr>
                <w:rStyle w:val="10"/>
                <w:rFonts w:ascii="宋体" w:hAnsi="宋体" w:cs="宋体"/>
                <w:color w:val="000000"/>
                <w:kern w:val="0"/>
                <w:sz w:val="24"/>
                <w:szCs w:val="24"/>
              </w:rPr>
            </w:pPr>
            <w:r>
              <w:rPr>
                <w:rStyle w:val="10"/>
                <w:rFonts w:hint="eastAsia" w:ascii="宋体" w:hAnsi="宋体" w:cs="宋体"/>
                <w:color w:val="000000"/>
                <w:kern w:val="0"/>
                <w:sz w:val="24"/>
                <w:szCs w:val="24"/>
              </w:rPr>
              <w:t>住建局</w:t>
            </w:r>
          </w:p>
          <w:p>
            <w:pPr>
              <w:jc w:val="center"/>
              <w:textAlignment w:val="center"/>
              <w:rPr>
                <w:rStyle w:val="10"/>
                <w:rFonts w:ascii="宋体" w:hAnsi="宋体" w:cs="宋体"/>
                <w:color w:val="000000"/>
                <w:kern w:val="0"/>
                <w:sz w:val="24"/>
                <w:szCs w:val="24"/>
              </w:rPr>
            </w:pPr>
            <w:r>
              <w:rPr>
                <w:rStyle w:val="10"/>
                <w:rFonts w:hint="eastAsia" w:ascii="宋体" w:hAnsi="宋体" w:cs="宋体"/>
                <w:color w:val="000000"/>
                <w:kern w:val="0"/>
                <w:sz w:val="24"/>
                <w:szCs w:val="24"/>
              </w:rPr>
              <w:t>科技局</w:t>
            </w:r>
          </w:p>
          <w:p>
            <w:pPr>
              <w:jc w:val="center"/>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各区镇</w:t>
            </w:r>
          </w:p>
        </w:tc>
        <w:tc>
          <w:tcPr>
            <w:tcW w:w="2599" w:type="dxa"/>
            <w:vAlign w:val="center"/>
          </w:tcPr>
          <w:p>
            <w:pPr>
              <w:jc w:val="center"/>
              <w:textAlignment w:val="center"/>
              <w:rPr>
                <w:rStyle w:val="10"/>
                <w:rFonts w:ascii="宋体" w:cs="Times New Roman"/>
                <w:color w:val="000000"/>
                <w:sz w:val="28"/>
                <w:szCs w:val="28"/>
              </w:rPr>
            </w:pPr>
            <w:r>
              <w:rPr>
                <w:rStyle w:val="10"/>
                <w:rFonts w:ascii="宋体" w:hAnsi="宋体" w:cs="宋体"/>
                <w:color w:val="000000"/>
                <w:kern w:val="0"/>
                <w:sz w:val="24"/>
                <w:szCs w:val="24"/>
              </w:rPr>
              <w:t>2022</w:t>
            </w:r>
            <w:r>
              <w:rPr>
                <w:rStyle w:val="10"/>
                <w:rFonts w:hint="eastAsia" w:ascii="宋体" w:hAnsi="宋体" w:cs="宋体"/>
                <w:color w:val="000000"/>
                <w:kern w:val="0"/>
                <w:sz w:val="24"/>
                <w:szCs w:val="24"/>
              </w:rPr>
              <w:t>年底前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1390" w:hRule="atLeast"/>
          <w:jc w:val="center"/>
        </w:trPr>
        <w:tc>
          <w:tcPr>
            <w:tcW w:w="658" w:type="dxa"/>
            <w:vMerge w:val="continue"/>
            <w:vAlign w:val="center"/>
          </w:tcPr>
          <w:p>
            <w:pPr>
              <w:jc w:val="center"/>
              <w:rPr>
                <w:rStyle w:val="10"/>
                <w:rFonts w:ascii="宋体" w:cs="Times New Roman"/>
                <w:color w:val="000000"/>
                <w:sz w:val="28"/>
                <w:szCs w:val="28"/>
              </w:rPr>
            </w:pPr>
          </w:p>
        </w:tc>
        <w:tc>
          <w:tcPr>
            <w:tcW w:w="846" w:type="dxa"/>
            <w:vAlign w:val="center"/>
          </w:tcPr>
          <w:p>
            <w:pPr>
              <w:jc w:val="center"/>
              <w:textAlignment w:val="center"/>
              <w:rPr>
                <w:rStyle w:val="10"/>
                <w:rFonts w:ascii="宋体" w:cs="Times New Roman"/>
                <w:color w:val="000000"/>
                <w:sz w:val="28"/>
                <w:szCs w:val="28"/>
              </w:rPr>
            </w:pPr>
            <w:r>
              <w:rPr>
                <w:rStyle w:val="10"/>
                <w:rFonts w:ascii="宋体" w:hAnsi="宋体" w:cs="宋体"/>
                <w:color w:val="000000"/>
                <w:kern w:val="0"/>
                <w:sz w:val="24"/>
                <w:szCs w:val="24"/>
              </w:rPr>
              <w:t>2</w:t>
            </w:r>
          </w:p>
        </w:tc>
        <w:tc>
          <w:tcPr>
            <w:tcW w:w="7647" w:type="dxa"/>
            <w:vAlign w:val="center"/>
          </w:tcPr>
          <w:p>
            <w:pPr>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实施园区循环化改造，推动企业循环式生产、产业循环式组合，加大开发区、三厂工业园区、海门港新区等地污水处理能力，搭建资源共享、废物处理公共平台，提高能源资源综合利用效率。</w:t>
            </w:r>
          </w:p>
        </w:tc>
        <w:tc>
          <w:tcPr>
            <w:tcW w:w="2693" w:type="dxa"/>
            <w:vMerge w:val="continue"/>
            <w:vAlign w:val="center"/>
          </w:tcPr>
          <w:p>
            <w:pPr>
              <w:jc w:val="center"/>
              <w:rPr>
                <w:rStyle w:val="10"/>
                <w:rFonts w:ascii="宋体" w:cs="Times New Roman"/>
                <w:color w:val="000000"/>
                <w:sz w:val="28"/>
                <w:szCs w:val="28"/>
              </w:rPr>
            </w:pPr>
          </w:p>
        </w:tc>
        <w:tc>
          <w:tcPr>
            <w:tcW w:w="2599" w:type="dxa"/>
            <w:vAlign w:val="center"/>
          </w:tcPr>
          <w:p>
            <w:pPr>
              <w:jc w:val="center"/>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持续推进</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658" w:type="dxa"/>
            <w:vMerge w:val="continue"/>
            <w:vAlign w:val="center"/>
          </w:tcPr>
          <w:p>
            <w:pPr>
              <w:jc w:val="center"/>
              <w:rPr>
                <w:rStyle w:val="10"/>
                <w:rFonts w:ascii="宋体" w:cs="Times New Roman"/>
                <w:color w:val="000000"/>
                <w:sz w:val="28"/>
                <w:szCs w:val="28"/>
              </w:rPr>
            </w:pPr>
          </w:p>
        </w:tc>
        <w:tc>
          <w:tcPr>
            <w:tcW w:w="846" w:type="dxa"/>
            <w:vAlign w:val="center"/>
          </w:tcPr>
          <w:p>
            <w:pPr>
              <w:jc w:val="center"/>
              <w:textAlignment w:val="center"/>
              <w:rPr>
                <w:rStyle w:val="10"/>
                <w:rFonts w:ascii="宋体" w:cs="Times New Roman"/>
                <w:color w:val="000000"/>
                <w:sz w:val="28"/>
                <w:szCs w:val="28"/>
              </w:rPr>
            </w:pPr>
            <w:r>
              <w:rPr>
                <w:rStyle w:val="10"/>
                <w:rFonts w:ascii="宋体" w:hAnsi="宋体" w:cs="宋体"/>
                <w:color w:val="000000"/>
                <w:kern w:val="0"/>
                <w:sz w:val="24"/>
                <w:szCs w:val="24"/>
              </w:rPr>
              <w:t>3</w:t>
            </w:r>
          </w:p>
        </w:tc>
        <w:tc>
          <w:tcPr>
            <w:tcW w:w="7647" w:type="dxa"/>
            <w:vAlign w:val="center"/>
          </w:tcPr>
          <w:p>
            <w:pPr>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推动园区基础公共设施共建共享、能源梯级利用、资源循环利用和污染物集中安全处置等。因地制宜布局污水资源化利用设施，探索采取污水处理厂尾水用于钢铁行业等方式提高水重复利用率。</w:t>
            </w:r>
          </w:p>
        </w:tc>
        <w:tc>
          <w:tcPr>
            <w:tcW w:w="2693" w:type="dxa"/>
            <w:vMerge w:val="continue"/>
            <w:vAlign w:val="center"/>
          </w:tcPr>
          <w:p>
            <w:pPr>
              <w:jc w:val="center"/>
              <w:rPr>
                <w:rStyle w:val="10"/>
                <w:rFonts w:ascii="宋体" w:cs="Times New Roman"/>
                <w:color w:val="000000"/>
                <w:sz w:val="28"/>
                <w:szCs w:val="28"/>
              </w:rPr>
            </w:pPr>
          </w:p>
        </w:tc>
        <w:tc>
          <w:tcPr>
            <w:tcW w:w="2599" w:type="dxa"/>
            <w:vAlign w:val="center"/>
          </w:tcPr>
          <w:p>
            <w:pPr>
              <w:jc w:val="center"/>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持续推进</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772" w:hRule="atLeast"/>
          <w:jc w:val="center"/>
        </w:trPr>
        <w:tc>
          <w:tcPr>
            <w:tcW w:w="658" w:type="dxa"/>
            <w:vMerge w:val="restart"/>
            <w:vAlign w:val="center"/>
          </w:tcPr>
          <w:p>
            <w:pPr>
              <w:jc w:val="center"/>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打造绿色产业</w:t>
            </w:r>
          </w:p>
        </w:tc>
        <w:tc>
          <w:tcPr>
            <w:tcW w:w="846" w:type="dxa"/>
            <w:vAlign w:val="center"/>
          </w:tcPr>
          <w:p>
            <w:pPr>
              <w:jc w:val="center"/>
              <w:textAlignment w:val="center"/>
              <w:rPr>
                <w:rStyle w:val="10"/>
                <w:rFonts w:ascii="宋体" w:cs="Times New Roman"/>
                <w:color w:val="000000"/>
                <w:sz w:val="28"/>
                <w:szCs w:val="28"/>
              </w:rPr>
            </w:pPr>
            <w:r>
              <w:rPr>
                <w:rStyle w:val="10"/>
                <w:rFonts w:ascii="宋体" w:hAnsi="宋体" w:cs="宋体"/>
                <w:color w:val="000000"/>
                <w:kern w:val="0"/>
                <w:sz w:val="24"/>
                <w:szCs w:val="24"/>
              </w:rPr>
              <w:t>1</w:t>
            </w:r>
          </w:p>
        </w:tc>
        <w:tc>
          <w:tcPr>
            <w:tcW w:w="7647" w:type="dxa"/>
            <w:vAlign w:val="center"/>
          </w:tcPr>
          <w:p>
            <w:pPr>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实施新兴产业培育工程，重点培育生物医药和高端医疗器械、智能装备产业等种子产业。</w:t>
            </w:r>
          </w:p>
        </w:tc>
        <w:tc>
          <w:tcPr>
            <w:tcW w:w="2693" w:type="dxa"/>
            <w:vMerge w:val="restart"/>
            <w:vAlign w:val="center"/>
          </w:tcPr>
          <w:p>
            <w:pPr>
              <w:jc w:val="center"/>
              <w:textAlignment w:val="center"/>
              <w:rPr>
                <w:rStyle w:val="10"/>
                <w:rFonts w:ascii="宋体" w:hAnsi="宋体" w:cs="宋体"/>
                <w:color w:val="000000"/>
                <w:kern w:val="0"/>
                <w:sz w:val="24"/>
                <w:szCs w:val="24"/>
              </w:rPr>
            </w:pPr>
            <w:r>
              <w:rPr>
                <w:rStyle w:val="10"/>
                <w:rFonts w:hint="eastAsia" w:ascii="宋体" w:hAnsi="宋体" w:cs="宋体"/>
                <w:color w:val="000000"/>
                <w:kern w:val="0"/>
                <w:sz w:val="24"/>
                <w:szCs w:val="24"/>
              </w:rPr>
              <w:t>发改委</w:t>
            </w:r>
          </w:p>
          <w:p>
            <w:pPr>
              <w:jc w:val="center"/>
              <w:textAlignment w:val="center"/>
              <w:rPr>
                <w:rStyle w:val="10"/>
                <w:rFonts w:ascii="宋体" w:hAnsi="宋体" w:cs="宋体"/>
                <w:color w:val="000000"/>
                <w:kern w:val="0"/>
                <w:sz w:val="24"/>
                <w:szCs w:val="24"/>
              </w:rPr>
            </w:pPr>
            <w:r>
              <w:rPr>
                <w:rStyle w:val="10"/>
                <w:rFonts w:hint="eastAsia" w:ascii="宋体" w:hAnsi="宋体" w:cs="宋体"/>
                <w:color w:val="000000"/>
                <w:kern w:val="0"/>
                <w:sz w:val="24"/>
                <w:szCs w:val="24"/>
              </w:rPr>
              <w:t>市场监督管理局</w:t>
            </w:r>
          </w:p>
          <w:p>
            <w:pPr>
              <w:jc w:val="center"/>
              <w:textAlignment w:val="center"/>
              <w:rPr>
                <w:rStyle w:val="10"/>
                <w:rFonts w:ascii="宋体" w:hAnsi="宋体" w:cs="宋体"/>
                <w:color w:val="000000"/>
                <w:kern w:val="0"/>
                <w:sz w:val="24"/>
                <w:szCs w:val="24"/>
              </w:rPr>
            </w:pPr>
            <w:r>
              <w:rPr>
                <w:rStyle w:val="10"/>
                <w:rFonts w:hint="eastAsia" w:ascii="宋体" w:hAnsi="宋体" w:cs="宋体"/>
                <w:color w:val="000000"/>
                <w:kern w:val="0"/>
                <w:sz w:val="24"/>
                <w:szCs w:val="24"/>
              </w:rPr>
              <w:t>科技局</w:t>
            </w:r>
          </w:p>
          <w:p>
            <w:pPr>
              <w:jc w:val="center"/>
              <w:textAlignment w:val="center"/>
              <w:rPr>
                <w:rStyle w:val="10"/>
                <w:rFonts w:ascii="宋体" w:hAnsi="宋体" w:cs="宋体"/>
                <w:color w:val="000000"/>
                <w:kern w:val="0"/>
                <w:sz w:val="24"/>
                <w:szCs w:val="24"/>
              </w:rPr>
            </w:pPr>
            <w:r>
              <w:rPr>
                <w:rStyle w:val="10"/>
                <w:rFonts w:hint="eastAsia" w:ascii="宋体" w:hAnsi="宋体" w:cs="宋体"/>
                <w:color w:val="000000"/>
                <w:kern w:val="0"/>
                <w:sz w:val="24"/>
                <w:szCs w:val="24"/>
              </w:rPr>
              <w:t>商务局</w:t>
            </w:r>
          </w:p>
          <w:p>
            <w:pPr>
              <w:jc w:val="center"/>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各区镇</w:t>
            </w:r>
          </w:p>
        </w:tc>
        <w:tc>
          <w:tcPr>
            <w:tcW w:w="2599" w:type="dxa"/>
            <w:vAlign w:val="center"/>
          </w:tcPr>
          <w:p>
            <w:pPr>
              <w:jc w:val="center"/>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持续推进</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969" w:hRule="atLeast"/>
          <w:jc w:val="center"/>
        </w:trPr>
        <w:tc>
          <w:tcPr>
            <w:tcW w:w="658" w:type="dxa"/>
            <w:vMerge w:val="continue"/>
            <w:vAlign w:val="center"/>
          </w:tcPr>
          <w:p>
            <w:pPr>
              <w:jc w:val="center"/>
              <w:rPr>
                <w:rStyle w:val="10"/>
                <w:rFonts w:ascii="宋体" w:cs="Times New Roman"/>
                <w:color w:val="000000"/>
                <w:sz w:val="28"/>
                <w:szCs w:val="28"/>
              </w:rPr>
            </w:pPr>
          </w:p>
        </w:tc>
        <w:tc>
          <w:tcPr>
            <w:tcW w:w="846" w:type="dxa"/>
            <w:vAlign w:val="center"/>
          </w:tcPr>
          <w:p>
            <w:pPr>
              <w:jc w:val="center"/>
              <w:textAlignment w:val="center"/>
              <w:rPr>
                <w:rStyle w:val="10"/>
                <w:rFonts w:ascii="宋体" w:cs="Times New Roman"/>
                <w:color w:val="000000"/>
                <w:sz w:val="28"/>
                <w:szCs w:val="28"/>
              </w:rPr>
            </w:pPr>
            <w:r>
              <w:rPr>
                <w:rStyle w:val="10"/>
                <w:rFonts w:ascii="宋体" w:hAnsi="宋体" w:cs="宋体"/>
                <w:color w:val="000000"/>
                <w:kern w:val="0"/>
                <w:sz w:val="24"/>
                <w:szCs w:val="24"/>
              </w:rPr>
              <w:t>2</w:t>
            </w:r>
          </w:p>
        </w:tc>
        <w:tc>
          <w:tcPr>
            <w:tcW w:w="7647" w:type="dxa"/>
            <w:vAlign w:val="center"/>
          </w:tcPr>
          <w:p>
            <w:pPr>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围绕海上风能、高效光伏制造、智能电网、储能、生物能源、智能汽车等重点领域，培育一批引领绿色产业发展的新能源装备制造领军企业。</w:t>
            </w:r>
          </w:p>
        </w:tc>
        <w:tc>
          <w:tcPr>
            <w:tcW w:w="2693" w:type="dxa"/>
            <w:vMerge w:val="continue"/>
            <w:vAlign w:val="center"/>
          </w:tcPr>
          <w:p>
            <w:pPr>
              <w:jc w:val="center"/>
              <w:rPr>
                <w:rStyle w:val="10"/>
                <w:rFonts w:ascii="宋体" w:cs="Times New Roman"/>
                <w:color w:val="000000"/>
                <w:sz w:val="28"/>
                <w:szCs w:val="28"/>
              </w:rPr>
            </w:pPr>
          </w:p>
        </w:tc>
        <w:tc>
          <w:tcPr>
            <w:tcW w:w="2599" w:type="dxa"/>
            <w:vAlign w:val="center"/>
          </w:tcPr>
          <w:p>
            <w:pPr>
              <w:jc w:val="center"/>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持续推进</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1042" w:hRule="atLeast"/>
          <w:jc w:val="center"/>
        </w:trPr>
        <w:tc>
          <w:tcPr>
            <w:tcW w:w="658" w:type="dxa"/>
            <w:vMerge w:val="continue"/>
            <w:vAlign w:val="center"/>
          </w:tcPr>
          <w:p>
            <w:pPr>
              <w:jc w:val="center"/>
              <w:rPr>
                <w:rStyle w:val="10"/>
                <w:rFonts w:ascii="宋体" w:cs="Times New Roman"/>
                <w:color w:val="000000"/>
                <w:sz w:val="28"/>
                <w:szCs w:val="28"/>
              </w:rPr>
            </w:pPr>
          </w:p>
        </w:tc>
        <w:tc>
          <w:tcPr>
            <w:tcW w:w="846" w:type="dxa"/>
            <w:vAlign w:val="center"/>
          </w:tcPr>
          <w:p>
            <w:pPr>
              <w:jc w:val="center"/>
              <w:textAlignment w:val="center"/>
              <w:rPr>
                <w:rStyle w:val="10"/>
                <w:rFonts w:ascii="宋体" w:cs="Times New Roman"/>
                <w:color w:val="000000"/>
                <w:sz w:val="28"/>
                <w:szCs w:val="28"/>
              </w:rPr>
            </w:pPr>
            <w:r>
              <w:rPr>
                <w:rStyle w:val="10"/>
                <w:rFonts w:ascii="宋体" w:hAnsi="宋体" w:cs="宋体"/>
                <w:color w:val="000000"/>
                <w:kern w:val="0"/>
                <w:sz w:val="24"/>
                <w:szCs w:val="24"/>
              </w:rPr>
              <w:t>3</w:t>
            </w:r>
          </w:p>
        </w:tc>
        <w:tc>
          <w:tcPr>
            <w:tcW w:w="7647" w:type="dxa"/>
            <w:vAlign w:val="center"/>
          </w:tcPr>
          <w:p>
            <w:pPr>
              <w:jc w:val="left"/>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在纺织印染、装备制造、电子信息、船舶海工、非金属矿物制品、生物医药等6个行业，开展海门区污染减排暨重点行业绿色发展研究。</w:t>
            </w:r>
          </w:p>
        </w:tc>
        <w:tc>
          <w:tcPr>
            <w:tcW w:w="2693" w:type="dxa"/>
            <w:vMerge w:val="continue"/>
            <w:vAlign w:val="center"/>
          </w:tcPr>
          <w:p>
            <w:pPr>
              <w:jc w:val="center"/>
              <w:rPr>
                <w:rStyle w:val="10"/>
                <w:rFonts w:ascii="宋体" w:cs="Times New Roman"/>
                <w:color w:val="000000"/>
                <w:sz w:val="28"/>
                <w:szCs w:val="28"/>
              </w:rPr>
            </w:pPr>
          </w:p>
        </w:tc>
        <w:tc>
          <w:tcPr>
            <w:tcW w:w="2599" w:type="dxa"/>
            <w:vAlign w:val="center"/>
          </w:tcPr>
          <w:p>
            <w:pPr>
              <w:jc w:val="center"/>
              <w:textAlignment w:val="center"/>
              <w:rPr>
                <w:rStyle w:val="10"/>
                <w:rFonts w:ascii="宋体" w:hAnsi="宋体" w:cs="宋体"/>
                <w:color w:val="000000"/>
                <w:kern w:val="0"/>
                <w:sz w:val="24"/>
                <w:szCs w:val="24"/>
              </w:rPr>
            </w:pPr>
            <w:r>
              <w:rPr>
                <w:rStyle w:val="10"/>
                <w:rFonts w:ascii="宋体" w:hAnsi="宋体" w:cs="宋体"/>
                <w:color w:val="000000"/>
                <w:kern w:val="0"/>
                <w:sz w:val="24"/>
                <w:szCs w:val="24"/>
              </w:rPr>
              <w:t>202</w:t>
            </w:r>
            <w:r>
              <w:rPr>
                <w:rStyle w:val="10"/>
                <w:rFonts w:hint="eastAsia" w:ascii="宋体" w:hAnsi="宋体" w:cs="宋体"/>
                <w:color w:val="000000"/>
                <w:kern w:val="0"/>
                <w:sz w:val="24"/>
                <w:szCs w:val="24"/>
              </w:rPr>
              <w:t>2年6月底前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975" w:hRule="atLeast"/>
          <w:jc w:val="center"/>
        </w:trPr>
        <w:tc>
          <w:tcPr>
            <w:tcW w:w="658" w:type="dxa"/>
            <w:vMerge w:val="continue"/>
            <w:vAlign w:val="center"/>
          </w:tcPr>
          <w:p>
            <w:pPr>
              <w:jc w:val="center"/>
              <w:rPr>
                <w:rStyle w:val="10"/>
                <w:rFonts w:ascii="宋体" w:cs="Times New Roman"/>
                <w:color w:val="000000"/>
                <w:sz w:val="28"/>
                <w:szCs w:val="28"/>
              </w:rPr>
            </w:pPr>
          </w:p>
        </w:tc>
        <w:tc>
          <w:tcPr>
            <w:tcW w:w="846" w:type="dxa"/>
            <w:vAlign w:val="center"/>
          </w:tcPr>
          <w:p>
            <w:pPr>
              <w:jc w:val="center"/>
              <w:textAlignment w:val="center"/>
              <w:rPr>
                <w:rStyle w:val="10"/>
                <w:rFonts w:ascii="宋体" w:cs="Times New Roman"/>
                <w:color w:val="000000"/>
                <w:sz w:val="28"/>
                <w:szCs w:val="28"/>
              </w:rPr>
            </w:pPr>
            <w:r>
              <w:rPr>
                <w:rStyle w:val="10"/>
                <w:rFonts w:ascii="宋体" w:hAnsi="宋体" w:cs="宋体"/>
                <w:color w:val="000000"/>
                <w:kern w:val="0"/>
                <w:sz w:val="24"/>
                <w:szCs w:val="24"/>
              </w:rPr>
              <w:t>4</w:t>
            </w:r>
          </w:p>
        </w:tc>
        <w:tc>
          <w:tcPr>
            <w:tcW w:w="7647" w:type="dxa"/>
            <w:vAlign w:val="center"/>
          </w:tcPr>
          <w:p>
            <w:pPr>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全区重点行业企业摸底排查，通过排查制定</w:t>
            </w:r>
            <w:r>
              <w:rPr>
                <w:rStyle w:val="10"/>
                <w:rFonts w:hint="eastAsia" w:ascii="宋体" w:cs="宋体"/>
                <w:color w:val="000000"/>
                <w:kern w:val="0"/>
                <w:sz w:val="24"/>
                <w:szCs w:val="24"/>
              </w:rPr>
              <w:t>“</w:t>
            </w:r>
            <w:r>
              <w:rPr>
                <w:rStyle w:val="10"/>
                <w:rFonts w:hint="eastAsia" w:ascii="宋体" w:hAnsi="宋体" w:cs="宋体"/>
                <w:color w:val="000000"/>
                <w:kern w:val="0"/>
                <w:sz w:val="24"/>
                <w:szCs w:val="24"/>
              </w:rPr>
              <w:t>一企一策</w:t>
            </w:r>
            <w:r>
              <w:rPr>
                <w:rStyle w:val="10"/>
                <w:rFonts w:hint="eastAsia" w:ascii="宋体" w:cs="宋体"/>
                <w:color w:val="000000"/>
                <w:kern w:val="0"/>
                <w:sz w:val="24"/>
                <w:szCs w:val="24"/>
              </w:rPr>
              <w:t>”</w:t>
            </w:r>
            <w:r>
              <w:rPr>
                <w:rStyle w:val="10"/>
                <w:rFonts w:hint="eastAsia" w:ascii="宋体" w:hAnsi="宋体" w:cs="宋体"/>
                <w:color w:val="000000"/>
                <w:kern w:val="0"/>
                <w:sz w:val="24"/>
                <w:szCs w:val="24"/>
              </w:rPr>
              <w:t>以及分批次的目标任务。</w:t>
            </w:r>
          </w:p>
        </w:tc>
        <w:tc>
          <w:tcPr>
            <w:tcW w:w="2693" w:type="dxa"/>
            <w:vMerge w:val="continue"/>
            <w:vAlign w:val="center"/>
          </w:tcPr>
          <w:p>
            <w:pPr>
              <w:jc w:val="center"/>
              <w:rPr>
                <w:rStyle w:val="10"/>
                <w:rFonts w:ascii="宋体" w:cs="Times New Roman"/>
                <w:color w:val="000000"/>
                <w:sz w:val="28"/>
                <w:szCs w:val="28"/>
              </w:rPr>
            </w:pPr>
          </w:p>
        </w:tc>
        <w:tc>
          <w:tcPr>
            <w:tcW w:w="2599" w:type="dxa"/>
            <w:vAlign w:val="center"/>
          </w:tcPr>
          <w:p>
            <w:pPr>
              <w:jc w:val="center"/>
              <w:textAlignment w:val="center"/>
              <w:rPr>
                <w:rStyle w:val="10"/>
                <w:rFonts w:ascii="宋体" w:cs="Times New Roman"/>
                <w:color w:val="000000"/>
                <w:sz w:val="28"/>
                <w:szCs w:val="28"/>
              </w:rPr>
            </w:pPr>
            <w:r>
              <w:rPr>
                <w:rStyle w:val="10"/>
                <w:rFonts w:ascii="宋体" w:hAnsi="宋体" w:cs="宋体"/>
                <w:color w:val="000000"/>
                <w:kern w:val="0"/>
                <w:sz w:val="24"/>
                <w:szCs w:val="24"/>
              </w:rPr>
              <w:t>202</w:t>
            </w:r>
            <w:r>
              <w:rPr>
                <w:rStyle w:val="10"/>
                <w:rFonts w:hint="eastAsia" w:ascii="宋体" w:hAnsi="宋体" w:cs="宋体"/>
                <w:color w:val="000000"/>
                <w:kern w:val="0"/>
                <w:sz w:val="24"/>
                <w:szCs w:val="24"/>
              </w:rPr>
              <w:t>2年6月底前完成任务制定，</w:t>
            </w:r>
            <w:r>
              <w:rPr>
                <w:rStyle w:val="10"/>
                <w:rFonts w:ascii="宋体" w:hAnsi="宋体" w:cs="宋体"/>
                <w:color w:val="000000"/>
                <w:kern w:val="0"/>
                <w:sz w:val="24"/>
                <w:szCs w:val="24"/>
              </w:rPr>
              <w:t>2022</w:t>
            </w:r>
            <w:r>
              <w:rPr>
                <w:rStyle w:val="10"/>
                <w:rFonts w:hint="eastAsia" w:ascii="宋体" w:hAnsi="宋体" w:cs="宋体"/>
                <w:color w:val="000000"/>
                <w:kern w:val="0"/>
                <w:sz w:val="24"/>
                <w:szCs w:val="24"/>
              </w:rPr>
              <w:t>年底前完成</w:t>
            </w:r>
            <w:r>
              <w:rPr>
                <w:rStyle w:val="10"/>
                <w:rFonts w:ascii="宋体" w:hAnsi="宋体" w:cs="宋体"/>
                <w:color w:val="000000"/>
                <w:kern w:val="0"/>
                <w:sz w:val="24"/>
                <w:szCs w:val="24"/>
              </w:rPr>
              <w:t>50%</w:t>
            </w:r>
            <w:r>
              <w:rPr>
                <w:rStyle w:val="10"/>
                <w:rFonts w:hint="eastAsia" w:ascii="宋体" w:hAnsi="宋体" w:cs="宋体"/>
                <w:color w:val="000000"/>
                <w:kern w:val="0"/>
                <w:sz w:val="24"/>
                <w:szCs w:val="24"/>
              </w:rPr>
              <w:t>整治任务，</w:t>
            </w:r>
            <w:r>
              <w:rPr>
                <w:rStyle w:val="10"/>
                <w:rFonts w:ascii="宋体" w:hAnsi="宋体" w:cs="宋体"/>
                <w:color w:val="000000"/>
                <w:kern w:val="0"/>
                <w:sz w:val="24"/>
                <w:szCs w:val="24"/>
              </w:rPr>
              <w:t>2023</w:t>
            </w:r>
            <w:r>
              <w:rPr>
                <w:rStyle w:val="10"/>
                <w:rFonts w:hint="eastAsia" w:ascii="宋体" w:hAnsi="宋体" w:cs="宋体"/>
                <w:color w:val="000000"/>
                <w:kern w:val="0"/>
                <w:sz w:val="24"/>
                <w:szCs w:val="24"/>
              </w:rPr>
              <w:t>年底前完成全部整治任务。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914" w:hRule="atLeast"/>
          <w:jc w:val="center"/>
        </w:trPr>
        <w:tc>
          <w:tcPr>
            <w:tcW w:w="658" w:type="dxa"/>
            <w:vMerge w:val="restart"/>
            <w:vAlign w:val="center"/>
          </w:tcPr>
          <w:p>
            <w:pPr>
              <w:jc w:val="center"/>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强制清洁生产</w:t>
            </w:r>
          </w:p>
        </w:tc>
        <w:tc>
          <w:tcPr>
            <w:tcW w:w="846" w:type="dxa"/>
            <w:vAlign w:val="center"/>
          </w:tcPr>
          <w:p>
            <w:pPr>
              <w:jc w:val="center"/>
              <w:textAlignment w:val="center"/>
              <w:rPr>
                <w:rStyle w:val="10"/>
                <w:rFonts w:ascii="宋体" w:cs="Times New Roman"/>
                <w:color w:val="000000"/>
                <w:sz w:val="28"/>
                <w:szCs w:val="28"/>
              </w:rPr>
            </w:pPr>
            <w:r>
              <w:rPr>
                <w:rStyle w:val="10"/>
                <w:rFonts w:ascii="宋体" w:hAnsi="宋体" w:cs="宋体"/>
                <w:color w:val="000000"/>
                <w:kern w:val="0"/>
                <w:sz w:val="24"/>
                <w:szCs w:val="24"/>
              </w:rPr>
              <w:t>1</w:t>
            </w:r>
          </w:p>
        </w:tc>
        <w:tc>
          <w:tcPr>
            <w:tcW w:w="7647" w:type="dxa"/>
            <w:vAlign w:val="center"/>
          </w:tcPr>
          <w:p>
            <w:pPr>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在重点行业现有企业全面推行强制性清洁生产审核，提高精细化管理水平，推广节水技术，改进生产工艺，降低能耗、减少污染排放。</w:t>
            </w:r>
          </w:p>
        </w:tc>
        <w:tc>
          <w:tcPr>
            <w:tcW w:w="2693" w:type="dxa"/>
            <w:vMerge w:val="restart"/>
            <w:vAlign w:val="center"/>
          </w:tcPr>
          <w:p>
            <w:pPr>
              <w:jc w:val="center"/>
              <w:textAlignment w:val="center"/>
              <w:rPr>
                <w:rStyle w:val="10"/>
                <w:rFonts w:ascii="宋体" w:hAnsi="宋体" w:cs="宋体"/>
                <w:color w:val="000000"/>
                <w:kern w:val="0"/>
                <w:sz w:val="24"/>
                <w:szCs w:val="24"/>
              </w:rPr>
            </w:pPr>
            <w:r>
              <w:rPr>
                <w:rStyle w:val="10"/>
                <w:rFonts w:hint="eastAsia" w:ascii="宋体" w:hAnsi="宋体" w:cs="宋体"/>
                <w:color w:val="000000"/>
                <w:kern w:val="0"/>
                <w:sz w:val="24"/>
                <w:szCs w:val="24"/>
              </w:rPr>
              <w:t>发改委</w:t>
            </w:r>
          </w:p>
          <w:p>
            <w:pPr>
              <w:jc w:val="center"/>
              <w:textAlignment w:val="center"/>
              <w:rPr>
                <w:rStyle w:val="10"/>
                <w:rFonts w:ascii="宋体" w:hAnsi="宋体" w:cs="宋体"/>
                <w:color w:val="000000"/>
                <w:kern w:val="0"/>
                <w:sz w:val="24"/>
                <w:szCs w:val="24"/>
              </w:rPr>
            </w:pPr>
            <w:r>
              <w:rPr>
                <w:rStyle w:val="10"/>
                <w:rFonts w:hint="eastAsia" w:ascii="宋体" w:hAnsi="宋体" w:cs="宋体"/>
                <w:color w:val="000000"/>
                <w:kern w:val="0"/>
                <w:sz w:val="24"/>
                <w:szCs w:val="24"/>
              </w:rPr>
              <w:t>生态环境局</w:t>
            </w:r>
          </w:p>
          <w:p>
            <w:pPr>
              <w:jc w:val="center"/>
              <w:textAlignment w:val="center"/>
              <w:rPr>
                <w:rStyle w:val="10"/>
                <w:rFonts w:ascii="宋体" w:hAnsi="宋体" w:cs="宋体"/>
                <w:color w:val="000000"/>
                <w:kern w:val="0"/>
                <w:sz w:val="24"/>
                <w:szCs w:val="24"/>
              </w:rPr>
            </w:pPr>
            <w:r>
              <w:rPr>
                <w:rStyle w:val="10"/>
                <w:rFonts w:hint="eastAsia" w:ascii="宋体" w:hAnsi="宋体" w:cs="宋体"/>
                <w:color w:val="000000"/>
                <w:kern w:val="0"/>
                <w:sz w:val="24"/>
                <w:szCs w:val="24"/>
              </w:rPr>
              <w:t>行政审批局</w:t>
            </w:r>
          </w:p>
          <w:p>
            <w:pPr>
              <w:jc w:val="center"/>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各区镇</w:t>
            </w:r>
          </w:p>
        </w:tc>
        <w:tc>
          <w:tcPr>
            <w:tcW w:w="2599" w:type="dxa"/>
            <w:vAlign w:val="center"/>
          </w:tcPr>
          <w:p>
            <w:pPr>
              <w:jc w:val="center"/>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持续推进</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939" w:hRule="atLeast"/>
          <w:jc w:val="center"/>
        </w:trPr>
        <w:tc>
          <w:tcPr>
            <w:tcW w:w="658" w:type="dxa"/>
            <w:vMerge w:val="continue"/>
            <w:vAlign w:val="center"/>
          </w:tcPr>
          <w:p>
            <w:pPr>
              <w:jc w:val="center"/>
              <w:rPr>
                <w:rStyle w:val="10"/>
                <w:rFonts w:ascii="宋体" w:cs="Times New Roman"/>
                <w:color w:val="000000"/>
                <w:sz w:val="28"/>
                <w:szCs w:val="28"/>
              </w:rPr>
            </w:pPr>
          </w:p>
        </w:tc>
        <w:tc>
          <w:tcPr>
            <w:tcW w:w="846" w:type="dxa"/>
            <w:vAlign w:val="center"/>
          </w:tcPr>
          <w:p>
            <w:pPr>
              <w:jc w:val="center"/>
              <w:textAlignment w:val="center"/>
              <w:rPr>
                <w:rStyle w:val="10"/>
                <w:rFonts w:ascii="宋体" w:cs="Times New Roman"/>
                <w:color w:val="000000"/>
                <w:sz w:val="28"/>
                <w:szCs w:val="28"/>
              </w:rPr>
            </w:pPr>
            <w:r>
              <w:rPr>
                <w:rStyle w:val="10"/>
                <w:rFonts w:ascii="宋体" w:hAnsi="宋体" w:cs="宋体"/>
                <w:color w:val="000000"/>
                <w:kern w:val="0"/>
                <w:sz w:val="24"/>
                <w:szCs w:val="24"/>
              </w:rPr>
              <w:t>2</w:t>
            </w:r>
          </w:p>
        </w:tc>
        <w:tc>
          <w:tcPr>
            <w:tcW w:w="7647" w:type="dxa"/>
            <w:vAlign w:val="center"/>
          </w:tcPr>
          <w:p>
            <w:pPr>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鼓励集成电路封装、电子专用材料制造等重点排放企业开展中水回用示范工程，力争将非金属传统行业环境绩效提升至清洁生产</w:t>
            </w:r>
            <w:r>
              <w:rPr>
                <w:rStyle w:val="10"/>
                <w:rFonts w:hint="eastAsia" w:ascii="宋体" w:cs="宋体"/>
                <w:color w:val="000000"/>
                <w:kern w:val="0"/>
                <w:sz w:val="24"/>
                <w:szCs w:val="24"/>
              </w:rPr>
              <w:t>Ⅰ</w:t>
            </w:r>
            <w:r>
              <w:rPr>
                <w:rStyle w:val="10"/>
                <w:rFonts w:hint="eastAsia" w:ascii="宋体" w:hAnsi="宋体" w:cs="宋体"/>
                <w:color w:val="000000"/>
                <w:kern w:val="0"/>
                <w:sz w:val="24"/>
                <w:szCs w:val="24"/>
              </w:rPr>
              <w:t>级标准。</w:t>
            </w:r>
          </w:p>
        </w:tc>
        <w:tc>
          <w:tcPr>
            <w:tcW w:w="2693" w:type="dxa"/>
            <w:vMerge w:val="continue"/>
            <w:vAlign w:val="center"/>
          </w:tcPr>
          <w:p>
            <w:pPr>
              <w:jc w:val="center"/>
              <w:rPr>
                <w:rStyle w:val="10"/>
                <w:rFonts w:ascii="宋体" w:cs="Times New Roman"/>
                <w:color w:val="000000"/>
                <w:sz w:val="28"/>
                <w:szCs w:val="28"/>
              </w:rPr>
            </w:pPr>
          </w:p>
        </w:tc>
        <w:tc>
          <w:tcPr>
            <w:tcW w:w="2599" w:type="dxa"/>
            <w:vAlign w:val="center"/>
          </w:tcPr>
          <w:p>
            <w:pPr>
              <w:jc w:val="center"/>
              <w:textAlignment w:val="center"/>
              <w:rPr>
                <w:rStyle w:val="10"/>
                <w:rFonts w:ascii="宋体" w:cs="Times New Roman"/>
                <w:color w:val="000000"/>
                <w:sz w:val="28"/>
                <w:szCs w:val="28"/>
              </w:rPr>
            </w:pPr>
            <w:r>
              <w:rPr>
                <w:rStyle w:val="10"/>
                <w:rFonts w:ascii="宋体" w:hAnsi="宋体" w:cs="宋体"/>
                <w:color w:val="000000"/>
                <w:kern w:val="0"/>
                <w:sz w:val="24"/>
                <w:szCs w:val="24"/>
              </w:rPr>
              <w:t>202</w:t>
            </w:r>
            <w:r>
              <w:rPr>
                <w:rStyle w:val="10"/>
                <w:rFonts w:hint="eastAsia" w:ascii="宋体" w:hAnsi="宋体" w:cs="宋体"/>
                <w:color w:val="000000"/>
                <w:kern w:val="0"/>
                <w:sz w:val="24"/>
                <w:szCs w:val="24"/>
              </w:rPr>
              <w:t>2</w:t>
            </w:r>
            <w:r>
              <w:rPr>
                <w:rStyle w:val="10"/>
                <w:rFonts w:ascii="宋体" w:hAnsi="宋体" w:cs="宋体"/>
                <w:color w:val="000000"/>
                <w:kern w:val="0"/>
                <w:sz w:val="24"/>
                <w:szCs w:val="24"/>
              </w:rPr>
              <w:t>—202</w:t>
            </w:r>
            <w:r>
              <w:rPr>
                <w:rStyle w:val="10"/>
                <w:rFonts w:hint="eastAsia" w:ascii="宋体" w:hAnsi="宋体" w:cs="宋体"/>
                <w:color w:val="000000"/>
                <w:kern w:val="0"/>
                <w:sz w:val="24"/>
                <w:szCs w:val="24"/>
              </w:rPr>
              <w:t>3年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856" w:hRule="atLeast"/>
          <w:jc w:val="center"/>
        </w:trPr>
        <w:tc>
          <w:tcPr>
            <w:tcW w:w="658" w:type="dxa"/>
            <w:vMerge w:val="continue"/>
            <w:vAlign w:val="center"/>
          </w:tcPr>
          <w:p>
            <w:pPr>
              <w:jc w:val="center"/>
              <w:rPr>
                <w:rStyle w:val="10"/>
                <w:rFonts w:ascii="宋体" w:cs="Times New Roman"/>
                <w:color w:val="000000"/>
                <w:sz w:val="28"/>
                <w:szCs w:val="28"/>
              </w:rPr>
            </w:pPr>
          </w:p>
        </w:tc>
        <w:tc>
          <w:tcPr>
            <w:tcW w:w="846" w:type="dxa"/>
            <w:vAlign w:val="center"/>
          </w:tcPr>
          <w:p>
            <w:pPr>
              <w:jc w:val="center"/>
              <w:textAlignment w:val="center"/>
              <w:rPr>
                <w:rStyle w:val="10"/>
                <w:rFonts w:ascii="宋体" w:cs="Times New Roman"/>
                <w:color w:val="000000"/>
                <w:sz w:val="28"/>
                <w:szCs w:val="28"/>
              </w:rPr>
            </w:pPr>
            <w:r>
              <w:rPr>
                <w:rStyle w:val="10"/>
                <w:rFonts w:ascii="宋体" w:hAnsi="宋体" w:cs="宋体"/>
                <w:color w:val="000000"/>
                <w:kern w:val="0"/>
                <w:sz w:val="24"/>
                <w:szCs w:val="24"/>
              </w:rPr>
              <w:t>3</w:t>
            </w:r>
          </w:p>
        </w:tc>
        <w:tc>
          <w:tcPr>
            <w:tcW w:w="7647" w:type="dxa"/>
            <w:vAlign w:val="center"/>
          </w:tcPr>
          <w:p>
            <w:pPr>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将国际国内清洁生产一流标准作为新项目招引、落户、审批的关键因素。</w:t>
            </w:r>
          </w:p>
        </w:tc>
        <w:tc>
          <w:tcPr>
            <w:tcW w:w="2693" w:type="dxa"/>
            <w:vMerge w:val="continue"/>
            <w:vAlign w:val="center"/>
          </w:tcPr>
          <w:p>
            <w:pPr>
              <w:jc w:val="center"/>
              <w:rPr>
                <w:rStyle w:val="10"/>
                <w:rFonts w:ascii="宋体" w:cs="Times New Roman"/>
                <w:color w:val="000000"/>
                <w:sz w:val="28"/>
                <w:szCs w:val="28"/>
              </w:rPr>
            </w:pPr>
          </w:p>
        </w:tc>
        <w:tc>
          <w:tcPr>
            <w:tcW w:w="2599" w:type="dxa"/>
            <w:vAlign w:val="center"/>
          </w:tcPr>
          <w:p>
            <w:pPr>
              <w:jc w:val="center"/>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持续推进</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60" w:hRule="atLeast"/>
          <w:jc w:val="center"/>
        </w:trPr>
        <w:tc>
          <w:tcPr>
            <w:tcW w:w="658" w:type="dxa"/>
            <w:vMerge w:val="continue"/>
            <w:vAlign w:val="center"/>
          </w:tcPr>
          <w:p>
            <w:pPr>
              <w:jc w:val="center"/>
              <w:rPr>
                <w:rStyle w:val="10"/>
                <w:rFonts w:ascii="宋体" w:cs="Times New Roman"/>
                <w:color w:val="000000"/>
                <w:sz w:val="28"/>
                <w:szCs w:val="28"/>
              </w:rPr>
            </w:pPr>
          </w:p>
        </w:tc>
        <w:tc>
          <w:tcPr>
            <w:tcW w:w="846" w:type="dxa"/>
            <w:vAlign w:val="center"/>
          </w:tcPr>
          <w:p>
            <w:pPr>
              <w:jc w:val="center"/>
              <w:textAlignment w:val="center"/>
              <w:rPr>
                <w:rStyle w:val="10"/>
                <w:rFonts w:ascii="宋体" w:cs="Times New Roman"/>
                <w:color w:val="000000"/>
                <w:sz w:val="28"/>
                <w:szCs w:val="28"/>
              </w:rPr>
            </w:pPr>
            <w:r>
              <w:rPr>
                <w:rStyle w:val="10"/>
                <w:rFonts w:ascii="宋体" w:hAnsi="宋体" w:cs="宋体"/>
                <w:color w:val="000000"/>
                <w:kern w:val="0"/>
                <w:sz w:val="24"/>
                <w:szCs w:val="24"/>
              </w:rPr>
              <w:t>4</w:t>
            </w:r>
          </w:p>
        </w:tc>
        <w:tc>
          <w:tcPr>
            <w:tcW w:w="7647" w:type="dxa"/>
            <w:vAlign w:val="center"/>
          </w:tcPr>
          <w:p>
            <w:pPr>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推进</w:t>
            </w:r>
            <w:r>
              <w:rPr>
                <w:rStyle w:val="10"/>
                <w:rFonts w:hint="eastAsia" w:ascii="宋体" w:cs="宋体"/>
                <w:color w:val="000000"/>
                <w:kern w:val="0"/>
                <w:sz w:val="24"/>
                <w:szCs w:val="24"/>
              </w:rPr>
              <w:t>“</w:t>
            </w:r>
            <w:r>
              <w:rPr>
                <w:rStyle w:val="10"/>
                <w:rFonts w:hint="eastAsia" w:ascii="宋体" w:hAnsi="宋体" w:cs="宋体"/>
                <w:color w:val="000000"/>
                <w:kern w:val="0"/>
                <w:sz w:val="24"/>
                <w:szCs w:val="24"/>
              </w:rPr>
              <w:t>散乱污</w:t>
            </w:r>
            <w:r>
              <w:rPr>
                <w:rStyle w:val="10"/>
                <w:rFonts w:hint="eastAsia" w:ascii="宋体" w:cs="宋体"/>
                <w:color w:val="000000"/>
                <w:kern w:val="0"/>
                <w:sz w:val="24"/>
                <w:szCs w:val="24"/>
              </w:rPr>
              <w:t>”</w:t>
            </w:r>
            <w:r>
              <w:rPr>
                <w:rStyle w:val="10"/>
                <w:rFonts w:hint="eastAsia" w:ascii="宋体" w:hAnsi="宋体" w:cs="宋体"/>
                <w:color w:val="000000"/>
                <w:kern w:val="0"/>
                <w:sz w:val="24"/>
                <w:szCs w:val="24"/>
              </w:rPr>
              <w:t>企业整治，分类实施关停取缔、整改提升。</w:t>
            </w:r>
          </w:p>
        </w:tc>
        <w:tc>
          <w:tcPr>
            <w:tcW w:w="2693" w:type="dxa"/>
            <w:vMerge w:val="continue"/>
            <w:vAlign w:val="center"/>
          </w:tcPr>
          <w:p>
            <w:pPr>
              <w:jc w:val="center"/>
              <w:rPr>
                <w:rStyle w:val="10"/>
                <w:rFonts w:ascii="宋体" w:cs="Times New Roman"/>
                <w:color w:val="000000"/>
                <w:sz w:val="28"/>
                <w:szCs w:val="28"/>
              </w:rPr>
            </w:pPr>
          </w:p>
        </w:tc>
        <w:tc>
          <w:tcPr>
            <w:tcW w:w="2599" w:type="dxa"/>
            <w:vAlign w:val="center"/>
          </w:tcPr>
          <w:p>
            <w:pPr>
              <w:jc w:val="center"/>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持续推进</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1119" w:hRule="atLeast"/>
          <w:jc w:val="center"/>
        </w:trPr>
        <w:tc>
          <w:tcPr>
            <w:tcW w:w="658" w:type="dxa"/>
            <w:vMerge w:val="restart"/>
            <w:vAlign w:val="center"/>
          </w:tcPr>
          <w:p>
            <w:pPr>
              <w:jc w:val="center"/>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严守准入门槛</w:t>
            </w:r>
          </w:p>
        </w:tc>
        <w:tc>
          <w:tcPr>
            <w:tcW w:w="846" w:type="dxa"/>
            <w:vAlign w:val="center"/>
          </w:tcPr>
          <w:p>
            <w:pPr>
              <w:jc w:val="center"/>
              <w:textAlignment w:val="center"/>
              <w:rPr>
                <w:rStyle w:val="10"/>
                <w:rFonts w:ascii="宋体" w:cs="Times New Roman"/>
                <w:color w:val="000000"/>
                <w:sz w:val="28"/>
                <w:szCs w:val="28"/>
              </w:rPr>
            </w:pPr>
            <w:r>
              <w:rPr>
                <w:rStyle w:val="10"/>
                <w:rFonts w:ascii="宋体" w:hAnsi="宋体" w:cs="宋体"/>
                <w:color w:val="000000"/>
                <w:kern w:val="0"/>
                <w:sz w:val="24"/>
                <w:szCs w:val="24"/>
              </w:rPr>
              <w:t>1</w:t>
            </w:r>
          </w:p>
        </w:tc>
        <w:tc>
          <w:tcPr>
            <w:tcW w:w="7647" w:type="dxa"/>
            <w:vAlign w:val="center"/>
          </w:tcPr>
          <w:p>
            <w:pPr>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严格执行《长江经济带发展负面清单指南（试行）》及江苏省实施细则、国家生态保护红线及江苏省生态空间管控区域规划。落实</w:t>
            </w:r>
            <w:r>
              <w:rPr>
                <w:rStyle w:val="10"/>
                <w:rFonts w:hint="eastAsia" w:ascii="宋体" w:cs="宋体"/>
                <w:color w:val="000000"/>
                <w:kern w:val="0"/>
                <w:sz w:val="24"/>
                <w:szCs w:val="24"/>
              </w:rPr>
              <w:t>“</w:t>
            </w:r>
            <w:r>
              <w:rPr>
                <w:rStyle w:val="10"/>
                <w:rFonts w:hint="eastAsia" w:ascii="宋体" w:hAnsi="宋体" w:cs="宋体"/>
                <w:color w:val="000000"/>
                <w:kern w:val="0"/>
                <w:sz w:val="24"/>
                <w:szCs w:val="24"/>
              </w:rPr>
              <w:t>三线一单</w:t>
            </w:r>
            <w:r>
              <w:rPr>
                <w:rStyle w:val="10"/>
                <w:rFonts w:hint="eastAsia" w:ascii="宋体" w:cs="宋体"/>
                <w:color w:val="000000"/>
                <w:kern w:val="0"/>
                <w:sz w:val="24"/>
                <w:szCs w:val="24"/>
              </w:rPr>
              <w:t>”</w:t>
            </w:r>
            <w:r>
              <w:rPr>
                <w:rStyle w:val="10"/>
                <w:rFonts w:hint="eastAsia" w:ascii="宋体" w:hAnsi="宋体" w:cs="宋体"/>
                <w:color w:val="000000"/>
                <w:kern w:val="0"/>
                <w:sz w:val="24"/>
                <w:szCs w:val="24"/>
              </w:rPr>
              <w:t>管控方案、管控单元及行业准入条件及重点产业项目准入机制。</w:t>
            </w:r>
          </w:p>
        </w:tc>
        <w:tc>
          <w:tcPr>
            <w:tcW w:w="2693" w:type="dxa"/>
            <w:vMerge w:val="restart"/>
            <w:vAlign w:val="center"/>
          </w:tcPr>
          <w:p>
            <w:pPr>
              <w:jc w:val="center"/>
              <w:textAlignment w:val="center"/>
              <w:rPr>
                <w:rStyle w:val="10"/>
                <w:rFonts w:ascii="宋体" w:hAnsi="宋体" w:cs="宋体"/>
                <w:color w:val="000000"/>
                <w:kern w:val="0"/>
                <w:sz w:val="24"/>
                <w:szCs w:val="24"/>
              </w:rPr>
            </w:pPr>
            <w:r>
              <w:rPr>
                <w:rStyle w:val="10"/>
                <w:rFonts w:hint="eastAsia" w:ascii="宋体" w:hAnsi="宋体" w:cs="宋体"/>
                <w:color w:val="000000"/>
                <w:kern w:val="0"/>
                <w:sz w:val="24"/>
                <w:szCs w:val="24"/>
              </w:rPr>
              <w:t>发改委</w:t>
            </w:r>
          </w:p>
          <w:p>
            <w:pPr>
              <w:jc w:val="center"/>
              <w:textAlignment w:val="center"/>
              <w:rPr>
                <w:rStyle w:val="10"/>
                <w:rFonts w:ascii="宋体" w:hAnsi="宋体" w:cs="宋体"/>
                <w:color w:val="000000"/>
                <w:kern w:val="0"/>
                <w:sz w:val="24"/>
                <w:szCs w:val="24"/>
              </w:rPr>
            </w:pPr>
            <w:r>
              <w:rPr>
                <w:rStyle w:val="10"/>
                <w:rFonts w:hint="eastAsia" w:ascii="宋体" w:hAnsi="宋体" w:cs="宋体"/>
                <w:color w:val="000000"/>
                <w:kern w:val="0"/>
                <w:sz w:val="24"/>
                <w:szCs w:val="24"/>
              </w:rPr>
              <w:t>科技局</w:t>
            </w:r>
          </w:p>
          <w:p>
            <w:pPr>
              <w:jc w:val="center"/>
              <w:textAlignment w:val="center"/>
              <w:rPr>
                <w:rStyle w:val="10"/>
                <w:rFonts w:ascii="宋体" w:hAnsi="宋体" w:cs="宋体"/>
                <w:color w:val="000000"/>
                <w:kern w:val="0"/>
                <w:sz w:val="24"/>
                <w:szCs w:val="24"/>
              </w:rPr>
            </w:pPr>
            <w:r>
              <w:rPr>
                <w:rStyle w:val="10"/>
                <w:rFonts w:hint="eastAsia" w:ascii="宋体" w:hAnsi="宋体" w:cs="宋体"/>
                <w:color w:val="000000"/>
                <w:kern w:val="0"/>
                <w:sz w:val="24"/>
                <w:szCs w:val="24"/>
              </w:rPr>
              <w:t>市场监督管理局</w:t>
            </w:r>
          </w:p>
          <w:p>
            <w:pPr>
              <w:jc w:val="center"/>
              <w:textAlignment w:val="center"/>
              <w:rPr>
                <w:rStyle w:val="10"/>
                <w:rFonts w:ascii="宋体" w:hAnsi="宋体" w:cs="宋体"/>
                <w:color w:val="000000"/>
                <w:kern w:val="0"/>
                <w:sz w:val="24"/>
                <w:szCs w:val="24"/>
              </w:rPr>
            </w:pPr>
            <w:r>
              <w:rPr>
                <w:rStyle w:val="10"/>
                <w:rFonts w:hint="eastAsia" w:ascii="宋体" w:hAnsi="宋体" w:cs="宋体"/>
                <w:color w:val="000000"/>
                <w:kern w:val="0"/>
                <w:sz w:val="24"/>
                <w:szCs w:val="24"/>
              </w:rPr>
              <w:t>行政审批局</w:t>
            </w:r>
          </w:p>
          <w:p>
            <w:pPr>
              <w:jc w:val="center"/>
              <w:textAlignment w:val="center"/>
              <w:rPr>
                <w:rStyle w:val="10"/>
                <w:rFonts w:ascii="宋体" w:hAnsi="宋体" w:cs="宋体"/>
                <w:color w:val="000000"/>
                <w:kern w:val="0"/>
                <w:sz w:val="24"/>
                <w:szCs w:val="24"/>
              </w:rPr>
            </w:pPr>
            <w:r>
              <w:rPr>
                <w:rStyle w:val="10"/>
                <w:rFonts w:hint="eastAsia" w:ascii="宋体" w:hAnsi="宋体" w:cs="宋体"/>
                <w:color w:val="000000"/>
                <w:kern w:val="0"/>
                <w:sz w:val="24"/>
                <w:szCs w:val="24"/>
              </w:rPr>
              <w:t>自然资源和规划局</w:t>
            </w:r>
          </w:p>
          <w:p>
            <w:pPr>
              <w:jc w:val="center"/>
              <w:textAlignment w:val="center"/>
              <w:rPr>
                <w:rStyle w:val="10"/>
                <w:rFonts w:ascii="宋体" w:hAnsi="宋体" w:cs="宋体"/>
                <w:color w:val="000000"/>
                <w:kern w:val="0"/>
                <w:sz w:val="24"/>
                <w:szCs w:val="24"/>
              </w:rPr>
            </w:pPr>
            <w:r>
              <w:rPr>
                <w:rStyle w:val="10"/>
                <w:rFonts w:hint="eastAsia" w:ascii="宋体" w:hAnsi="宋体" w:cs="宋体"/>
                <w:color w:val="000000"/>
                <w:kern w:val="0"/>
                <w:sz w:val="24"/>
                <w:szCs w:val="24"/>
              </w:rPr>
              <w:t>生态环境局</w:t>
            </w:r>
          </w:p>
          <w:p>
            <w:pPr>
              <w:jc w:val="center"/>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各区镇</w:t>
            </w:r>
          </w:p>
        </w:tc>
        <w:tc>
          <w:tcPr>
            <w:tcW w:w="2599" w:type="dxa"/>
            <w:vAlign w:val="center"/>
          </w:tcPr>
          <w:p>
            <w:pPr>
              <w:jc w:val="center"/>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持续推进</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838" w:hRule="atLeast"/>
          <w:jc w:val="center"/>
        </w:trPr>
        <w:tc>
          <w:tcPr>
            <w:tcW w:w="658" w:type="dxa"/>
            <w:vMerge w:val="continue"/>
            <w:vAlign w:val="center"/>
          </w:tcPr>
          <w:p>
            <w:pPr>
              <w:jc w:val="center"/>
              <w:rPr>
                <w:rStyle w:val="10"/>
                <w:rFonts w:ascii="宋体" w:cs="Times New Roman"/>
                <w:color w:val="000000"/>
                <w:sz w:val="28"/>
                <w:szCs w:val="28"/>
              </w:rPr>
            </w:pPr>
          </w:p>
        </w:tc>
        <w:tc>
          <w:tcPr>
            <w:tcW w:w="846" w:type="dxa"/>
            <w:vAlign w:val="center"/>
          </w:tcPr>
          <w:p>
            <w:pPr>
              <w:jc w:val="center"/>
              <w:textAlignment w:val="center"/>
              <w:rPr>
                <w:rStyle w:val="10"/>
                <w:rFonts w:ascii="宋体" w:cs="Times New Roman"/>
                <w:color w:val="000000"/>
                <w:sz w:val="28"/>
                <w:szCs w:val="28"/>
              </w:rPr>
            </w:pPr>
            <w:r>
              <w:rPr>
                <w:rStyle w:val="10"/>
                <w:rFonts w:ascii="宋体" w:hAnsi="宋体" w:cs="宋体"/>
                <w:color w:val="000000"/>
                <w:kern w:val="0"/>
                <w:sz w:val="24"/>
                <w:szCs w:val="24"/>
              </w:rPr>
              <w:t>2</w:t>
            </w:r>
          </w:p>
        </w:tc>
        <w:tc>
          <w:tcPr>
            <w:tcW w:w="7647" w:type="dxa"/>
            <w:vAlign w:val="center"/>
          </w:tcPr>
          <w:p>
            <w:pPr>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强化项目可研、环评、安评、能评、稳评等许可（备案）联动，严控高能耗高排放建设、严禁高污染不安全项目落地。</w:t>
            </w:r>
          </w:p>
        </w:tc>
        <w:tc>
          <w:tcPr>
            <w:tcW w:w="2693" w:type="dxa"/>
            <w:vMerge w:val="continue"/>
            <w:vAlign w:val="center"/>
          </w:tcPr>
          <w:p>
            <w:pPr>
              <w:jc w:val="center"/>
              <w:rPr>
                <w:rStyle w:val="10"/>
                <w:rFonts w:ascii="宋体" w:cs="Times New Roman"/>
                <w:color w:val="000000"/>
                <w:sz w:val="28"/>
                <w:szCs w:val="28"/>
              </w:rPr>
            </w:pPr>
          </w:p>
        </w:tc>
        <w:tc>
          <w:tcPr>
            <w:tcW w:w="2599" w:type="dxa"/>
            <w:vAlign w:val="center"/>
          </w:tcPr>
          <w:p>
            <w:pPr>
              <w:jc w:val="center"/>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持续推进</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901" w:hRule="atLeast"/>
          <w:jc w:val="center"/>
        </w:trPr>
        <w:tc>
          <w:tcPr>
            <w:tcW w:w="658" w:type="dxa"/>
            <w:vMerge w:val="restart"/>
            <w:vAlign w:val="center"/>
          </w:tcPr>
          <w:p>
            <w:pPr>
              <w:jc w:val="center"/>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鼓励科技创新</w:t>
            </w:r>
          </w:p>
        </w:tc>
        <w:tc>
          <w:tcPr>
            <w:tcW w:w="846" w:type="dxa"/>
            <w:vAlign w:val="center"/>
          </w:tcPr>
          <w:p>
            <w:pPr>
              <w:jc w:val="center"/>
              <w:textAlignment w:val="center"/>
              <w:rPr>
                <w:rStyle w:val="10"/>
                <w:rFonts w:ascii="宋体" w:cs="Times New Roman"/>
                <w:color w:val="000000"/>
                <w:sz w:val="28"/>
                <w:szCs w:val="28"/>
              </w:rPr>
            </w:pPr>
            <w:r>
              <w:rPr>
                <w:rStyle w:val="10"/>
                <w:rFonts w:ascii="宋体" w:hAnsi="宋体" w:cs="宋体"/>
                <w:color w:val="000000"/>
                <w:kern w:val="0"/>
                <w:sz w:val="24"/>
                <w:szCs w:val="24"/>
              </w:rPr>
              <w:t>1</w:t>
            </w:r>
          </w:p>
        </w:tc>
        <w:tc>
          <w:tcPr>
            <w:tcW w:w="7647" w:type="dxa"/>
            <w:vAlign w:val="center"/>
          </w:tcPr>
          <w:p>
            <w:pPr>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健全以企业为主体的产学研用协同创新体系，实施“揭榜挂帅”攻坚计划项目，支持联合攻关。培育科技创新企业，强化平台载体建设，深化开放合作创新，广聚创新创业人才，加强知识产权保护。</w:t>
            </w:r>
          </w:p>
        </w:tc>
        <w:tc>
          <w:tcPr>
            <w:tcW w:w="2693" w:type="dxa"/>
            <w:vMerge w:val="restart"/>
            <w:vAlign w:val="center"/>
          </w:tcPr>
          <w:p>
            <w:pPr>
              <w:jc w:val="center"/>
              <w:textAlignment w:val="center"/>
              <w:rPr>
                <w:rStyle w:val="10"/>
                <w:rFonts w:ascii="宋体" w:hAnsi="宋体" w:cs="宋体"/>
                <w:color w:val="000000"/>
                <w:kern w:val="0"/>
                <w:sz w:val="24"/>
                <w:szCs w:val="24"/>
              </w:rPr>
            </w:pPr>
            <w:r>
              <w:rPr>
                <w:rStyle w:val="10"/>
                <w:rFonts w:hint="eastAsia" w:ascii="宋体" w:hAnsi="宋体" w:cs="宋体"/>
                <w:color w:val="000000"/>
                <w:kern w:val="0"/>
                <w:sz w:val="24"/>
                <w:szCs w:val="24"/>
              </w:rPr>
              <w:t>科技局</w:t>
            </w:r>
          </w:p>
          <w:p>
            <w:pPr>
              <w:jc w:val="center"/>
              <w:textAlignment w:val="center"/>
              <w:rPr>
                <w:rStyle w:val="10"/>
                <w:rFonts w:ascii="宋体" w:hAnsi="宋体" w:cs="宋体"/>
                <w:color w:val="000000"/>
                <w:kern w:val="0"/>
                <w:sz w:val="24"/>
                <w:szCs w:val="24"/>
              </w:rPr>
            </w:pPr>
            <w:r>
              <w:rPr>
                <w:rStyle w:val="10"/>
                <w:rFonts w:hint="eastAsia" w:ascii="宋体" w:hAnsi="宋体" w:cs="宋体"/>
                <w:color w:val="000000"/>
                <w:kern w:val="0"/>
                <w:sz w:val="24"/>
                <w:szCs w:val="24"/>
              </w:rPr>
              <w:t>市场监督管理局</w:t>
            </w:r>
          </w:p>
          <w:p>
            <w:pPr>
              <w:jc w:val="center"/>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各区镇</w:t>
            </w:r>
          </w:p>
        </w:tc>
        <w:tc>
          <w:tcPr>
            <w:tcW w:w="2599" w:type="dxa"/>
            <w:vAlign w:val="center"/>
          </w:tcPr>
          <w:p>
            <w:pPr>
              <w:jc w:val="center"/>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持续推进</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1213" w:hRule="atLeast"/>
          <w:jc w:val="center"/>
        </w:trPr>
        <w:tc>
          <w:tcPr>
            <w:tcW w:w="658" w:type="dxa"/>
            <w:vMerge w:val="continue"/>
            <w:vAlign w:val="center"/>
          </w:tcPr>
          <w:p>
            <w:pPr>
              <w:jc w:val="center"/>
              <w:rPr>
                <w:rStyle w:val="10"/>
                <w:rFonts w:ascii="宋体" w:cs="Times New Roman"/>
                <w:color w:val="000000"/>
                <w:sz w:val="28"/>
                <w:szCs w:val="28"/>
              </w:rPr>
            </w:pPr>
          </w:p>
        </w:tc>
        <w:tc>
          <w:tcPr>
            <w:tcW w:w="846" w:type="dxa"/>
            <w:vAlign w:val="center"/>
          </w:tcPr>
          <w:p>
            <w:pPr>
              <w:jc w:val="center"/>
              <w:textAlignment w:val="center"/>
              <w:rPr>
                <w:rStyle w:val="10"/>
                <w:rFonts w:ascii="宋体" w:cs="Times New Roman"/>
                <w:color w:val="000000"/>
                <w:sz w:val="28"/>
                <w:szCs w:val="28"/>
              </w:rPr>
            </w:pPr>
            <w:r>
              <w:rPr>
                <w:rStyle w:val="10"/>
                <w:rFonts w:ascii="宋体" w:hAnsi="宋体" w:cs="宋体"/>
                <w:color w:val="000000"/>
                <w:kern w:val="0"/>
                <w:sz w:val="24"/>
                <w:szCs w:val="24"/>
              </w:rPr>
              <w:t>2</w:t>
            </w:r>
          </w:p>
        </w:tc>
        <w:tc>
          <w:tcPr>
            <w:tcW w:w="7647" w:type="dxa"/>
            <w:vAlign w:val="center"/>
          </w:tcPr>
          <w:p>
            <w:pPr>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加强节能降耗、清洁生产、污染治理、循环利用等领域的技术创新和成果转化，大力推进集成创新和引进消化吸收和再创新。增强创新储备，提升创新全链条支撑能力，为实现重大创新突破，培育高端产业奠定重要基础。</w:t>
            </w:r>
          </w:p>
        </w:tc>
        <w:tc>
          <w:tcPr>
            <w:tcW w:w="2693" w:type="dxa"/>
            <w:vMerge w:val="continue"/>
            <w:vAlign w:val="center"/>
          </w:tcPr>
          <w:p>
            <w:pPr>
              <w:jc w:val="center"/>
              <w:rPr>
                <w:rStyle w:val="10"/>
                <w:rFonts w:ascii="宋体" w:cs="Times New Roman"/>
                <w:color w:val="000000"/>
                <w:sz w:val="28"/>
                <w:szCs w:val="28"/>
              </w:rPr>
            </w:pPr>
          </w:p>
        </w:tc>
        <w:tc>
          <w:tcPr>
            <w:tcW w:w="2599" w:type="dxa"/>
            <w:vAlign w:val="center"/>
          </w:tcPr>
          <w:p>
            <w:pPr>
              <w:jc w:val="center"/>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持续推进</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700" w:hRule="atLeast"/>
          <w:jc w:val="center"/>
        </w:trPr>
        <w:tc>
          <w:tcPr>
            <w:tcW w:w="658" w:type="dxa"/>
            <w:vMerge w:val="restart"/>
            <w:vAlign w:val="center"/>
          </w:tcPr>
          <w:p>
            <w:pPr>
              <w:jc w:val="center"/>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构建绿色供应链</w:t>
            </w:r>
          </w:p>
        </w:tc>
        <w:tc>
          <w:tcPr>
            <w:tcW w:w="846" w:type="dxa"/>
            <w:vAlign w:val="center"/>
          </w:tcPr>
          <w:p>
            <w:pPr>
              <w:jc w:val="center"/>
              <w:textAlignment w:val="center"/>
              <w:rPr>
                <w:rStyle w:val="10"/>
                <w:rFonts w:ascii="宋体" w:cs="Times New Roman"/>
                <w:color w:val="000000"/>
                <w:sz w:val="28"/>
                <w:szCs w:val="28"/>
              </w:rPr>
            </w:pPr>
            <w:r>
              <w:rPr>
                <w:rStyle w:val="10"/>
                <w:rFonts w:ascii="宋体" w:hAnsi="宋体" w:cs="宋体"/>
                <w:color w:val="000000"/>
                <w:kern w:val="0"/>
                <w:sz w:val="24"/>
                <w:szCs w:val="24"/>
              </w:rPr>
              <w:t>1</w:t>
            </w:r>
          </w:p>
        </w:tc>
        <w:tc>
          <w:tcPr>
            <w:tcW w:w="7647" w:type="dxa"/>
            <w:vAlign w:val="center"/>
          </w:tcPr>
          <w:p>
            <w:pPr>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加快建设绿色制造体系，实施一批绿色制造示范项目，打造一批具有示范带动作用的绿色工厂和绿色供应链。</w:t>
            </w:r>
          </w:p>
        </w:tc>
        <w:tc>
          <w:tcPr>
            <w:tcW w:w="2693" w:type="dxa"/>
            <w:vMerge w:val="restart"/>
            <w:vAlign w:val="center"/>
          </w:tcPr>
          <w:p>
            <w:pPr>
              <w:jc w:val="center"/>
              <w:textAlignment w:val="center"/>
              <w:rPr>
                <w:rStyle w:val="10"/>
                <w:rFonts w:ascii="宋体" w:hAnsi="宋体" w:cs="宋体"/>
                <w:color w:val="000000"/>
                <w:kern w:val="0"/>
                <w:sz w:val="24"/>
                <w:szCs w:val="24"/>
              </w:rPr>
            </w:pPr>
            <w:r>
              <w:rPr>
                <w:rStyle w:val="10"/>
                <w:rFonts w:hint="eastAsia" w:ascii="宋体" w:hAnsi="宋体" w:cs="宋体"/>
                <w:color w:val="000000"/>
                <w:kern w:val="0"/>
                <w:sz w:val="24"/>
                <w:szCs w:val="24"/>
              </w:rPr>
              <w:t>发改委</w:t>
            </w:r>
          </w:p>
          <w:p>
            <w:pPr>
              <w:jc w:val="center"/>
              <w:textAlignment w:val="center"/>
              <w:rPr>
                <w:rStyle w:val="10"/>
                <w:rFonts w:ascii="宋体" w:hAnsi="宋体" w:cs="宋体"/>
                <w:color w:val="000000"/>
                <w:kern w:val="0"/>
                <w:sz w:val="24"/>
                <w:szCs w:val="24"/>
              </w:rPr>
            </w:pPr>
            <w:r>
              <w:rPr>
                <w:rStyle w:val="10"/>
                <w:rFonts w:hint="eastAsia" w:ascii="宋体" w:hAnsi="宋体" w:cs="宋体"/>
                <w:color w:val="000000"/>
                <w:kern w:val="0"/>
                <w:sz w:val="24"/>
                <w:szCs w:val="24"/>
              </w:rPr>
              <w:t>科技局</w:t>
            </w:r>
          </w:p>
          <w:p>
            <w:pPr>
              <w:jc w:val="center"/>
              <w:textAlignment w:val="center"/>
              <w:rPr>
                <w:rStyle w:val="10"/>
                <w:rFonts w:ascii="宋体" w:hAnsi="宋体" w:cs="宋体"/>
                <w:color w:val="000000"/>
                <w:kern w:val="0"/>
                <w:sz w:val="24"/>
                <w:szCs w:val="24"/>
              </w:rPr>
            </w:pPr>
            <w:r>
              <w:rPr>
                <w:rStyle w:val="10"/>
                <w:rFonts w:hint="eastAsia" w:ascii="宋体" w:hAnsi="宋体" w:cs="宋体"/>
                <w:color w:val="000000"/>
                <w:kern w:val="0"/>
                <w:sz w:val="24"/>
                <w:szCs w:val="24"/>
              </w:rPr>
              <w:t>市场监督管理局</w:t>
            </w:r>
          </w:p>
          <w:p>
            <w:pPr>
              <w:jc w:val="center"/>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各区镇</w:t>
            </w:r>
          </w:p>
        </w:tc>
        <w:tc>
          <w:tcPr>
            <w:tcW w:w="2599" w:type="dxa"/>
            <w:vAlign w:val="center"/>
          </w:tcPr>
          <w:p>
            <w:pPr>
              <w:jc w:val="center"/>
              <w:textAlignment w:val="center"/>
              <w:rPr>
                <w:rStyle w:val="10"/>
                <w:rFonts w:ascii="宋体" w:cs="Times New Roman"/>
                <w:color w:val="000000"/>
                <w:sz w:val="28"/>
                <w:szCs w:val="28"/>
              </w:rPr>
            </w:pPr>
            <w:r>
              <w:rPr>
                <w:rStyle w:val="10"/>
                <w:rFonts w:ascii="宋体" w:hAnsi="宋体" w:cs="宋体"/>
                <w:color w:val="000000"/>
                <w:kern w:val="0"/>
                <w:sz w:val="24"/>
                <w:szCs w:val="24"/>
              </w:rPr>
              <w:t>2023</w:t>
            </w:r>
            <w:r>
              <w:rPr>
                <w:rStyle w:val="10"/>
                <w:rFonts w:hint="eastAsia" w:ascii="宋体" w:hAnsi="宋体" w:cs="宋体"/>
                <w:color w:val="000000"/>
                <w:kern w:val="0"/>
                <w:sz w:val="24"/>
                <w:szCs w:val="24"/>
              </w:rPr>
              <w:t>年底前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1034" w:hRule="atLeast"/>
          <w:jc w:val="center"/>
        </w:trPr>
        <w:tc>
          <w:tcPr>
            <w:tcW w:w="658" w:type="dxa"/>
            <w:vMerge w:val="continue"/>
            <w:vAlign w:val="center"/>
          </w:tcPr>
          <w:p>
            <w:pPr>
              <w:jc w:val="center"/>
              <w:rPr>
                <w:rStyle w:val="10"/>
                <w:rFonts w:ascii="宋体" w:cs="Times New Roman"/>
                <w:color w:val="000000"/>
                <w:sz w:val="28"/>
                <w:szCs w:val="28"/>
              </w:rPr>
            </w:pPr>
          </w:p>
        </w:tc>
        <w:tc>
          <w:tcPr>
            <w:tcW w:w="846" w:type="dxa"/>
            <w:vAlign w:val="center"/>
          </w:tcPr>
          <w:p>
            <w:pPr>
              <w:jc w:val="center"/>
              <w:textAlignment w:val="center"/>
              <w:rPr>
                <w:rStyle w:val="10"/>
                <w:rFonts w:ascii="宋体" w:cs="Times New Roman"/>
                <w:color w:val="000000"/>
                <w:sz w:val="28"/>
                <w:szCs w:val="28"/>
              </w:rPr>
            </w:pPr>
            <w:r>
              <w:rPr>
                <w:rStyle w:val="10"/>
                <w:rFonts w:ascii="宋体" w:hAnsi="宋体" w:cs="宋体"/>
                <w:color w:val="000000"/>
                <w:kern w:val="0"/>
                <w:sz w:val="24"/>
                <w:szCs w:val="24"/>
              </w:rPr>
              <w:t>2</w:t>
            </w:r>
          </w:p>
        </w:tc>
        <w:tc>
          <w:tcPr>
            <w:tcW w:w="7647" w:type="dxa"/>
            <w:vAlign w:val="center"/>
          </w:tcPr>
          <w:p>
            <w:pPr>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鼓励企业开展绿色设计、选择绿色材料、实施绿色采购、打造绿色制造工艺、推行绿色包装、开展绿色运输、做好废弃产品回收处理，实现产品全周期的绿色环保。</w:t>
            </w:r>
          </w:p>
        </w:tc>
        <w:tc>
          <w:tcPr>
            <w:tcW w:w="2693" w:type="dxa"/>
            <w:vMerge w:val="continue"/>
            <w:vAlign w:val="center"/>
          </w:tcPr>
          <w:p>
            <w:pPr>
              <w:jc w:val="center"/>
              <w:rPr>
                <w:rStyle w:val="10"/>
                <w:rFonts w:ascii="宋体" w:cs="Times New Roman"/>
                <w:color w:val="000000"/>
                <w:sz w:val="28"/>
                <w:szCs w:val="28"/>
              </w:rPr>
            </w:pPr>
          </w:p>
        </w:tc>
        <w:tc>
          <w:tcPr>
            <w:tcW w:w="2599" w:type="dxa"/>
            <w:vAlign w:val="center"/>
          </w:tcPr>
          <w:p>
            <w:pPr>
              <w:jc w:val="center"/>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持续推进</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658" w:type="dxa"/>
            <w:vMerge w:val="continue"/>
            <w:vAlign w:val="center"/>
          </w:tcPr>
          <w:p>
            <w:pPr>
              <w:jc w:val="center"/>
              <w:rPr>
                <w:rStyle w:val="10"/>
                <w:rFonts w:ascii="宋体" w:cs="Times New Roman"/>
                <w:color w:val="000000"/>
                <w:sz w:val="28"/>
                <w:szCs w:val="28"/>
              </w:rPr>
            </w:pPr>
          </w:p>
        </w:tc>
        <w:tc>
          <w:tcPr>
            <w:tcW w:w="846" w:type="dxa"/>
            <w:vAlign w:val="center"/>
          </w:tcPr>
          <w:p>
            <w:pPr>
              <w:jc w:val="center"/>
              <w:textAlignment w:val="center"/>
              <w:rPr>
                <w:rStyle w:val="10"/>
                <w:rFonts w:ascii="宋体" w:cs="Times New Roman"/>
                <w:color w:val="000000"/>
                <w:sz w:val="28"/>
                <w:szCs w:val="28"/>
              </w:rPr>
            </w:pPr>
            <w:r>
              <w:rPr>
                <w:rStyle w:val="10"/>
                <w:rFonts w:ascii="宋体" w:hAnsi="宋体" w:cs="宋体"/>
                <w:color w:val="000000"/>
                <w:kern w:val="0"/>
                <w:sz w:val="24"/>
                <w:szCs w:val="24"/>
              </w:rPr>
              <w:t>3</w:t>
            </w:r>
          </w:p>
        </w:tc>
        <w:tc>
          <w:tcPr>
            <w:tcW w:w="7647" w:type="dxa"/>
            <w:vAlign w:val="center"/>
          </w:tcPr>
          <w:p>
            <w:pPr>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鼓励行业协会通过制定规范、咨询服务、行业自律等方式提高行业供应链绿色化水平。</w:t>
            </w:r>
          </w:p>
        </w:tc>
        <w:tc>
          <w:tcPr>
            <w:tcW w:w="2693" w:type="dxa"/>
            <w:vMerge w:val="continue"/>
            <w:vAlign w:val="center"/>
          </w:tcPr>
          <w:p>
            <w:pPr>
              <w:jc w:val="center"/>
              <w:rPr>
                <w:rStyle w:val="10"/>
                <w:rFonts w:ascii="宋体" w:cs="Times New Roman"/>
                <w:color w:val="000000"/>
                <w:sz w:val="28"/>
                <w:szCs w:val="28"/>
              </w:rPr>
            </w:pPr>
          </w:p>
        </w:tc>
        <w:tc>
          <w:tcPr>
            <w:tcW w:w="2599" w:type="dxa"/>
            <w:vAlign w:val="center"/>
          </w:tcPr>
          <w:p>
            <w:pPr>
              <w:jc w:val="center"/>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持续推进</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20" w:hRule="atLeast"/>
          <w:jc w:val="center"/>
        </w:trPr>
        <w:tc>
          <w:tcPr>
            <w:tcW w:w="658" w:type="dxa"/>
            <w:vMerge w:val="restart"/>
            <w:vAlign w:val="center"/>
          </w:tcPr>
          <w:p>
            <w:pPr>
              <w:jc w:val="center"/>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强化绿色信用</w:t>
            </w:r>
          </w:p>
        </w:tc>
        <w:tc>
          <w:tcPr>
            <w:tcW w:w="846" w:type="dxa"/>
            <w:vAlign w:val="center"/>
          </w:tcPr>
          <w:p>
            <w:pPr>
              <w:jc w:val="center"/>
              <w:textAlignment w:val="center"/>
              <w:rPr>
                <w:rStyle w:val="10"/>
                <w:rFonts w:ascii="宋体" w:cs="Times New Roman"/>
                <w:color w:val="000000"/>
                <w:sz w:val="28"/>
                <w:szCs w:val="28"/>
              </w:rPr>
            </w:pPr>
            <w:r>
              <w:rPr>
                <w:rStyle w:val="10"/>
                <w:rFonts w:ascii="宋体" w:hAnsi="宋体" w:cs="宋体"/>
                <w:color w:val="000000"/>
                <w:kern w:val="0"/>
                <w:sz w:val="24"/>
                <w:szCs w:val="24"/>
              </w:rPr>
              <w:t>1</w:t>
            </w:r>
          </w:p>
        </w:tc>
        <w:tc>
          <w:tcPr>
            <w:tcW w:w="7647" w:type="dxa"/>
            <w:vAlign w:val="center"/>
          </w:tcPr>
          <w:p>
            <w:pPr>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进一步完善企业环境信用评价标准，优化环保示范性企事业单位评价体系，不断扩大参评企业范围，有效发挥绿色信贷约束机制，以企业环境信用倒逼企业环保自觉、提升环境管理水平。</w:t>
            </w:r>
          </w:p>
        </w:tc>
        <w:tc>
          <w:tcPr>
            <w:tcW w:w="2693" w:type="dxa"/>
            <w:vMerge w:val="restart"/>
            <w:vAlign w:val="center"/>
          </w:tcPr>
          <w:p>
            <w:pPr>
              <w:jc w:val="center"/>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生态环境局</w:t>
            </w:r>
          </w:p>
        </w:tc>
        <w:tc>
          <w:tcPr>
            <w:tcW w:w="2599" w:type="dxa"/>
            <w:vAlign w:val="center"/>
          </w:tcPr>
          <w:p>
            <w:pPr>
              <w:jc w:val="center"/>
              <w:textAlignment w:val="center"/>
              <w:rPr>
                <w:rStyle w:val="10"/>
                <w:rFonts w:ascii="宋体" w:cs="Times New Roman"/>
                <w:color w:val="000000"/>
                <w:sz w:val="28"/>
                <w:szCs w:val="28"/>
              </w:rPr>
            </w:pPr>
            <w:r>
              <w:rPr>
                <w:rStyle w:val="10"/>
                <w:rFonts w:ascii="宋体" w:hAnsi="宋体" w:cs="宋体"/>
                <w:color w:val="000000"/>
                <w:kern w:val="0"/>
                <w:sz w:val="24"/>
                <w:szCs w:val="24"/>
              </w:rPr>
              <w:t>202</w:t>
            </w:r>
            <w:r>
              <w:rPr>
                <w:rStyle w:val="10"/>
                <w:rFonts w:hint="eastAsia" w:ascii="宋体" w:hAnsi="宋体" w:cs="宋体"/>
                <w:color w:val="000000"/>
                <w:kern w:val="0"/>
                <w:sz w:val="24"/>
                <w:szCs w:val="24"/>
              </w:rPr>
              <w:t>2年6月底前完善评价标准，并持续推进</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26" w:hRule="atLeast"/>
          <w:jc w:val="center"/>
        </w:trPr>
        <w:tc>
          <w:tcPr>
            <w:tcW w:w="658" w:type="dxa"/>
            <w:vMerge w:val="continue"/>
            <w:vAlign w:val="center"/>
          </w:tcPr>
          <w:p>
            <w:pPr>
              <w:jc w:val="center"/>
              <w:rPr>
                <w:rStyle w:val="10"/>
                <w:rFonts w:ascii="宋体" w:cs="Times New Roman"/>
                <w:color w:val="000000"/>
                <w:sz w:val="28"/>
                <w:szCs w:val="28"/>
              </w:rPr>
            </w:pPr>
          </w:p>
        </w:tc>
        <w:tc>
          <w:tcPr>
            <w:tcW w:w="846" w:type="dxa"/>
            <w:vAlign w:val="center"/>
          </w:tcPr>
          <w:p>
            <w:pPr>
              <w:jc w:val="center"/>
              <w:textAlignment w:val="center"/>
              <w:rPr>
                <w:rStyle w:val="10"/>
                <w:rFonts w:ascii="宋体" w:cs="Times New Roman"/>
                <w:color w:val="000000"/>
                <w:sz w:val="28"/>
                <w:szCs w:val="28"/>
              </w:rPr>
            </w:pPr>
            <w:r>
              <w:rPr>
                <w:rStyle w:val="10"/>
                <w:rFonts w:ascii="宋体" w:hAnsi="宋体" w:cs="宋体"/>
                <w:color w:val="000000"/>
                <w:kern w:val="0"/>
                <w:sz w:val="24"/>
                <w:szCs w:val="24"/>
              </w:rPr>
              <w:t>2</w:t>
            </w:r>
          </w:p>
        </w:tc>
        <w:tc>
          <w:tcPr>
            <w:tcW w:w="7647" w:type="dxa"/>
            <w:vAlign w:val="center"/>
          </w:tcPr>
          <w:p>
            <w:pPr>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推广</w:t>
            </w:r>
            <w:r>
              <w:rPr>
                <w:rStyle w:val="10"/>
                <w:rFonts w:hint="eastAsia" w:ascii="宋体" w:cs="宋体"/>
                <w:color w:val="000000"/>
                <w:kern w:val="0"/>
                <w:sz w:val="24"/>
                <w:szCs w:val="24"/>
              </w:rPr>
              <w:t>“</w:t>
            </w:r>
            <w:r>
              <w:rPr>
                <w:rStyle w:val="10"/>
                <w:rFonts w:hint="eastAsia" w:ascii="宋体" w:hAnsi="宋体" w:cs="宋体"/>
                <w:color w:val="000000"/>
                <w:kern w:val="0"/>
                <w:sz w:val="24"/>
                <w:szCs w:val="24"/>
              </w:rPr>
              <w:t>环保脸谱</w:t>
            </w:r>
            <w:r>
              <w:rPr>
                <w:rStyle w:val="10"/>
                <w:rFonts w:hint="eastAsia" w:ascii="宋体" w:cs="宋体"/>
                <w:color w:val="000000"/>
                <w:kern w:val="0"/>
                <w:sz w:val="24"/>
                <w:szCs w:val="24"/>
              </w:rPr>
              <w:t>”</w:t>
            </w:r>
            <w:r>
              <w:rPr>
                <w:rStyle w:val="10"/>
                <w:rFonts w:hint="eastAsia" w:ascii="宋体" w:hAnsi="宋体" w:cs="宋体"/>
                <w:color w:val="000000"/>
                <w:kern w:val="0"/>
                <w:sz w:val="24"/>
                <w:szCs w:val="24"/>
              </w:rPr>
              <w:t>体系建设与运用。</w:t>
            </w:r>
          </w:p>
        </w:tc>
        <w:tc>
          <w:tcPr>
            <w:tcW w:w="2693" w:type="dxa"/>
            <w:vMerge w:val="continue"/>
            <w:vAlign w:val="center"/>
          </w:tcPr>
          <w:p>
            <w:pPr>
              <w:jc w:val="center"/>
              <w:textAlignment w:val="center"/>
              <w:rPr>
                <w:rStyle w:val="10"/>
                <w:rFonts w:ascii="宋体" w:cs="Times New Roman"/>
                <w:color w:val="000000"/>
                <w:sz w:val="28"/>
                <w:szCs w:val="28"/>
              </w:rPr>
            </w:pPr>
          </w:p>
        </w:tc>
        <w:tc>
          <w:tcPr>
            <w:tcW w:w="2599" w:type="dxa"/>
            <w:vAlign w:val="center"/>
          </w:tcPr>
          <w:p>
            <w:pPr>
              <w:jc w:val="center"/>
              <w:textAlignment w:val="center"/>
              <w:rPr>
                <w:rStyle w:val="10"/>
                <w:rFonts w:ascii="宋体" w:cs="Times New Roman"/>
                <w:color w:val="000000"/>
                <w:sz w:val="28"/>
                <w:szCs w:val="28"/>
              </w:rPr>
            </w:pPr>
            <w:r>
              <w:rPr>
                <w:rStyle w:val="10"/>
                <w:rFonts w:ascii="宋体" w:hAnsi="宋体" w:cs="宋体"/>
                <w:color w:val="000000"/>
                <w:kern w:val="0"/>
                <w:sz w:val="24"/>
                <w:szCs w:val="24"/>
              </w:rPr>
              <w:t>202</w:t>
            </w:r>
            <w:r>
              <w:rPr>
                <w:rStyle w:val="10"/>
                <w:rFonts w:hint="eastAsia" w:ascii="宋体" w:hAnsi="宋体" w:cs="宋体"/>
                <w:color w:val="000000"/>
                <w:kern w:val="0"/>
                <w:sz w:val="24"/>
                <w:szCs w:val="24"/>
              </w:rPr>
              <w:t>2年6月底前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1021" w:hRule="atLeast"/>
          <w:jc w:val="center"/>
        </w:trPr>
        <w:tc>
          <w:tcPr>
            <w:tcW w:w="658" w:type="dxa"/>
            <w:vMerge w:val="continue"/>
            <w:vAlign w:val="center"/>
          </w:tcPr>
          <w:p>
            <w:pPr>
              <w:jc w:val="center"/>
              <w:rPr>
                <w:rStyle w:val="10"/>
                <w:rFonts w:ascii="宋体" w:cs="Times New Roman"/>
                <w:color w:val="000000"/>
                <w:sz w:val="28"/>
                <w:szCs w:val="28"/>
              </w:rPr>
            </w:pPr>
          </w:p>
        </w:tc>
        <w:tc>
          <w:tcPr>
            <w:tcW w:w="846" w:type="dxa"/>
            <w:vAlign w:val="center"/>
          </w:tcPr>
          <w:p>
            <w:pPr>
              <w:jc w:val="center"/>
              <w:textAlignment w:val="center"/>
              <w:rPr>
                <w:rStyle w:val="10"/>
                <w:rFonts w:ascii="宋体" w:cs="Times New Roman"/>
                <w:color w:val="000000"/>
                <w:sz w:val="28"/>
                <w:szCs w:val="28"/>
              </w:rPr>
            </w:pPr>
            <w:r>
              <w:rPr>
                <w:rStyle w:val="10"/>
                <w:rFonts w:ascii="宋体" w:hAnsi="宋体" w:cs="宋体"/>
                <w:color w:val="000000"/>
                <w:kern w:val="0"/>
                <w:sz w:val="24"/>
                <w:szCs w:val="24"/>
              </w:rPr>
              <w:t>3</w:t>
            </w:r>
          </w:p>
        </w:tc>
        <w:tc>
          <w:tcPr>
            <w:tcW w:w="7647" w:type="dxa"/>
            <w:vAlign w:val="center"/>
          </w:tcPr>
          <w:p>
            <w:pPr>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积极探索在政府采购、招投标等领域运用评级结果。扩大环保信用信息的流动范围，挖掘应用价值，引导市场监管、海关等部门对环境信用好的企业激励扶持。积极拓展证券、保险等部门的参与，以环保信用评级为平台，更好地拓展绿色金融工作。</w:t>
            </w:r>
          </w:p>
        </w:tc>
        <w:tc>
          <w:tcPr>
            <w:tcW w:w="2693" w:type="dxa"/>
            <w:vMerge w:val="continue"/>
            <w:vAlign w:val="center"/>
          </w:tcPr>
          <w:p>
            <w:pPr>
              <w:jc w:val="center"/>
              <w:rPr>
                <w:rStyle w:val="10"/>
                <w:rFonts w:ascii="宋体" w:cs="Times New Roman"/>
                <w:color w:val="000000"/>
                <w:sz w:val="28"/>
                <w:szCs w:val="28"/>
              </w:rPr>
            </w:pPr>
          </w:p>
        </w:tc>
        <w:tc>
          <w:tcPr>
            <w:tcW w:w="2599" w:type="dxa"/>
            <w:vAlign w:val="center"/>
          </w:tcPr>
          <w:p>
            <w:pPr>
              <w:jc w:val="center"/>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持续推进</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976" w:hRule="atLeast"/>
          <w:jc w:val="center"/>
        </w:trPr>
        <w:tc>
          <w:tcPr>
            <w:tcW w:w="658" w:type="dxa"/>
            <w:vMerge w:val="restart"/>
            <w:vAlign w:val="center"/>
          </w:tcPr>
          <w:p>
            <w:pPr>
              <w:jc w:val="center"/>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制定绿色标准</w:t>
            </w:r>
          </w:p>
        </w:tc>
        <w:tc>
          <w:tcPr>
            <w:tcW w:w="846" w:type="dxa"/>
            <w:vAlign w:val="center"/>
          </w:tcPr>
          <w:p>
            <w:pPr>
              <w:jc w:val="center"/>
              <w:textAlignment w:val="center"/>
              <w:rPr>
                <w:rStyle w:val="10"/>
                <w:rFonts w:ascii="宋体" w:cs="Times New Roman"/>
                <w:color w:val="000000"/>
                <w:sz w:val="28"/>
                <w:szCs w:val="28"/>
              </w:rPr>
            </w:pPr>
            <w:r>
              <w:rPr>
                <w:rStyle w:val="10"/>
                <w:rFonts w:ascii="宋体" w:hAnsi="宋体" w:cs="宋体"/>
                <w:color w:val="000000"/>
                <w:kern w:val="0"/>
                <w:sz w:val="24"/>
                <w:szCs w:val="24"/>
              </w:rPr>
              <w:t>1</w:t>
            </w:r>
          </w:p>
        </w:tc>
        <w:tc>
          <w:tcPr>
            <w:tcW w:w="7647" w:type="dxa"/>
            <w:vAlign w:val="center"/>
          </w:tcPr>
          <w:p>
            <w:pPr>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推进纳入</w:t>
            </w:r>
            <w:r>
              <w:rPr>
                <w:rStyle w:val="10"/>
                <w:rFonts w:hint="eastAsia" w:ascii="宋体" w:cs="宋体"/>
                <w:color w:val="000000"/>
                <w:kern w:val="0"/>
                <w:sz w:val="24"/>
                <w:szCs w:val="24"/>
              </w:rPr>
              <w:t>“</w:t>
            </w:r>
            <w:r>
              <w:rPr>
                <w:rStyle w:val="10"/>
                <w:rFonts w:hint="eastAsia" w:ascii="宋体" w:hAnsi="宋体" w:cs="宋体"/>
                <w:color w:val="000000"/>
                <w:kern w:val="0"/>
                <w:sz w:val="24"/>
                <w:szCs w:val="24"/>
              </w:rPr>
              <w:t>三线一单</w:t>
            </w:r>
            <w:r>
              <w:rPr>
                <w:rStyle w:val="10"/>
                <w:rFonts w:hint="eastAsia" w:ascii="宋体" w:cs="宋体"/>
                <w:color w:val="000000"/>
                <w:kern w:val="0"/>
                <w:sz w:val="24"/>
                <w:szCs w:val="24"/>
              </w:rPr>
              <w:t>”</w:t>
            </w:r>
            <w:r>
              <w:rPr>
                <w:rStyle w:val="10"/>
                <w:rFonts w:hint="eastAsia" w:ascii="宋体" w:hAnsi="宋体" w:cs="宋体"/>
                <w:color w:val="000000"/>
                <w:kern w:val="0"/>
                <w:sz w:val="24"/>
                <w:szCs w:val="24"/>
              </w:rPr>
              <w:t>管控单元的各级各类工业园区（集中区）污染物排放限值管理，提高生态环境精细化监管水平，强化源头管控和末端污染治理。</w:t>
            </w:r>
          </w:p>
        </w:tc>
        <w:tc>
          <w:tcPr>
            <w:tcW w:w="2693" w:type="dxa"/>
            <w:vMerge w:val="restart"/>
            <w:vAlign w:val="center"/>
          </w:tcPr>
          <w:p>
            <w:pPr>
              <w:jc w:val="center"/>
              <w:textAlignment w:val="center"/>
              <w:rPr>
                <w:rStyle w:val="10"/>
                <w:rFonts w:ascii="宋体" w:hAnsi="宋体" w:cs="宋体"/>
                <w:color w:val="000000"/>
                <w:kern w:val="0"/>
                <w:sz w:val="24"/>
                <w:szCs w:val="24"/>
              </w:rPr>
            </w:pPr>
            <w:r>
              <w:rPr>
                <w:rStyle w:val="10"/>
                <w:rFonts w:hint="eastAsia" w:ascii="宋体" w:hAnsi="宋体" w:cs="宋体"/>
                <w:color w:val="000000"/>
                <w:kern w:val="0"/>
                <w:sz w:val="24"/>
                <w:szCs w:val="24"/>
              </w:rPr>
              <w:t>生态环境局</w:t>
            </w:r>
          </w:p>
          <w:p>
            <w:pPr>
              <w:jc w:val="center"/>
              <w:textAlignment w:val="center"/>
              <w:rPr>
                <w:rStyle w:val="10"/>
                <w:rFonts w:ascii="宋体" w:cs="Times New Roman"/>
                <w:b/>
                <w:bCs/>
                <w:color w:val="000000"/>
                <w:sz w:val="28"/>
                <w:szCs w:val="28"/>
              </w:rPr>
            </w:pPr>
            <w:r>
              <w:rPr>
                <w:rStyle w:val="10"/>
                <w:rFonts w:hint="eastAsia" w:ascii="宋体" w:hAnsi="宋体" w:cs="宋体"/>
                <w:color w:val="000000"/>
                <w:kern w:val="0"/>
                <w:sz w:val="24"/>
                <w:szCs w:val="24"/>
              </w:rPr>
              <w:t>各区镇</w:t>
            </w:r>
          </w:p>
        </w:tc>
        <w:tc>
          <w:tcPr>
            <w:tcW w:w="2599" w:type="dxa"/>
            <w:vAlign w:val="center"/>
          </w:tcPr>
          <w:p>
            <w:pPr>
              <w:jc w:val="center"/>
              <w:textAlignment w:val="center"/>
              <w:rPr>
                <w:rStyle w:val="10"/>
                <w:rFonts w:ascii="宋体" w:cs="Times New Roman"/>
                <w:color w:val="000000"/>
                <w:sz w:val="28"/>
                <w:szCs w:val="28"/>
              </w:rPr>
            </w:pPr>
            <w:r>
              <w:rPr>
                <w:rStyle w:val="10"/>
                <w:rFonts w:ascii="宋体" w:hAnsi="宋体" w:cs="宋体"/>
                <w:color w:val="000000"/>
                <w:kern w:val="0"/>
                <w:sz w:val="24"/>
                <w:szCs w:val="24"/>
              </w:rPr>
              <w:t>2023</w:t>
            </w:r>
            <w:r>
              <w:rPr>
                <w:rStyle w:val="10"/>
                <w:rFonts w:hint="eastAsia" w:ascii="宋体" w:hAnsi="宋体" w:cs="宋体"/>
                <w:color w:val="000000"/>
                <w:kern w:val="0"/>
                <w:sz w:val="24"/>
                <w:szCs w:val="24"/>
              </w:rPr>
              <w:t>年底前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706" w:hRule="atLeast"/>
          <w:jc w:val="center"/>
        </w:trPr>
        <w:tc>
          <w:tcPr>
            <w:tcW w:w="658" w:type="dxa"/>
            <w:vMerge w:val="continue"/>
            <w:vAlign w:val="center"/>
          </w:tcPr>
          <w:p>
            <w:pPr>
              <w:jc w:val="center"/>
              <w:textAlignment w:val="center"/>
              <w:rPr>
                <w:rStyle w:val="10"/>
                <w:rFonts w:ascii="宋体" w:cs="Times New Roman"/>
                <w:color w:val="000000"/>
                <w:kern w:val="0"/>
                <w:sz w:val="24"/>
                <w:szCs w:val="24"/>
              </w:rPr>
            </w:pPr>
          </w:p>
        </w:tc>
        <w:tc>
          <w:tcPr>
            <w:tcW w:w="846" w:type="dxa"/>
            <w:vAlign w:val="center"/>
          </w:tcPr>
          <w:p>
            <w:pPr>
              <w:jc w:val="center"/>
              <w:textAlignment w:val="center"/>
              <w:rPr>
                <w:rFonts w:ascii="宋体" w:cs="Times New Roman"/>
                <w:color w:val="000000"/>
                <w:sz w:val="28"/>
                <w:szCs w:val="28"/>
              </w:rPr>
            </w:pPr>
            <w:r>
              <w:rPr>
                <w:rStyle w:val="10"/>
                <w:rFonts w:ascii="宋体" w:hAnsi="宋体" w:cs="宋体"/>
                <w:color w:val="000000"/>
                <w:kern w:val="0"/>
                <w:sz w:val="24"/>
                <w:szCs w:val="24"/>
              </w:rPr>
              <w:t>2</w:t>
            </w:r>
          </w:p>
        </w:tc>
        <w:tc>
          <w:tcPr>
            <w:tcW w:w="7647" w:type="dxa"/>
            <w:vAlign w:val="center"/>
          </w:tcPr>
          <w:p>
            <w:pPr>
              <w:textAlignment w:val="center"/>
              <w:rPr>
                <w:rFonts w:ascii="宋体" w:cs="Times New Roman"/>
                <w:color w:val="000000"/>
                <w:sz w:val="28"/>
                <w:szCs w:val="28"/>
              </w:rPr>
            </w:pPr>
            <w:r>
              <w:rPr>
                <w:rStyle w:val="10"/>
                <w:rFonts w:hint="eastAsia" w:ascii="宋体" w:hAnsi="宋体" w:cs="宋体"/>
                <w:color w:val="000000"/>
                <w:kern w:val="0"/>
                <w:sz w:val="24"/>
                <w:szCs w:val="24"/>
              </w:rPr>
              <w:t>从严执行污染物排放标准，加快实施重点行业超低、超净排放改造。</w:t>
            </w:r>
          </w:p>
        </w:tc>
        <w:tc>
          <w:tcPr>
            <w:tcW w:w="2693" w:type="dxa"/>
            <w:vMerge w:val="continue"/>
            <w:vAlign w:val="center"/>
          </w:tcPr>
          <w:p>
            <w:pPr>
              <w:jc w:val="center"/>
              <w:rPr>
                <w:rFonts w:ascii="宋体" w:cs="Times New Roman"/>
                <w:color w:val="000000"/>
                <w:sz w:val="28"/>
                <w:szCs w:val="28"/>
              </w:rPr>
            </w:pPr>
          </w:p>
        </w:tc>
        <w:tc>
          <w:tcPr>
            <w:tcW w:w="2599" w:type="dxa"/>
            <w:vAlign w:val="center"/>
          </w:tcPr>
          <w:p>
            <w:pPr>
              <w:jc w:val="center"/>
              <w:textAlignment w:val="center"/>
              <w:rPr>
                <w:rFonts w:ascii="宋体" w:cs="Times New Roman"/>
                <w:color w:val="000000"/>
                <w:sz w:val="28"/>
                <w:szCs w:val="28"/>
              </w:rPr>
            </w:pPr>
            <w:r>
              <w:rPr>
                <w:rStyle w:val="10"/>
                <w:rFonts w:hint="eastAsia" w:ascii="宋体" w:hAnsi="宋体" w:cs="宋体"/>
                <w:color w:val="000000"/>
                <w:kern w:val="0"/>
                <w:sz w:val="24"/>
                <w:szCs w:val="24"/>
              </w:rPr>
              <w:t>持续推进</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46" w:hRule="atLeast"/>
          <w:jc w:val="center"/>
        </w:trPr>
        <w:tc>
          <w:tcPr>
            <w:tcW w:w="658" w:type="dxa"/>
            <w:vMerge w:val="continue"/>
            <w:tcBorders>
              <w:bottom w:val="single" w:color="000000" w:sz="12" w:space="0"/>
            </w:tcBorders>
            <w:vAlign w:val="center"/>
          </w:tcPr>
          <w:p>
            <w:pPr>
              <w:jc w:val="center"/>
              <w:rPr>
                <w:rStyle w:val="10"/>
                <w:rFonts w:ascii="宋体" w:cs="Times New Roman"/>
                <w:color w:val="000000"/>
                <w:sz w:val="28"/>
                <w:szCs w:val="28"/>
              </w:rPr>
            </w:pPr>
          </w:p>
        </w:tc>
        <w:tc>
          <w:tcPr>
            <w:tcW w:w="846" w:type="dxa"/>
            <w:tcBorders>
              <w:bottom w:val="single" w:color="000000" w:sz="12" w:space="0"/>
            </w:tcBorders>
            <w:vAlign w:val="center"/>
          </w:tcPr>
          <w:p>
            <w:pPr>
              <w:jc w:val="center"/>
              <w:textAlignment w:val="center"/>
              <w:rPr>
                <w:rStyle w:val="10"/>
                <w:rFonts w:ascii="宋体" w:cs="Times New Roman"/>
                <w:color w:val="000000"/>
                <w:kern w:val="0"/>
                <w:sz w:val="24"/>
                <w:szCs w:val="24"/>
              </w:rPr>
            </w:pPr>
            <w:r>
              <w:rPr>
                <w:rStyle w:val="10"/>
                <w:rFonts w:ascii="宋体" w:hAnsi="宋体" w:cs="宋体"/>
                <w:color w:val="000000"/>
                <w:kern w:val="0"/>
                <w:sz w:val="24"/>
                <w:szCs w:val="24"/>
              </w:rPr>
              <w:t>3</w:t>
            </w:r>
          </w:p>
        </w:tc>
        <w:tc>
          <w:tcPr>
            <w:tcW w:w="7647" w:type="dxa"/>
            <w:tcBorders>
              <w:bottom w:val="single" w:color="000000" w:sz="12" w:space="0"/>
            </w:tcBorders>
            <w:vAlign w:val="center"/>
          </w:tcPr>
          <w:p>
            <w:pPr>
              <w:textAlignment w:val="center"/>
              <w:rPr>
                <w:rStyle w:val="10"/>
                <w:rFonts w:ascii="宋体" w:cs="Times New Roman"/>
                <w:color w:val="000000"/>
                <w:kern w:val="0"/>
                <w:sz w:val="24"/>
                <w:szCs w:val="24"/>
              </w:rPr>
            </w:pPr>
            <w:r>
              <w:rPr>
                <w:rStyle w:val="10"/>
                <w:rFonts w:hint="eastAsia" w:ascii="宋体" w:hAnsi="宋体" w:cs="宋体"/>
                <w:color w:val="000000"/>
                <w:kern w:val="0"/>
                <w:sz w:val="24"/>
                <w:szCs w:val="24"/>
              </w:rPr>
              <w:t>强化环评审批与总量控制、排污权交易与排污许可制度的衔接。</w:t>
            </w:r>
          </w:p>
        </w:tc>
        <w:tc>
          <w:tcPr>
            <w:tcW w:w="2693" w:type="dxa"/>
            <w:vMerge w:val="continue"/>
            <w:tcBorders>
              <w:bottom w:val="single" w:color="000000" w:sz="12" w:space="0"/>
            </w:tcBorders>
            <w:vAlign w:val="center"/>
          </w:tcPr>
          <w:p>
            <w:pPr>
              <w:jc w:val="center"/>
              <w:rPr>
                <w:rStyle w:val="10"/>
                <w:rFonts w:ascii="宋体" w:cs="Times New Roman"/>
                <w:color w:val="000000"/>
                <w:sz w:val="28"/>
                <w:szCs w:val="28"/>
              </w:rPr>
            </w:pPr>
          </w:p>
        </w:tc>
        <w:tc>
          <w:tcPr>
            <w:tcW w:w="2599" w:type="dxa"/>
            <w:tcBorders>
              <w:bottom w:val="single" w:color="000000" w:sz="12" w:space="0"/>
            </w:tcBorders>
            <w:vAlign w:val="center"/>
          </w:tcPr>
          <w:p>
            <w:pPr>
              <w:jc w:val="center"/>
              <w:textAlignment w:val="center"/>
              <w:rPr>
                <w:rStyle w:val="10"/>
                <w:rFonts w:ascii="宋体" w:cs="Times New Roman"/>
                <w:color w:val="000000"/>
                <w:sz w:val="28"/>
                <w:szCs w:val="28"/>
              </w:rPr>
            </w:pPr>
            <w:r>
              <w:rPr>
                <w:rStyle w:val="10"/>
                <w:rFonts w:hint="eastAsia" w:ascii="宋体" w:hAnsi="宋体" w:cs="宋体"/>
                <w:color w:val="000000"/>
                <w:kern w:val="0"/>
                <w:sz w:val="24"/>
                <w:szCs w:val="24"/>
              </w:rPr>
              <w:t>持续推进</w:t>
            </w:r>
          </w:p>
        </w:tc>
      </w:tr>
    </w:tbl>
    <w:p>
      <w:pPr>
        <w:sectPr>
          <w:pgSz w:w="16838" w:h="11906" w:orient="landscape"/>
          <w:pgMar w:top="1134" w:right="1134" w:bottom="1474" w:left="1134" w:header="510" w:footer="1474" w:gutter="0"/>
          <w:cols w:space="425" w:num="1"/>
          <w:docGrid w:type="lines" w:linePitch="312" w:charSpace="0"/>
        </w:sectPr>
      </w:pPr>
    </w:p>
    <w:p>
      <w:pPr>
        <w:pStyle w:val="2"/>
      </w:pPr>
    </w:p>
    <w:p/>
    <w:p>
      <w:pPr>
        <w:pStyle w:val="2"/>
      </w:pPr>
    </w:p>
    <w:tbl>
      <w:tblPr>
        <w:tblStyle w:val="6"/>
        <w:tblpPr w:leftFromText="180" w:rightFromText="180" w:vertAnchor="page" w:horzAnchor="margin" w:tblpXSpec="center" w:tblpY="13261"/>
        <w:tblW w:w="8845" w:type="dxa"/>
        <w:jc w:val="center"/>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8845"/>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45" w:hRule="atLeast"/>
          <w:jc w:val="center"/>
        </w:trPr>
        <w:tc>
          <w:tcPr>
            <w:tcW w:w="8845" w:type="dxa"/>
            <w:vAlign w:val="center"/>
          </w:tcPr>
          <w:p>
            <w:pPr>
              <w:pStyle w:val="13"/>
              <w:spacing w:afterLines="20" w:line="460" w:lineRule="exact"/>
              <w:ind w:left="1145" w:right="312" w:hanging="833"/>
              <w:jc w:val="left"/>
              <w:rPr>
                <w:rFonts w:ascii="宋体" w:hAnsi="宋体" w:cs="宋体"/>
                <w:spacing w:val="-6"/>
                <w:szCs w:val="21"/>
              </w:rPr>
            </w:pPr>
            <w:r>
              <w:rPr>
                <w:rFonts w:hint="eastAsia" w:eastAsia="仿宋_GB2312"/>
                <w:sz w:val="28"/>
                <w:szCs w:val="28"/>
              </w:rPr>
              <w:t>抄送：区人大常委会办公室、区政协办公室，区纪委，区法院、区检察院，区人武部。</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8845" w:type="dxa"/>
            <w:vAlign w:val="center"/>
          </w:tcPr>
          <w:p>
            <w:pPr>
              <w:tabs>
                <w:tab w:val="right" w:pos="8371"/>
              </w:tabs>
              <w:autoSpaceDE w:val="0"/>
              <w:autoSpaceDN w:val="0"/>
              <w:adjustRightInd w:val="0"/>
              <w:snapToGrid w:val="0"/>
              <w:spacing w:afterLines="20" w:line="460" w:lineRule="exact"/>
              <w:ind w:left="1145" w:right="312" w:hanging="833"/>
              <w:rPr>
                <w:rFonts w:eastAsia="仿宋_GB2312"/>
                <w:kern w:val="0"/>
                <w:sz w:val="28"/>
                <w:szCs w:val="28"/>
              </w:rPr>
            </w:pPr>
            <w:r>
              <w:rPr>
                <w:rFonts w:hint="eastAsia" w:eastAsia="仿宋_GB2312"/>
                <w:kern w:val="0"/>
                <w:sz w:val="28"/>
                <w:szCs w:val="28"/>
              </w:rPr>
              <w:t>中共南通市海门区委办公室</w:t>
            </w:r>
            <w:r>
              <w:rPr>
                <w:rFonts w:hint="eastAsia" w:eastAsia="仿宋_GB2312"/>
                <w:kern w:val="0"/>
                <w:sz w:val="28"/>
                <w:szCs w:val="28"/>
              </w:rPr>
              <w:tab/>
            </w:r>
            <w:r>
              <w:rPr>
                <w:rFonts w:ascii="仿宋_GB2312" w:hAnsi="仿宋_GB2312" w:eastAsia="仿宋_GB2312" w:cs="仿宋_GB2312"/>
                <w:kern w:val="0"/>
                <w:sz w:val="28"/>
                <w:szCs w:val="28"/>
              </w:rPr>
              <w:t>202</w:t>
            </w:r>
            <w:r>
              <w:rPr>
                <w:rFonts w:hint="eastAsia" w:ascii="仿宋_GB2312" w:hAnsi="仿宋_GB2312" w:eastAsia="仿宋_GB2312" w:cs="仿宋_GB2312"/>
                <w:kern w:val="0"/>
                <w:sz w:val="28"/>
                <w:szCs w:val="28"/>
              </w:rPr>
              <w:t>2年</w:t>
            </w: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月</w:t>
            </w:r>
            <w:r>
              <w:rPr>
                <w:rFonts w:ascii="仿宋_GB2312" w:hAnsi="仿宋_GB2312" w:eastAsia="仿宋_GB2312" w:cs="仿宋_GB2312"/>
                <w:kern w:val="0"/>
                <w:sz w:val="28"/>
                <w:szCs w:val="28"/>
              </w:rPr>
              <w:t>23</w:t>
            </w:r>
            <w:r>
              <w:rPr>
                <w:rFonts w:hint="eastAsia" w:ascii="仿宋_GB2312" w:hAnsi="仿宋_GB2312" w:eastAsia="仿宋_GB2312" w:cs="仿宋_GB2312"/>
                <w:kern w:val="0"/>
                <w:sz w:val="28"/>
                <w:szCs w:val="28"/>
              </w:rPr>
              <w:t>日印发</w:t>
            </w:r>
          </w:p>
        </w:tc>
      </w:tr>
    </w:tbl>
    <w:p/>
    <w:sectPr>
      <w:pgSz w:w="11906" w:h="16838"/>
      <w:pgMar w:top="1814" w:right="1531" w:bottom="1984" w:left="1531" w:header="51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新宋体">
    <w:panose1 w:val="02010609030101010101"/>
    <w:charset w:val="86"/>
    <w:family w:val="modern"/>
    <w:pitch w:val="default"/>
    <w:sig w:usb0="00000003" w:usb1="288F0000" w:usb2="0000000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asciiTheme="majorEastAsia" w:hAnsiTheme="majorEastAsia" w:eastAsiaTheme="majorEastAsia" w:cstheme="majorEastAsia"/>
                              <w:sz w:val="28"/>
                              <w:szCs w:val="28"/>
                            </w:rPr>
                          </w:pPr>
                          <w:r>
                            <w:rPr>
                              <w:rFonts w:asciiTheme="majorEastAsia" w:hAnsiTheme="majorEastAsia" w:eastAsiaTheme="majorEastAsia" w:cstheme="majorEastAsia"/>
                              <w:sz w:val="28"/>
                              <w:szCs w:val="28"/>
                            </w:rPr>
                            <w:t xml:space="preserve">— </w:t>
                          </w:r>
                          <w:r>
                            <w:rPr>
                              <w:rFonts w:asciiTheme="majorEastAsia" w:hAnsiTheme="majorEastAsia" w:eastAsiaTheme="majorEastAsia" w:cstheme="majorEastAsia"/>
                              <w:sz w:val="28"/>
                              <w:szCs w:val="28"/>
                            </w:rPr>
                            <w:fldChar w:fldCharType="begin"/>
                          </w:r>
                          <w:r>
                            <w:rPr>
                              <w:rFonts w:asciiTheme="majorEastAsia" w:hAnsiTheme="majorEastAsia" w:eastAsiaTheme="majorEastAsia" w:cstheme="majorEastAsia"/>
                              <w:sz w:val="28"/>
                              <w:szCs w:val="28"/>
                            </w:rPr>
                            <w:instrText xml:space="preserve"> PAGE  \* MERGEFORMAT </w:instrText>
                          </w:r>
                          <w:r>
                            <w:rPr>
                              <w:rFonts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asciiTheme="majorEastAsia" w:hAnsiTheme="majorEastAsia" w:eastAsiaTheme="majorEastAsia" w:cstheme="majorEastAsia"/>
                              <w:sz w:val="28"/>
                              <w:szCs w:val="28"/>
                            </w:rPr>
                            <w:fldChar w:fldCharType="end"/>
                          </w:r>
                          <w:r>
                            <w:rPr>
                              <w:rFonts w:asciiTheme="majorEastAsia" w:hAnsiTheme="majorEastAsia" w:eastAsiaTheme="majorEastAsia" w:cstheme="majorEastAsia"/>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4"/>
                      <w:rPr>
                        <w:rFonts w:asciiTheme="majorEastAsia" w:hAnsiTheme="majorEastAsia" w:eastAsiaTheme="majorEastAsia" w:cstheme="majorEastAsia"/>
                        <w:sz w:val="28"/>
                        <w:szCs w:val="28"/>
                      </w:rPr>
                    </w:pPr>
                    <w:r>
                      <w:rPr>
                        <w:rFonts w:asciiTheme="majorEastAsia" w:hAnsiTheme="majorEastAsia" w:eastAsiaTheme="majorEastAsia" w:cstheme="majorEastAsia"/>
                        <w:sz w:val="28"/>
                        <w:szCs w:val="28"/>
                      </w:rPr>
                      <w:t xml:space="preserve">— </w:t>
                    </w:r>
                    <w:r>
                      <w:rPr>
                        <w:rFonts w:asciiTheme="majorEastAsia" w:hAnsiTheme="majorEastAsia" w:eastAsiaTheme="majorEastAsia" w:cstheme="majorEastAsia"/>
                        <w:sz w:val="28"/>
                        <w:szCs w:val="28"/>
                      </w:rPr>
                      <w:fldChar w:fldCharType="begin"/>
                    </w:r>
                    <w:r>
                      <w:rPr>
                        <w:rFonts w:asciiTheme="majorEastAsia" w:hAnsiTheme="majorEastAsia" w:eastAsiaTheme="majorEastAsia" w:cstheme="majorEastAsia"/>
                        <w:sz w:val="28"/>
                        <w:szCs w:val="28"/>
                      </w:rPr>
                      <w:instrText xml:space="preserve"> PAGE  \* MERGEFORMAT </w:instrText>
                    </w:r>
                    <w:r>
                      <w:rPr>
                        <w:rFonts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asciiTheme="majorEastAsia" w:hAnsiTheme="majorEastAsia" w:eastAsiaTheme="majorEastAsia" w:cstheme="majorEastAsia"/>
                        <w:sz w:val="28"/>
                        <w:szCs w:val="28"/>
                      </w:rPr>
                      <w:fldChar w:fldCharType="end"/>
                    </w:r>
                    <w:r>
                      <w:rPr>
                        <w:rFonts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asciiTheme="majorEastAsia" w:hAnsiTheme="majorEastAsia" w:eastAsiaTheme="majorEastAsia" w:cstheme="majorEastAsia"/>
                              <w:sz w:val="28"/>
                              <w:szCs w:val="28"/>
                            </w:rPr>
                          </w:pPr>
                          <w:r>
                            <w:rPr>
                              <w:rFonts w:asciiTheme="majorEastAsia" w:hAnsiTheme="majorEastAsia" w:eastAsiaTheme="majorEastAsia" w:cstheme="majorEastAsia"/>
                              <w:sz w:val="28"/>
                              <w:szCs w:val="28"/>
                            </w:rPr>
                            <w:t xml:space="preserve">— </w:t>
                          </w:r>
                          <w:r>
                            <w:rPr>
                              <w:rFonts w:asciiTheme="majorEastAsia" w:hAnsiTheme="majorEastAsia" w:eastAsiaTheme="majorEastAsia" w:cstheme="majorEastAsia"/>
                              <w:sz w:val="28"/>
                              <w:szCs w:val="28"/>
                            </w:rPr>
                            <w:fldChar w:fldCharType="begin"/>
                          </w:r>
                          <w:r>
                            <w:rPr>
                              <w:rFonts w:asciiTheme="majorEastAsia" w:hAnsiTheme="majorEastAsia" w:eastAsiaTheme="majorEastAsia" w:cstheme="majorEastAsia"/>
                              <w:sz w:val="28"/>
                              <w:szCs w:val="28"/>
                            </w:rPr>
                            <w:instrText xml:space="preserve"> PAGE  \* MERGEFORMAT </w:instrText>
                          </w:r>
                          <w:r>
                            <w:rPr>
                              <w:rFonts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2</w:t>
                          </w:r>
                          <w:r>
                            <w:rPr>
                              <w:rFonts w:asciiTheme="majorEastAsia" w:hAnsiTheme="majorEastAsia" w:eastAsiaTheme="majorEastAsia" w:cstheme="majorEastAsia"/>
                              <w:sz w:val="28"/>
                              <w:szCs w:val="28"/>
                            </w:rPr>
                            <w:fldChar w:fldCharType="end"/>
                          </w:r>
                          <w:r>
                            <w:rPr>
                              <w:rFonts w:asciiTheme="majorEastAsia" w:hAnsiTheme="majorEastAsia" w:eastAsiaTheme="majorEastAsia" w:cstheme="majorEastAsia"/>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4"/>
                      <w:rPr>
                        <w:rFonts w:asciiTheme="majorEastAsia" w:hAnsiTheme="majorEastAsia" w:eastAsiaTheme="majorEastAsia" w:cstheme="majorEastAsia"/>
                        <w:sz w:val="28"/>
                        <w:szCs w:val="28"/>
                      </w:rPr>
                    </w:pPr>
                    <w:r>
                      <w:rPr>
                        <w:rFonts w:asciiTheme="majorEastAsia" w:hAnsiTheme="majorEastAsia" w:eastAsiaTheme="majorEastAsia" w:cstheme="majorEastAsia"/>
                        <w:sz w:val="28"/>
                        <w:szCs w:val="28"/>
                      </w:rPr>
                      <w:t xml:space="preserve">— </w:t>
                    </w:r>
                    <w:r>
                      <w:rPr>
                        <w:rFonts w:asciiTheme="majorEastAsia" w:hAnsiTheme="majorEastAsia" w:eastAsiaTheme="majorEastAsia" w:cstheme="majorEastAsia"/>
                        <w:sz w:val="28"/>
                        <w:szCs w:val="28"/>
                      </w:rPr>
                      <w:fldChar w:fldCharType="begin"/>
                    </w:r>
                    <w:r>
                      <w:rPr>
                        <w:rFonts w:asciiTheme="majorEastAsia" w:hAnsiTheme="majorEastAsia" w:eastAsiaTheme="majorEastAsia" w:cstheme="majorEastAsia"/>
                        <w:sz w:val="28"/>
                        <w:szCs w:val="28"/>
                      </w:rPr>
                      <w:instrText xml:space="preserve"> PAGE  \* MERGEFORMAT </w:instrText>
                    </w:r>
                    <w:r>
                      <w:rPr>
                        <w:rFonts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2</w:t>
                    </w:r>
                    <w:r>
                      <w:rPr>
                        <w:rFonts w:asciiTheme="majorEastAsia" w:hAnsiTheme="majorEastAsia" w:eastAsiaTheme="majorEastAsia" w:cstheme="majorEastAsia"/>
                        <w:sz w:val="28"/>
                        <w:szCs w:val="28"/>
                      </w:rPr>
                      <w:fldChar w:fldCharType="end"/>
                    </w:r>
                    <w:r>
                      <w:rPr>
                        <w:rFonts w:asciiTheme="majorEastAsia" w:hAnsiTheme="majorEastAsia" w:eastAsiaTheme="majorEastAsia" w:cs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chineseCounting"/>
      <w:suff w:val="nothing"/>
      <w:lvlText w:val="%1、"/>
      <w:lvlJc w:val="left"/>
      <w:pPr>
        <w:ind w:left="-25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031"/>
    <w:rsid w:val="00001530"/>
    <w:rsid w:val="00005BE2"/>
    <w:rsid w:val="00025CF7"/>
    <w:rsid w:val="00034682"/>
    <w:rsid w:val="00041AF4"/>
    <w:rsid w:val="00090DE6"/>
    <w:rsid w:val="00205031"/>
    <w:rsid w:val="00240473"/>
    <w:rsid w:val="002F3492"/>
    <w:rsid w:val="003131EE"/>
    <w:rsid w:val="00321EA5"/>
    <w:rsid w:val="003329A3"/>
    <w:rsid w:val="00393388"/>
    <w:rsid w:val="003A7636"/>
    <w:rsid w:val="003E16EF"/>
    <w:rsid w:val="00401394"/>
    <w:rsid w:val="00425E12"/>
    <w:rsid w:val="00447611"/>
    <w:rsid w:val="004A031E"/>
    <w:rsid w:val="004A5144"/>
    <w:rsid w:val="004C0433"/>
    <w:rsid w:val="004E0247"/>
    <w:rsid w:val="00551601"/>
    <w:rsid w:val="00552C38"/>
    <w:rsid w:val="005735FD"/>
    <w:rsid w:val="00584440"/>
    <w:rsid w:val="00590F5E"/>
    <w:rsid w:val="005967E9"/>
    <w:rsid w:val="005A4BEF"/>
    <w:rsid w:val="006149CA"/>
    <w:rsid w:val="0071163A"/>
    <w:rsid w:val="007241EC"/>
    <w:rsid w:val="00743EA8"/>
    <w:rsid w:val="007A4C79"/>
    <w:rsid w:val="007C64BC"/>
    <w:rsid w:val="00826E57"/>
    <w:rsid w:val="00863632"/>
    <w:rsid w:val="00920F7D"/>
    <w:rsid w:val="00953786"/>
    <w:rsid w:val="00984724"/>
    <w:rsid w:val="009928CE"/>
    <w:rsid w:val="00995A6D"/>
    <w:rsid w:val="00A03D69"/>
    <w:rsid w:val="00A6711A"/>
    <w:rsid w:val="00AC3527"/>
    <w:rsid w:val="00AD76F9"/>
    <w:rsid w:val="00B324F8"/>
    <w:rsid w:val="00BA4AAF"/>
    <w:rsid w:val="00BC3A4D"/>
    <w:rsid w:val="00C02613"/>
    <w:rsid w:val="00C5161A"/>
    <w:rsid w:val="00D11E8C"/>
    <w:rsid w:val="00D21D54"/>
    <w:rsid w:val="00D467F9"/>
    <w:rsid w:val="00D843CD"/>
    <w:rsid w:val="00D84ECC"/>
    <w:rsid w:val="00DA131A"/>
    <w:rsid w:val="00DA518E"/>
    <w:rsid w:val="00DD21EA"/>
    <w:rsid w:val="00E32280"/>
    <w:rsid w:val="00E37120"/>
    <w:rsid w:val="00EA380A"/>
    <w:rsid w:val="00F427B7"/>
    <w:rsid w:val="00F66FC0"/>
    <w:rsid w:val="00F73D9A"/>
    <w:rsid w:val="00FD30A6"/>
    <w:rsid w:val="00FD7CD6"/>
    <w:rsid w:val="02731653"/>
    <w:rsid w:val="035D19F8"/>
    <w:rsid w:val="0B8837C8"/>
    <w:rsid w:val="0EBA1EF3"/>
    <w:rsid w:val="0F284975"/>
    <w:rsid w:val="0F437B1F"/>
    <w:rsid w:val="11B32D5D"/>
    <w:rsid w:val="12002FC9"/>
    <w:rsid w:val="159856B2"/>
    <w:rsid w:val="19A61533"/>
    <w:rsid w:val="2254541C"/>
    <w:rsid w:val="226E2FD8"/>
    <w:rsid w:val="265F33C0"/>
    <w:rsid w:val="27C87C2B"/>
    <w:rsid w:val="28BE72AD"/>
    <w:rsid w:val="28C02B57"/>
    <w:rsid w:val="2A656B02"/>
    <w:rsid w:val="30457B76"/>
    <w:rsid w:val="429E3FFD"/>
    <w:rsid w:val="4369652B"/>
    <w:rsid w:val="478A3902"/>
    <w:rsid w:val="563209E0"/>
    <w:rsid w:val="5CC91BD2"/>
    <w:rsid w:val="5F216B86"/>
    <w:rsid w:val="67DB58FC"/>
    <w:rsid w:val="686B4531"/>
    <w:rsid w:val="6EA0666A"/>
    <w:rsid w:val="71526610"/>
    <w:rsid w:val="76DB7281"/>
    <w:rsid w:val="7736125B"/>
    <w:rsid w:val="78012EA1"/>
    <w:rsid w:val="78497CA3"/>
    <w:rsid w:val="7A666C35"/>
    <w:rsid w:val="7D372D11"/>
    <w:rsid w:val="7E1E1EAD"/>
    <w:rsid w:val="7ED60A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Theme="minorHAnsi"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next w:val="1"/>
    <w:qFormat/>
    <w:uiPriority w:val="99"/>
    <w:pPr>
      <w:jc w:val="left"/>
    </w:pPr>
    <w:rPr>
      <w:spacing w:val="-25"/>
    </w:r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NormalCharacter"/>
    <w:qFormat/>
    <w:uiPriority w:val="99"/>
  </w:style>
  <w:style w:type="character" w:customStyle="1" w:styleId="11">
    <w:name w:val="批注框文本 Char"/>
    <w:basedOn w:val="7"/>
    <w:link w:val="3"/>
    <w:semiHidden/>
    <w:qFormat/>
    <w:uiPriority w:val="99"/>
    <w:rPr>
      <w:rFonts w:ascii="Calibri" w:hAnsi="Calibri" w:eastAsia="宋体" w:cs="Calibri"/>
      <w:kern w:val="2"/>
      <w:sz w:val="18"/>
      <w:szCs w:val="18"/>
    </w:rPr>
  </w:style>
  <w:style w:type="paragraph" w:customStyle="1" w:styleId="12">
    <w:name w:val="修订1"/>
    <w:hidden/>
    <w:semiHidden/>
    <w:qFormat/>
    <w:uiPriority w:val="99"/>
    <w:rPr>
      <w:rFonts w:ascii="Calibri" w:hAnsi="Calibri" w:eastAsia="宋体" w:cs="Calibri"/>
      <w:kern w:val="2"/>
      <w:sz w:val="21"/>
      <w:szCs w:val="21"/>
      <w:lang w:val="en-US" w:eastAsia="zh-CN" w:bidi="ar-SA"/>
    </w:rPr>
  </w:style>
  <w:style w:type="paragraph" w:customStyle="1" w:styleId="13">
    <w:name w:val="抄送栏"/>
    <w:basedOn w:val="1"/>
    <w:qFormat/>
    <w:uiPriority w:val="0"/>
    <w:pPr>
      <w:autoSpaceDE w:val="0"/>
      <w:autoSpaceDN w:val="0"/>
      <w:adjustRightInd w:val="0"/>
      <w:snapToGrid w:val="0"/>
      <w:spacing w:line="454" w:lineRule="atLeast"/>
      <w:ind w:left="1310" w:right="357" w:hanging="953"/>
    </w:pPr>
    <w:rPr>
      <w:rFonts w:eastAsia="方正仿宋_GBK"/>
      <w:kern w:val="0"/>
      <w:sz w:val="3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17</Pages>
  <Words>1326</Words>
  <Characters>7562</Characters>
  <Lines>63</Lines>
  <Paragraphs>17</Paragraphs>
  <TotalTime>143</TotalTime>
  <ScaleCrop>false</ScaleCrop>
  <LinksUpToDate>false</LinksUpToDate>
  <CharactersWithSpaces>8871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2021-12-13T00:50:00Z</dcterms:created>
  <dc:creator>祁崎</dc:creator>
  <cp:lastModifiedBy>Sophia</cp:lastModifiedBy>
  <cp:lastPrinted>2022-02-17T03:32:00Z</cp:lastPrinted>
  <dcterms:modified xsi:type="dcterms:W3CDTF">2022-03-21T09:32:40Z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819DB1B5A4CE47E89CD40C20B3C962CB</vt:lpwstr>
  </property>
</Properties>
</file>