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11E9">
      <w:pPr>
        <w:adjustRightInd w:val="0"/>
        <w:snapToGrid w:val="0"/>
        <w:spacing w:line="520" w:lineRule="exact"/>
        <w:rPr>
          <w:rFonts w:ascii="Times New Roman" w:hAnsi="Times New Roman" w:eastAsia="方正仿宋_GBK" w:cs="方正仿宋_GBK"/>
          <w:sz w:val="32"/>
          <w:szCs w:val="32"/>
        </w:rPr>
      </w:pPr>
    </w:p>
    <w:p w14:paraId="57730B39">
      <w:pPr>
        <w:adjustRightInd w:val="0"/>
        <w:snapToGrid w:val="0"/>
        <w:spacing w:line="520" w:lineRule="exact"/>
        <w:rPr>
          <w:rFonts w:ascii="Times New Roman" w:hAnsi="Times New Roman" w:eastAsia="方正仿宋_GBK" w:cs="方正仿宋_GBK"/>
          <w:sz w:val="32"/>
          <w:szCs w:val="32"/>
        </w:rPr>
      </w:pPr>
    </w:p>
    <w:p w14:paraId="49DC76E0">
      <w:pPr>
        <w:adjustRightInd w:val="0"/>
        <w:snapToGrid w:val="0"/>
        <w:spacing w:line="520" w:lineRule="exact"/>
        <w:rPr>
          <w:rFonts w:ascii="Times New Roman" w:hAnsi="Times New Roman" w:eastAsia="方正仿宋_GBK" w:cs="方正仿宋_GBK"/>
          <w:sz w:val="32"/>
          <w:szCs w:val="32"/>
        </w:rPr>
      </w:pPr>
    </w:p>
    <w:p w14:paraId="64DA565B">
      <w:pPr>
        <w:adjustRightInd w:val="0"/>
        <w:snapToGrid w:val="0"/>
        <w:spacing w:line="520" w:lineRule="exact"/>
        <w:rPr>
          <w:rFonts w:ascii="Times New Roman" w:hAnsi="Times New Roman" w:eastAsia="方正仿宋_GBK" w:cs="方正仿宋_GBK"/>
          <w:sz w:val="32"/>
          <w:szCs w:val="32"/>
        </w:rPr>
      </w:pPr>
    </w:p>
    <w:p w14:paraId="672F025A">
      <w:pPr>
        <w:adjustRightInd w:val="0"/>
        <w:snapToGrid w:val="0"/>
        <w:spacing w:line="560" w:lineRule="exact"/>
        <w:jc w:val="center"/>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通海门环发〔</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22</w:t>
      </w:r>
      <w:r>
        <w:rPr>
          <w:rFonts w:hint="eastAsia" w:ascii="Times New Roman"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Times New Roman" w:hAnsi="方正仿宋_GBK" w:eastAsia="方正仿宋_GBK" w:cs="方正仿宋_GBK"/>
          <w:sz w:val="32"/>
          <w:szCs w:val="32"/>
        </w:rPr>
        <w:t>号</w:t>
      </w:r>
    </w:p>
    <w:p w14:paraId="2E036E61">
      <w:pPr>
        <w:adjustRightInd w:val="0"/>
        <w:snapToGrid w:val="0"/>
        <w:spacing w:line="560" w:lineRule="exact"/>
        <w:rPr>
          <w:rFonts w:ascii="Times New Roman" w:hAnsi="Times New Roman" w:eastAsia="方正仿宋_GBK" w:cs="方正仿宋_GBK"/>
          <w:sz w:val="32"/>
          <w:szCs w:val="32"/>
        </w:rPr>
      </w:pPr>
    </w:p>
    <w:p w14:paraId="26FCF5B5">
      <w:pPr>
        <w:adjustRightInd w:val="0"/>
        <w:snapToGrid w:val="0"/>
        <w:spacing w:line="560" w:lineRule="exact"/>
        <w:rPr>
          <w:rFonts w:ascii="Times New Roman" w:hAnsi="Times New Roman" w:eastAsia="方正仿宋_GBK" w:cs="方正仿宋_GBK"/>
          <w:sz w:val="32"/>
          <w:szCs w:val="32"/>
        </w:rPr>
      </w:pPr>
    </w:p>
    <w:p w14:paraId="562394D2">
      <w:pPr>
        <w:adjustRightInd w:val="0"/>
        <w:snapToGrid w:val="0"/>
        <w:spacing w:line="560" w:lineRule="exact"/>
        <w:jc w:val="center"/>
        <w:rPr>
          <w:rFonts w:ascii="方正小标宋_GBK" w:hAnsi="Times New Roman" w:eastAsia="方正小标宋_GBK" w:cs="方正仿宋_GBK"/>
          <w:sz w:val="44"/>
          <w:szCs w:val="44"/>
        </w:rPr>
      </w:pPr>
      <w:r>
        <w:rPr>
          <w:rFonts w:hint="eastAsia" w:ascii="方正小标宋_GBK" w:hAnsi="方正仿宋_GBK" w:eastAsia="方正小标宋_GBK" w:cs="方正仿宋_GBK"/>
          <w:sz w:val="44"/>
          <w:szCs w:val="44"/>
        </w:rPr>
        <w:t>关于印发《南通市海门生态环境局</w:t>
      </w:r>
    </w:p>
    <w:p w14:paraId="73F6B6BC">
      <w:pPr>
        <w:adjustRightInd w:val="0"/>
        <w:snapToGrid w:val="0"/>
        <w:spacing w:line="560" w:lineRule="exact"/>
        <w:jc w:val="center"/>
        <w:rPr>
          <w:rFonts w:ascii="方正小标宋_GBK" w:hAnsi="Times New Roman" w:eastAsia="方正小标宋_GBK" w:cs="方正仿宋_GBK"/>
          <w:sz w:val="44"/>
          <w:szCs w:val="44"/>
        </w:rPr>
      </w:pPr>
      <w:r>
        <w:rPr>
          <w:rFonts w:hint="eastAsia" w:ascii="方正小标宋_GBK" w:hAnsi="Times New Roman" w:eastAsia="方正小标宋_GBK" w:cs="方正仿宋_GBK"/>
          <w:sz w:val="44"/>
          <w:szCs w:val="44"/>
        </w:rPr>
        <w:t>2022</w:t>
      </w:r>
      <w:r>
        <w:rPr>
          <w:rFonts w:hint="eastAsia" w:ascii="方正小标宋_GBK" w:hAnsi="方正仿宋_GBK" w:eastAsia="方正小标宋_GBK" w:cs="方正仿宋_GBK"/>
          <w:sz w:val="44"/>
          <w:szCs w:val="44"/>
        </w:rPr>
        <w:t>年工作计划》的通知</w:t>
      </w:r>
    </w:p>
    <w:p w14:paraId="178A7506">
      <w:pPr>
        <w:adjustRightInd w:val="0"/>
        <w:snapToGrid w:val="0"/>
        <w:spacing w:line="560" w:lineRule="exact"/>
        <w:rPr>
          <w:rFonts w:ascii="Times New Roman" w:hAnsi="Times New Roman" w:eastAsia="方正仿宋_GBK" w:cs="方正仿宋_GBK"/>
          <w:sz w:val="32"/>
          <w:szCs w:val="32"/>
        </w:rPr>
      </w:pPr>
    </w:p>
    <w:p w14:paraId="1698F81C">
      <w:pPr>
        <w:adjustRightInd w:val="0"/>
        <w:snapToGrid w:val="0"/>
        <w:spacing w:line="560" w:lineRule="exact"/>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局</w:t>
      </w:r>
      <w:r>
        <w:rPr>
          <w:rFonts w:ascii="Times New Roman" w:hAnsi="方正仿宋_GBK" w:eastAsia="方正仿宋_GBK" w:cs="方正仿宋_GBK"/>
          <w:sz w:val="32"/>
          <w:szCs w:val="32"/>
        </w:rPr>
        <w:t>各科室，</w:t>
      </w:r>
      <w:r>
        <w:rPr>
          <w:rFonts w:hint="eastAsia" w:ascii="Times New Roman" w:hAnsi="方正仿宋_GBK" w:eastAsia="方正仿宋_GBK" w:cs="方正仿宋_GBK"/>
          <w:sz w:val="32"/>
          <w:szCs w:val="32"/>
        </w:rPr>
        <w:t>各</w:t>
      </w:r>
      <w:r>
        <w:rPr>
          <w:rFonts w:ascii="Times New Roman" w:hAnsi="方正仿宋_GBK" w:eastAsia="方正仿宋_GBK" w:cs="方正仿宋_GBK"/>
          <w:sz w:val="32"/>
          <w:szCs w:val="32"/>
        </w:rPr>
        <w:t>单位：</w:t>
      </w:r>
    </w:p>
    <w:p w14:paraId="2C785FC9">
      <w:pPr>
        <w:adjustRightInd w:val="0"/>
        <w:snapToGrid w:val="0"/>
        <w:spacing w:line="560" w:lineRule="exact"/>
        <w:ind w:firstLine="640"/>
        <w:jc w:val="left"/>
        <w:rPr>
          <w:rFonts w:ascii="Times New Roman" w:hAnsi="Times New Roman" w:eastAsia="方正仿宋_GBK" w:cs="方正仿宋_GBK"/>
          <w:sz w:val="32"/>
          <w:szCs w:val="32"/>
        </w:rPr>
      </w:pPr>
      <w:r>
        <w:rPr>
          <w:rFonts w:ascii="Times New Roman" w:hAnsi="方正仿宋_GBK" w:eastAsia="方正仿宋_GBK" w:cs="方正仿宋_GBK"/>
          <w:sz w:val="32"/>
          <w:szCs w:val="32"/>
        </w:rPr>
        <w:t>现将《</w:t>
      </w:r>
      <w:r>
        <w:rPr>
          <w:rFonts w:hint="eastAsia" w:ascii="Times New Roman" w:hAnsi="方正仿宋_GBK" w:eastAsia="方正仿宋_GBK" w:cs="方正仿宋_GBK"/>
          <w:sz w:val="32"/>
          <w:szCs w:val="32"/>
        </w:rPr>
        <w:t>南通市海门生态环境局</w:t>
      </w:r>
      <w:r>
        <w:rPr>
          <w:rFonts w:hint="eastAsia" w:ascii="Times New Roman" w:hAnsi="Times New Roman" w:eastAsia="方正仿宋_GBK" w:cs="方正仿宋_GBK"/>
          <w:sz w:val="32"/>
          <w:szCs w:val="32"/>
        </w:rPr>
        <w:t>2022</w:t>
      </w:r>
      <w:r>
        <w:rPr>
          <w:rFonts w:hint="eastAsia" w:ascii="Times New Roman" w:hAnsi="方正仿宋_GBK" w:eastAsia="方正仿宋_GBK" w:cs="方正仿宋_GBK"/>
          <w:sz w:val="32"/>
          <w:szCs w:val="32"/>
        </w:rPr>
        <w:t>年工作计划</w:t>
      </w:r>
      <w:r>
        <w:rPr>
          <w:rFonts w:ascii="Times New Roman" w:hAnsi="方正仿宋_GBK" w:eastAsia="方正仿宋_GBK" w:cs="方正仿宋_GBK"/>
          <w:sz w:val="32"/>
          <w:szCs w:val="32"/>
        </w:rPr>
        <w:t>》印发给你们，请</w:t>
      </w:r>
      <w:r>
        <w:rPr>
          <w:rFonts w:hint="eastAsia" w:ascii="Times New Roman" w:hAnsi="方正仿宋_GBK" w:eastAsia="方正仿宋_GBK" w:cs="方正仿宋_GBK"/>
          <w:sz w:val="32"/>
          <w:szCs w:val="32"/>
        </w:rPr>
        <w:t>各部门</w:t>
      </w:r>
      <w:r>
        <w:rPr>
          <w:rFonts w:ascii="Times New Roman" w:hAnsi="方正仿宋_GBK" w:eastAsia="方正仿宋_GBK" w:cs="方正仿宋_GBK"/>
          <w:sz w:val="32"/>
          <w:szCs w:val="32"/>
        </w:rPr>
        <w:t>结合实际，</w:t>
      </w:r>
      <w:r>
        <w:rPr>
          <w:rFonts w:hint="eastAsia" w:ascii="Times New Roman" w:hAnsi="方正仿宋_GBK" w:eastAsia="方正仿宋_GBK" w:cs="方正仿宋_GBK"/>
          <w:sz w:val="32"/>
          <w:szCs w:val="32"/>
        </w:rPr>
        <w:t>认真细化</w:t>
      </w:r>
      <w:r>
        <w:rPr>
          <w:rFonts w:hint="eastAsia" w:ascii="Times New Roman" w:hAnsi="Times New Roman" w:eastAsia="方正仿宋_GBK" w:cs="方正仿宋_GBK"/>
          <w:sz w:val="32"/>
          <w:szCs w:val="32"/>
        </w:rPr>
        <w:t>2022</w:t>
      </w:r>
      <w:r>
        <w:rPr>
          <w:rFonts w:hint="eastAsia" w:ascii="Times New Roman" w:hAnsi="方正仿宋_GBK" w:eastAsia="方正仿宋_GBK" w:cs="方正仿宋_GBK"/>
          <w:sz w:val="32"/>
          <w:szCs w:val="32"/>
        </w:rPr>
        <w:t>年工作计划，切实抓好</w:t>
      </w:r>
      <w:r>
        <w:rPr>
          <w:rFonts w:ascii="Times New Roman" w:hAnsi="方正仿宋_GBK" w:eastAsia="方正仿宋_GBK" w:cs="方正仿宋_GBK"/>
          <w:sz w:val="32"/>
          <w:szCs w:val="32"/>
        </w:rPr>
        <w:t>贯彻</w:t>
      </w:r>
      <w:r>
        <w:rPr>
          <w:rFonts w:hint="eastAsia" w:ascii="Times New Roman" w:hAnsi="方正仿宋_GBK" w:eastAsia="方正仿宋_GBK" w:cs="方正仿宋_GBK"/>
          <w:sz w:val="32"/>
          <w:szCs w:val="32"/>
        </w:rPr>
        <w:t>落实</w:t>
      </w:r>
      <w:r>
        <w:rPr>
          <w:rFonts w:ascii="Times New Roman" w:hAnsi="方正仿宋_GBK" w:eastAsia="方正仿宋_GBK" w:cs="方正仿宋_GBK"/>
          <w:sz w:val="32"/>
          <w:szCs w:val="32"/>
        </w:rPr>
        <w:t>。</w:t>
      </w:r>
    </w:p>
    <w:p w14:paraId="354F0607">
      <w:pPr>
        <w:adjustRightInd w:val="0"/>
        <w:snapToGrid w:val="0"/>
        <w:spacing w:line="560" w:lineRule="exact"/>
        <w:jc w:val="left"/>
        <w:rPr>
          <w:rFonts w:ascii="Times New Roman" w:hAnsi="Times New Roman" w:eastAsia="方正仿宋_GBK" w:cs="方正仿宋_GBK"/>
          <w:sz w:val="32"/>
          <w:szCs w:val="32"/>
        </w:rPr>
      </w:pPr>
    </w:p>
    <w:p w14:paraId="32182B71">
      <w:pPr>
        <w:adjustRightInd w:val="0"/>
        <w:snapToGrid w:val="0"/>
        <w:spacing w:line="560" w:lineRule="exact"/>
        <w:jc w:val="left"/>
        <w:rPr>
          <w:rFonts w:ascii="Times New Roman" w:hAnsi="Times New Roman" w:eastAsia="方正仿宋_GBK" w:cs="方正仿宋_GBK"/>
          <w:sz w:val="32"/>
          <w:szCs w:val="32"/>
        </w:rPr>
      </w:pPr>
    </w:p>
    <w:p w14:paraId="5635D250">
      <w:pPr>
        <w:adjustRightInd w:val="0"/>
        <w:snapToGrid w:val="0"/>
        <w:spacing w:line="560" w:lineRule="exact"/>
        <w:ind w:firstLine="4800" w:firstLineChars="1500"/>
        <w:jc w:val="left"/>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南通</w:t>
      </w:r>
      <w:r>
        <w:rPr>
          <w:rFonts w:ascii="Times New Roman" w:hAnsi="方正仿宋_GBK" w:eastAsia="方正仿宋_GBK" w:cs="方正仿宋_GBK"/>
          <w:sz w:val="32"/>
          <w:szCs w:val="32"/>
        </w:rPr>
        <w:t>市</w:t>
      </w:r>
      <w:r>
        <w:rPr>
          <w:rFonts w:hint="eastAsia" w:ascii="Times New Roman" w:hAnsi="方正仿宋_GBK" w:eastAsia="方正仿宋_GBK" w:cs="方正仿宋_GBK"/>
          <w:sz w:val="32"/>
          <w:szCs w:val="32"/>
        </w:rPr>
        <w:t>海门生态</w:t>
      </w:r>
      <w:r>
        <w:rPr>
          <w:rFonts w:ascii="Times New Roman" w:hAnsi="方正仿宋_GBK" w:eastAsia="方正仿宋_GBK" w:cs="方正仿宋_GBK"/>
          <w:sz w:val="32"/>
          <w:szCs w:val="32"/>
        </w:rPr>
        <w:t>环境局</w:t>
      </w:r>
    </w:p>
    <w:p w14:paraId="21162EA9">
      <w:pPr>
        <w:adjustRightInd w:val="0"/>
        <w:snapToGrid w:val="0"/>
        <w:spacing w:line="560" w:lineRule="exact"/>
        <w:ind w:firstLine="5280" w:firstLineChars="165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22</w:t>
      </w:r>
      <w:r>
        <w:rPr>
          <w:rFonts w:ascii="Times New Roman" w:hAnsi="方正仿宋_GBK" w:eastAsia="方正仿宋_GBK" w:cs="方正仿宋_GBK"/>
          <w:sz w:val="32"/>
          <w:szCs w:val="32"/>
        </w:rPr>
        <w:t>年</w:t>
      </w:r>
      <w:r>
        <w:rPr>
          <w:rFonts w:hint="eastAsia" w:ascii="Times New Roman" w:hAnsi="Times New Roman" w:eastAsia="方正仿宋_GBK" w:cs="方正仿宋_GBK"/>
          <w:sz w:val="32"/>
          <w:szCs w:val="32"/>
        </w:rPr>
        <w:t>2</w:t>
      </w:r>
      <w:r>
        <w:rPr>
          <w:rFonts w:ascii="Times New Roman" w:hAnsi="方正仿宋_GBK" w:eastAsia="方正仿宋_GBK" w:cs="方正仿宋_GBK"/>
          <w:sz w:val="32"/>
          <w:szCs w:val="32"/>
        </w:rPr>
        <w:t>月</w:t>
      </w:r>
      <w:r>
        <w:rPr>
          <w:rFonts w:hint="eastAsia" w:ascii="Times New Roman" w:hAnsi="Times New Roman" w:eastAsia="方正仿宋_GBK" w:cs="方正仿宋_GBK"/>
          <w:sz w:val="32"/>
          <w:szCs w:val="32"/>
        </w:rPr>
        <w:t>7</w:t>
      </w:r>
      <w:r>
        <w:rPr>
          <w:rFonts w:ascii="Times New Roman" w:hAnsi="方正仿宋_GBK" w:eastAsia="方正仿宋_GBK" w:cs="方正仿宋_GBK"/>
          <w:sz w:val="32"/>
          <w:szCs w:val="32"/>
        </w:rPr>
        <w:t>日</w:t>
      </w:r>
    </w:p>
    <w:p w14:paraId="55C6EC86">
      <w:pPr>
        <w:adjustRightInd w:val="0"/>
        <w:snapToGrid w:val="0"/>
        <w:spacing w:line="560" w:lineRule="exact"/>
        <w:jc w:val="left"/>
        <w:rPr>
          <w:rFonts w:ascii="Times New Roman" w:hAnsi="Times New Roman" w:eastAsia="方正仿宋_GBK" w:cs="方正仿宋_GBK"/>
          <w:sz w:val="32"/>
          <w:szCs w:val="32"/>
        </w:rPr>
      </w:pPr>
    </w:p>
    <w:p w14:paraId="077D48A1">
      <w:pPr>
        <w:adjustRightInd w:val="0"/>
        <w:snapToGrid w:val="0"/>
        <w:spacing w:line="560" w:lineRule="exact"/>
        <w:jc w:val="left"/>
        <w:rPr>
          <w:rFonts w:ascii="Times New Roman" w:hAnsi="Times New Roman" w:eastAsia="方正仿宋_GBK" w:cs="方正仿宋_GBK"/>
          <w:sz w:val="32"/>
          <w:szCs w:val="32"/>
        </w:rPr>
      </w:pPr>
    </w:p>
    <w:p w14:paraId="18F4E063">
      <w:pPr>
        <w:adjustRightInd w:val="0"/>
        <w:snapToGrid w:val="0"/>
        <w:spacing w:line="560" w:lineRule="exact"/>
        <w:jc w:val="left"/>
        <w:rPr>
          <w:rFonts w:ascii="Times New Roman" w:hAnsi="Times New Roman" w:eastAsia="方正仿宋_GBK" w:cs="方正仿宋_GBK"/>
          <w:sz w:val="32"/>
          <w:szCs w:val="32"/>
        </w:rPr>
      </w:pPr>
    </w:p>
    <w:p w14:paraId="0ED63818">
      <w:pPr>
        <w:adjustRightInd w:val="0"/>
        <w:snapToGrid w:val="0"/>
        <w:spacing w:line="560" w:lineRule="exact"/>
        <w:jc w:val="center"/>
        <w:rPr>
          <w:rFonts w:ascii="Times New Roman" w:hAnsi="Times New Roman" w:eastAsia="方正仿宋_GBK" w:cs="方正仿宋_GBK"/>
          <w:sz w:val="32"/>
          <w:szCs w:val="32"/>
        </w:rPr>
      </w:pPr>
      <w:r>
        <w:rPr>
          <w:rFonts w:ascii="Times New Roman" w:hAnsi="Times New Roman" w:eastAsia="方正仿宋_GBK" w:cs="方正仿宋_GBK"/>
          <w:sz w:val="32"/>
          <w:szCs w:val="32"/>
        </w:rPr>
        <w:br w:type="page"/>
      </w:r>
    </w:p>
    <w:p w14:paraId="018FB974">
      <w:pPr>
        <w:adjustRightInd w:val="0"/>
        <w:snapToGrid w:val="0"/>
        <w:spacing w:line="560" w:lineRule="exact"/>
        <w:rPr>
          <w:rFonts w:ascii="方正小标宋_GBK" w:hAnsi="Times New Roman" w:eastAsia="方正小标宋_GBK" w:cs="方正仿宋_GBK"/>
          <w:sz w:val="44"/>
          <w:szCs w:val="44"/>
        </w:rPr>
      </w:pPr>
    </w:p>
    <w:p w14:paraId="5D90D146">
      <w:pPr>
        <w:adjustRightInd w:val="0"/>
        <w:snapToGrid w:val="0"/>
        <w:spacing w:line="560" w:lineRule="exact"/>
        <w:jc w:val="center"/>
        <w:rPr>
          <w:rFonts w:ascii="方正小标宋_GBK" w:hAnsi="Times New Roman" w:eastAsia="方正小标宋_GBK" w:cs="方正仿宋_GBK"/>
          <w:sz w:val="44"/>
          <w:szCs w:val="44"/>
        </w:rPr>
      </w:pPr>
      <w:r>
        <w:rPr>
          <w:rFonts w:hint="eastAsia" w:ascii="方正小标宋_GBK" w:hAnsi="方正仿宋_GBK" w:eastAsia="方正小标宋_GBK" w:cs="方正仿宋_GBK"/>
          <w:sz w:val="44"/>
          <w:szCs w:val="44"/>
        </w:rPr>
        <w:t>南通市海门生态环境局</w:t>
      </w:r>
      <w:r>
        <w:rPr>
          <w:rFonts w:hint="eastAsia" w:ascii="方正小标宋_GBK" w:hAnsi="Times New Roman" w:eastAsia="方正小标宋_GBK" w:cs="方正仿宋_GBK"/>
          <w:sz w:val="44"/>
          <w:szCs w:val="44"/>
        </w:rPr>
        <w:t>2022</w:t>
      </w:r>
      <w:r>
        <w:rPr>
          <w:rFonts w:hint="eastAsia" w:ascii="方正小标宋_GBK" w:hAnsi="方正仿宋_GBK" w:eastAsia="方正小标宋_GBK" w:cs="方正仿宋_GBK"/>
          <w:sz w:val="44"/>
          <w:szCs w:val="44"/>
        </w:rPr>
        <w:t>年工作计划</w:t>
      </w:r>
    </w:p>
    <w:p w14:paraId="5342E4EB">
      <w:pPr>
        <w:adjustRightInd w:val="0"/>
        <w:snapToGrid w:val="0"/>
        <w:spacing w:line="560" w:lineRule="exact"/>
        <w:ind w:firstLine="880" w:firstLineChars="200"/>
        <w:jc w:val="center"/>
        <w:rPr>
          <w:rFonts w:ascii="方正小标宋_GBK" w:hAnsi="Times New Roman" w:eastAsia="方正小标宋_GBK" w:cs="方正仿宋_GBK"/>
          <w:sz w:val="44"/>
          <w:szCs w:val="44"/>
        </w:rPr>
      </w:pPr>
    </w:p>
    <w:p w14:paraId="24D17EE3">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w:t>
      </w:r>
      <w:r>
        <w:rPr>
          <w:rFonts w:hint="eastAsia" w:ascii="Times New Roman" w:hAnsi="方正仿宋_GBK" w:eastAsia="方正仿宋_GBK" w:cs="方正仿宋_GBK"/>
          <w:sz w:val="32"/>
          <w:szCs w:val="32"/>
        </w:rPr>
        <w:t>年是实现第二个百年奋斗目标的开局之年</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也是深入打好污染防治攻坚战的关键之年，可以说机遇与挑战并存</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希望与困难同在。海门生态环境系统将坚持以习近平新时代中国特色社会主义思想为指导，全面贯彻党的十九大和十九届历次全会精神，全面落实习近平生态文明思想和习近平总书记视察江苏、亲临南通重要讲话指示要求，牢固树立绿水青山就是金山银山的绿色发展理念，以</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强富美高</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新海门建设为目标，以碳达峰、碳中和为引领，以减污降碳、协同治理为抓手，以改善生态环境质量为核心，深入打好</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升级版</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污染防治攻坚战，突出精准、科学、依法治污，持续推进生态环境治理体系和治理能力现代化，推进系统、智慧、高水平治理，打造长江流域环境治理的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海门典范</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，美丽江苏的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海门样板</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，生态文明建设的</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海门示范</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w:t>
      </w:r>
    </w:p>
    <w:p w14:paraId="2AF8E9CD">
      <w:pPr>
        <w:adjustRightInd w:val="0"/>
        <w:snapToGrid w:val="0"/>
        <w:spacing w:line="560" w:lineRule="exact"/>
        <w:ind w:firstLine="63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主要目标：</w:t>
      </w:r>
      <w:r>
        <w:rPr>
          <w:rFonts w:hint="eastAsia" w:ascii="Times New Roman" w:hAnsi="Times New Roman" w:eastAsia="方正仿宋_GBK" w:cs="方正仿宋_GBK"/>
          <w:sz w:val="32"/>
          <w:szCs w:val="32"/>
        </w:rPr>
        <w:t>PM2.5</w:t>
      </w:r>
      <w:r>
        <w:rPr>
          <w:rFonts w:hint="eastAsia" w:ascii="Times New Roman" w:hAnsi="方正仿宋_GBK" w:eastAsia="方正仿宋_GBK" w:cs="方正仿宋_GBK"/>
          <w:sz w:val="32"/>
          <w:szCs w:val="32"/>
        </w:rPr>
        <w:t>浓度</w:t>
      </w:r>
      <w:r>
        <w:rPr>
          <w:rFonts w:hint="eastAsia" w:ascii="Times New Roman" w:hAnsi="Times New Roman" w:eastAsia="方正仿宋_GBK" w:cs="方正仿宋_GBK"/>
          <w:sz w:val="32"/>
          <w:szCs w:val="32"/>
        </w:rPr>
        <w:t>26μg/m3</w:t>
      </w:r>
      <w:r>
        <w:rPr>
          <w:rFonts w:hint="eastAsia" w:ascii="Times New Roman" w:hAnsi="方正仿宋_GBK" w:eastAsia="方正仿宋_GBK" w:cs="方正仿宋_GBK"/>
          <w:sz w:val="32"/>
          <w:szCs w:val="32"/>
        </w:rPr>
        <w:t>，优良天数比例</w:t>
      </w:r>
      <w:r>
        <w:rPr>
          <w:rFonts w:hint="eastAsia" w:ascii="Times New Roman" w:hAnsi="Times New Roman" w:eastAsia="方正仿宋_GBK" w:cs="方正仿宋_GBK"/>
          <w:sz w:val="32"/>
          <w:szCs w:val="32"/>
        </w:rPr>
        <w:t>86.1%</w:t>
      </w:r>
      <w:r>
        <w:rPr>
          <w:rFonts w:hint="eastAsia" w:ascii="Times New Roman" w:hAnsi="方正仿宋_GBK" w:eastAsia="方正仿宋_GBK" w:cs="方正仿宋_GBK"/>
          <w:sz w:val="32"/>
          <w:szCs w:val="32"/>
        </w:rPr>
        <w:t>；全区省、市考断面优</w:t>
      </w:r>
      <w:r>
        <w:rPr>
          <w:rFonts w:hint="eastAsia" w:ascii="Times New Roman" w:hAnsi="Times New Roman" w:eastAsia="方正仿宋_GBK" w:cs="方正仿宋_GBK"/>
          <w:sz w:val="32"/>
          <w:szCs w:val="32"/>
        </w:rPr>
        <w:t>III</w:t>
      </w:r>
      <w:r>
        <w:rPr>
          <w:rFonts w:hint="eastAsia" w:ascii="Times New Roman" w:hAnsi="方正仿宋_GBK" w:eastAsia="方正仿宋_GBK" w:cs="方正仿宋_GBK"/>
          <w:sz w:val="32"/>
          <w:szCs w:val="32"/>
        </w:rPr>
        <w:t>类比例</w:t>
      </w:r>
      <w:r>
        <w:rPr>
          <w:rFonts w:hint="eastAsia" w:ascii="Times New Roman" w:hAnsi="Times New Roman" w:eastAsia="方正仿宋_GBK" w:cs="方正仿宋_GBK"/>
          <w:sz w:val="32"/>
          <w:szCs w:val="32"/>
        </w:rPr>
        <w:t>100%</w:t>
      </w:r>
      <w:r>
        <w:rPr>
          <w:rFonts w:hint="eastAsia" w:ascii="Times New Roman" w:hAnsi="方正仿宋_GBK" w:eastAsia="方正仿宋_GBK" w:cs="方正仿宋_GBK"/>
          <w:sz w:val="32"/>
          <w:szCs w:val="32"/>
        </w:rPr>
        <w:t>。</w:t>
      </w:r>
    </w:p>
    <w:p w14:paraId="5AF73A35">
      <w:pPr>
        <w:adjustRightInd w:val="0"/>
        <w:snapToGrid w:val="0"/>
        <w:spacing w:line="560" w:lineRule="exact"/>
        <w:ind w:firstLine="63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围绕以上目标，重点实施十大主题工程（具体内容见附件），聚力攻坚八项任务，为海门全力打造全省社会主义建设示范区提供坚实保障。</w:t>
      </w:r>
    </w:p>
    <w:p w14:paraId="747F62FC">
      <w:pPr>
        <w:adjustRightInd w:val="0"/>
        <w:snapToGrid w:val="0"/>
        <w:spacing w:line="560" w:lineRule="exact"/>
        <w:ind w:firstLine="63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更加稳固夯实基层战斗堡垒。</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头雁领航</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强指导。</w:t>
      </w:r>
      <w:r>
        <w:rPr>
          <w:rFonts w:hint="eastAsia" w:ascii="Times New Roman" w:hAnsi="方正仿宋_GBK" w:eastAsia="方正仿宋_GBK" w:cs="方正仿宋_GBK"/>
          <w:sz w:val="32"/>
          <w:szCs w:val="32"/>
        </w:rPr>
        <w:t>健全党建工作责任体系，领导干部严格落实</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一岗双责</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制度，带头讲授专题党课，发挥表率作用。</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以学促行</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铸党魂。</w:t>
      </w:r>
      <w:r>
        <w:rPr>
          <w:rFonts w:hint="eastAsia" w:ascii="Times New Roman" w:hAnsi="方正仿宋_GBK" w:eastAsia="方正仿宋_GBK" w:cs="方正仿宋_GBK"/>
          <w:sz w:val="32"/>
          <w:szCs w:val="32"/>
        </w:rPr>
        <w:t>开展专题警示教育、以考促学、红色课堂等活动，丰富党员学习教育方式，增强党员干部学习主动性。</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融合共进</w:t>
      </w:r>
      <w:r>
        <w:rPr>
          <w:rFonts w:hint="eastAsia" w:ascii="Times New Roman" w:hAnsi="Times New Roman" w:eastAsia="方正仿宋_GBK" w:cs="方正仿宋_GBK"/>
          <w:b/>
          <w:sz w:val="32"/>
          <w:szCs w:val="32"/>
        </w:rPr>
        <w:t>”</w:t>
      </w:r>
      <w:r>
        <w:rPr>
          <w:rFonts w:hint="eastAsia" w:ascii="Times New Roman" w:hAnsi="方正仿宋_GBK" w:eastAsia="方正仿宋_GBK" w:cs="方正仿宋_GBK"/>
          <w:b/>
          <w:sz w:val="32"/>
          <w:szCs w:val="32"/>
        </w:rPr>
        <w:t>双提升。</w:t>
      </w:r>
      <w:r>
        <w:rPr>
          <w:rFonts w:hint="eastAsia" w:ascii="Times New Roman" w:hAnsi="方正仿宋_GBK" w:eastAsia="方正仿宋_GBK" w:cs="方正仿宋_GBK"/>
          <w:sz w:val="32"/>
          <w:szCs w:val="32"/>
        </w:rPr>
        <w:t>持续打造</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红色引领，绿色发展</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党建品牌，推动党支部标准化规范化建设全面达标，努力争创生态环境系统先进党支部，扎实开展</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能力作风建设提升年</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活动，在提升营商环境、污染防治攻坚等行动中践初心担使命，实现党建工作与业务工作互融互促。</w:t>
      </w:r>
    </w:p>
    <w:p w14:paraId="064B2962">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更强力度改善大气环境质量。</w:t>
      </w:r>
      <w:r>
        <w:rPr>
          <w:rFonts w:hint="eastAsia" w:ascii="Times New Roman" w:hAnsi="方正仿宋_GBK" w:eastAsia="方正仿宋_GBK" w:cs="方正仿宋_GBK"/>
          <w:b/>
          <w:sz w:val="32"/>
          <w:szCs w:val="32"/>
        </w:rPr>
        <w:t>推进挥发性有机物综合治理。</w:t>
      </w:r>
      <w:r>
        <w:rPr>
          <w:rFonts w:hint="eastAsia" w:ascii="Times New Roman" w:hAnsi="方正仿宋_GBK" w:eastAsia="方正仿宋_GBK" w:cs="方正仿宋_GBK"/>
          <w:sz w:val="32"/>
          <w:szCs w:val="32"/>
        </w:rPr>
        <w:t>对</w:t>
      </w:r>
      <w:r>
        <w:rPr>
          <w:rFonts w:hint="eastAsia" w:ascii="Times New Roman" w:hAnsi="Times New Roman" w:eastAsia="方正仿宋_GBK" w:cs="方正仿宋_GBK"/>
          <w:sz w:val="32"/>
          <w:szCs w:val="32"/>
        </w:rPr>
        <w:t>43</w:t>
      </w:r>
      <w:r>
        <w:rPr>
          <w:rFonts w:hint="eastAsia" w:ascii="Times New Roman" w:hAnsi="方正仿宋_GBK" w:eastAsia="方正仿宋_GBK" w:cs="方正仿宋_GBK"/>
          <w:sz w:val="32"/>
          <w:szCs w:val="32"/>
        </w:rPr>
        <w:t>家重点挥发性有机物企业开展提升排查，推进沿江</w:t>
      </w:r>
      <w:r>
        <w:rPr>
          <w:rFonts w:hint="eastAsia" w:ascii="Times New Roman" w:hAnsi="Times New Roman" w:eastAsia="方正仿宋_GBK" w:cs="方正仿宋_GBK"/>
          <w:sz w:val="32"/>
          <w:szCs w:val="32"/>
        </w:rPr>
        <w:t>4</w:t>
      </w:r>
      <w:r>
        <w:rPr>
          <w:rFonts w:hint="eastAsia" w:ascii="Times New Roman" w:hAnsi="方正仿宋_GBK" w:eastAsia="方正仿宋_GBK" w:cs="方正仿宋_GBK"/>
          <w:sz w:val="32"/>
          <w:szCs w:val="32"/>
        </w:rPr>
        <w:t>家重点企业废气设施升级改造。</w:t>
      </w:r>
      <w:r>
        <w:rPr>
          <w:rFonts w:hint="eastAsia" w:ascii="Times New Roman" w:hAnsi="方正仿宋_GBK" w:eastAsia="方正仿宋_GBK" w:cs="方正仿宋_GBK"/>
          <w:b/>
          <w:sz w:val="32"/>
          <w:szCs w:val="32"/>
        </w:rPr>
        <w:t>紧盯省控站点周边涉气源防控。</w:t>
      </w:r>
      <w:r>
        <w:rPr>
          <w:rFonts w:hint="eastAsia" w:ascii="Times New Roman" w:hAnsi="方正仿宋_GBK" w:eastAsia="方正仿宋_GBK" w:cs="方正仿宋_GBK"/>
          <w:sz w:val="32"/>
          <w:szCs w:val="32"/>
        </w:rPr>
        <w:t>对站点周边</w:t>
      </w:r>
      <w:r>
        <w:rPr>
          <w:rFonts w:hint="eastAsia" w:ascii="Times New Roman" w:hAnsi="Times New Roman" w:eastAsia="方正仿宋_GBK" w:cs="方正仿宋_GBK"/>
          <w:sz w:val="32"/>
          <w:szCs w:val="32"/>
        </w:rPr>
        <w:t>5</w:t>
      </w:r>
      <w:r>
        <w:rPr>
          <w:rFonts w:hint="eastAsia" w:ascii="Times New Roman" w:hAnsi="方正仿宋_GBK" w:eastAsia="方正仿宋_GBK" w:cs="方正仿宋_GBK"/>
          <w:sz w:val="32"/>
          <w:szCs w:val="32"/>
        </w:rPr>
        <w:t>公里范围</w:t>
      </w:r>
      <w:r>
        <w:rPr>
          <w:rFonts w:hint="eastAsia" w:ascii="Times New Roman" w:hAnsi="Times New Roman" w:eastAsia="方正仿宋_GBK" w:cs="方正仿宋_GBK"/>
          <w:sz w:val="32"/>
          <w:szCs w:val="32"/>
        </w:rPr>
        <w:t>60</w:t>
      </w:r>
      <w:r>
        <w:rPr>
          <w:rFonts w:hint="eastAsia" w:ascii="Times New Roman" w:hAnsi="方正仿宋_GBK" w:eastAsia="方正仿宋_GBK" w:cs="方正仿宋_GBK"/>
          <w:sz w:val="32"/>
          <w:szCs w:val="32"/>
        </w:rPr>
        <w:t>家涉气企业、</w:t>
      </w:r>
      <w:r>
        <w:rPr>
          <w:rFonts w:hint="eastAsia" w:ascii="Times New Roman" w:hAnsi="Times New Roman" w:eastAsia="方正仿宋_GBK" w:cs="方正仿宋_GBK"/>
          <w:sz w:val="32"/>
          <w:szCs w:val="32"/>
        </w:rPr>
        <w:t>31</w:t>
      </w:r>
      <w:r>
        <w:rPr>
          <w:rFonts w:hint="eastAsia" w:ascii="Times New Roman" w:hAnsi="方正仿宋_GBK" w:eastAsia="方正仿宋_GBK" w:cs="方正仿宋_GBK"/>
          <w:sz w:val="32"/>
          <w:szCs w:val="32"/>
        </w:rPr>
        <w:t>处工地、</w:t>
      </w:r>
      <w:r>
        <w:rPr>
          <w:rFonts w:hint="eastAsia" w:ascii="Times New Roman" w:hAnsi="Times New Roman" w:eastAsia="方正仿宋_GBK" w:cs="方正仿宋_GBK"/>
          <w:sz w:val="32"/>
          <w:szCs w:val="32"/>
        </w:rPr>
        <w:t>14</w:t>
      </w:r>
      <w:r>
        <w:rPr>
          <w:rFonts w:hint="eastAsia" w:ascii="Times New Roman" w:hAnsi="方正仿宋_GBK" w:eastAsia="方正仿宋_GBK" w:cs="方正仿宋_GBK"/>
          <w:sz w:val="32"/>
          <w:szCs w:val="32"/>
        </w:rPr>
        <w:t>处餐饮密集街区（</w:t>
      </w:r>
      <w:r>
        <w:rPr>
          <w:rFonts w:hint="eastAsia" w:ascii="Times New Roman" w:hAnsi="Times New Roman" w:eastAsia="方正仿宋_GBK" w:cs="方正仿宋_GBK"/>
          <w:sz w:val="32"/>
          <w:szCs w:val="32"/>
        </w:rPr>
        <w:t>31</w:t>
      </w:r>
      <w:r>
        <w:rPr>
          <w:rFonts w:hint="eastAsia" w:ascii="Times New Roman" w:hAnsi="方正仿宋_GBK" w:eastAsia="方正仿宋_GBK" w:cs="方正仿宋_GBK"/>
          <w:sz w:val="32"/>
          <w:szCs w:val="32"/>
        </w:rPr>
        <w:t>家规模餐饮）开展常态化检查、巡查，做到精准治理。</w:t>
      </w:r>
      <w:r>
        <w:rPr>
          <w:rFonts w:hint="eastAsia" w:ascii="Times New Roman" w:hAnsi="方正仿宋_GBK" w:eastAsia="方正仿宋_GBK" w:cs="方正仿宋_GBK"/>
          <w:b/>
          <w:sz w:val="32"/>
          <w:szCs w:val="32"/>
        </w:rPr>
        <w:t>实施月度主要污染物重点管控。</w:t>
      </w:r>
      <w:r>
        <w:rPr>
          <w:rFonts w:hint="eastAsia" w:ascii="Times New Roman" w:hAnsi="Times New Roman" w:eastAsia="方正仿宋_GBK" w:cs="方正仿宋_GBK"/>
          <w:sz w:val="32"/>
          <w:szCs w:val="32"/>
        </w:rPr>
        <w:t>1</w:t>
      </w:r>
      <w:r>
        <w:rPr>
          <w:rFonts w:hint="eastAsia" w:ascii="Times New Roman" w:hAnsi="方正仿宋_GBK" w:eastAsia="方正仿宋_GBK" w:cs="方正仿宋_GBK"/>
          <w:sz w:val="32"/>
          <w:szCs w:val="32"/>
        </w:rPr>
        <w:t>月重点抓好扬尘管控，</w:t>
      </w:r>
      <w:r>
        <w:rPr>
          <w:rFonts w:hint="eastAsia" w:ascii="Times New Roman" w:hAnsi="Times New Roman" w:eastAsia="方正仿宋_GBK" w:cs="方正仿宋_GBK"/>
          <w:sz w:val="32"/>
          <w:szCs w:val="32"/>
        </w:rPr>
        <w:t>2</w:t>
      </w:r>
      <w:r>
        <w:rPr>
          <w:rFonts w:hint="eastAsia" w:ascii="Times New Roman"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Times New Roman" w:hAnsi="方正仿宋_GBK" w:eastAsia="方正仿宋_GBK" w:cs="方正仿宋_GBK"/>
          <w:sz w:val="32"/>
          <w:szCs w:val="32"/>
        </w:rPr>
        <w:t>月份重点突出烟花爆竹禁放、扬尘管控，</w:t>
      </w:r>
      <w:r>
        <w:rPr>
          <w:rFonts w:hint="eastAsia" w:ascii="Times New Roman" w:hAnsi="Times New Roman" w:eastAsia="方正仿宋_GBK" w:cs="方正仿宋_GBK"/>
          <w:sz w:val="32"/>
          <w:szCs w:val="32"/>
        </w:rPr>
        <w:t>4</w:t>
      </w:r>
      <w:r>
        <w:rPr>
          <w:rFonts w:hint="eastAsia" w:ascii="Times New Roman" w:hAnsi="方正仿宋_GBK" w:eastAsia="方正仿宋_GBK" w:cs="方正仿宋_GBK"/>
          <w:sz w:val="32"/>
          <w:szCs w:val="32"/>
        </w:rPr>
        <w:t>到</w:t>
      </w:r>
      <w:r>
        <w:rPr>
          <w:rFonts w:hint="eastAsia" w:ascii="Times New Roman" w:hAnsi="Times New Roman" w:eastAsia="方正仿宋_GBK" w:cs="方正仿宋_GBK"/>
          <w:sz w:val="32"/>
          <w:szCs w:val="32"/>
        </w:rPr>
        <w:t>9</w:t>
      </w:r>
      <w:r>
        <w:rPr>
          <w:rFonts w:hint="eastAsia" w:ascii="Times New Roman" w:hAnsi="方正仿宋_GBK" w:eastAsia="方正仿宋_GBK" w:cs="方正仿宋_GBK"/>
          <w:sz w:val="32"/>
          <w:szCs w:val="32"/>
        </w:rPr>
        <w:t>月以臭氧管控为重点（</w:t>
      </w:r>
      <w:r>
        <w:rPr>
          <w:rFonts w:hint="eastAsia" w:ascii="Times New Roman" w:hAnsi="Times New Roman" w:eastAsia="方正仿宋_GBK" w:cs="方正仿宋_GBK"/>
          <w:sz w:val="32"/>
          <w:szCs w:val="32"/>
        </w:rPr>
        <w:t>5</w:t>
      </w:r>
      <w:r>
        <w:rPr>
          <w:rFonts w:hint="eastAsia" w:ascii="Times New Roman" w:hAnsi="方正仿宋_GBK" w:eastAsia="方正仿宋_GBK" w:cs="方正仿宋_GBK"/>
          <w:sz w:val="32"/>
          <w:szCs w:val="32"/>
        </w:rPr>
        <w:t>月重点秸秆禁烧），</w:t>
      </w:r>
      <w:r>
        <w:rPr>
          <w:rFonts w:hint="eastAsia" w:ascii="Times New Roman" w:hAnsi="Times New Roman" w:eastAsia="方正仿宋_GBK" w:cs="方正仿宋_GBK"/>
          <w:sz w:val="32"/>
          <w:szCs w:val="32"/>
        </w:rPr>
        <w:t>10</w:t>
      </w:r>
      <w:r>
        <w:rPr>
          <w:rFonts w:hint="eastAsia" w:ascii="Times New Roman" w:hAnsi="方正仿宋_GBK" w:eastAsia="方正仿宋_GBK" w:cs="方正仿宋_GBK"/>
          <w:sz w:val="32"/>
          <w:szCs w:val="32"/>
        </w:rPr>
        <w:t>到</w:t>
      </w:r>
      <w:r>
        <w:rPr>
          <w:rFonts w:hint="eastAsia" w:ascii="Times New Roman" w:hAnsi="Times New Roman" w:eastAsia="方正仿宋_GBK" w:cs="方正仿宋_GBK"/>
          <w:sz w:val="32"/>
          <w:szCs w:val="32"/>
        </w:rPr>
        <w:t>12</w:t>
      </w:r>
      <w:r>
        <w:rPr>
          <w:rFonts w:hint="eastAsia" w:ascii="Times New Roman" w:hAnsi="方正仿宋_GBK" w:eastAsia="方正仿宋_GBK" w:cs="方正仿宋_GBK"/>
          <w:sz w:val="32"/>
          <w:szCs w:val="32"/>
        </w:rPr>
        <w:t>月份秋冬季以秸秆禁烧、扬尘、移动源管控为重点，部门联动，压实责任。</w:t>
      </w:r>
    </w:p>
    <w:p w14:paraId="10C04745">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更高标准提升水环境质量。</w:t>
      </w:r>
      <w:r>
        <w:rPr>
          <w:rFonts w:hint="eastAsia" w:ascii="Times New Roman" w:hAnsi="方正仿宋_GBK" w:eastAsia="方正仿宋_GBK" w:cs="方正仿宋_GBK"/>
          <w:b/>
          <w:sz w:val="32"/>
          <w:szCs w:val="32"/>
        </w:rPr>
        <w:t>保障省市考核断面水质。</w:t>
      </w:r>
      <w:r>
        <w:rPr>
          <w:rFonts w:hint="eastAsia" w:ascii="Times New Roman" w:hAnsi="方正仿宋_GBK" w:eastAsia="方正仿宋_GBK" w:cs="方正仿宋_GBK"/>
          <w:sz w:val="32"/>
          <w:szCs w:val="32"/>
        </w:rPr>
        <w:t>优化水质预警机制，建设</w:t>
      </w:r>
      <w:r>
        <w:rPr>
          <w:rFonts w:hint="eastAsia" w:ascii="Times New Roman" w:hAnsi="Times New Roman" w:eastAsia="方正仿宋_GBK" w:cs="方正仿宋_GBK"/>
          <w:sz w:val="32"/>
          <w:szCs w:val="32"/>
        </w:rPr>
        <w:t>14</w:t>
      </w:r>
      <w:r>
        <w:rPr>
          <w:rFonts w:hint="eastAsia" w:ascii="Times New Roman" w:hAnsi="方正仿宋_GBK" w:eastAsia="方正仿宋_GBK" w:cs="方正仿宋_GBK"/>
          <w:sz w:val="32"/>
          <w:szCs w:val="32"/>
        </w:rPr>
        <w:t>个上下游水质监测微站，推进东灶河、圩角河、海门河重点断面整治，系统掌握水质变化，及时采取应急措施。</w:t>
      </w:r>
      <w:r>
        <w:rPr>
          <w:rFonts w:hint="eastAsia" w:ascii="Times New Roman" w:hAnsi="方正仿宋_GBK" w:eastAsia="方正仿宋_GBK" w:cs="方正仿宋_GBK"/>
          <w:b/>
          <w:sz w:val="32"/>
          <w:szCs w:val="32"/>
        </w:rPr>
        <w:t>加强农村水环境治理。</w:t>
      </w:r>
      <w:r>
        <w:rPr>
          <w:rFonts w:hint="eastAsia" w:ascii="Times New Roman" w:hAnsi="方正仿宋_GBK" w:eastAsia="方正仿宋_GBK" w:cs="方正仿宋_GBK"/>
          <w:sz w:val="32"/>
          <w:szCs w:val="32"/>
        </w:rPr>
        <w:t>督促区镇强化管网排查整治，完成</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双</w:t>
      </w:r>
      <w:r>
        <w:rPr>
          <w:rFonts w:hint="eastAsia" w:ascii="Times New Roman" w:hAnsi="Times New Roman" w:eastAsia="方正仿宋_GBK" w:cs="方正仿宋_GBK"/>
          <w:sz w:val="32"/>
          <w:szCs w:val="32"/>
        </w:rPr>
        <w:t>60%</w:t>
      </w:r>
      <w:r>
        <w:rPr>
          <w:rFonts w:hint="eastAsia" w:ascii="Times New Roman" w:hAnsi="方正仿宋_GBK" w:eastAsia="方正仿宋_GBK" w:cs="方正仿宋_GBK"/>
          <w:sz w:val="32"/>
          <w:szCs w:val="32"/>
        </w:rPr>
        <w:t>标准</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任务。加快开发区污水处理厂、黄海水务二期工程、东洲水务六期工程建设。</w:t>
      </w:r>
      <w:r>
        <w:rPr>
          <w:rFonts w:hint="eastAsia" w:ascii="Times New Roman" w:hAnsi="方正仿宋_GBK" w:eastAsia="方正仿宋_GBK" w:cs="方正仿宋_GBK"/>
          <w:b/>
          <w:sz w:val="32"/>
          <w:szCs w:val="32"/>
        </w:rPr>
        <w:t>增强海洋环境保护。</w:t>
      </w:r>
      <w:r>
        <w:rPr>
          <w:rFonts w:hint="eastAsia" w:ascii="Times New Roman" w:hAnsi="方正仿宋_GBK" w:eastAsia="方正仿宋_GBK" w:cs="方正仿宋_GBK"/>
          <w:sz w:val="32"/>
          <w:szCs w:val="32"/>
        </w:rPr>
        <w:t>完成入海排口整治任务，强化近岸海域水质预警和管控，严厉打击各类污染海洋环境的违法行为。</w:t>
      </w:r>
    </w:p>
    <w:p w14:paraId="41FDCD05">
      <w:pPr>
        <w:pStyle w:val="2"/>
        <w:adjustRightInd w:val="0"/>
        <w:snapToGrid w:val="0"/>
        <w:spacing w:line="560" w:lineRule="exact"/>
        <w:ind w:firstLine="624" w:firstLineChars="0"/>
        <w:rPr>
          <w:rFonts w:ascii="Times New Roman" w:hAnsi="Times New Roman" w:eastAsia="方正仿宋_GBK" w:cs="方正仿宋_GBK"/>
          <w:sz w:val="32"/>
          <w:szCs w:val="32"/>
        </w:rPr>
      </w:pPr>
      <w:r>
        <w:rPr>
          <w:rFonts w:hint="eastAsia" w:ascii="Times New Roman" w:hAnsi="方正仿宋_GBK" w:eastAsia="方正仿宋_GBK" w:cs="方正仿宋_GBK"/>
          <w:sz w:val="32"/>
          <w:szCs w:val="32"/>
        </w:rPr>
        <w:t>更深层次巩固土壤环境质量。</w:t>
      </w:r>
      <w:r>
        <w:rPr>
          <w:rFonts w:hint="eastAsia" w:ascii="Times New Roman" w:hAnsi="方正仿宋_GBK" w:eastAsia="方正仿宋_GBK" w:cs="方正仿宋_GBK"/>
          <w:b/>
          <w:sz w:val="32"/>
          <w:szCs w:val="32"/>
        </w:rPr>
        <w:t>抓实抓细土壤日常管理。</w:t>
      </w:r>
      <w:r>
        <w:rPr>
          <w:rFonts w:hint="eastAsia" w:ascii="Times New Roman" w:hAnsi="方正仿宋_GBK" w:eastAsia="方正仿宋_GBK" w:cs="方正仿宋_GBK"/>
          <w:sz w:val="32"/>
          <w:szCs w:val="32"/>
        </w:rPr>
        <w:t>有序推进关闭退出化工企业土壤污染状况调查，强化土壤重点监管单位执法监管，构建地下水污染防治分区管控体系，建立更新我区疑似污染地块名单，强化风险管控和地块的安全开发利用。</w:t>
      </w:r>
      <w:r>
        <w:rPr>
          <w:rFonts w:hint="eastAsia" w:ascii="Times New Roman" w:hAnsi="方正仿宋_GBK" w:eastAsia="方正仿宋_GBK" w:cs="方正仿宋_GBK"/>
          <w:b/>
          <w:sz w:val="32"/>
          <w:szCs w:val="32"/>
        </w:rPr>
        <w:t>强化危废全过程管理。</w:t>
      </w:r>
      <w:r>
        <w:rPr>
          <w:rFonts w:hint="eastAsia" w:ascii="Times New Roman" w:hAnsi="方正仿宋_GBK" w:eastAsia="方正仿宋_GBK" w:cs="方正仿宋_GBK"/>
          <w:sz w:val="32"/>
          <w:szCs w:val="32"/>
        </w:rPr>
        <w:t>推进小微收集试点项目落地，指导服务光大绿色环保固废处置（南通）有限公司建成危险废物集中收集试点项目，推进危废分级分类管理体系，促进年产废</w:t>
      </w:r>
      <w:r>
        <w:rPr>
          <w:rFonts w:hint="eastAsia" w:ascii="Times New Roman" w:hAnsi="Times New Roman" w:eastAsia="方正仿宋_GBK" w:cs="方正仿宋_GBK"/>
          <w:sz w:val="32"/>
          <w:szCs w:val="32"/>
        </w:rPr>
        <w:t>10</w:t>
      </w:r>
      <w:r>
        <w:rPr>
          <w:rFonts w:hint="eastAsia" w:ascii="Times New Roman" w:hAnsi="方正仿宋_GBK" w:eastAsia="方正仿宋_GBK" w:cs="方正仿宋_GBK"/>
          <w:sz w:val="32"/>
          <w:szCs w:val="32"/>
        </w:rPr>
        <w:t>吨以下小微企业的危废规范化管理工作。</w:t>
      </w:r>
    </w:p>
    <w:p w14:paraId="0CF150A8">
      <w:pPr>
        <w:pStyle w:val="6"/>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snapToGrid w:val="0"/>
          <w:kern w:val="2"/>
          <w:sz w:val="32"/>
          <w:szCs w:val="32"/>
        </w:rPr>
      </w:pPr>
      <w:r>
        <w:rPr>
          <w:rFonts w:hint="eastAsia" w:ascii="Times New Roman" w:hAnsi="方正仿宋_GBK" w:eastAsia="方正仿宋_GBK" w:cs="方正仿宋_GBK"/>
          <w:snapToGrid w:val="0"/>
          <w:kern w:val="2"/>
          <w:sz w:val="32"/>
          <w:szCs w:val="32"/>
        </w:rPr>
        <w:t>更实作风提高环境执法监管效能。</w:t>
      </w:r>
      <w:r>
        <w:rPr>
          <w:rFonts w:hint="eastAsia" w:ascii="Times New Roman" w:hAnsi="方正仿宋_GBK" w:eastAsia="方正仿宋_GBK" w:cs="方正仿宋_GBK"/>
          <w:b/>
          <w:kern w:val="2"/>
          <w:sz w:val="32"/>
          <w:szCs w:val="32"/>
        </w:rPr>
        <w:t>创新环境监管方式。</w:t>
      </w:r>
      <w:r>
        <w:rPr>
          <w:rFonts w:hint="eastAsia" w:ascii="Times New Roman" w:hAnsi="方正仿宋_GBK" w:eastAsia="方正仿宋_GBK" w:cs="方正仿宋_GBK"/>
          <w:snapToGrid w:val="0"/>
          <w:kern w:val="2"/>
          <w:sz w:val="32"/>
          <w:szCs w:val="32"/>
        </w:rPr>
        <w:t>运用</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大数据</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网格化</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铁脚板</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模式，扎实推进在线监控全覆盖；依托</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环保脸谱</w:t>
      </w:r>
      <w:r>
        <w:rPr>
          <w:rFonts w:hint="eastAsia" w:ascii="Times New Roman" w:hAnsi="Times New Roman" w:eastAsia="方正仿宋_GBK" w:cs="方正仿宋_GBK"/>
          <w:snapToGrid w:val="0"/>
          <w:kern w:val="2"/>
          <w:sz w:val="32"/>
          <w:szCs w:val="32"/>
        </w:rPr>
        <w:t>”</w:t>
      </w:r>
      <w:r>
        <w:rPr>
          <w:rFonts w:hint="eastAsia" w:ascii="Times New Roman" w:hAnsi="方正仿宋_GBK" w:eastAsia="方正仿宋_GBK" w:cs="方正仿宋_GBK"/>
          <w:snapToGrid w:val="0"/>
          <w:kern w:val="2"/>
          <w:sz w:val="32"/>
          <w:szCs w:val="32"/>
        </w:rPr>
        <w:t>体系，加快实现智慧执法，全年至少走航监测</w:t>
      </w:r>
      <w:r>
        <w:rPr>
          <w:rFonts w:hint="eastAsia" w:ascii="Times New Roman" w:hAnsi="Times New Roman" w:eastAsia="方正仿宋_GBK" w:cs="方正仿宋_GBK"/>
          <w:snapToGrid w:val="0"/>
          <w:kern w:val="2"/>
          <w:sz w:val="32"/>
          <w:szCs w:val="32"/>
        </w:rPr>
        <w:t>150</w:t>
      </w:r>
      <w:r>
        <w:rPr>
          <w:rFonts w:hint="eastAsia" w:ascii="Times New Roman" w:hAnsi="方正仿宋_GBK" w:eastAsia="方正仿宋_GBK" w:cs="方正仿宋_GBK"/>
          <w:snapToGrid w:val="0"/>
          <w:kern w:val="2"/>
          <w:sz w:val="32"/>
          <w:szCs w:val="32"/>
        </w:rPr>
        <w:t>次、无人机航测</w:t>
      </w:r>
      <w:r>
        <w:rPr>
          <w:rFonts w:hint="eastAsia" w:ascii="Times New Roman" w:hAnsi="Times New Roman" w:eastAsia="方正仿宋_GBK" w:cs="方正仿宋_GBK"/>
          <w:snapToGrid w:val="0"/>
          <w:kern w:val="2"/>
          <w:sz w:val="32"/>
          <w:szCs w:val="32"/>
        </w:rPr>
        <w:t>20</w:t>
      </w:r>
      <w:r>
        <w:rPr>
          <w:rFonts w:hint="eastAsia" w:ascii="Times New Roman" w:hAnsi="方正仿宋_GBK" w:eastAsia="方正仿宋_GBK" w:cs="方正仿宋_GBK"/>
          <w:snapToGrid w:val="0"/>
          <w:kern w:val="2"/>
          <w:sz w:val="32"/>
          <w:szCs w:val="32"/>
        </w:rPr>
        <w:t>次。</w:t>
      </w:r>
      <w:r>
        <w:rPr>
          <w:rFonts w:hint="eastAsia" w:ascii="Times New Roman" w:hAnsi="方正仿宋_GBK" w:eastAsia="方正仿宋_GBK" w:cs="方正仿宋_GBK"/>
          <w:b/>
          <w:kern w:val="2"/>
          <w:sz w:val="32"/>
          <w:szCs w:val="32"/>
        </w:rPr>
        <w:t>加大环境执法力度。</w:t>
      </w:r>
      <w:r>
        <w:rPr>
          <w:rFonts w:hint="eastAsia" w:ascii="Times New Roman" w:hAnsi="方正仿宋_GBK" w:eastAsia="方正仿宋_GBK" w:cs="方正仿宋_GBK"/>
          <w:snapToGrid w:val="0"/>
          <w:kern w:val="2"/>
          <w:sz w:val="32"/>
          <w:szCs w:val="32"/>
        </w:rPr>
        <w:t>加大对重点区域行业企业和群众反应强烈的点位进行夜查、联合检查、突击检查、交叉检查力度，全年至少出动执法</w:t>
      </w:r>
      <w:r>
        <w:rPr>
          <w:rFonts w:hint="eastAsia" w:ascii="Times New Roman" w:hAnsi="Times New Roman" w:eastAsia="方正仿宋_GBK" w:cs="方正仿宋_GBK"/>
          <w:snapToGrid w:val="0"/>
          <w:kern w:val="2"/>
          <w:sz w:val="32"/>
          <w:szCs w:val="32"/>
        </w:rPr>
        <w:t>1</w:t>
      </w:r>
      <w:r>
        <w:rPr>
          <w:rFonts w:hint="eastAsia" w:ascii="Times New Roman" w:hAnsi="方正仿宋_GBK" w:eastAsia="方正仿宋_GBK" w:cs="方正仿宋_GBK"/>
          <w:snapToGrid w:val="0"/>
          <w:kern w:val="2"/>
          <w:sz w:val="32"/>
          <w:szCs w:val="32"/>
        </w:rPr>
        <w:t>万人次、检查企业</w:t>
      </w:r>
      <w:r>
        <w:rPr>
          <w:rFonts w:hint="eastAsia" w:ascii="Times New Roman" w:hAnsi="Times New Roman" w:eastAsia="方正仿宋_GBK" w:cs="方正仿宋_GBK"/>
          <w:snapToGrid w:val="0"/>
          <w:kern w:val="2"/>
          <w:sz w:val="32"/>
          <w:szCs w:val="32"/>
        </w:rPr>
        <w:t>5000</w:t>
      </w:r>
      <w:r>
        <w:rPr>
          <w:rFonts w:hint="eastAsia" w:ascii="Times New Roman" w:hAnsi="方正仿宋_GBK" w:eastAsia="方正仿宋_GBK" w:cs="方正仿宋_GBK"/>
          <w:snapToGrid w:val="0"/>
          <w:kern w:val="2"/>
          <w:sz w:val="32"/>
          <w:szCs w:val="32"/>
        </w:rPr>
        <w:t>家次，夜间检查</w:t>
      </w:r>
      <w:r>
        <w:rPr>
          <w:rFonts w:hint="eastAsia" w:ascii="Times New Roman" w:hAnsi="Times New Roman" w:eastAsia="方正仿宋_GBK" w:cs="方正仿宋_GBK"/>
          <w:snapToGrid w:val="0"/>
          <w:kern w:val="2"/>
          <w:sz w:val="32"/>
          <w:szCs w:val="32"/>
        </w:rPr>
        <w:t>50</w:t>
      </w:r>
      <w:r>
        <w:rPr>
          <w:rFonts w:hint="eastAsia" w:ascii="Times New Roman" w:hAnsi="方正仿宋_GBK" w:eastAsia="方正仿宋_GBK" w:cs="方正仿宋_GBK"/>
          <w:snapToGrid w:val="0"/>
          <w:kern w:val="2"/>
          <w:sz w:val="32"/>
          <w:szCs w:val="32"/>
        </w:rPr>
        <w:t>家次。</w:t>
      </w:r>
      <w:r>
        <w:rPr>
          <w:rFonts w:hint="eastAsia" w:ascii="Times New Roman" w:hAnsi="方正仿宋_GBK" w:eastAsia="方正仿宋_GBK" w:cs="方正仿宋_GBK"/>
          <w:b/>
          <w:kern w:val="2"/>
          <w:sz w:val="32"/>
          <w:szCs w:val="32"/>
        </w:rPr>
        <w:t>推进生态损害赔偿。</w:t>
      </w:r>
      <w:r>
        <w:rPr>
          <w:rFonts w:hint="eastAsia" w:ascii="Times New Roman" w:hAnsi="方正仿宋_GBK" w:eastAsia="方正仿宋_GBK" w:cs="方正仿宋_GBK"/>
          <w:snapToGrid w:val="0"/>
          <w:kern w:val="2"/>
          <w:sz w:val="32"/>
          <w:szCs w:val="32"/>
        </w:rPr>
        <w:t>扎实做好生态环境损害赔偿工作，继续通过协作共建、建设公益林等途径推广生态修复理念。</w:t>
      </w:r>
    </w:p>
    <w:p w14:paraId="053FC742">
      <w:pPr>
        <w:adjustRightInd w:val="0"/>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方正仿宋_GBK" w:eastAsia="方正仿宋_GBK" w:cs="方正仿宋_GBK"/>
          <w:snapToGrid w:val="0"/>
          <w:sz w:val="32"/>
          <w:szCs w:val="32"/>
        </w:rPr>
        <w:t>更多维度优化环境管理水平。</w:t>
      </w:r>
      <w:r>
        <w:rPr>
          <w:rFonts w:hint="eastAsia" w:ascii="Times New Roman" w:hAnsi="方正仿宋_GBK" w:eastAsia="方正仿宋_GBK" w:cs="方正仿宋_GBK"/>
          <w:b/>
          <w:snapToGrid w:val="0"/>
          <w:sz w:val="32"/>
          <w:szCs w:val="32"/>
        </w:rPr>
        <w:t>开展环境应急提升行动。</w:t>
      </w:r>
      <w:r>
        <w:rPr>
          <w:rFonts w:hint="eastAsia" w:ascii="Times New Roman" w:hAnsi="方正仿宋_GBK" w:eastAsia="方正仿宋_GBK" w:cs="方正仿宋_GBK"/>
          <w:snapToGrid w:val="0"/>
          <w:sz w:val="32"/>
          <w:szCs w:val="32"/>
        </w:rPr>
        <w:t>发挥环境应急专家库作用，督促指导企业加快应急演练和应急培训工作进度，进一步提升实战能力。</w:t>
      </w:r>
      <w:r>
        <w:rPr>
          <w:rFonts w:hint="eastAsia" w:ascii="Times New Roman" w:hAnsi="方正仿宋_GBK" w:eastAsia="方正仿宋_GBK" w:cs="方正仿宋_GBK"/>
          <w:b/>
          <w:sz w:val="32"/>
          <w:szCs w:val="32"/>
        </w:rPr>
        <w:t>实施环境信访压减工程。</w:t>
      </w:r>
      <w:r>
        <w:rPr>
          <w:rFonts w:hint="eastAsia" w:ascii="Times New Roman" w:hAnsi="方正仿宋_GBK" w:eastAsia="方正仿宋_GBK" w:cs="方正仿宋_GBK"/>
          <w:sz w:val="32"/>
          <w:szCs w:val="32"/>
        </w:rPr>
        <w:t>落实领导包案制，强化网格化环境监管属地稳控原则，每季组织一次协调会。</w:t>
      </w:r>
      <w:r>
        <w:rPr>
          <w:rFonts w:hint="eastAsia" w:ascii="Times New Roman" w:hAnsi="方正仿宋_GBK" w:eastAsia="方正仿宋_GBK" w:cs="方正仿宋_GBK"/>
          <w:b/>
          <w:snapToGrid w:val="0"/>
          <w:sz w:val="32"/>
          <w:szCs w:val="32"/>
        </w:rPr>
        <w:t>优化企业营商环境举措。</w:t>
      </w:r>
      <w:r>
        <w:rPr>
          <w:rFonts w:hint="eastAsia" w:ascii="Times New Roman" w:hAnsi="方正仿宋_GBK" w:eastAsia="方正仿宋_GBK" w:cs="方正仿宋_GBK"/>
          <w:snapToGrid w:val="0"/>
          <w:sz w:val="32"/>
          <w:szCs w:val="32"/>
        </w:rPr>
        <w:t>开展</w:t>
      </w:r>
      <w:r>
        <w:rPr>
          <w:rFonts w:hint="eastAsia" w:ascii="Times New Roman" w:hAnsi="Times New Roman" w:eastAsia="方正仿宋_GBK" w:cs="方正仿宋_GBK"/>
          <w:snapToGrid w:val="0"/>
          <w:sz w:val="32"/>
          <w:szCs w:val="32"/>
        </w:rPr>
        <w:t>“</w:t>
      </w:r>
      <w:r>
        <w:rPr>
          <w:rFonts w:hint="eastAsia" w:ascii="Times New Roman" w:hAnsi="方正仿宋_GBK" w:eastAsia="方正仿宋_GBK" w:cs="方正仿宋_GBK"/>
          <w:snapToGrid w:val="0"/>
          <w:sz w:val="32"/>
          <w:szCs w:val="32"/>
        </w:rPr>
        <w:t>温暖生态绿色助企</w:t>
      </w:r>
      <w:r>
        <w:rPr>
          <w:rFonts w:hint="eastAsia" w:ascii="Times New Roman" w:hAnsi="Times New Roman" w:eastAsia="方正仿宋_GBK" w:cs="方正仿宋_GBK"/>
          <w:snapToGrid w:val="0"/>
          <w:sz w:val="32"/>
          <w:szCs w:val="32"/>
        </w:rPr>
        <w:t>”</w:t>
      </w:r>
      <w:r>
        <w:rPr>
          <w:rFonts w:hint="eastAsia" w:ascii="Times New Roman" w:hAnsi="方正仿宋_GBK" w:eastAsia="方正仿宋_GBK" w:cs="方正仿宋_GBK"/>
          <w:snapToGrid w:val="0"/>
          <w:sz w:val="32"/>
          <w:szCs w:val="32"/>
        </w:rPr>
        <w:t>、环保总监培训、</w:t>
      </w:r>
      <w:r>
        <w:rPr>
          <w:rFonts w:hint="eastAsia" w:ascii="Times New Roman" w:hAnsi="Times New Roman" w:eastAsia="方正仿宋_GBK" w:cs="方正仿宋_GBK"/>
          <w:snapToGrid w:val="0"/>
          <w:sz w:val="32"/>
          <w:szCs w:val="32"/>
        </w:rPr>
        <w:t>“</w:t>
      </w:r>
      <w:r>
        <w:rPr>
          <w:rFonts w:hint="eastAsia" w:ascii="Times New Roman" w:hAnsi="方正仿宋_GBK" w:eastAsia="方正仿宋_GBK" w:cs="方正仿宋_GBK"/>
          <w:snapToGrid w:val="0"/>
          <w:sz w:val="32"/>
          <w:szCs w:val="32"/>
        </w:rPr>
        <w:t>总监说法</w:t>
      </w:r>
      <w:r>
        <w:rPr>
          <w:rFonts w:hint="eastAsia" w:ascii="Times New Roman" w:hAnsi="Times New Roman" w:eastAsia="方正仿宋_GBK" w:cs="方正仿宋_GBK"/>
          <w:snapToGrid w:val="0"/>
          <w:sz w:val="32"/>
          <w:szCs w:val="32"/>
        </w:rPr>
        <w:t>”</w:t>
      </w:r>
      <w:r>
        <w:rPr>
          <w:rFonts w:hint="eastAsia" w:ascii="Times New Roman" w:hAnsi="方正仿宋_GBK" w:eastAsia="方正仿宋_GBK" w:cs="方正仿宋_GBK"/>
          <w:snapToGrid w:val="0"/>
          <w:sz w:val="32"/>
          <w:szCs w:val="32"/>
        </w:rPr>
        <w:t>等活动，探索绿色信贷额度、利率与企业环保信用、污染物排放表现挂钩的差别化支持政策，解决企业发展难题，激发企业绿色发展内生动力。</w:t>
      </w:r>
      <w:r>
        <w:rPr>
          <w:rFonts w:hint="eastAsia" w:ascii="Times New Roman" w:hAnsi="方正仿宋_GBK" w:eastAsia="方正仿宋_GBK" w:cs="方正仿宋_GBK"/>
          <w:b/>
          <w:snapToGrid w:val="0"/>
          <w:sz w:val="32"/>
          <w:szCs w:val="32"/>
        </w:rPr>
        <w:t>拓展生态文明名片优势。</w:t>
      </w:r>
      <w:r>
        <w:rPr>
          <w:rFonts w:hint="eastAsia" w:ascii="Times New Roman" w:hAnsi="方正仿宋_GBK" w:eastAsia="方正仿宋_GBK" w:cs="方正仿宋_GBK"/>
          <w:snapToGrid w:val="0"/>
          <w:sz w:val="32"/>
          <w:szCs w:val="32"/>
        </w:rPr>
        <w:t>全力推进国家级生态文明建设示范区创建，加强省级生态文明建设示范镇村创建，进一步提升我区区域环境竞争力。</w:t>
      </w:r>
    </w:p>
    <w:p w14:paraId="251148FD">
      <w:pPr>
        <w:pStyle w:val="2"/>
        <w:adjustRightInd w:val="0"/>
        <w:snapToGrid w:val="0"/>
        <w:spacing w:line="560" w:lineRule="exact"/>
        <w:ind w:firstLine="624" w:firstLineChars="0"/>
        <w:rPr>
          <w:rFonts w:ascii="Times New Roman" w:hAnsi="Times New Roman" w:eastAsia="方正仿宋_GBK" w:cs="方正仿宋_GBK"/>
          <w:sz w:val="32"/>
          <w:szCs w:val="32"/>
        </w:rPr>
      </w:pPr>
      <w:r>
        <w:rPr>
          <w:rFonts w:hint="eastAsia" w:ascii="Times New Roman" w:hAnsi="方正仿宋_GBK" w:eastAsia="方正仿宋_GBK" w:cs="方正仿宋_GBK"/>
          <w:snapToGrid w:val="0"/>
          <w:sz w:val="32"/>
          <w:szCs w:val="32"/>
        </w:rPr>
        <w:t>更快步伐推动绿色低碳发展。</w:t>
      </w:r>
      <w:r>
        <w:rPr>
          <w:rFonts w:hint="eastAsia" w:ascii="Times New Roman" w:hAnsi="方正仿宋_GBK" w:eastAsia="方正仿宋_GBK" w:cs="方正仿宋_GBK"/>
          <w:b/>
          <w:snapToGrid w:val="0"/>
          <w:sz w:val="32"/>
          <w:szCs w:val="32"/>
        </w:rPr>
        <w:t>优化布局构建绿色产业链。</w:t>
      </w:r>
      <w:r>
        <w:rPr>
          <w:rFonts w:hint="eastAsia" w:ascii="Times New Roman" w:hAnsi="方正仿宋_GBK" w:eastAsia="方正仿宋_GBK" w:cs="方正仿宋_GBK"/>
          <w:sz w:val="32"/>
          <w:szCs w:val="32"/>
        </w:rPr>
        <w:t>通过优化园区规划环评，推动园区产业向</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专精特新</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方向发展。</w:t>
      </w:r>
      <w:r>
        <w:rPr>
          <w:rFonts w:hint="eastAsia" w:ascii="Times New Roman" w:hAnsi="方正仿宋_GBK" w:eastAsia="方正仿宋_GBK" w:cs="方正仿宋_GBK"/>
          <w:snapToGrid w:val="0"/>
          <w:sz w:val="32"/>
          <w:szCs w:val="32"/>
        </w:rPr>
        <w:t>推进装备制造、船舶海工等六个重点行业绿色发展，设立高标准、严要求的新进项目准入门槛。</w:t>
      </w:r>
      <w:r>
        <w:rPr>
          <w:rFonts w:hint="eastAsia" w:ascii="Times New Roman" w:hAnsi="方正仿宋_GBK" w:eastAsia="方正仿宋_GBK" w:cs="方正仿宋_GBK"/>
          <w:b/>
          <w:snapToGrid w:val="0"/>
          <w:sz w:val="32"/>
          <w:szCs w:val="32"/>
        </w:rPr>
        <w:t>深挖潜力腾出环境容量。</w:t>
      </w:r>
      <w:r>
        <w:rPr>
          <w:rFonts w:hint="eastAsia" w:ascii="Times New Roman" w:hAnsi="方正仿宋_GBK" w:eastAsia="方正仿宋_GBK" w:cs="方正仿宋_GBK"/>
          <w:snapToGrid w:val="0"/>
          <w:sz w:val="32"/>
          <w:szCs w:val="32"/>
        </w:rPr>
        <w:t>加大全区污染减排力度，推进工业园区污染物排放限值限量管理，重点行业推行强制清洁生产，深挖</w:t>
      </w:r>
      <w:r>
        <w:rPr>
          <w:rFonts w:hint="eastAsia" w:ascii="Times New Roman" w:hAnsi="方正仿宋_GBK" w:eastAsia="方正仿宋_GBK" w:cs="方正仿宋_GBK"/>
          <w:sz w:val="32"/>
          <w:szCs w:val="32"/>
        </w:rPr>
        <w:t>污染物减排量，为绿色项目腾出可替代总量</w:t>
      </w:r>
      <w:r>
        <w:rPr>
          <w:rFonts w:hint="eastAsia" w:ascii="Times New Roman" w:hAnsi="方正仿宋_GBK" w:eastAsia="方正仿宋_GBK" w:cs="方正仿宋_GBK"/>
          <w:snapToGrid w:val="0"/>
          <w:sz w:val="32"/>
          <w:szCs w:val="32"/>
        </w:rPr>
        <w:t>。</w:t>
      </w:r>
      <w:r>
        <w:rPr>
          <w:rFonts w:hint="eastAsia" w:ascii="Times New Roman" w:hAnsi="方正仿宋_GBK" w:eastAsia="方正仿宋_GBK" w:cs="方正仿宋_GBK"/>
          <w:b/>
          <w:snapToGrid w:val="0"/>
          <w:sz w:val="32"/>
          <w:szCs w:val="32"/>
        </w:rPr>
        <w:t>中水回用促进可持续利用。</w:t>
      </w:r>
      <w:r>
        <w:rPr>
          <w:rFonts w:hint="eastAsia" w:ascii="Times New Roman" w:hAnsi="方正仿宋_GBK" w:eastAsia="方正仿宋_GBK" w:cs="方正仿宋_GBK"/>
          <w:snapToGrid w:val="0"/>
          <w:sz w:val="32"/>
          <w:szCs w:val="32"/>
        </w:rPr>
        <w:t>开展企业中水回用，拟将海门信环水务有限公司外排水，用于江苏联海生物科技有限公司燃料乙醇生产，计划回用</w:t>
      </w:r>
      <w:r>
        <w:rPr>
          <w:rFonts w:hint="eastAsia" w:ascii="Times New Roman" w:hAnsi="Times New Roman" w:eastAsia="方正仿宋_GBK" w:cs="方正仿宋_GBK"/>
          <w:snapToGrid w:val="0"/>
          <w:sz w:val="32"/>
          <w:szCs w:val="32"/>
        </w:rPr>
        <w:t>150</w:t>
      </w:r>
      <w:r>
        <w:rPr>
          <w:rFonts w:hint="eastAsia" w:ascii="Times New Roman" w:hAnsi="方正仿宋_GBK" w:eastAsia="方正仿宋_GBK" w:cs="方正仿宋_GBK"/>
          <w:snapToGrid w:val="0"/>
          <w:sz w:val="32"/>
          <w:szCs w:val="32"/>
        </w:rPr>
        <w:t>万吨</w:t>
      </w:r>
      <w:r>
        <w:rPr>
          <w:rFonts w:hint="eastAsia" w:ascii="Times New Roman" w:hAnsi="Times New Roman" w:eastAsia="方正仿宋_GBK" w:cs="方正仿宋_GBK"/>
          <w:snapToGrid w:val="0"/>
          <w:sz w:val="32"/>
          <w:szCs w:val="32"/>
        </w:rPr>
        <w:t>/</w:t>
      </w:r>
      <w:r>
        <w:rPr>
          <w:rFonts w:hint="eastAsia" w:ascii="Times New Roman" w:hAnsi="方正仿宋_GBK" w:eastAsia="方正仿宋_GBK" w:cs="方正仿宋_GBK"/>
          <w:snapToGrid w:val="0"/>
          <w:sz w:val="32"/>
          <w:szCs w:val="32"/>
        </w:rPr>
        <w:t>年。</w:t>
      </w:r>
    </w:p>
    <w:p w14:paraId="4EEDF05A">
      <w:pPr>
        <w:adjustRightInd w:val="0"/>
        <w:snapToGrid w:val="0"/>
        <w:spacing w:line="560" w:lineRule="exact"/>
        <w:ind w:firstLine="640" w:firstLineChars="200"/>
        <w:rPr>
          <w:rFonts w:hint="eastAsia" w:ascii="Times New Roman" w:hAnsi="方正仿宋_GBK" w:eastAsia="方正仿宋_GBK" w:cs="方正仿宋_GBK"/>
          <w:sz w:val="32"/>
          <w:szCs w:val="32"/>
        </w:rPr>
      </w:pPr>
      <w:r>
        <w:rPr>
          <w:rFonts w:hint="eastAsia" w:ascii="Times New Roman" w:hAnsi="方正仿宋_GBK" w:eastAsia="方正仿宋_GBK" w:cs="方正仿宋_GBK"/>
          <w:sz w:val="32"/>
          <w:szCs w:val="32"/>
        </w:rPr>
        <w:t>更牢信念打造环保铁军形象。</w:t>
      </w:r>
      <w:r>
        <w:rPr>
          <w:rFonts w:hint="eastAsia" w:ascii="Times New Roman" w:hAnsi="方正仿宋_GBK" w:eastAsia="方正仿宋_GBK" w:cs="方正仿宋_GBK"/>
          <w:b/>
          <w:sz w:val="32"/>
          <w:szCs w:val="32"/>
        </w:rPr>
        <w:t>强化人才培养。</w:t>
      </w:r>
      <w:r>
        <w:rPr>
          <w:rFonts w:hint="eastAsia" w:ascii="Times New Roman" w:hAnsi="方正仿宋_GBK" w:eastAsia="方正仿宋_GBK" w:cs="方正仿宋_GBK"/>
          <w:sz w:val="32"/>
          <w:szCs w:val="32"/>
        </w:rPr>
        <w:t>每月组织开展各类培训和业务交流会，实施分局法制员制度，进一步增加知识储备、提升办案水平。加强干部梯队建设，优化干部队伍结构，加快构建年轻干部成长链条。</w:t>
      </w:r>
      <w:r>
        <w:rPr>
          <w:rFonts w:hint="eastAsia" w:ascii="Times New Roman" w:hAnsi="方正仿宋_GBK" w:eastAsia="方正仿宋_GBK" w:cs="方正仿宋_GBK"/>
          <w:b/>
          <w:sz w:val="32"/>
          <w:szCs w:val="32"/>
        </w:rPr>
        <w:t>深化作风建设。</w:t>
      </w:r>
      <w:r>
        <w:rPr>
          <w:rFonts w:hint="eastAsia" w:ascii="Times New Roman" w:hAnsi="方正仿宋_GBK" w:eastAsia="方正仿宋_GBK" w:cs="方正仿宋_GBK"/>
          <w:sz w:val="32"/>
          <w:szCs w:val="32"/>
        </w:rPr>
        <w:t>巩固党史学习教育成果，持续深入开展</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厚植为民情怀</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提高执法水平</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主题教育活动，秉持人民至上，提升干部队伍纪律意识、规则意识，遵循文明执法、规范执法，杜绝伤害人民感情、损害城市形象的事件发生。</w:t>
      </w:r>
    </w:p>
    <w:p w14:paraId="0886B1E2">
      <w:pPr>
        <w:adjustRightInd w:val="0"/>
        <w:snapToGrid w:val="0"/>
        <w:spacing w:line="560" w:lineRule="exact"/>
        <w:ind w:firstLine="640" w:firstLineChars="200"/>
        <w:rPr>
          <w:rFonts w:ascii="Times New Roman" w:hAnsi="Times New Roman" w:eastAsia="方正仿宋_GBK" w:cs="方正仿宋_GBK"/>
          <w:sz w:val="32"/>
          <w:szCs w:val="32"/>
        </w:rPr>
      </w:pPr>
    </w:p>
    <w:p w14:paraId="2589FBB2">
      <w:pPr>
        <w:adjustRightInd w:val="0"/>
        <w:snapToGrid w:val="0"/>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附件：</w:t>
      </w:r>
      <w:r>
        <w:rPr>
          <w:rFonts w:hint="eastAsia" w:ascii="Times New Roman" w:hAnsi="Times New Roman" w:eastAsia="方正仿宋_GBK" w:cs="方正仿宋_GBK"/>
          <w:sz w:val="32"/>
          <w:szCs w:val="32"/>
        </w:rPr>
        <w:t>2022</w:t>
      </w:r>
      <w:r>
        <w:rPr>
          <w:rFonts w:hint="eastAsia" w:ascii="Times New Roman" w:hAnsi="方正仿宋_GBK" w:eastAsia="方正仿宋_GBK" w:cs="方正仿宋_GBK"/>
          <w:sz w:val="32"/>
          <w:szCs w:val="32"/>
        </w:rPr>
        <w:t>年南通市海门生态环境局十大主题工程</w:t>
      </w:r>
      <w:r>
        <w:rPr>
          <w:rFonts w:ascii="Times New Roman" w:hAnsi="方正仿宋_GBK" w:eastAsia="方正仿宋_GBK" w:cs="方正仿宋_GBK"/>
          <w:sz w:val="32"/>
          <w:szCs w:val="32"/>
        </w:rPr>
        <w:br w:type="page"/>
      </w:r>
    </w:p>
    <w:p w14:paraId="33D7A5EC">
      <w:pPr>
        <w:jc w:val="left"/>
        <w:rPr>
          <w:rFonts w:ascii="黑体" w:hAnsi="黑体" w:eastAsia="黑体"/>
          <w:sz w:val="32"/>
          <w:szCs w:val="32"/>
        </w:rPr>
      </w:pPr>
      <w:r>
        <w:rPr>
          <w:rFonts w:hint="eastAsia" w:ascii="黑体" w:hAnsi="黑体" w:eastAsia="黑体"/>
          <w:sz w:val="32"/>
          <w:szCs w:val="32"/>
        </w:rPr>
        <w:t>附件</w:t>
      </w:r>
    </w:p>
    <w:p w14:paraId="1BDEAACE">
      <w:pPr>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2022年南通市海门生态环境局十大主题工程</w:t>
      </w:r>
    </w:p>
    <w:tbl>
      <w:tblPr>
        <w:tblStyle w:val="9"/>
        <w:tblW w:w="521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7"/>
        <w:gridCol w:w="1439"/>
        <w:gridCol w:w="6154"/>
        <w:gridCol w:w="1163"/>
      </w:tblGrid>
      <w:tr w14:paraId="36D81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69" w:type="pct"/>
            <w:vAlign w:val="center"/>
          </w:tcPr>
          <w:p w14:paraId="3AA7A1A4">
            <w:pPr>
              <w:adjustRightInd w:val="0"/>
              <w:snapToGrid w:val="0"/>
              <w:spacing w:line="320" w:lineRule="exact"/>
              <w:jc w:val="center"/>
              <w:rPr>
                <w:rFonts w:ascii="Times New Roman" w:hAnsi="Times New Roman" w:cs="Times New Roman" w:eastAsiaTheme="minorEastAsia"/>
                <w:b/>
                <w:kern w:val="0"/>
                <w:sz w:val="21"/>
                <w:szCs w:val="21"/>
              </w:rPr>
            </w:pPr>
            <w:r>
              <w:rPr>
                <w:rFonts w:hint="eastAsia" w:ascii="Times New Roman" w:cs="Times New Roman" w:hAnsiTheme="minorEastAsia" w:eastAsiaTheme="minorEastAsia"/>
                <w:b/>
                <w:kern w:val="0"/>
                <w:sz w:val="21"/>
                <w:szCs w:val="21"/>
              </w:rPr>
              <w:t>序号</w:t>
            </w:r>
          </w:p>
        </w:tc>
        <w:tc>
          <w:tcPr>
            <w:tcW w:w="761" w:type="pct"/>
            <w:vAlign w:val="center"/>
          </w:tcPr>
          <w:p w14:paraId="4D1C4C15">
            <w:pPr>
              <w:adjustRightInd w:val="0"/>
              <w:snapToGrid w:val="0"/>
              <w:spacing w:line="320" w:lineRule="exact"/>
              <w:jc w:val="center"/>
              <w:rPr>
                <w:rFonts w:ascii="Times New Roman" w:hAnsi="Times New Roman" w:cs="Times New Roman" w:eastAsiaTheme="minorEastAsia"/>
                <w:b/>
                <w:kern w:val="0"/>
                <w:sz w:val="21"/>
                <w:szCs w:val="21"/>
              </w:rPr>
            </w:pPr>
            <w:r>
              <w:rPr>
                <w:rFonts w:hint="eastAsia" w:ascii="Times New Roman" w:cs="Times New Roman" w:hAnsiTheme="minorEastAsia" w:eastAsiaTheme="minorEastAsia"/>
                <w:b/>
                <w:kern w:val="0"/>
                <w:sz w:val="21"/>
                <w:szCs w:val="21"/>
              </w:rPr>
              <w:t>名称</w:t>
            </w:r>
          </w:p>
        </w:tc>
        <w:tc>
          <w:tcPr>
            <w:tcW w:w="3255" w:type="pct"/>
            <w:vAlign w:val="center"/>
          </w:tcPr>
          <w:p w14:paraId="62350891">
            <w:pPr>
              <w:adjustRightInd w:val="0"/>
              <w:snapToGrid w:val="0"/>
              <w:spacing w:line="320" w:lineRule="exact"/>
              <w:jc w:val="center"/>
              <w:rPr>
                <w:rFonts w:ascii="Times New Roman" w:hAnsi="Times New Roman" w:cs="Times New Roman" w:eastAsiaTheme="minorEastAsia"/>
                <w:b/>
                <w:kern w:val="0"/>
                <w:sz w:val="21"/>
                <w:szCs w:val="21"/>
              </w:rPr>
            </w:pPr>
            <w:r>
              <w:rPr>
                <w:rFonts w:hint="eastAsia" w:ascii="Times New Roman" w:cs="Times New Roman" w:hAnsiTheme="minorEastAsia" w:eastAsiaTheme="minorEastAsia"/>
                <w:b/>
                <w:kern w:val="0"/>
                <w:sz w:val="21"/>
                <w:szCs w:val="21"/>
              </w:rPr>
              <w:t>主要内容</w:t>
            </w:r>
          </w:p>
        </w:tc>
        <w:tc>
          <w:tcPr>
            <w:tcW w:w="616" w:type="pct"/>
            <w:vAlign w:val="center"/>
          </w:tcPr>
          <w:p w14:paraId="0A0AF426">
            <w:pPr>
              <w:adjustRightInd w:val="0"/>
              <w:snapToGrid w:val="0"/>
              <w:spacing w:line="320" w:lineRule="exact"/>
              <w:jc w:val="center"/>
              <w:rPr>
                <w:rFonts w:ascii="Times New Roman" w:hAnsi="Times New Roman" w:cs="Times New Roman" w:eastAsiaTheme="minorEastAsia"/>
                <w:b/>
                <w:kern w:val="0"/>
                <w:sz w:val="21"/>
                <w:szCs w:val="21"/>
              </w:rPr>
            </w:pPr>
            <w:r>
              <w:rPr>
                <w:rFonts w:hint="eastAsia" w:ascii="Times New Roman" w:cs="Times New Roman" w:hAnsiTheme="minorEastAsia" w:eastAsiaTheme="minorEastAsia"/>
                <w:b/>
                <w:kern w:val="0"/>
                <w:sz w:val="21"/>
                <w:szCs w:val="21"/>
              </w:rPr>
              <w:t>牵头部门</w:t>
            </w:r>
          </w:p>
        </w:tc>
      </w:tr>
      <w:tr w14:paraId="38776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5" w:hRule="atLeast"/>
          <w:jc w:val="center"/>
        </w:trPr>
        <w:tc>
          <w:tcPr>
            <w:tcW w:w="369" w:type="pct"/>
            <w:vAlign w:val="center"/>
          </w:tcPr>
          <w:p w14:paraId="2FB26633">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w:t>
            </w:r>
          </w:p>
        </w:tc>
        <w:tc>
          <w:tcPr>
            <w:tcW w:w="761" w:type="pct"/>
            <w:vAlign w:val="center"/>
          </w:tcPr>
          <w:p w14:paraId="44D5AB60">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三力</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提升工程</w:t>
            </w:r>
          </w:p>
        </w:tc>
        <w:tc>
          <w:tcPr>
            <w:tcW w:w="3255" w:type="pct"/>
            <w:vAlign w:val="center"/>
          </w:tcPr>
          <w:p w14:paraId="40D35EC8">
            <w:pPr>
              <w:adjustRightInd w:val="0"/>
              <w:snapToGrid w:val="0"/>
              <w:spacing w:line="320" w:lineRule="exact"/>
              <w:ind w:firstLine="420" w:firstLineChars="200"/>
              <w:jc w:val="left"/>
              <w:rPr>
                <w:rFonts w:ascii="Times New Roman" w:hAnsi="Times New Roman" w:cs="仿宋_GB2312" w:eastAsiaTheme="minorEastAsia"/>
                <w:bCs/>
                <w:kern w:val="0"/>
                <w:sz w:val="21"/>
                <w:szCs w:val="21"/>
              </w:rPr>
            </w:pPr>
            <w:r>
              <w:rPr>
                <w:rFonts w:hint="eastAsia" w:ascii="Times New Roman" w:hAnsi="Times New Roman" w:cs="仿宋_GB2312" w:eastAsiaTheme="minorEastAsia"/>
                <w:kern w:val="0"/>
                <w:sz w:val="21"/>
                <w:szCs w:val="21"/>
              </w:rPr>
              <w:t>1.</w:t>
            </w:r>
            <w:r>
              <w:rPr>
                <w:rFonts w:hint="eastAsia" w:ascii="Times New Roman" w:cs="仿宋_GB2312" w:hAnsiTheme="minorEastAsia" w:eastAsiaTheme="minorEastAsia"/>
                <w:kern w:val="0"/>
                <w:sz w:val="21"/>
                <w:szCs w:val="21"/>
              </w:rPr>
              <w:t>丰富教育载体，提升干部履职力。</w:t>
            </w:r>
            <w:r>
              <w:rPr>
                <w:rFonts w:hint="eastAsia" w:ascii="Times New Roman" w:cs="仿宋_GB2312" w:hAnsiTheme="minorEastAsia" w:eastAsiaTheme="minorEastAsia"/>
                <w:bCs/>
                <w:kern w:val="0"/>
                <w:sz w:val="21"/>
                <w:szCs w:val="21"/>
              </w:rPr>
              <w:t>聚焦习近平新时代中国特色社会主义思想、党的十九届六中全会精神等，每季度开展专题党课；充分依托</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学习强国</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和微信公众号等载体，开设线上</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云课堂</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；立足党员干部实际需求，邀请专家讲师开展培训，开展</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阅享环保</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系列读书活动</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打造</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移动式</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课堂和</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立体式</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学习模式，全方位提升干部政治素养和履职能力。</w:t>
            </w:r>
          </w:p>
          <w:p w14:paraId="40FAD59C">
            <w:pPr>
              <w:adjustRightInd w:val="0"/>
              <w:snapToGrid w:val="0"/>
              <w:spacing w:line="320" w:lineRule="exact"/>
              <w:ind w:firstLine="420" w:firstLineChars="200"/>
              <w:jc w:val="left"/>
              <w:rPr>
                <w:rFonts w:ascii="Times New Roman" w:hAnsi="Times New Roman" w:cs="仿宋_GB2312" w:eastAsiaTheme="minorEastAsia"/>
                <w:bCs/>
                <w:kern w:val="0"/>
                <w:sz w:val="21"/>
                <w:szCs w:val="21"/>
              </w:rPr>
            </w:pPr>
            <w:r>
              <w:rPr>
                <w:rFonts w:hint="eastAsia" w:ascii="Times New Roman" w:hAnsi="Times New Roman" w:cs="仿宋_GB2312" w:eastAsiaTheme="minorEastAsia"/>
                <w:kern w:val="0"/>
                <w:sz w:val="21"/>
                <w:szCs w:val="21"/>
              </w:rPr>
              <w:t>2.</w:t>
            </w:r>
            <w:r>
              <w:rPr>
                <w:rFonts w:hint="eastAsia" w:ascii="Times New Roman" w:cs="仿宋_GB2312" w:hAnsiTheme="minorEastAsia" w:eastAsiaTheme="minorEastAsia"/>
                <w:kern w:val="0"/>
                <w:sz w:val="21"/>
                <w:szCs w:val="21"/>
              </w:rPr>
              <w:t>狠抓作风建设，提升组织公信力。</w:t>
            </w:r>
            <w:r>
              <w:rPr>
                <w:rFonts w:hint="eastAsia" w:ascii="Times New Roman" w:cs="仿宋_GB2312" w:hAnsiTheme="minorEastAsia" w:eastAsiaTheme="minorEastAsia"/>
                <w:bCs/>
                <w:kern w:val="0"/>
                <w:sz w:val="21"/>
                <w:szCs w:val="21"/>
              </w:rPr>
              <w:t>以</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作风建设提升年</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活动为抓手，结合支部</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三会一课</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跑赢新赛程</w:t>
            </w:r>
            <w:r>
              <w:rPr>
                <w:rFonts w:hint="eastAsia" w:ascii="Times New Roman" w:hAnsi="Times New Roman" w:cs="仿宋_GB2312" w:eastAsiaTheme="minorEastAsia"/>
                <w:bCs/>
                <w:kern w:val="0"/>
                <w:sz w:val="21"/>
                <w:szCs w:val="21"/>
              </w:rPr>
              <w:t xml:space="preserve"> </w:t>
            </w:r>
            <w:r>
              <w:rPr>
                <w:rFonts w:hint="eastAsia" w:ascii="Times New Roman" w:cs="仿宋_GB2312" w:hAnsiTheme="minorEastAsia" w:eastAsiaTheme="minorEastAsia"/>
                <w:bCs/>
                <w:kern w:val="0"/>
                <w:sz w:val="21"/>
                <w:szCs w:val="21"/>
              </w:rPr>
              <w:t>勇担新使命</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主题党日活动等组织党员干部进行专题学习，围绕单位重点职能工作开展大讨论、微调研、谈心谈话、大排查等，规范干部职工言行举止，改善队伍工作作风，提升整体精神面貌，维护行政机关的执法权威。</w:t>
            </w:r>
          </w:p>
          <w:p w14:paraId="29BF6080">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仿宋_GB2312" w:eastAsiaTheme="minorEastAsia"/>
                <w:kern w:val="0"/>
                <w:sz w:val="21"/>
                <w:szCs w:val="21"/>
              </w:rPr>
              <w:t>3.</w:t>
            </w:r>
            <w:r>
              <w:rPr>
                <w:rFonts w:hint="eastAsia" w:ascii="Times New Roman" w:cs="仿宋_GB2312" w:hAnsiTheme="minorEastAsia" w:eastAsiaTheme="minorEastAsia"/>
                <w:kern w:val="0"/>
                <w:sz w:val="21"/>
                <w:szCs w:val="21"/>
              </w:rPr>
              <w:t>强化政治引领，提升队伍战斗力。</w:t>
            </w:r>
            <w:r>
              <w:rPr>
                <w:rFonts w:hint="eastAsia" w:ascii="Times New Roman" w:cs="仿宋_GB2312" w:hAnsiTheme="minorEastAsia" w:eastAsiaTheme="minorEastAsia"/>
                <w:bCs/>
                <w:kern w:val="0"/>
                <w:sz w:val="21"/>
                <w:szCs w:val="21"/>
              </w:rPr>
              <w:t>年轻干部实行</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奋飞东洲</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计划，实现文化、技能、思想三提升。党员实行特色队伍管理模式，即</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碧水保质突击队</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大气管控先锋队</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净土守卫排头兵</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环境执法轻骑兵</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忧企为民贴心人</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生态海门护旗手</w:t>
            </w:r>
            <w:r>
              <w:rPr>
                <w:rFonts w:hint="eastAsia" w:ascii="Times New Roman" w:hAnsi="Times New Roman" w:cs="仿宋_GB2312" w:eastAsiaTheme="minorEastAsia"/>
                <w:bCs/>
                <w:kern w:val="0"/>
                <w:sz w:val="21"/>
                <w:szCs w:val="21"/>
              </w:rPr>
              <w:t>”6</w:t>
            </w:r>
            <w:r>
              <w:rPr>
                <w:rFonts w:hint="eastAsia" w:ascii="Times New Roman" w:cs="仿宋_GB2312" w:hAnsiTheme="minorEastAsia" w:eastAsiaTheme="minorEastAsia"/>
                <w:bCs/>
                <w:kern w:val="0"/>
                <w:sz w:val="21"/>
                <w:szCs w:val="21"/>
              </w:rPr>
              <w:t>支党员队伍，分别围绕水、气、土、执法、企业服务和监测常态化开展</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党建</w:t>
            </w:r>
            <w:r>
              <w:rPr>
                <w:rFonts w:hint="eastAsia" w:ascii="Times New Roman" w:hAnsi="Times New Roman" w:cs="仿宋_GB2312" w:eastAsiaTheme="minorEastAsia"/>
                <w:bCs/>
                <w:kern w:val="0"/>
                <w:sz w:val="21"/>
                <w:szCs w:val="21"/>
              </w:rPr>
              <w:t>+”</w:t>
            </w:r>
            <w:r>
              <w:rPr>
                <w:rFonts w:hint="eastAsia" w:ascii="Times New Roman" w:cs="仿宋_GB2312" w:hAnsiTheme="minorEastAsia" w:eastAsiaTheme="minorEastAsia"/>
                <w:bCs/>
                <w:kern w:val="0"/>
                <w:sz w:val="21"/>
                <w:szCs w:val="21"/>
              </w:rPr>
              <w:t>等各类专项活动，凝聚党建工作合力。</w:t>
            </w:r>
          </w:p>
        </w:tc>
        <w:tc>
          <w:tcPr>
            <w:tcW w:w="616" w:type="pct"/>
            <w:vAlign w:val="center"/>
          </w:tcPr>
          <w:p w14:paraId="71A8C7DE">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办公室</w:t>
            </w:r>
          </w:p>
        </w:tc>
      </w:tr>
      <w:tr w14:paraId="6A345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9" w:hRule="atLeast"/>
          <w:jc w:val="center"/>
        </w:trPr>
        <w:tc>
          <w:tcPr>
            <w:tcW w:w="369" w:type="pct"/>
            <w:vAlign w:val="center"/>
          </w:tcPr>
          <w:p w14:paraId="088ED514">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p>
        </w:tc>
        <w:tc>
          <w:tcPr>
            <w:tcW w:w="761" w:type="pct"/>
            <w:vAlign w:val="center"/>
          </w:tcPr>
          <w:p w14:paraId="1FCEE62C">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国家级生态文明示范区创建工程</w:t>
            </w:r>
          </w:p>
        </w:tc>
        <w:tc>
          <w:tcPr>
            <w:tcW w:w="3255" w:type="pct"/>
            <w:vAlign w:val="center"/>
          </w:tcPr>
          <w:p w14:paraId="38C582CB">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为全面贯彻落实习近平总书记重要讲话精神，根据《国家生态文明建设示范市县管理规程》《国家生态文明建设示范市县建设指标》要求，结合《海门市生态文明建设规划（修编）》（</w:t>
            </w:r>
            <w:r>
              <w:rPr>
                <w:rFonts w:hint="eastAsia" w:ascii="Times New Roman" w:hAnsi="Times New Roman" w:cs="Times New Roman" w:eastAsiaTheme="minorEastAsia"/>
                <w:kern w:val="0"/>
                <w:sz w:val="21"/>
                <w:szCs w:val="21"/>
              </w:rPr>
              <w:t>2019</w:t>
            </w:r>
            <w:r>
              <w:rPr>
                <w:rFonts w:hint="eastAsia" w:ascii="Times New Roman" w:cs="Times New Roman" w:hAnsiTheme="minorEastAsia" w:eastAsiaTheme="minorEastAsia"/>
                <w:kern w:val="0"/>
                <w:sz w:val="21"/>
                <w:szCs w:val="21"/>
              </w:rPr>
              <w:t>－</w:t>
            </w:r>
            <w:r>
              <w:rPr>
                <w:rFonts w:hint="eastAsia" w:ascii="Times New Roman" w:hAnsi="Times New Roman" w:cs="Times New Roman" w:eastAsiaTheme="minorEastAsia"/>
                <w:kern w:val="0"/>
                <w:sz w:val="21"/>
                <w:szCs w:val="21"/>
              </w:rPr>
              <w:t>2023</w:t>
            </w:r>
            <w:r>
              <w:rPr>
                <w:rFonts w:hint="eastAsia" w:ascii="Times New Roman" w:cs="Times New Roman" w:hAnsiTheme="minorEastAsia" w:eastAsiaTheme="minorEastAsia"/>
                <w:kern w:val="0"/>
                <w:sz w:val="21"/>
                <w:szCs w:val="21"/>
              </w:rPr>
              <w:t>年），牵头开展生态文明建设示范区创建工作，努力达到创建国家级生态文明建设示范区考核的各项标准。</w:t>
            </w:r>
          </w:p>
          <w:p w14:paraId="082F9490">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国家级创建主要包括六大板块</w:t>
            </w:r>
            <w:r>
              <w:rPr>
                <w:rFonts w:hint="eastAsia" w:ascii="Times New Roman" w:hAnsi="Times New Roman" w:cs="Times New Roman" w:eastAsiaTheme="minorEastAsia"/>
                <w:kern w:val="0"/>
                <w:sz w:val="21"/>
                <w:szCs w:val="21"/>
              </w:rPr>
              <w:t>38</w:t>
            </w:r>
            <w:r>
              <w:rPr>
                <w:rFonts w:hint="eastAsia" w:ascii="Times New Roman" w:cs="Times New Roman" w:hAnsiTheme="minorEastAsia" w:eastAsiaTheme="minorEastAsia"/>
                <w:kern w:val="0"/>
                <w:sz w:val="21"/>
                <w:szCs w:val="21"/>
              </w:rPr>
              <w:t>小项工作。（健全生态文明制度，完善目标责任体系：科学编制规划，成立领导小组，不断完善考核机制，完善自然资源资产管理制度，完善自然资源资产离任审计制度，建立责任追究制度，严格落实</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河（湖）长制</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湾（滩）长制</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完善排污许可和资源交易制度，加强环境信息公开，全面开展规划环境影响评价。持续改善环境质量，切实保障生态安全：持续改善大气环境质量，不断提升水环境质量，稳步提升生态环境状况指数，持续提升林草覆盖率，加大生物多样性保护力度，切实加强危险废物利用处置监管，抓实土壤环境日常管理，完善突发生态环境事件应急管理机制。优化生态空间格局，构建江海特色生态空间：严守自然生态安全边界，加大自然岸线、河湖岸线保护。加强资源节约利用，发展绿色生态经济：深入推进节能降耗，加强节约用水管理，严格控制建设用地规模，加大粮食作物化肥利用率，加大农业废弃物综合利用率，切实提高一般工业固体废物综合利用率。打造生态生活特色，建设美丽宜居名城：强化集中式饮用水水源地监管，提高城镇污水处理率，加强农村生活污水处理率，完善生活垃圾无害化处理体系，提高农村无害化卫生厕所普及率，进一步推广绿色建筑，综合利用生活废弃物，大力践行绿色消费，扩大政府绿色采购。加强生态文化宣传，普及生态文明知识：将生态文明纳入干部教育培训内容，提高生态文明建设满意度，提升生态文明建设参与度。）</w:t>
            </w:r>
          </w:p>
        </w:tc>
        <w:tc>
          <w:tcPr>
            <w:tcW w:w="616" w:type="pct"/>
            <w:vAlign w:val="center"/>
          </w:tcPr>
          <w:p w14:paraId="08D5CDE7">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综合科</w:t>
            </w:r>
          </w:p>
        </w:tc>
      </w:tr>
      <w:tr w14:paraId="662DB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2" w:hRule="atLeast"/>
          <w:jc w:val="center"/>
        </w:trPr>
        <w:tc>
          <w:tcPr>
            <w:tcW w:w="369" w:type="pct"/>
            <w:vAlign w:val="center"/>
          </w:tcPr>
          <w:p w14:paraId="7BCBA8DE">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p>
        </w:tc>
        <w:tc>
          <w:tcPr>
            <w:tcW w:w="761" w:type="pct"/>
            <w:vAlign w:val="center"/>
          </w:tcPr>
          <w:p w14:paraId="293062BB">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生态环境提质增效工程</w:t>
            </w:r>
          </w:p>
        </w:tc>
        <w:tc>
          <w:tcPr>
            <w:tcW w:w="3255" w:type="pct"/>
            <w:vAlign w:val="center"/>
          </w:tcPr>
          <w:p w14:paraId="36D16405">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多措并举保障省市断面水质。优化水质预警机制，强化预警、交办、督办，强化问题快速排查和解除。建设</w:t>
            </w:r>
            <w:r>
              <w:rPr>
                <w:rFonts w:hint="eastAsia" w:ascii="Times New Roman" w:hAnsi="Times New Roman" w:cs="Times New Roman" w:eastAsiaTheme="minorEastAsia"/>
                <w:kern w:val="0"/>
                <w:sz w:val="21"/>
                <w:szCs w:val="21"/>
              </w:rPr>
              <w:t>14</w:t>
            </w:r>
            <w:r>
              <w:rPr>
                <w:rFonts w:hint="eastAsia" w:ascii="Times New Roman" w:cs="Times New Roman" w:hAnsiTheme="minorEastAsia" w:eastAsiaTheme="minorEastAsia"/>
                <w:kern w:val="0"/>
                <w:sz w:val="21"/>
                <w:szCs w:val="21"/>
              </w:rPr>
              <w:t>个上下游水质自动监测微站，系统掌握水质变化情况。委托第三方实施问题断面监测溯源，积极采取临时措施解决断面指标超标问题。强化断面长工作职能，及时传达水质信息和问题。强化区镇和部门水环境职责，重点治理问题断面所在河流。优化区域补偿和区考断面，保障省市断面优Ⅲ类水质持续提升。继续强化湾（滩）长制工作，履行好湾（滩）长办公室作用，统筹好部门和区镇职责。强化近岸海域水质预警和管控，强化入海排污口整治和监管，严厉打击各类违反海洋保护的环境违法行为，近岸海域水质优良水质面积比例达到考核要求。</w:t>
            </w:r>
          </w:p>
          <w:p w14:paraId="5AD16F4D">
            <w:pPr>
              <w:widowControl/>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PM2.5</w:t>
            </w:r>
            <w:r>
              <w:rPr>
                <w:rFonts w:hint="eastAsia" w:ascii="Times New Roman" w:cs="Times New Roman" w:hAnsiTheme="minorEastAsia" w:eastAsiaTheme="minorEastAsia"/>
                <w:kern w:val="0"/>
                <w:sz w:val="21"/>
                <w:szCs w:val="21"/>
              </w:rPr>
              <w:t>保持全省前列。紧盯省控站点周边重点区域涉气源防控；加强部门联动，强化污染天气应对；加强与攻坚办协作，利用第三方团队，加强科技支撑，提高预测预警能力，组织采取污染天气应对措施，精准施策；督促各区镇履行好点位长制度。</w:t>
            </w:r>
          </w:p>
          <w:p w14:paraId="52B4D0E5">
            <w:pPr>
              <w:widowControl/>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抓实抓细土壤日常管理。有序推进关闭退出化工企业土壤污染状况调查，强化土壤重点监管单位执法监管，构建地下水污染防治分区管控体系，建立更新我区疑似污染地块名单，强化风险管控和地块的安全开发利用。</w:t>
            </w:r>
          </w:p>
        </w:tc>
        <w:tc>
          <w:tcPr>
            <w:tcW w:w="616" w:type="pct"/>
            <w:vAlign w:val="center"/>
          </w:tcPr>
          <w:p w14:paraId="5B73A8CE">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水科</w:t>
            </w:r>
          </w:p>
          <w:p w14:paraId="1EC26DFB">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大气科</w:t>
            </w:r>
          </w:p>
          <w:p w14:paraId="143CA30F">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土科</w:t>
            </w:r>
          </w:p>
        </w:tc>
      </w:tr>
      <w:tr w14:paraId="141BB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369" w:type="pct"/>
            <w:vAlign w:val="center"/>
          </w:tcPr>
          <w:p w14:paraId="69635BEE">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4</w:t>
            </w:r>
          </w:p>
        </w:tc>
        <w:tc>
          <w:tcPr>
            <w:tcW w:w="761" w:type="pct"/>
            <w:vAlign w:val="center"/>
          </w:tcPr>
          <w:p w14:paraId="522CA28F">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温情执法</w:t>
            </w:r>
            <w:r>
              <w:rPr>
                <w:rFonts w:hint="eastAsia" w:ascii="Times New Roman" w:hAnsi="Times New Roman" w:cs="Times New Roman" w:eastAsiaTheme="minorEastAsia"/>
                <w:kern w:val="0"/>
                <w:sz w:val="21"/>
                <w:szCs w:val="21"/>
              </w:rPr>
              <w:t xml:space="preserve"> </w:t>
            </w:r>
            <w:r>
              <w:rPr>
                <w:rFonts w:hint="eastAsia" w:ascii="Times New Roman" w:cs="Times New Roman" w:hAnsiTheme="minorEastAsia" w:eastAsiaTheme="minorEastAsia"/>
                <w:kern w:val="0"/>
                <w:sz w:val="21"/>
                <w:szCs w:val="21"/>
              </w:rPr>
              <w:t>绿色助企工程</w:t>
            </w:r>
          </w:p>
        </w:tc>
        <w:tc>
          <w:tcPr>
            <w:tcW w:w="3255" w:type="pct"/>
            <w:vAlign w:val="center"/>
          </w:tcPr>
          <w:p w14:paraId="4B7BD613">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为了进一步提高环境管理水平、加强企业环保主体责任意识、优化营商环境，坚持监管与服务并重，以温情执法助力企业绿色发展：</w:t>
            </w:r>
          </w:p>
          <w:p w14:paraId="22007BD3">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w:t>
            </w:r>
            <w:r>
              <w:rPr>
                <w:rFonts w:hint="eastAsia" w:ascii="Times New Roman" w:cs="Times New Roman" w:hAnsiTheme="minorEastAsia" w:eastAsiaTheme="minorEastAsia"/>
                <w:kern w:val="0"/>
                <w:sz w:val="21"/>
                <w:szCs w:val="21"/>
              </w:rPr>
              <w:t>加大信息化监管水平，积极利用远程管控、移动监管、预警提示等非现场方式对企业实施日常监管，做到对企业的</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非必要不干扰</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，营造更优良的法治营商环境。</w:t>
            </w:r>
          </w:p>
          <w:p w14:paraId="1B6C517C">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r>
              <w:rPr>
                <w:rFonts w:hint="eastAsia" w:ascii="Times New Roman" w:cs="Times New Roman" w:hAnsiTheme="minorEastAsia" w:eastAsiaTheme="minorEastAsia"/>
                <w:kern w:val="0"/>
                <w:sz w:val="21"/>
                <w:szCs w:val="21"/>
              </w:rPr>
              <w:t>以</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服务入企、会议交流、现场检查</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等，了解企业所需，化解发展难题，指导企业做好污染防治设施规范运行等，优化营商环境，推进精准服务。</w:t>
            </w:r>
          </w:p>
          <w:p w14:paraId="2E77CA34">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r>
              <w:rPr>
                <w:rFonts w:hint="eastAsia" w:ascii="Times New Roman" w:cs="Times New Roman" w:hAnsiTheme="minorEastAsia" w:eastAsiaTheme="minorEastAsia"/>
                <w:kern w:val="0"/>
                <w:sz w:val="21"/>
                <w:szCs w:val="21"/>
              </w:rPr>
              <w:t>推动普法式、提醒式执法，加强环保法律法规宣传教育，对企业进一步开展指导培训、送法上门等服务活动，解决企业关心的环保问题，提升企业环保主体责任意识，营造出企业履行环保</w:t>
            </w:r>
            <w:r>
              <w:rPr>
                <w:rFonts w:hint="eastAsia" w:ascii="Times New Roman" w:cs="Times New Roman" w:hAnsiTheme="minorEastAsia"/>
                <w:kern w:val="0"/>
                <w:sz w:val="21"/>
                <w:szCs w:val="21"/>
                <w:lang w:eastAsia="zh-CN"/>
              </w:rPr>
              <w:t>主体责任</w:t>
            </w:r>
            <w:r>
              <w:rPr>
                <w:rFonts w:hint="eastAsia" w:ascii="Times New Roman" w:cs="Times New Roman" w:hAnsiTheme="minorEastAsia" w:eastAsiaTheme="minorEastAsia"/>
                <w:kern w:val="0"/>
                <w:sz w:val="21"/>
                <w:szCs w:val="21"/>
              </w:rPr>
              <w:t>、懂法守法的氛围。</w:t>
            </w:r>
            <w:bookmarkStart w:id="0" w:name="_GoBack"/>
            <w:bookmarkEnd w:id="0"/>
          </w:p>
        </w:tc>
        <w:tc>
          <w:tcPr>
            <w:tcW w:w="616" w:type="pct"/>
            <w:vAlign w:val="center"/>
          </w:tcPr>
          <w:p w14:paraId="4EC69A73">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法宣科</w:t>
            </w:r>
          </w:p>
          <w:p w14:paraId="5EDDA514">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综合科</w:t>
            </w:r>
          </w:p>
          <w:p w14:paraId="40288234">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综合执法科</w:t>
            </w:r>
          </w:p>
          <w:p w14:paraId="04DC3E2D">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各执法分局</w:t>
            </w:r>
          </w:p>
        </w:tc>
      </w:tr>
      <w:tr w14:paraId="18F44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jc w:val="center"/>
        </w:trPr>
        <w:tc>
          <w:tcPr>
            <w:tcW w:w="369" w:type="pct"/>
            <w:vAlign w:val="center"/>
          </w:tcPr>
          <w:p w14:paraId="24286BE4">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5</w:t>
            </w:r>
          </w:p>
        </w:tc>
        <w:tc>
          <w:tcPr>
            <w:tcW w:w="761" w:type="pct"/>
            <w:vAlign w:val="center"/>
          </w:tcPr>
          <w:p w14:paraId="6249E623">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科技执法工程</w:t>
            </w:r>
          </w:p>
        </w:tc>
        <w:tc>
          <w:tcPr>
            <w:tcW w:w="3255" w:type="pct"/>
            <w:vAlign w:val="center"/>
          </w:tcPr>
          <w:p w14:paraId="48D0EDAA">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加强科技执法手段运用，提高生态环境监管成效。借助污染源自动监测、视频监控、用电监控、走航车、无人机、无人船等科技手段，推行非接触式执法，以大数据和高科技，提高执法精准性，对守法企业实现无事不扰，对违法企业严厉查处。全年至少开展走航监测</w:t>
            </w:r>
            <w:r>
              <w:rPr>
                <w:rFonts w:hint="eastAsia" w:ascii="Times New Roman" w:hAnsi="Times New Roman" w:cs="Times New Roman" w:eastAsiaTheme="minorEastAsia"/>
                <w:kern w:val="0"/>
                <w:sz w:val="21"/>
                <w:szCs w:val="21"/>
              </w:rPr>
              <w:t>150</w:t>
            </w:r>
            <w:r>
              <w:rPr>
                <w:rFonts w:hint="eastAsia" w:ascii="Times New Roman" w:cs="Times New Roman" w:hAnsiTheme="minorEastAsia" w:eastAsiaTheme="minorEastAsia"/>
                <w:kern w:val="0"/>
                <w:sz w:val="21"/>
                <w:szCs w:val="21"/>
              </w:rPr>
              <w:t>次、无人机航测</w:t>
            </w:r>
            <w:r>
              <w:rPr>
                <w:rFonts w:hint="eastAsia" w:ascii="Times New Roman" w:hAnsi="Times New Roman" w:cs="Times New Roman" w:eastAsiaTheme="minorEastAsia"/>
                <w:kern w:val="0"/>
                <w:sz w:val="21"/>
                <w:szCs w:val="21"/>
              </w:rPr>
              <w:t>20</w:t>
            </w:r>
            <w:r>
              <w:rPr>
                <w:rFonts w:hint="eastAsia" w:ascii="Times New Roman" w:cs="Times New Roman" w:hAnsiTheme="minorEastAsia" w:eastAsiaTheme="minorEastAsia"/>
                <w:kern w:val="0"/>
                <w:sz w:val="21"/>
                <w:szCs w:val="21"/>
              </w:rPr>
              <w:t>次、无人船探测监测</w:t>
            </w:r>
            <w:r>
              <w:rPr>
                <w:rFonts w:hint="eastAsia" w:ascii="Times New Roman" w:hAnsi="Times New Roman" w:cs="Times New Roman" w:eastAsiaTheme="minorEastAsia"/>
                <w:kern w:val="0"/>
                <w:sz w:val="21"/>
                <w:szCs w:val="21"/>
              </w:rPr>
              <w:t>5</w:t>
            </w:r>
            <w:r>
              <w:rPr>
                <w:rFonts w:hint="eastAsia" w:ascii="Times New Roman" w:cs="Times New Roman" w:hAnsiTheme="minorEastAsia" w:eastAsiaTheme="minorEastAsia"/>
                <w:kern w:val="0"/>
                <w:sz w:val="21"/>
                <w:szCs w:val="21"/>
              </w:rPr>
              <w:t>次，同时加强在线监控平台运维管理，严厉查处偷排直排、不正常运行污染防治设施、监测数据弄虚作假等环境违法行为，全年科技手段处罚案件在所有案件占比超过</w:t>
            </w:r>
            <w:r>
              <w:rPr>
                <w:rFonts w:hint="eastAsia" w:ascii="Times New Roman" w:hAnsi="Times New Roman" w:cs="Times New Roman" w:eastAsiaTheme="minorEastAsia"/>
                <w:kern w:val="0"/>
                <w:sz w:val="21"/>
                <w:szCs w:val="21"/>
              </w:rPr>
              <w:t>10%</w:t>
            </w:r>
            <w:r>
              <w:rPr>
                <w:rFonts w:hint="eastAsia" w:ascii="Times New Roman" w:cs="Times New Roman" w:hAnsiTheme="minorEastAsia" w:eastAsiaTheme="minorEastAsia"/>
                <w:kern w:val="0"/>
                <w:sz w:val="21"/>
                <w:szCs w:val="21"/>
              </w:rPr>
              <w:t>。通过精准查处和宣传报道，震慑环境违法行为，不断提升执法成效。</w:t>
            </w:r>
          </w:p>
        </w:tc>
        <w:tc>
          <w:tcPr>
            <w:tcW w:w="616" w:type="pct"/>
            <w:vAlign w:val="center"/>
          </w:tcPr>
          <w:p w14:paraId="02B6FA43">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综合执法科</w:t>
            </w:r>
          </w:p>
        </w:tc>
      </w:tr>
      <w:tr w14:paraId="54350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2" w:hRule="atLeast"/>
          <w:jc w:val="center"/>
        </w:trPr>
        <w:tc>
          <w:tcPr>
            <w:tcW w:w="369" w:type="pct"/>
            <w:vAlign w:val="center"/>
          </w:tcPr>
          <w:p w14:paraId="25C5D586">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6</w:t>
            </w:r>
          </w:p>
        </w:tc>
        <w:tc>
          <w:tcPr>
            <w:tcW w:w="761" w:type="pct"/>
            <w:vAlign w:val="center"/>
          </w:tcPr>
          <w:p w14:paraId="40F817C6">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环境信访压减化解工程</w:t>
            </w:r>
          </w:p>
        </w:tc>
        <w:tc>
          <w:tcPr>
            <w:tcW w:w="3255" w:type="pct"/>
            <w:vAlign w:val="center"/>
          </w:tcPr>
          <w:p w14:paraId="67A455FB">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持续开展环境信访压减化解工程，着力解决一批案情复杂、久拖未决信访积案，最大限度减少环境信访</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存量</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，保障人民群众合法环境权益。一是进一步健全工作责任制度，强化属地稳控原则，形成</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上下联动，左右互应，横向到边，纵向到底</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的大信访格局。二是进一步加强学习宣传力度，加强环境执法人员信访政策法规业务能力提升，引导促使群众依法有序信访。三是进一步提高办案结案率度，对难点信访，因案制宜，在</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事要解决</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上下功夫，力争使信访案件办结率达到</w:t>
            </w:r>
            <w:r>
              <w:rPr>
                <w:rFonts w:hint="eastAsia" w:ascii="Times New Roman" w:hAnsi="Times New Roman" w:cs="Times New Roman" w:eastAsiaTheme="minorEastAsia"/>
                <w:kern w:val="0"/>
                <w:sz w:val="21"/>
                <w:szCs w:val="21"/>
              </w:rPr>
              <w:t>100%</w:t>
            </w:r>
            <w:r>
              <w:rPr>
                <w:rFonts w:hint="eastAsia" w:ascii="Times New Roman" w:cs="Times New Roman" w:hAnsiTheme="minorEastAsia" w:eastAsiaTheme="minorEastAsia"/>
                <w:kern w:val="0"/>
                <w:sz w:val="21"/>
                <w:szCs w:val="21"/>
              </w:rPr>
              <w:t>。四是进一步加大环境问题整治力度，重点解决群众投诉中涉及的环境问题，维护群众合法环境权益，妥善处理好群众集体访和突发性事件，努力把群众诉求问题化解在基层，解决在萌芽状态。</w:t>
            </w:r>
          </w:p>
        </w:tc>
        <w:tc>
          <w:tcPr>
            <w:tcW w:w="616" w:type="pct"/>
            <w:vAlign w:val="center"/>
          </w:tcPr>
          <w:p w14:paraId="386C0568">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信访科</w:t>
            </w:r>
          </w:p>
        </w:tc>
      </w:tr>
      <w:tr w14:paraId="560A2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369" w:type="pct"/>
            <w:vAlign w:val="center"/>
          </w:tcPr>
          <w:p w14:paraId="68B77785">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7</w:t>
            </w:r>
          </w:p>
        </w:tc>
        <w:tc>
          <w:tcPr>
            <w:tcW w:w="761" w:type="pct"/>
            <w:vAlign w:val="center"/>
          </w:tcPr>
          <w:p w14:paraId="068570FE">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生态修复多元化工程</w:t>
            </w:r>
          </w:p>
        </w:tc>
        <w:tc>
          <w:tcPr>
            <w:tcW w:w="3255" w:type="pct"/>
            <w:vAlign w:val="center"/>
          </w:tcPr>
          <w:p w14:paraId="10B5682B">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为进一步落实生态环境损害赔偿制度</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探索生态环境领域</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损害</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担责</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修复</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模式</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通过</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部门联动应赔尽赔、创新生态多元修复、拓宽资金使用渠道</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，促我局生态环境损害赔偿走在全市前列。</w:t>
            </w:r>
          </w:p>
          <w:p w14:paraId="3BDBDF41">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w:t>
            </w:r>
            <w:r>
              <w:rPr>
                <w:rFonts w:hint="eastAsia" w:ascii="Times New Roman" w:cs="Times New Roman" w:hAnsiTheme="minorEastAsia" w:eastAsiaTheme="minorEastAsia"/>
                <w:kern w:val="0"/>
                <w:sz w:val="21"/>
                <w:szCs w:val="21"/>
              </w:rPr>
              <w:t>强化生态环境司法联动，完善</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横向协同、上下联动、监督有力</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的部门协作机制，主动沟通信息，依法移交案件线索，破解重点环境问题；对涉及生态环境的信访投诉、行政处罚、刑事案件线索，应赔尽赔；实现多部门共同推进</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长江大保护</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w:t>
            </w:r>
          </w:p>
          <w:p w14:paraId="40C14F07">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r>
              <w:rPr>
                <w:rFonts w:hint="eastAsia" w:ascii="Times New Roman" w:cs="Times New Roman" w:hAnsiTheme="minorEastAsia" w:eastAsiaTheme="minorEastAsia"/>
                <w:kern w:val="0"/>
                <w:sz w:val="21"/>
                <w:szCs w:val="21"/>
              </w:rPr>
              <w:t>利用座谈、培训、</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总监说法</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等形式，普及</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生态优先、绿色发展</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理念，提高治污主体履职意识，鼓励企业开展生态修复、替代修复，探索以劳务代偿的形式承担生态修复责任。</w:t>
            </w:r>
          </w:p>
          <w:p w14:paraId="345EA3D7">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r>
              <w:rPr>
                <w:rFonts w:hint="eastAsia" w:ascii="Times New Roman" w:cs="Times New Roman" w:hAnsiTheme="minorEastAsia" w:eastAsiaTheme="minorEastAsia"/>
                <w:kern w:val="0"/>
                <w:sz w:val="21"/>
                <w:szCs w:val="21"/>
              </w:rPr>
              <w:t>拓宽生态环境损害赔偿资金使用渠道，助力打造生态公益林、沿江景观带，建立普法宣传、科普教育和环境保护等为一体的生态基地。</w:t>
            </w:r>
          </w:p>
        </w:tc>
        <w:tc>
          <w:tcPr>
            <w:tcW w:w="616" w:type="pct"/>
            <w:vAlign w:val="center"/>
          </w:tcPr>
          <w:p w14:paraId="0BCD89ED">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法宣科</w:t>
            </w:r>
          </w:p>
        </w:tc>
      </w:tr>
      <w:tr w14:paraId="758C45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369" w:type="pct"/>
            <w:vAlign w:val="center"/>
          </w:tcPr>
          <w:p w14:paraId="276C69B7">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8</w:t>
            </w:r>
          </w:p>
        </w:tc>
        <w:tc>
          <w:tcPr>
            <w:tcW w:w="761" w:type="pct"/>
            <w:vAlign w:val="center"/>
          </w:tcPr>
          <w:p w14:paraId="28C507D9">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危废集中收集分级分类管理工程</w:t>
            </w:r>
          </w:p>
        </w:tc>
        <w:tc>
          <w:tcPr>
            <w:tcW w:w="3255" w:type="pct"/>
            <w:vAlign w:val="center"/>
          </w:tcPr>
          <w:p w14:paraId="26793CDF">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为了推进危险废物差别化管理制度，对重点源单位、一般源单位、特别行业单位实施分类分级管理，全面提升全区危险废物规划化环境管理水平。</w:t>
            </w:r>
          </w:p>
          <w:p w14:paraId="013E260C">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w:t>
            </w:r>
            <w:r>
              <w:rPr>
                <w:rFonts w:hint="eastAsia" w:ascii="Times New Roman" w:cs="Times New Roman" w:hAnsiTheme="minorEastAsia" w:eastAsiaTheme="minorEastAsia"/>
                <w:kern w:val="0"/>
                <w:sz w:val="21"/>
                <w:szCs w:val="21"/>
              </w:rPr>
              <w:t>建立危险废物集中收集项目。督促、指导、服务试点单位光大绿色环保固废处置（南通）有限公司加快推进建设小微收集试点项目。</w:t>
            </w:r>
          </w:p>
          <w:p w14:paraId="6DE90CBF">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r>
              <w:rPr>
                <w:rFonts w:hint="eastAsia" w:ascii="Times New Roman" w:cs="Times New Roman" w:hAnsiTheme="minorEastAsia" w:eastAsiaTheme="minorEastAsia"/>
                <w:kern w:val="0"/>
                <w:sz w:val="21"/>
                <w:szCs w:val="21"/>
              </w:rPr>
              <w:t>建立分级分类管理体系。对一般源单位、特别行业单位在满足危险废物污染环境防治主体责任落实到位和危险废物可追溯的条件下纳入小微集中收集管理体系，优化管理；对重点源单位全面强化管理，结合危废专项整治三年行动、危险废物规范化环境管理评估等专项执法检查，督促落实危险废物管理企业主体责任，加强危险废物产生、贮存、转运、利用处置等环节污染防治，严厉打击非法转移、倾倒等环境违法犯罪行为。</w:t>
            </w:r>
          </w:p>
        </w:tc>
        <w:tc>
          <w:tcPr>
            <w:tcW w:w="616" w:type="pct"/>
            <w:vAlign w:val="center"/>
          </w:tcPr>
          <w:p w14:paraId="6DBFFD13">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土科</w:t>
            </w:r>
          </w:p>
        </w:tc>
      </w:tr>
      <w:tr w14:paraId="470BAB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369" w:type="pct"/>
            <w:vAlign w:val="center"/>
          </w:tcPr>
          <w:p w14:paraId="48CC839F">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9</w:t>
            </w:r>
          </w:p>
        </w:tc>
        <w:tc>
          <w:tcPr>
            <w:tcW w:w="761" w:type="pct"/>
            <w:vAlign w:val="center"/>
          </w:tcPr>
          <w:p w14:paraId="56E34D39">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环境安全能力提升工程</w:t>
            </w:r>
          </w:p>
        </w:tc>
        <w:tc>
          <w:tcPr>
            <w:tcW w:w="3255" w:type="pct"/>
            <w:vAlign w:val="center"/>
          </w:tcPr>
          <w:p w14:paraId="7CFF84C9">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针对我区企业环境安全和环境应急意识不强、能力不足和工作开展涉后的现状，大开推进环境安全能力提升工程：</w:t>
            </w:r>
          </w:p>
          <w:p w14:paraId="0F20E1A6">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w:t>
            </w:r>
            <w:r>
              <w:rPr>
                <w:rFonts w:hint="eastAsia" w:ascii="Times New Roman" w:cs="Times New Roman" w:hAnsiTheme="minorEastAsia" w:eastAsiaTheme="minorEastAsia"/>
                <w:kern w:val="0"/>
                <w:sz w:val="21"/>
                <w:szCs w:val="21"/>
              </w:rPr>
              <w:t>组织环境应急专家开展环境安全讲座、培训，提升环境安全管理能力</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主动上门服务，发挥专家技术力量，宣传普及环境安全知识和理念，提升企业环境安全管理能力</w:t>
            </w:r>
          </w:p>
          <w:p w14:paraId="5CE0723E">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2.</w:t>
            </w:r>
            <w:r>
              <w:rPr>
                <w:rFonts w:hint="eastAsia" w:ascii="Times New Roman" w:cs="Times New Roman" w:hAnsiTheme="minorEastAsia" w:eastAsiaTheme="minorEastAsia"/>
                <w:kern w:val="0"/>
                <w:sz w:val="21"/>
                <w:szCs w:val="21"/>
              </w:rPr>
              <w:t>大力开展环境安全、应急知识宣传普及，编制环境安全知识手册，下发至全区存在环境风险企业，普及环境安全知识。</w:t>
            </w:r>
          </w:p>
          <w:p w14:paraId="75612BDC">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3.</w:t>
            </w:r>
            <w:r>
              <w:rPr>
                <w:rFonts w:hint="eastAsia" w:ascii="Times New Roman" w:cs="Times New Roman" w:hAnsiTheme="minorEastAsia" w:eastAsiaTheme="minorEastAsia"/>
                <w:kern w:val="0"/>
                <w:sz w:val="21"/>
                <w:szCs w:val="21"/>
              </w:rPr>
              <w:t>开展环境应急专家和环境执法人员</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结队式</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练兵式</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交叉式</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环境风险隐患排查。充分发挥专家队伍技术优势，和环境执法能手结对，开展沿河企业等重点环境风险企业交叉式环境安全风险隐患排查。</w:t>
            </w:r>
          </w:p>
        </w:tc>
        <w:tc>
          <w:tcPr>
            <w:tcW w:w="616" w:type="pct"/>
            <w:vAlign w:val="center"/>
          </w:tcPr>
          <w:p w14:paraId="0A88B8F9">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应急科</w:t>
            </w:r>
          </w:p>
        </w:tc>
      </w:tr>
      <w:tr w14:paraId="056BC0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jc w:val="center"/>
        </w:trPr>
        <w:tc>
          <w:tcPr>
            <w:tcW w:w="369" w:type="pct"/>
            <w:vAlign w:val="center"/>
          </w:tcPr>
          <w:p w14:paraId="2864E3B7">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10</w:t>
            </w:r>
          </w:p>
        </w:tc>
        <w:tc>
          <w:tcPr>
            <w:tcW w:w="761" w:type="pct"/>
            <w:vAlign w:val="center"/>
          </w:tcPr>
          <w:p w14:paraId="44879775">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蔚蓝</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工程</w:t>
            </w:r>
          </w:p>
        </w:tc>
        <w:tc>
          <w:tcPr>
            <w:tcW w:w="3255" w:type="pct"/>
            <w:vAlign w:val="center"/>
          </w:tcPr>
          <w:p w14:paraId="1B391767">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南通市海门生态环境监测站牢固树立和践行</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绿水青山就是金山银山</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的发展理念，以改善海门生态环境质量为核心，坚持反应迅速，数据准确，服务高效原则，针对目前复杂的大气污染治理现状，全面提升固定污染源废气及环境空气的监测能力。</w:t>
            </w:r>
          </w:p>
          <w:p w14:paraId="313C2778">
            <w:pPr>
              <w:adjustRightInd w:val="0"/>
              <w:snapToGrid w:val="0"/>
              <w:spacing w:line="320" w:lineRule="exact"/>
              <w:ind w:firstLine="420" w:firstLineChars="200"/>
              <w:jc w:val="left"/>
              <w:rPr>
                <w:rFonts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蔚蓝工程</w:t>
            </w:r>
            <w:r>
              <w:rPr>
                <w:rFonts w:hint="eastAsia" w:ascii="Times New Roman" w:hAnsi="Times New Roman" w:cs="Times New Roman" w:eastAsiaTheme="minorEastAsia"/>
                <w:kern w:val="0"/>
                <w:sz w:val="21"/>
                <w:szCs w:val="21"/>
              </w:rPr>
              <w:t>”</w:t>
            </w:r>
            <w:r>
              <w:rPr>
                <w:rFonts w:hint="eastAsia" w:ascii="Times New Roman" w:cs="Times New Roman" w:hAnsiTheme="minorEastAsia" w:eastAsiaTheme="minorEastAsia"/>
                <w:kern w:val="0"/>
                <w:sz w:val="21"/>
                <w:szCs w:val="21"/>
              </w:rPr>
              <w:t>主要涵盖以下具体工作：</w:t>
            </w:r>
            <w:r>
              <w:rPr>
                <w:rFonts w:hint="eastAsia" w:ascii="Times New Roman" w:hAnsi="Times New Roman" w:cs="Times New Roman" w:eastAsiaTheme="minorEastAsia"/>
                <w:kern w:val="0"/>
                <w:sz w:val="21"/>
                <w:szCs w:val="21"/>
              </w:rPr>
              <w:t>1.</w:t>
            </w:r>
            <w:r>
              <w:rPr>
                <w:rFonts w:hint="eastAsia" w:ascii="Times New Roman" w:cs="Times New Roman" w:hAnsiTheme="minorEastAsia" w:eastAsiaTheme="minorEastAsia"/>
                <w:kern w:val="0"/>
                <w:sz w:val="21"/>
                <w:szCs w:val="21"/>
              </w:rPr>
              <w:t>服务海门重点企业。围绕打好蓝天保卫战和服务企业高质量发展，监测站将加强对重点区域重点企业的监测和业务指导工作。</w:t>
            </w:r>
            <w:r>
              <w:rPr>
                <w:rFonts w:hint="eastAsia" w:ascii="Times New Roman" w:hAnsi="Times New Roman" w:cs="Times New Roman" w:eastAsiaTheme="minorEastAsia"/>
                <w:kern w:val="0"/>
                <w:sz w:val="21"/>
                <w:szCs w:val="21"/>
              </w:rPr>
              <w:t>2.</w:t>
            </w:r>
            <w:r>
              <w:rPr>
                <w:rFonts w:hint="eastAsia" w:ascii="Times New Roman" w:cs="Times New Roman" w:hAnsiTheme="minorEastAsia" w:eastAsiaTheme="minorEastAsia"/>
                <w:kern w:val="0"/>
                <w:sz w:val="21"/>
                <w:szCs w:val="21"/>
              </w:rPr>
              <w:t>定期开展监测报告审核。报告审核工作对快速提升监测能力，优化执法监测流程具有重要意义。监测站将每季度开展站内报告审核交流工作。</w:t>
            </w:r>
            <w:r>
              <w:rPr>
                <w:rFonts w:hint="eastAsia" w:ascii="Times New Roman" w:hAnsi="Times New Roman" w:cs="Times New Roman" w:eastAsiaTheme="minorEastAsia"/>
                <w:kern w:val="0"/>
                <w:sz w:val="21"/>
                <w:szCs w:val="21"/>
              </w:rPr>
              <w:t>3.</w:t>
            </w:r>
            <w:r>
              <w:rPr>
                <w:rFonts w:hint="eastAsia" w:ascii="Times New Roman" w:cs="Times New Roman" w:hAnsiTheme="minorEastAsia" w:eastAsiaTheme="minorEastAsia"/>
                <w:kern w:val="0"/>
                <w:sz w:val="21"/>
                <w:szCs w:val="21"/>
              </w:rPr>
              <w:t>开展废气监测技能提升训练。为更高效地开展废气监测工作，监测站计划在全站开展废气监测能力提升训练，训练包括理论学习和实操训练，经过训练全面提升全站废气监测能力。</w:t>
            </w:r>
            <w:r>
              <w:rPr>
                <w:rFonts w:hint="eastAsia" w:ascii="Times New Roman" w:hAnsi="Times New Roman" w:cs="Times New Roman" w:eastAsiaTheme="minorEastAsia"/>
                <w:kern w:val="0"/>
                <w:sz w:val="21"/>
                <w:szCs w:val="21"/>
              </w:rPr>
              <w:t>4.</w:t>
            </w:r>
            <w:r>
              <w:rPr>
                <w:rFonts w:hint="eastAsia" w:ascii="Times New Roman" w:cs="Times New Roman" w:hAnsiTheme="minorEastAsia" w:eastAsiaTheme="minorEastAsia"/>
                <w:kern w:val="0"/>
                <w:sz w:val="21"/>
                <w:szCs w:val="21"/>
              </w:rPr>
              <w:t>积极配合局大气污染防控工作。大气污染防控工作复杂艰巨，监测站将保证人员与设备，确保局大气污染防控工作有效进行。</w:t>
            </w:r>
          </w:p>
        </w:tc>
        <w:tc>
          <w:tcPr>
            <w:tcW w:w="616" w:type="pct"/>
            <w:vAlign w:val="center"/>
          </w:tcPr>
          <w:p w14:paraId="61588621">
            <w:pPr>
              <w:adjustRightInd w:val="0"/>
              <w:snapToGrid w:val="0"/>
              <w:spacing w:line="320" w:lineRule="exact"/>
              <w:jc w:val="center"/>
              <w:rPr>
                <w:rFonts w:ascii="Times New Roman" w:hAnsi="Times New Roman" w:cs="Times New Roman" w:eastAsiaTheme="minorEastAsia"/>
                <w:kern w:val="0"/>
                <w:sz w:val="21"/>
                <w:szCs w:val="21"/>
              </w:rPr>
            </w:pPr>
            <w:r>
              <w:rPr>
                <w:rFonts w:hint="eastAsia" w:ascii="Times New Roman" w:cs="Times New Roman" w:hAnsiTheme="minorEastAsia" w:eastAsiaTheme="minorEastAsia"/>
                <w:kern w:val="0"/>
                <w:sz w:val="21"/>
                <w:szCs w:val="21"/>
              </w:rPr>
              <w:t>监测站</w:t>
            </w:r>
          </w:p>
        </w:tc>
      </w:tr>
    </w:tbl>
    <w:p w14:paraId="160F5014">
      <w:pPr>
        <w:adjustRightInd w:val="0"/>
        <w:snapToGrid w:val="0"/>
        <w:spacing w:line="560" w:lineRule="exact"/>
        <w:rPr>
          <w:rFonts w:ascii="Times New Roman" w:hAnsi="Times New Roman" w:eastAsia="仿宋_GB2312" w:cs="Times New Roman"/>
          <w:sz w:val="32"/>
          <w:szCs w:val="32"/>
        </w:rPr>
      </w:pPr>
    </w:p>
    <w:tbl>
      <w:tblPr>
        <w:tblStyle w:val="8"/>
        <w:tblpPr w:leftFromText="454" w:rightFromText="454"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40"/>
        <w:gridCol w:w="8165"/>
        <w:gridCol w:w="340"/>
      </w:tblGrid>
      <w:tr w14:paraId="493EF756">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7" w:hRule="atLeast"/>
        </w:trPr>
        <w:tc>
          <w:tcPr>
            <w:tcW w:w="340" w:type="dxa"/>
          </w:tcPr>
          <w:p w14:paraId="10EA8265">
            <w:pPr>
              <w:adjustRightInd w:val="0"/>
              <w:spacing w:beforeLines="10" w:afterLines="10" w:line="400" w:lineRule="exact"/>
              <w:rPr>
                <w:rFonts w:ascii="Times New Roman" w:hAnsi="Times New Roman" w:eastAsia="方正仿宋_GBK" w:cs="方正仿宋_GBK"/>
                <w:sz w:val="28"/>
                <w:szCs w:val="28"/>
              </w:rPr>
            </w:pPr>
          </w:p>
        </w:tc>
        <w:tc>
          <w:tcPr>
            <w:tcW w:w="8165" w:type="dxa"/>
          </w:tcPr>
          <w:p w14:paraId="294EABBA">
            <w:pPr>
              <w:tabs>
                <w:tab w:val="right" w:pos="8033"/>
              </w:tabs>
              <w:adjustRightInd w:val="0"/>
              <w:spacing w:beforeLines="10" w:afterLines="10" w:line="400" w:lineRule="exact"/>
              <w:ind w:left="-42" w:leftChars="-20" w:right="-42" w:rightChars="-20"/>
              <w:rPr>
                <w:rFonts w:ascii="Times New Roman" w:hAnsi="Times New Roman" w:eastAsia="方正仿宋_GBK" w:cs="方正仿宋_GBK"/>
                <w:sz w:val="28"/>
                <w:szCs w:val="28"/>
              </w:rPr>
            </w:pPr>
            <w:r>
              <w:rPr>
                <w:rFonts w:hint="eastAsia" w:ascii="Times New Roman" w:hAnsi="方正仿宋_GBK" w:eastAsia="方正仿宋_GBK" w:cs="方正仿宋_GBK"/>
                <w:sz w:val="28"/>
                <w:szCs w:val="28"/>
              </w:rPr>
              <w:t>南通市海门生态环境局办公室</w:t>
            </w:r>
            <w:r>
              <w:rPr>
                <w:rFonts w:ascii="Times New Roman" w:hAnsi="Times New Roman" w:eastAsia="方正仿宋_GBK" w:cs="方正仿宋_GBK"/>
                <w:sz w:val="28"/>
                <w:szCs w:val="28"/>
              </w:rPr>
              <w:tab/>
            </w:r>
            <w:r>
              <w:rPr>
                <w:rFonts w:hint="eastAsia" w:ascii="Times New Roman" w:hAnsi="Times New Roman" w:eastAsia="方正仿宋_GBK" w:cs="方正仿宋_GBK"/>
                <w:sz w:val="28"/>
                <w:szCs w:val="28"/>
              </w:rPr>
              <w:t xml:space="preserve">    </w:t>
            </w:r>
            <w:r>
              <w:rPr>
                <w:rFonts w:ascii="Times New Roman" w:hAnsi="Times New Roman" w:eastAsia="方正仿宋_GBK" w:cs="方正仿宋_GBK"/>
                <w:sz w:val="28"/>
                <w:szCs w:val="28"/>
              </w:rPr>
              <w:t>20</w:t>
            </w:r>
            <w:r>
              <w:rPr>
                <w:rFonts w:hint="eastAsia" w:ascii="Times New Roman" w:hAnsi="Times New Roman" w:eastAsia="方正仿宋_GBK" w:cs="方正仿宋_GBK"/>
                <w:sz w:val="28"/>
                <w:szCs w:val="28"/>
              </w:rPr>
              <w:t>22</w:t>
            </w:r>
            <w:r>
              <w:rPr>
                <w:rFonts w:hint="eastAsia" w:ascii="Times New Roman" w:hAnsi="方正仿宋_GBK" w:eastAsia="方正仿宋_GBK" w:cs="方正仿宋_GBK"/>
                <w:sz w:val="28"/>
                <w:szCs w:val="28"/>
              </w:rPr>
              <w:t>年</w:t>
            </w:r>
            <w:r>
              <w:rPr>
                <w:rFonts w:hint="eastAsia" w:ascii="Times New Roman" w:hAnsi="Times New Roman" w:eastAsia="方正仿宋_GBK" w:cs="方正仿宋_GBK"/>
                <w:sz w:val="28"/>
                <w:szCs w:val="28"/>
              </w:rPr>
              <w:t>2</w:t>
            </w:r>
            <w:r>
              <w:rPr>
                <w:rFonts w:hint="eastAsia" w:ascii="Times New Roman" w:hAnsi="方正仿宋_GBK" w:eastAsia="方正仿宋_GBK" w:cs="方正仿宋_GBK"/>
                <w:sz w:val="28"/>
                <w:szCs w:val="28"/>
              </w:rPr>
              <w:t>月</w:t>
            </w:r>
            <w:r>
              <w:rPr>
                <w:rFonts w:hint="eastAsia" w:ascii="Times New Roman" w:hAnsi="Times New Roman" w:eastAsia="方正仿宋_GBK" w:cs="方正仿宋_GBK"/>
                <w:sz w:val="28"/>
                <w:szCs w:val="28"/>
              </w:rPr>
              <w:t>7</w:t>
            </w:r>
            <w:r>
              <w:rPr>
                <w:rFonts w:hint="eastAsia" w:ascii="Times New Roman" w:hAnsi="方正仿宋_GBK" w:eastAsia="方正仿宋_GBK" w:cs="方正仿宋_GBK"/>
                <w:sz w:val="28"/>
                <w:szCs w:val="28"/>
              </w:rPr>
              <w:t>日印发</w:t>
            </w:r>
          </w:p>
        </w:tc>
        <w:tc>
          <w:tcPr>
            <w:tcW w:w="340" w:type="dxa"/>
          </w:tcPr>
          <w:p w14:paraId="2EEB3106">
            <w:pPr>
              <w:adjustRightInd w:val="0"/>
              <w:spacing w:beforeLines="10" w:afterLines="10" w:line="400" w:lineRule="exact"/>
              <w:rPr>
                <w:rFonts w:ascii="Times New Roman" w:hAnsi="Times New Roman" w:eastAsia="方正仿宋_GBK" w:cs="方正仿宋_GBK"/>
                <w:sz w:val="28"/>
                <w:szCs w:val="28"/>
              </w:rPr>
            </w:pPr>
          </w:p>
        </w:tc>
      </w:tr>
    </w:tbl>
    <w:p w14:paraId="6BD36166">
      <w:pPr>
        <w:adjustRightInd w:val="0"/>
        <w:snapToGrid w:val="0"/>
        <w:spacing w:line="560" w:lineRule="exact"/>
        <w:rPr>
          <w:rFonts w:ascii="Times New Roman" w:hAnsi="Times New Roman" w:eastAsia="仿宋_GB2312" w:cs="Times New Roman"/>
          <w:sz w:val="32"/>
          <w:szCs w:val="32"/>
        </w:rPr>
      </w:pPr>
    </w:p>
    <w:sectPr>
      <w:footerReference r:id="rId3" w:type="default"/>
      <w:footerReference r:id="rId4" w:type="even"/>
      <w:pgSz w:w="11906" w:h="16838"/>
      <w:pgMar w:top="1814"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06FA4-084A-4CAE-BCB0-905EE64842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B2A35235-9B96-4033-BF42-B0375DC04BC1}"/>
  </w:font>
  <w:font w:name="方正小标宋_GBK">
    <w:altName w:val="Arial Unicode MS"/>
    <w:panose1 w:val="03000509000000000000"/>
    <w:charset w:val="86"/>
    <w:family w:val="script"/>
    <w:pitch w:val="default"/>
    <w:sig w:usb0="00000000" w:usb1="00000000" w:usb2="00000010" w:usb3="00000000" w:csb0="00040000" w:csb1="00000000"/>
    <w:embedRegular r:id="rId3" w:fontKey="{6E6B0FF7-0DC1-43ED-BC4F-C255E6841E4F}"/>
  </w:font>
  <w:font w:name="仿宋_GB2312">
    <w:altName w:val="仿宋"/>
    <w:panose1 w:val="02010609030101010101"/>
    <w:charset w:val="86"/>
    <w:family w:val="modern"/>
    <w:pitch w:val="default"/>
    <w:sig w:usb0="00000000" w:usb1="00000000" w:usb2="00000010" w:usb3="00000000" w:csb0="00040000" w:csb1="00000000"/>
    <w:embedRegular r:id="rId4" w:fontKey="{4BD4C5D1-7B54-48E3-A65B-6D80083BCBA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E677">
    <w:pPr>
      <w:pStyle w:val="4"/>
      <w:jc w:val="right"/>
      <w:rPr>
        <w:rFonts w:ascii="Times New Roman" w:hAnsi="Times New Roman"/>
        <w:sz w:val="28"/>
        <w:szCs w:val="28"/>
      </w:rPr>
    </w:pPr>
    <w:r>
      <w:rPr>
        <w:rStyle w:val="11"/>
        <w:rFonts w:hint="eastAsia"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9</w:t>
    </w:r>
    <w:r>
      <w:rPr>
        <w:rStyle w:val="11"/>
        <w:rFonts w:ascii="Times New Roman" w:hAnsi="Times New Roman"/>
        <w:sz w:val="28"/>
        <w:szCs w:val="28"/>
      </w:rPr>
      <w:fldChar w:fldCharType="end"/>
    </w:r>
    <w:r>
      <w:rPr>
        <w:rStyle w:val="11"/>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5CE0">
    <w:pPr>
      <w:pStyle w:val="4"/>
      <w:rPr>
        <w:rFonts w:ascii="Times New Roman" w:hAnsi="Times New Roman" w:eastAsia="宋体"/>
        <w:sz w:val="28"/>
        <w:szCs w:val="28"/>
      </w:rPr>
    </w:pPr>
    <w:r>
      <w:rPr>
        <w:rStyle w:val="11"/>
        <w:rFonts w:hint="eastAsia" w:ascii="Times New Roman" w:hAnsi="Times New Roman" w:eastAsia="宋体"/>
        <w:sz w:val="28"/>
        <w:szCs w:val="28"/>
      </w:rPr>
      <w:t xml:space="preserve">— </w:t>
    </w:r>
    <w:r>
      <w:rPr>
        <w:rStyle w:val="11"/>
        <w:rFonts w:ascii="Times New Roman" w:hAnsi="Times New Roman" w:eastAsia="宋体"/>
        <w:sz w:val="28"/>
        <w:szCs w:val="28"/>
      </w:rPr>
      <w:fldChar w:fldCharType="begin"/>
    </w:r>
    <w:r>
      <w:rPr>
        <w:rStyle w:val="11"/>
        <w:rFonts w:ascii="Times New Roman" w:hAnsi="Times New Roman" w:eastAsia="宋体"/>
        <w:sz w:val="28"/>
        <w:szCs w:val="28"/>
      </w:rPr>
      <w:instrText xml:space="preserve">PAGE  </w:instrText>
    </w:r>
    <w:r>
      <w:rPr>
        <w:rStyle w:val="11"/>
        <w:rFonts w:ascii="Times New Roman" w:hAnsi="Times New Roman" w:eastAsia="宋体"/>
        <w:sz w:val="28"/>
        <w:szCs w:val="28"/>
      </w:rPr>
      <w:fldChar w:fldCharType="separate"/>
    </w:r>
    <w:r>
      <w:rPr>
        <w:rStyle w:val="11"/>
        <w:rFonts w:ascii="Times New Roman" w:hAnsi="Times New Roman" w:eastAsia="宋体"/>
        <w:sz w:val="28"/>
        <w:szCs w:val="28"/>
      </w:rPr>
      <w:t>8</w:t>
    </w:r>
    <w:r>
      <w:rPr>
        <w:rStyle w:val="11"/>
        <w:rFonts w:ascii="Times New Roman" w:hAnsi="Times New Roman" w:eastAsia="宋体"/>
        <w:sz w:val="28"/>
        <w:szCs w:val="28"/>
      </w:rPr>
      <w:fldChar w:fldCharType="end"/>
    </w:r>
    <w:r>
      <w:rPr>
        <w:rStyle w:val="11"/>
        <w:rFonts w:hint="eastAsia" w:ascii="Times New Roman" w:hAnsi="Times New Roman"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yY2U5ZGYzOWViMTNmMzg3MjQ1YjFlMjBlNjJiZGEifQ=="/>
  </w:docVars>
  <w:rsids>
    <w:rsidRoot w:val="002973D1"/>
    <w:rsid w:val="000029C8"/>
    <w:rsid w:val="00004B5D"/>
    <w:rsid w:val="00005660"/>
    <w:rsid w:val="00007932"/>
    <w:rsid w:val="00011736"/>
    <w:rsid w:val="00012BBA"/>
    <w:rsid w:val="00012E16"/>
    <w:rsid w:val="000158A7"/>
    <w:rsid w:val="00016ACD"/>
    <w:rsid w:val="00017442"/>
    <w:rsid w:val="00025E4F"/>
    <w:rsid w:val="00034BDF"/>
    <w:rsid w:val="00040216"/>
    <w:rsid w:val="00043E3E"/>
    <w:rsid w:val="00044127"/>
    <w:rsid w:val="0004675B"/>
    <w:rsid w:val="00050BE6"/>
    <w:rsid w:val="00051B66"/>
    <w:rsid w:val="00051D4F"/>
    <w:rsid w:val="000522F7"/>
    <w:rsid w:val="0005286B"/>
    <w:rsid w:val="00052E0A"/>
    <w:rsid w:val="00054209"/>
    <w:rsid w:val="00054D5F"/>
    <w:rsid w:val="0005578F"/>
    <w:rsid w:val="00057F72"/>
    <w:rsid w:val="00062A97"/>
    <w:rsid w:val="000670EB"/>
    <w:rsid w:val="00067B49"/>
    <w:rsid w:val="00070091"/>
    <w:rsid w:val="0007622D"/>
    <w:rsid w:val="00077801"/>
    <w:rsid w:val="0008080E"/>
    <w:rsid w:val="000814BF"/>
    <w:rsid w:val="0008249F"/>
    <w:rsid w:val="00086F29"/>
    <w:rsid w:val="00090675"/>
    <w:rsid w:val="00097429"/>
    <w:rsid w:val="000A057F"/>
    <w:rsid w:val="000A0D6C"/>
    <w:rsid w:val="000A4182"/>
    <w:rsid w:val="000A5037"/>
    <w:rsid w:val="000A59C2"/>
    <w:rsid w:val="000A71F3"/>
    <w:rsid w:val="000A7DA3"/>
    <w:rsid w:val="000B5900"/>
    <w:rsid w:val="000B6E08"/>
    <w:rsid w:val="000C1D5A"/>
    <w:rsid w:val="000C37A0"/>
    <w:rsid w:val="000C3BFE"/>
    <w:rsid w:val="000C4002"/>
    <w:rsid w:val="000C601E"/>
    <w:rsid w:val="000D0B61"/>
    <w:rsid w:val="000D5919"/>
    <w:rsid w:val="000E3984"/>
    <w:rsid w:val="000E4E2B"/>
    <w:rsid w:val="000E4FEB"/>
    <w:rsid w:val="000F1000"/>
    <w:rsid w:val="000F4691"/>
    <w:rsid w:val="000F5802"/>
    <w:rsid w:val="000F5DA4"/>
    <w:rsid w:val="000F6D51"/>
    <w:rsid w:val="000F76AD"/>
    <w:rsid w:val="00100D57"/>
    <w:rsid w:val="001025B6"/>
    <w:rsid w:val="00103FE7"/>
    <w:rsid w:val="0010511D"/>
    <w:rsid w:val="00105158"/>
    <w:rsid w:val="0010658B"/>
    <w:rsid w:val="0011191F"/>
    <w:rsid w:val="00121535"/>
    <w:rsid w:val="00121D8C"/>
    <w:rsid w:val="00126463"/>
    <w:rsid w:val="0013105C"/>
    <w:rsid w:val="00134274"/>
    <w:rsid w:val="001347CB"/>
    <w:rsid w:val="00135860"/>
    <w:rsid w:val="00136D68"/>
    <w:rsid w:val="00145E6A"/>
    <w:rsid w:val="00153023"/>
    <w:rsid w:val="001535AD"/>
    <w:rsid w:val="00154073"/>
    <w:rsid w:val="00155346"/>
    <w:rsid w:val="00160950"/>
    <w:rsid w:val="00161DBD"/>
    <w:rsid w:val="001645BF"/>
    <w:rsid w:val="00165467"/>
    <w:rsid w:val="00166F03"/>
    <w:rsid w:val="00166F42"/>
    <w:rsid w:val="00172107"/>
    <w:rsid w:val="00172B2D"/>
    <w:rsid w:val="00172EFC"/>
    <w:rsid w:val="00173528"/>
    <w:rsid w:val="00173DE8"/>
    <w:rsid w:val="00174421"/>
    <w:rsid w:val="00176CC5"/>
    <w:rsid w:val="00177114"/>
    <w:rsid w:val="00177B5F"/>
    <w:rsid w:val="00184422"/>
    <w:rsid w:val="001860A9"/>
    <w:rsid w:val="00187D46"/>
    <w:rsid w:val="00192908"/>
    <w:rsid w:val="00194991"/>
    <w:rsid w:val="0019508F"/>
    <w:rsid w:val="0019575F"/>
    <w:rsid w:val="001962D6"/>
    <w:rsid w:val="0019774A"/>
    <w:rsid w:val="001A3415"/>
    <w:rsid w:val="001B036E"/>
    <w:rsid w:val="001B24DE"/>
    <w:rsid w:val="001B3811"/>
    <w:rsid w:val="001B787C"/>
    <w:rsid w:val="001C201D"/>
    <w:rsid w:val="001C4167"/>
    <w:rsid w:val="001C490A"/>
    <w:rsid w:val="001C5E80"/>
    <w:rsid w:val="001C7493"/>
    <w:rsid w:val="001D3309"/>
    <w:rsid w:val="001D3E1D"/>
    <w:rsid w:val="001D499A"/>
    <w:rsid w:val="001E09A6"/>
    <w:rsid w:val="001E0EC2"/>
    <w:rsid w:val="001E33CC"/>
    <w:rsid w:val="001E3BC8"/>
    <w:rsid w:val="001E481B"/>
    <w:rsid w:val="001F08EE"/>
    <w:rsid w:val="001F34A4"/>
    <w:rsid w:val="001F4015"/>
    <w:rsid w:val="0020022A"/>
    <w:rsid w:val="00203A1A"/>
    <w:rsid w:val="002040EB"/>
    <w:rsid w:val="00206D04"/>
    <w:rsid w:val="0021581C"/>
    <w:rsid w:val="002166A1"/>
    <w:rsid w:val="00222BB0"/>
    <w:rsid w:val="002236E1"/>
    <w:rsid w:val="00225393"/>
    <w:rsid w:val="002301D0"/>
    <w:rsid w:val="002301DD"/>
    <w:rsid w:val="00231413"/>
    <w:rsid w:val="002314A8"/>
    <w:rsid w:val="0023195E"/>
    <w:rsid w:val="00231ACA"/>
    <w:rsid w:val="002328F2"/>
    <w:rsid w:val="002330A1"/>
    <w:rsid w:val="0023365F"/>
    <w:rsid w:val="002358D4"/>
    <w:rsid w:val="0023638C"/>
    <w:rsid w:val="00242926"/>
    <w:rsid w:val="00242D13"/>
    <w:rsid w:val="00242D29"/>
    <w:rsid w:val="00244F76"/>
    <w:rsid w:val="00245592"/>
    <w:rsid w:val="002472E3"/>
    <w:rsid w:val="002502E3"/>
    <w:rsid w:val="00257B4D"/>
    <w:rsid w:val="00262691"/>
    <w:rsid w:val="00262C07"/>
    <w:rsid w:val="002650D1"/>
    <w:rsid w:val="00271177"/>
    <w:rsid w:val="00274691"/>
    <w:rsid w:val="00281439"/>
    <w:rsid w:val="00281BC9"/>
    <w:rsid w:val="0028287D"/>
    <w:rsid w:val="002830CE"/>
    <w:rsid w:val="00285456"/>
    <w:rsid w:val="00286134"/>
    <w:rsid w:val="00291810"/>
    <w:rsid w:val="002924F0"/>
    <w:rsid w:val="00292DFE"/>
    <w:rsid w:val="00296DFF"/>
    <w:rsid w:val="002973D1"/>
    <w:rsid w:val="00297409"/>
    <w:rsid w:val="002979E2"/>
    <w:rsid w:val="002A005E"/>
    <w:rsid w:val="002A086C"/>
    <w:rsid w:val="002A0AB7"/>
    <w:rsid w:val="002A0C7A"/>
    <w:rsid w:val="002A2517"/>
    <w:rsid w:val="002A2C9E"/>
    <w:rsid w:val="002A5E42"/>
    <w:rsid w:val="002A6AA4"/>
    <w:rsid w:val="002B5D24"/>
    <w:rsid w:val="002C3243"/>
    <w:rsid w:val="002C4E4A"/>
    <w:rsid w:val="002C796C"/>
    <w:rsid w:val="002D0327"/>
    <w:rsid w:val="002D32D6"/>
    <w:rsid w:val="002D5607"/>
    <w:rsid w:val="002D5AA3"/>
    <w:rsid w:val="002D7DB9"/>
    <w:rsid w:val="002E0F51"/>
    <w:rsid w:val="002E10EF"/>
    <w:rsid w:val="002E459F"/>
    <w:rsid w:val="002E5FE6"/>
    <w:rsid w:val="002E7EB3"/>
    <w:rsid w:val="002F24C0"/>
    <w:rsid w:val="002F2538"/>
    <w:rsid w:val="002F3CAB"/>
    <w:rsid w:val="002F663D"/>
    <w:rsid w:val="00300A1C"/>
    <w:rsid w:val="00305B35"/>
    <w:rsid w:val="0031209F"/>
    <w:rsid w:val="003141D9"/>
    <w:rsid w:val="00316F31"/>
    <w:rsid w:val="00317AE3"/>
    <w:rsid w:val="0032004F"/>
    <w:rsid w:val="00323537"/>
    <w:rsid w:val="003248C4"/>
    <w:rsid w:val="00324CDC"/>
    <w:rsid w:val="003260D8"/>
    <w:rsid w:val="003269C5"/>
    <w:rsid w:val="00326A42"/>
    <w:rsid w:val="00327095"/>
    <w:rsid w:val="00330275"/>
    <w:rsid w:val="0033230E"/>
    <w:rsid w:val="00336AD5"/>
    <w:rsid w:val="00342C64"/>
    <w:rsid w:val="00345140"/>
    <w:rsid w:val="003529FC"/>
    <w:rsid w:val="0035551B"/>
    <w:rsid w:val="00361060"/>
    <w:rsid w:val="00364A90"/>
    <w:rsid w:val="003676E0"/>
    <w:rsid w:val="003709A0"/>
    <w:rsid w:val="00374250"/>
    <w:rsid w:val="00376873"/>
    <w:rsid w:val="003812B5"/>
    <w:rsid w:val="00385513"/>
    <w:rsid w:val="00391D14"/>
    <w:rsid w:val="00394AD3"/>
    <w:rsid w:val="00395DFB"/>
    <w:rsid w:val="00397738"/>
    <w:rsid w:val="00397F74"/>
    <w:rsid w:val="003A1B57"/>
    <w:rsid w:val="003A462E"/>
    <w:rsid w:val="003A47A7"/>
    <w:rsid w:val="003A6004"/>
    <w:rsid w:val="003A6398"/>
    <w:rsid w:val="003A7DF5"/>
    <w:rsid w:val="003B2C13"/>
    <w:rsid w:val="003B38EB"/>
    <w:rsid w:val="003B45A1"/>
    <w:rsid w:val="003B63DA"/>
    <w:rsid w:val="003C02CF"/>
    <w:rsid w:val="003C2475"/>
    <w:rsid w:val="003C584D"/>
    <w:rsid w:val="003C7AC3"/>
    <w:rsid w:val="003D2774"/>
    <w:rsid w:val="003D28E8"/>
    <w:rsid w:val="003D5777"/>
    <w:rsid w:val="003D684E"/>
    <w:rsid w:val="003E0FE9"/>
    <w:rsid w:val="003E55CD"/>
    <w:rsid w:val="003E7DD1"/>
    <w:rsid w:val="003F30AF"/>
    <w:rsid w:val="003F345F"/>
    <w:rsid w:val="003F3ADE"/>
    <w:rsid w:val="003F485C"/>
    <w:rsid w:val="0040133C"/>
    <w:rsid w:val="0040162F"/>
    <w:rsid w:val="0040290A"/>
    <w:rsid w:val="00411438"/>
    <w:rsid w:val="00412F41"/>
    <w:rsid w:val="004135EE"/>
    <w:rsid w:val="004146C7"/>
    <w:rsid w:val="00416436"/>
    <w:rsid w:val="004173A2"/>
    <w:rsid w:val="004209A6"/>
    <w:rsid w:val="0042577C"/>
    <w:rsid w:val="004275A3"/>
    <w:rsid w:val="0042782F"/>
    <w:rsid w:val="00433A41"/>
    <w:rsid w:val="0044077C"/>
    <w:rsid w:val="00441A53"/>
    <w:rsid w:val="004420B2"/>
    <w:rsid w:val="00443CC0"/>
    <w:rsid w:val="00445060"/>
    <w:rsid w:val="00447723"/>
    <w:rsid w:val="00447940"/>
    <w:rsid w:val="004516C3"/>
    <w:rsid w:val="0045236B"/>
    <w:rsid w:val="00453976"/>
    <w:rsid w:val="00454CDD"/>
    <w:rsid w:val="0046355D"/>
    <w:rsid w:val="004660E4"/>
    <w:rsid w:val="00467569"/>
    <w:rsid w:val="00472DA9"/>
    <w:rsid w:val="004739C6"/>
    <w:rsid w:val="00474949"/>
    <w:rsid w:val="00474A8B"/>
    <w:rsid w:val="0047714C"/>
    <w:rsid w:val="00477D05"/>
    <w:rsid w:val="00477F1E"/>
    <w:rsid w:val="004824AC"/>
    <w:rsid w:val="00486EA7"/>
    <w:rsid w:val="00487E89"/>
    <w:rsid w:val="00496AAF"/>
    <w:rsid w:val="004A04B0"/>
    <w:rsid w:val="004A121D"/>
    <w:rsid w:val="004A3FC5"/>
    <w:rsid w:val="004A4673"/>
    <w:rsid w:val="004A6FC2"/>
    <w:rsid w:val="004B2DD2"/>
    <w:rsid w:val="004B5556"/>
    <w:rsid w:val="004C0ABB"/>
    <w:rsid w:val="004C1899"/>
    <w:rsid w:val="004C4BDE"/>
    <w:rsid w:val="004C4D2C"/>
    <w:rsid w:val="004C7034"/>
    <w:rsid w:val="004C7109"/>
    <w:rsid w:val="004D282B"/>
    <w:rsid w:val="004D3AFE"/>
    <w:rsid w:val="004E032F"/>
    <w:rsid w:val="004E150B"/>
    <w:rsid w:val="004E1687"/>
    <w:rsid w:val="004E24E3"/>
    <w:rsid w:val="004E4345"/>
    <w:rsid w:val="004E5F47"/>
    <w:rsid w:val="004E632C"/>
    <w:rsid w:val="004E738A"/>
    <w:rsid w:val="004F301C"/>
    <w:rsid w:val="004F3089"/>
    <w:rsid w:val="004F66E2"/>
    <w:rsid w:val="00500913"/>
    <w:rsid w:val="00500BAC"/>
    <w:rsid w:val="00502ACB"/>
    <w:rsid w:val="00502B5A"/>
    <w:rsid w:val="00503DE7"/>
    <w:rsid w:val="00507E52"/>
    <w:rsid w:val="00513103"/>
    <w:rsid w:val="005158C7"/>
    <w:rsid w:val="00516534"/>
    <w:rsid w:val="00523505"/>
    <w:rsid w:val="00524931"/>
    <w:rsid w:val="005253EE"/>
    <w:rsid w:val="00526667"/>
    <w:rsid w:val="00527781"/>
    <w:rsid w:val="00527A92"/>
    <w:rsid w:val="00531507"/>
    <w:rsid w:val="00532F90"/>
    <w:rsid w:val="005349F9"/>
    <w:rsid w:val="00534D55"/>
    <w:rsid w:val="005355BD"/>
    <w:rsid w:val="0053566E"/>
    <w:rsid w:val="00537385"/>
    <w:rsid w:val="00537F81"/>
    <w:rsid w:val="0054080F"/>
    <w:rsid w:val="00547221"/>
    <w:rsid w:val="005476A1"/>
    <w:rsid w:val="00550A33"/>
    <w:rsid w:val="00552E28"/>
    <w:rsid w:val="005543E2"/>
    <w:rsid w:val="00554E95"/>
    <w:rsid w:val="0055516F"/>
    <w:rsid w:val="00556CA9"/>
    <w:rsid w:val="00562C35"/>
    <w:rsid w:val="005632E3"/>
    <w:rsid w:val="00567860"/>
    <w:rsid w:val="005700E3"/>
    <w:rsid w:val="0057033D"/>
    <w:rsid w:val="00575BA9"/>
    <w:rsid w:val="00585968"/>
    <w:rsid w:val="005904CA"/>
    <w:rsid w:val="00590655"/>
    <w:rsid w:val="005917C3"/>
    <w:rsid w:val="00591B8D"/>
    <w:rsid w:val="00591C31"/>
    <w:rsid w:val="005A0A17"/>
    <w:rsid w:val="005A1D14"/>
    <w:rsid w:val="005A31BF"/>
    <w:rsid w:val="005A3ED3"/>
    <w:rsid w:val="005A6260"/>
    <w:rsid w:val="005B0601"/>
    <w:rsid w:val="005B5814"/>
    <w:rsid w:val="005C007D"/>
    <w:rsid w:val="005C094D"/>
    <w:rsid w:val="005C1FFE"/>
    <w:rsid w:val="005D08C6"/>
    <w:rsid w:val="005D1070"/>
    <w:rsid w:val="005D1107"/>
    <w:rsid w:val="005D4BA1"/>
    <w:rsid w:val="005D7ABA"/>
    <w:rsid w:val="005E1410"/>
    <w:rsid w:val="005E1661"/>
    <w:rsid w:val="005E2435"/>
    <w:rsid w:val="005E35CF"/>
    <w:rsid w:val="005E39AF"/>
    <w:rsid w:val="005E733D"/>
    <w:rsid w:val="005F224E"/>
    <w:rsid w:val="005F2546"/>
    <w:rsid w:val="006030BF"/>
    <w:rsid w:val="006041B3"/>
    <w:rsid w:val="00607570"/>
    <w:rsid w:val="00612051"/>
    <w:rsid w:val="006130DA"/>
    <w:rsid w:val="006130EB"/>
    <w:rsid w:val="00617715"/>
    <w:rsid w:val="0062163A"/>
    <w:rsid w:val="00622B2A"/>
    <w:rsid w:val="0062384A"/>
    <w:rsid w:val="00623A8C"/>
    <w:rsid w:val="00624E72"/>
    <w:rsid w:val="006257E2"/>
    <w:rsid w:val="00635C20"/>
    <w:rsid w:val="00640479"/>
    <w:rsid w:val="006433DD"/>
    <w:rsid w:val="00643557"/>
    <w:rsid w:val="00644195"/>
    <w:rsid w:val="00644901"/>
    <w:rsid w:val="00645BC1"/>
    <w:rsid w:val="00647020"/>
    <w:rsid w:val="00650C68"/>
    <w:rsid w:val="0065495F"/>
    <w:rsid w:val="00657BAA"/>
    <w:rsid w:val="00662057"/>
    <w:rsid w:val="0066217F"/>
    <w:rsid w:val="0067302A"/>
    <w:rsid w:val="00673486"/>
    <w:rsid w:val="00684274"/>
    <w:rsid w:val="006855A7"/>
    <w:rsid w:val="00686FBA"/>
    <w:rsid w:val="00690C13"/>
    <w:rsid w:val="00690C30"/>
    <w:rsid w:val="00691DAA"/>
    <w:rsid w:val="00692BE2"/>
    <w:rsid w:val="006A06E6"/>
    <w:rsid w:val="006A2B22"/>
    <w:rsid w:val="006B1075"/>
    <w:rsid w:val="006B34D9"/>
    <w:rsid w:val="006B3D88"/>
    <w:rsid w:val="006B7EB4"/>
    <w:rsid w:val="006C0729"/>
    <w:rsid w:val="006C07DA"/>
    <w:rsid w:val="006C253D"/>
    <w:rsid w:val="006C4191"/>
    <w:rsid w:val="006C4BEF"/>
    <w:rsid w:val="006D22E3"/>
    <w:rsid w:val="006D51D3"/>
    <w:rsid w:val="006D5E34"/>
    <w:rsid w:val="006D66A1"/>
    <w:rsid w:val="006D7AAF"/>
    <w:rsid w:val="006E2286"/>
    <w:rsid w:val="006E2D21"/>
    <w:rsid w:val="006E34E9"/>
    <w:rsid w:val="006E521E"/>
    <w:rsid w:val="006E5DF3"/>
    <w:rsid w:val="006E7756"/>
    <w:rsid w:val="006E7BCF"/>
    <w:rsid w:val="006F36AD"/>
    <w:rsid w:val="006F3BA4"/>
    <w:rsid w:val="006F5E9D"/>
    <w:rsid w:val="006F645A"/>
    <w:rsid w:val="00700A9E"/>
    <w:rsid w:val="00701072"/>
    <w:rsid w:val="007017E6"/>
    <w:rsid w:val="00710181"/>
    <w:rsid w:val="00711EEA"/>
    <w:rsid w:val="00712EEB"/>
    <w:rsid w:val="007149E9"/>
    <w:rsid w:val="007160AE"/>
    <w:rsid w:val="00717386"/>
    <w:rsid w:val="00717B4C"/>
    <w:rsid w:val="0072254C"/>
    <w:rsid w:val="00722E0B"/>
    <w:rsid w:val="007230E4"/>
    <w:rsid w:val="00723C0A"/>
    <w:rsid w:val="007242C2"/>
    <w:rsid w:val="007267DD"/>
    <w:rsid w:val="0072724A"/>
    <w:rsid w:val="0072727E"/>
    <w:rsid w:val="00730376"/>
    <w:rsid w:val="007326F8"/>
    <w:rsid w:val="00732F18"/>
    <w:rsid w:val="0073320E"/>
    <w:rsid w:val="0073391F"/>
    <w:rsid w:val="00737B61"/>
    <w:rsid w:val="0074120B"/>
    <w:rsid w:val="00743D83"/>
    <w:rsid w:val="0075533C"/>
    <w:rsid w:val="00760072"/>
    <w:rsid w:val="00760503"/>
    <w:rsid w:val="00770695"/>
    <w:rsid w:val="00771D58"/>
    <w:rsid w:val="0077243A"/>
    <w:rsid w:val="0077548F"/>
    <w:rsid w:val="0077632F"/>
    <w:rsid w:val="00782890"/>
    <w:rsid w:val="00783885"/>
    <w:rsid w:val="00783B32"/>
    <w:rsid w:val="00786072"/>
    <w:rsid w:val="00787A17"/>
    <w:rsid w:val="007949E5"/>
    <w:rsid w:val="0079538A"/>
    <w:rsid w:val="00796804"/>
    <w:rsid w:val="007A1C71"/>
    <w:rsid w:val="007A2B9D"/>
    <w:rsid w:val="007B0D26"/>
    <w:rsid w:val="007B1633"/>
    <w:rsid w:val="007B28F5"/>
    <w:rsid w:val="007B38EA"/>
    <w:rsid w:val="007C14F2"/>
    <w:rsid w:val="007C4165"/>
    <w:rsid w:val="007C4D09"/>
    <w:rsid w:val="007C7A83"/>
    <w:rsid w:val="007D0068"/>
    <w:rsid w:val="007D2A22"/>
    <w:rsid w:val="007D31A6"/>
    <w:rsid w:val="007D51ED"/>
    <w:rsid w:val="007D7AAB"/>
    <w:rsid w:val="007E0891"/>
    <w:rsid w:val="007E0D27"/>
    <w:rsid w:val="007E3629"/>
    <w:rsid w:val="007E67A1"/>
    <w:rsid w:val="007E7069"/>
    <w:rsid w:val="007F2F56"/>
    <w:rsid w:val="007F3323"/>
    <w:rsid w:val="007F3BA3"/>
    <w:rsid w:val="007F5E08"/>
    <w:rsid w:val="0080088F"/>
    <w:rsid w:val="008009ED"/>
    <w:rsid w:val="008014DC"/>
    <w:rsid w:val="00803B49"/>
    <w:rsid w:val="00805DFD"/>
    <w:rsid w:val="00807226"/>
    <w:rsid w:val="00807267"/>
    <w:rsid w:val="00815DC4"/>
    <w:rsid w:val="008166B8"/>
    <w:rsid w:val="00817DBC"/>
    <w:rsid w:val="0082079D"/>
    <w:rsid w:val="00823296"/>
    <w:rsid w:val="00824B2B"/>
    <w:rsid w:val="00832890"/>
    <w:rsid w:val="00834060"/>
    <w:rsid w:val="0083459A"/>
    <w:rsid w:val="00836979"/>
    <w:rsid w:val="00837195"/>
    <w:rsid w:val="00841190"/>
    <w:rsid w:val="008425ED"/>
    <w:rsid w:val="00844B63"/>
    <w:rsid w:val="0085073E"/>
    <w:rsid w:val="0085262A"/>
    <w:rsid w:val="00857E11"/>
    <w:rsid w:val="00861BA7"/>
    <w:rsid w:val="00861C5D"/>
    <w:rsid w:val="0086607E"/>
    <w:rsid w:val="00866BA8"/>
    <w:rsid w:val="00866D36"/>
    <w:rsid w:val="0086736B"/>
    <w:rsid w:val="00870FC9"/>
    <w:rsid w:val="00872D90"/>
    <w:rsid w:val="008733FF"/>
    <w:rsid w:val="00876276"/>
    <w:rsid w:val="008773BA"/>
    <w:rsid w:val="008822DC"/>
    <w:rsid w:val="00882F44"/>
    <w:rsid w:val="00882F6F"/>
    <w:rsid w:val="0088513B"/>
    <w:rsid w:val="008972CB"/>
    <w:rsid w:val="008977E1"/>
    <w:rsid w:val="008A1DE1"/>
    <w:rsid w:val="008A745F"/>
    <w:rsid w:val="008B1F5C"/>
    <w:rsid w:val="008B272D"/>
    <w:rsid w:val="008B2D99"/>
    <w:rsid w:val="008B4462"/>
    <w:rsid w:val="008B48A5"/>
    <w:rsid w:val="008B4953"/>
    <w:rsid w:val="008B4C14"/>
    <w:rsid w:val="008B6172"/>
    <w:rsid w:val="008B66E1"/>
    <w:rsid w:val="008C1776"/>
    <w:rsid w:val="008C2402"/>
    <w:rsid w:val="008C2F18"/>
    <w:rsid w:val="008C3C7E"/>
    <w:rsid w:val="008C669A"/>
    <w:rsid w:val="008D1372"/>
    <w:rsid w:val="008D1D86"/>
    <w:rsid w:val="008D203C"/>
    <w:rsid w:val="008D3702"/>
    <w:rsid w:val="008D4A43"/>
    <w:rsid w:val="008D6A06"/>
    <w:rsid w:val="008D79F9"/>
    <w:rsid w:val="008D7D94"/>
    <w:rsid w:val="008E02D3"/>
    <w:rsid w:val="008E4545"/>
    <w:rsid w:val="008E459E"/>
    <w:rsid w:val="008E544B"/>
    <w:rsid w:val="008F0A74"/>
    <w:rsid w:val="008F1DEC"/>
    <w:rsid w:val="008F373E"/>
    <w:rsid w:val="00904D19"/>
    <w:rsid w:val="009059EA"/>
    <w:rsid w:val="009129C7"/>
    <w:rsid w:val="00912F5B"/>
    <w:rsid w:val="00913F42"/>
    <w:rsid w:val="009142F7"/>
    <w:rsid w:val="00914684"/>
    <w:rsid w:val="00914BEB"/>
    <w:rsid w:val="00914E88"/>
    <w:rsid w:val="009219EE"/>
    <w:rsid w:val="009232AE"/>
    <w:rsid w:val="00923EE1"/>
    <w:rsid w:val="00927DCD"/>
    <w:rsid w:val="00930CC2"/>
    <w:rsid w:val="00933192"/>
    <w:rsid w:val="00934306"/>
    <w:rsid w:val="00934957"/>
    <w:rsid w:val="00934D98"/>
    <w:rsid w:val="00934EF0"/>
    <w:rsid w:val="00940815"/>
    <w:rsid w:val="00942307"/>
    <w:rsid w:val="0094567A"/>
    <w:rsid w:val="00950AD9"/>
    <w:rsid w:val="00950DD2"/>
    <w:rsid w:val="009521D4"/>
    <w:rsid w:val="00954788"/>
    <w:rsid w:val="00955234"/>
    <w:rsid w:val="00957B40"/>
    <w:rsid w:val="00961E75"/>
    <w:rsid w:val="00962871"/>
    <w:rsid w:val="0096594C"/>
    <w:rsid w:val="00965C31"/>
    <w:rsid w:val="00966F6D"/>
    <w:rsid w:val="00967853"/>
    <w:rsid w:val="00967EC4"/>
    <w:rsid w:val="00970FA1"/>
    <w:rsid w:val="009773F3"/>
    <w:rsid w:val="00983D4D"/>
    <w:rsid w:val="00985FF3"/>
    <w:rsid w:val="00987E1E"/>
    <w:rsid w:val="009903FC"/>
    <w:rsid w:val="00990700"/>
    <w:rsid w:val="0099318D"/>
    <w:rsid w:val="00994FD8"/>
    <w:rsid w:val="0099566E"/>
    <w:rsid w:val="009973E1"/>
    <w:rsid w:val="009A2136"/>
    <w:rsid w:val="009A48CC"/>
    <w:rsid w:val="009A5D4C"/>
    <w:rsid w:val="009A6CA3"/>
    <w:rsid w:val="009A7621"/>
    <w:rsid w:val="009B04C1"/>
    <w:rsid w:val="009B0658"/>
    <w:rsid w:val="009B1CA1"/>
    <w:rsid w:val="009B4099"/>
    <w:rsid w:val="009B6374"/>
    <w:rsid w:val="009C2DEE"/>
    <w:rsid w:val="009C324D"/>
    <w:rsid w:val="009C6466"/>
    <w:rsid w:val="009C7D77"/>
    <w:rsid w:val="009D01F4"/>
    <w:rsid w:val="009D0E7D"/>
    <w:rsid w:val="009D1AB1"/>
    <w:rsid w:val="009D3D60"/>
    <w:rsid w:val="009E0421"/>
    <w:rsid w:val="009E2E19"/>
    <w:rsid w:val="009E405E"/>
    <w:rsid w:val="009E45B6"/>
    <w:rsid w:val="009E6C68"/>
    <w:rsid w:val="009F1F92"/>
    <w:rsid w:val="009F3738"/>
    <w:rsid w:val="009F42E7"/>
    <w:rsid w:val="00A00A08"/>
    <w:rsid w:val="00A105A7"/>
    <w:rsid w:val="00A10CF5"/>
    <w:rsid w:val="00A13E1F"/>
    <w:rsid w:val="00A14830"/>
    <w:rsid w:val="00A1702B"/>
    <w:rsid w:val="00A214A8"/>
    <w:rsid w:val="00A2304E"/>
    <w:rsid w:val="00A27F0A"/>
    <w:rsid w:val="00A35089"/>
    <w:rsid w:val="00A361E3"/>
    <w:rsid w:val="00A36D00"/>
    <w:rsid w:val="00A37788"/>
    <w:rsid w:val="00A40F1D"/>
    <w:rsid w:val="00A45A1E"/>
    <w:rsid w:val="00A47259"/>
    <w:rsid w:val="00A51D4D"/>
    <w:rsid w:val="00A52EFE"/>
    <w:rsid w:val="00A5408B"/>
    <w:rsid w:val="00A557A8"/>
    <w:rsid w:val="00A6257E"/>
    <w:rsid w:val="00A63EF7"/>
    <w:rsid w:val="00A63F50"/>
    <w:rsid w:val="00A67BAD"/>
    <w:rsid w:val="00A777DF"/>
    <w:rsid w:val="00A803E3"/>
    <w:rsid w:val="00A80503"/>
    <w:rsid w:val="00A80757"/>
    <w:rsid w:val="00A8189A"/>
    <w:rsid w:val="00A83890"/>
    <w:rsid w:val="00A84C4D"/>
    <w:rsid w:val="00A84C7D"/>
    <w:rsid w:val="00A84CB2"/>
    <w:rsid w:val="00A84EB6"/>
    <w:rsid w:val="00A84FC0"/>
    <w:rsid w:val="00A85E16"/>
    <w:rsid w:val="00A86297"/>
    <w:rsid w:val="00A911EB"/>
    <w:rsid w:val="00A9179F"/>
    <w:rsid w:val="00A91F04"/>
    <w:rsid w:val="00AA1164"/>
    <w:rsid w:val="00AA2D29"/>
    <w:rsid w:val="00AA2EB4"/>
    <w:rsid w:val="00AB23A8"/>
    <w:rsid w:val="00AB3809"/>
    <w:rsid w:val="00AB471A"/>
    <w:rsid w:val="00AB54E8"/>
    <w:rsid w:val="00AB7E47"/>
    <w:rsid w:val="00AC2AB1"/>
    <w:rsid w:val="00AC65CD"/>
    <w:rsid w:val="00AC7272"/>
    <w:rsid w:val="00AD2F77"/>
    <w:rsid w:val="00AD3A49"/>
    <w:rsid w:val="00AD6D70"/>
    <w:rsid w:val="00AE03BE"/>
    <w:rsid w:val="00AE2C19"/>
    <w:rsid w:val="00AE3531"/>
    <w:rsid w:val="00AE4C84"/>
    <w:rsid w:val="00AE5A60"/>
    <w:rsid w:val="00AF05C9"/>
    <w:rsid w:val="00AF2551"/>
    <w:rsid w:val="00AF7909"/>
    <w:rsid w:val="00B00A43"/>
    <w:rsid w:val="00B01899"/>
    <w:rsid w:val="00B0228F"/>
    <w:rsid w:val="00B02B67"/>
    <w:rsid w:val="00B032DF"/>
    <w:rsid w:val="00B05AAC"/>
    <w:rsid w:val="00B10CE5"/>
    <w:rsid w:val="00B13634"/>
    <w:rsid w:val="00B14655"/>
    <w:rsid w:val="00B15E94"/>
    <w:rsid w:val="00B16BDD"/>
    <w:rsid w:val="00B174FB"/>
    <w:rsid w:val="00B218AD"/>
    <w:rsid w:val="00B223C9"/>
    <w:rsid w:val="00B22516"/>
    <w:rsid w:val="00B23A10"/>
    <w:rsid w:val="00B241EB"/>
    <w:rsid w:val="00B254F5"/>
    <w:rsid w:val="00B324EF"/>
    <w:rsid w:val="00B36E54"/>
    <w:rsid w:val="00B370D7"/>
    <w:rsid w:val="00B37274"/>
    <w:rsid w:val="00B41358"/>
    <w:rsid w:val="00B4330A"/>
    <w:rsid w:val="00B43BEB"/>
    <w:rsid w:val="00B44321"/>
    <w:rsid w:val="00B44616"/>
    <w:rsid w:val="00B4557D"/>
    <w:rsid w:val="00B47A4A"/>
    <w:rsid w:val="00B5177E"/>
    <w:rsid w:val="00B63BC0"/>
    <w:rsid w:val="00B6648B"/>
    <w:rsid w:val="00B707AD"/>
    <w:rsid w:val="00B7438D"/>
    <w:rsid w:val="00B75620"/>
    <w:rsid w:val="00B85AD8"/>
    <w:rsid w:val="00B85F59"/>
    <w:rsid w:val="00B93868"/>
    <w:rsid w:val="00B94A66"/>
    <w:rsid w:val="00B94DAB"/>
    <w:rsid w:val="00B963CB"/>
    <w:rsid w:val="00B967C8"/>
    <w:rsid w:val="00B9763F"/>
    <w:rsid w:val="00B97727"/>
    <w:rsid w:val="00BA2074"/>
    <w:rsid w:val="00BA3215"/>
    <w:rsid w:val="00BA3855"/>
    <w:rsid w:val="00BA56D4"/>
    <w:rsid w:val="00BB0E4E"/>
    <w:rsid w:val="00BB14F1"/>
    <w:rsid w:val="00BB387E"/>
    <w:rsid w:val="00BB440A"/>
    <w:rsid w:val="00BB4F94"/>
    <w:rsid w:val="00BB704E"/>
    <w:rsid w:val="00BC005F"/>
    <w:rsid w:val="00BC408F"/>
    <w:rsid w:val="00BC722D"/>
    <w:rsid w:val="00BD2441"/>
    <w:rsid w:val="00BD49D9"/>
    <w:rsid w:val="00BD78BC"/>
    <w:rsid w:val="00BE4FC8"/>
    <w:rsid w:val="00BF0BEE"/>
    <w:rsid w:val="00BF566D"/>
    <w:rsid w:val="00BF615D"/>
    <w:rsid w:val="00C003AD"/>
    <w:rsid w:val="00C0352D"/>
    <w:rsid w:val="00C03F7D"/>
    <w:rsid w:val="00C04E2B"/>
    <w:rsid w:val="00C06C62"/>
    <w:rsid w:val="00C10B78"/>
    <w:rsid w:val="00C11811"/>
    <w:rsid w:val="00C11A8F"/>
    <w:rsid w:val="00C11F5F"/>
    <w:rsid w:val="00C12D63"/>
    <w:rsid w:val="00C13A46"/>
    <w:rsid w:val="00C13C39"/>
    <w:rsid w:val="00C14BE6"/>
    <w:rsid w:val="00C23340"/>
    <w:rsid w:val="00C25159"/>
    <w:rsid w:val="00C255CF"/>
    <w:rsid w:val="00C272C3"/>
    <w:rsid w:val="00C27709"/>
    <w:rsid w:val="00C27F0E"/>
    <w:rsid w:val="00C322F8"/>
    <w:rsid w:val="00C33C20"/>
    <w:rsid w:val="00C4129A"/>
    <w:rsid w:val="00C4251B"/>
    <w:rsid w:val="00C43D58"/>
    <w:rsid w:val="00C456D4"/>
    <w:rsid w:val="00C47A33"/>
    <w:rsid w:val="00C51DD3"/>
    <w:rsid w:val="00C52F04"/>
    <w:rsid w:val="00C56069"/>
    <w:rsid w:val="00C57D7C"/>
    <w:rsid w:val="00C6096A"/>
    <w:rsid w:val="00C62348"/>
    <w:rsid w:val="00C6424D"/>
    <w:rsid w:val="00C66ABC"/>
    <w:rsid w:val="00C71375"/>
    <w:rsid w:val="00C752DB"/>
    <w:rsid w:val="00C773A9"/>
    <w:rsid w:val="00C83514"/>
    <w:rsid w:val="00C85F97"/>
    <w:rsid w:val="00C950BD"/>
    <w:rsid w:val="00C95EBC"/>
    <w:rsid w:val="00C962BF"/>
    <w:rsid w:val="00C9686F"/>
    <w:rsid w:val="00C96F9A"/>
    <w:rsid w:val="00CA1D1B"/>
    <w:rsid w:val="00CA545B"/>
    <w:rsid w:val="00CA706E"/>
    <w:rsid w:val="00CB202A"/>
    <w:rsid w:val="00CB235A"/>
    <w:rsid w:val="00CB26BE"/>
    <w:rsid w:val="00CB46DD"/>
    <w:rsid w:val="00CB55DE"/>
    <w:rsid w:val="00CB6C37"/>
    <w:rsid w:val="00CC55F4"/>
    <w:rsid w:val="00CC6E31"/>
    <w:rsid w:val="00CC7F8A"/>
    <w:rsid w:val="00CD02F2"/>
    <w:rsid w:val="00CD122D"/>
    <w:rsid w:val="00CD163C"/>
    <w:rsid w:val="00CD285A"/>
    <w:rsid w:val="00CD2BC5"/>
    <w:rsid w:val="00CD50DB"/>
    <w:rsid w:val="00CD60EE"/>
    <w:rsid w:val="00CE0006"/>
    <w:rsid w:val="00CE1E3F"/>
    <w:rsid w:val="00CE75A8"/>
    <w:rsid w:val="00CF58F9"/>
    <w:rsid w:val="00D0323E"/>
    <w:rsid w:val="00D03625"/>
    <w:rsid w:val="00D03A31"/>
    <w:rsid w:val="00D056D0"/>
    <w:rsid w:val="00D057B3"/>
    <w:rsid w:val="00D13499"/>
    <w:rsid w:val="00D16C57"/>
    <w:rsid w:val="00D24322"/>
    <w:rsid w:val="00D24E02"/>
    <w:rsid w:val="00D26C0E"/>
    <w:rsid w:val="00D3243B"/>
    <w:rsid w:val="00D335BD"/>
    <w:rsid w:val="00D37720"/>
    <w:rsid w:val="00D40104"/>
    <w:rsid w:val="00D41DF1"/>
    <w:rsid w:val="00D439CE"/>
    <w:rsid w:val="00D45D92"/>
    <w:rsid w:val="00D46010"/>
    <w:rsid w:val="00D4613F"/>
    <w:rsid w:val="00D465BA"/>
    <w:rsid w:val="00D46871"/>
    <w:rsid w:val="00D5107E"/>
    <w:rsid w:val="00D52633"/>
    <w:rsid w:val="00D52D87"/>
    <w:rsid w:val="00D55618"/>
    <w:rsid w:val="00D556F8"/>
    <w:rsid w:val="00D5799B"/>
    <w:rsid w:val="00D57BEE"/>
    <w:rsid w:val="00D57CC1"/>
    <w:rsid w:val="00D62495"/>
    <w:rsid w:val="00D62588"/>
    <w:rsid w:val="00D6662B"/>
    <w:rsid w:val="00D66F52"/>
    <w:rsid w:val="00D67574"/>
    <w:rsid w:val="00D720C4"/>
    <w:rsid w:val="00D72D58"/>
    <w:rsid w:val="00D77BF4"/>
    <w:rsid w:val="00D8096D"/>
    <w:rsid w:val="00D80AB0"/>
    <w:rsid w:val="00D80C1D"/>
    <w:rsid w:val="00D86CA1"/>
    <w:rsid w:val="00D87E0A"/>
    <w:rsid w:val="00D906F4"/>
    <w:rsid w:val="00D93292"/>
    <w:rsid w:val="00D94173"/>
    <w:rsid w:val="00D95B9F"/>
    <w:rsid w:val="00D97161"/>
    <w:rsid w:val="00D97438"/>
    <w:rsid w:val="00DA10E8"/>
    <w:rsid w:val="00DA26A7"/>
    <w:rsid w:val="00DA3174"/>
    <w:rsid w:val="00DA3E24"/>
    <w:rsid w:val="00DA4A81"/>
    <w:rsid w:val="00DA6061"/>
    <w:rsid w:val="00DB0111"/>
    <w:rsid w:val="00DB0C70"/>
    <w:rsid w:val="00DB0D00"/>
    <w:rsid w:val="00DB3FCB"/>
    <w:rsid w:val="00DC1563"/>
    <w:rsid w:val="00DC2576"/>
    <w:rsid w:val="00DC3DCC"/>
    <w:rsid w:val="00DC592C"/>
    <w:rsid w:val="00DD31B6"/>
    <w:rsid w:val="00DD5152"/>
    <w:rsid w:val="00DD5233"/>
    <w:rsid w:val="00DD6540"/>
    <w:rsid w:val="00DE23E5"/>
    <w:rsid w:val="00DE3FF5"/>
    <w:rsid w:val="00DE5654"/>
    <w:rsid w:val="00DE5A4A"/>
    <w:rsid w:val="00DE7989"/>
    <w:rsid w:val="00DF0844"/>
    <w:rsid w:val="00DF1849"/>
    <w:rsid w:val="00DF242A"/>
    <w:rsid w:val="00DF2B56"/>
    <w:rsid w:val="00DF38F2"/>
    <w:rsid w:val="00DF66DE"/>
    <w:rsid w:val="00DF6BBA"/>
    <w:rsid w:val="00E00657"/>
    <w:rsid w:val="00E00DAC"/>
    <w:rsid w:val="00E01E0F"/>
    <w:rsid w:val="00E04707"/>
    <w:rsid w:val="00E04F63"/>
    <w:rsid w:val="00E07961"/>
    <w:rsid w:val="00E1325D"/>
    <w:rsid w:val="00E13AD4"/>
    <w:rsid w:val="00E1529B"/>
    <w:rsid w:val="00E17346"/>
    <w:rsid w:val="00E2195F"/>
    <w:rsid w:val="00E2461E"/>
    <w:rsid w:val="00E24700"/>
    <w:rsid w:val="00E26086"/>
    <w:rsid w:val="00E3685C"/>
    <w:rsid w:val="00E37F89"/>
    <w:rsid w:val="00E42A58"/>
    <w:rsid w:val="00E45CFA"/>
    <w:rsid w:val="00E46982"/>
    <w:rsid w:val="00E47D60"/>
    <w:rsid w:val="00E50F59"/>
    <w:rsid w:val="00E52B59"/>
    <w:rsid w:val="00E530AC"/>
    <w:rsid w:val="00E5581A"/>
    <w:rsid w:val="00E56CED"/>
    <w:rsid w:val="00E605EE"/>
    <w:rsid w:val="00E61700"/>
    <w:rsid w:val="00E62361"/>
    <w:rsid w:val="00E64DEB"/>
    <w:rsid w:val="00E65C18"/>
    <w:rsid w:val="00E72C47"/>
    <w:rsid w:val="00E72E8B"/>
    <w:rsid w:val="00E80E81"/>
    <w:rsid w:val="00E85F02"/>
    <w:rsid w:val="00E90AF0"/>
    <w:rsid w:val="00E9115C"/>
    <w:rsid w:val="00E91445"/>
    <w:rsid w:val="00E91AB0"/>
    <w:rsid w:val="00E92777"/>
    <w:rsid w:val="00E92B96"/>
    <w:rsid w:val="00E93F7D"/>
    <w:rsid w:val="00E946FE"/>
    <w:rsid w:val="00E94C6A"/>
    <w:rsid w:val="00E95006"/>
    <w:rsid w:val="00E959D9"/>
    <w:rsid w:val="00E96CB3"/>
    <w:rsid w:val="00EA11DC"/>
    <w:rsid w:val="00EA1C67"/>
    <w:rsid w:val="00EA1E92"/>
    <w:rsid w:val="00EA213D"/>
    <w:rsid w:val="00EA4D20"/>
    <w:rsid w:val="00EA50A6"/>
    <w:rsid w:val="00EA6F1B"/>
    <w:rsid w:val="00EA7C08"/>
    <w:rsid w:val="00EA7DE9"/>
    <w:rsid w:val="00EB2488"/>
    <w:rsid w:val="00EB5938"/>
    <w:rsid w:val="00EB63F2"/>
    <w:rsid w:val="00EB7E63"/>
    <w:rsid w:val="00EC192E"/>
    <w:rsid w:val="00EC65FA"/>
    <w:rsid w:val="00EC7277"/>
    <w:rsid w:val="00ED3484"/>
    <w:rsid w:val="00ED4969"/>
    <w:rsid w:val="00ED6FB1"/>
    <w:rsid w:val="00EE1EEE"/>
    <w:rsid w:val="00EE2CBE"/>
    <w:rsid w:val="00EE6FAA"/>
    <w:rsid w:val="00EF0DDE"/>
    <w:rsid w:val="00EF21F6"/>
    <w:rsid w:val="00EF3557"/>
    <w:rsid w:val="00EF41CB"/>
    <w:rsid w:val="00EF480D"/>
    <w:rsid w:val="00EF69F7"/>
    <w:rsid w:val="00F019AE"/>
    <w:rsid w:val="00F0278A"/>
    <w:rsid w:val="00F03470"/>
    <w:rsid w:val="00F03805"/>
    <w:rsid w:val="00F040BB"/>
    <w:rsid w:val="00F06E99"/>
    <w:rsid w:val="00F06EF4"/>
    <w:rsid w:val="00F07E6A"/>
    <w:rsid w:val="00F1310C"/>
    <w:rsid w:val="00F14DAD"/>
    <w:rsid w:val="00F22B8F"/>
    <w:rsid w:val="00F23337"/>
    <w:rsid w:val="00F23F4B"/>
    <w:rsid w:val="00F2478D"/>
    <w:rsid w:val="00F25004"/>
    <w:rsid w:val="00F25809"/>
    <w:rsid w:val="00F33F89"/>
    <w:rsid w:val="00F43E2D"/>
    <w:rsid w:val="00F45462"/>
    <w:rsid w:val="00F468BF"/>
    <w:rsid w:val="00F46A33"/>
    <w:rsid w:val="00F50CFD"/>
    <w:rsid w:val="00F5383D"/>
    <w:rsid w:val="00F54474"/>
    <w:rsid w:val="00F600C1"/>
    <w:rsid w:val="00F614D2"/>
    <w:rsid w:val="00F63D7C"/>
    <w:rsid w:val="00F64253"/>
    <w:rsid w:val="00F64494"/>
    <w:rsid w:val="00F6467C"/>
    <w:rsid w:val="00F6710A"/>
    <w:rsid w:val="00F67C05"/>
    <w:rsid w:val="00F67ECC"/>
    <w:rsid w:val="00F712A9"/>
    <w:rsid w:val="00F7464D"/>
    <w:rsid w:val="00F7595A"/>
    <w:rsid w:val="00F7733A"/>
    <w:rsid w:val="00F77856"/>
    <w:rsid w:val="00F8259D"/>
    <w:rsid w:val="00F8285C"/>
    <w:rsid w:val="00F82C56"/>
    <w:rsid w:val="00F92B20"/>
    <w:rsid w:val="00F934A3"/>
    <w:rsid w:val="00F94DA4"/>
    <w:rsid w:val="00FA202B"/>
    <w:rsid w:val="00FA26FE"/>
    <w:rsid w:val="00FA50E6"/>
    <w:rsid w:val="00FA5632"/>
    <w:rsid w:val="00FA614E"/>
    <w:rsid w:val="00FB5372"/>
    <w:rsid w:val="00FB6846"/>
    <w:rsid w:val="00FC091D"/>
    <w:rsid w:val="00FC348C"/>
    <w:rsid w:val="00FC7C26"/>
    <w:rsid w:val="00FD0F8F"/>
    <w:rsid w:val="00FD38A1"/>
    <w:rsid w:val="00FD5146"/>
    <w:rsid w:val="00FD7E25"/>
    <w:rsid w:val="00FE10E7"/>
    <w:rsid w:val="00FE160B"/>
    <w:rsid w:val="00FE1E37"/>
    <w:rsid w:val="00FE2FC0"/>
    <w:rsid w:val="00FE568B"/>
    <w:rsid w:val="00FF06BF"/>
    <w:rsid w:val="7F7D4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szCs w:val="24"/>
    </w:rPr>
  </w:style>
  <w:style w:type="paragraph" w:styleId="3">
    <w:name w:val="Body Text"/>
    <w:basedOn w:val="1"/>
    <w:next w:val="1"/>
    <w:link w:val="15"/>
    <w:qFormat/>
    <w:uiPriority w:val="99"/>
    <w:pPr>
      <w:spacing w:after="120"/>
    </w:pPr>
    <w:rPr>
      <w:rFonts w:ascii="Calibri" w:hAnsi="Calibri" w:eastAsia="宋体" w:cs="Times New Roman"/>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8"/>
    <w:uiPriority w:val="99"/>
    <w:pPr>
      <w:widowControl/>
      <w:ind w:firstLine="420" w:firstLineChars="100"/>
    </w:pPr>
    <w:rPr>
      <w:rFonts w:ascii="Times New Roman" w:hAnsi="Times New Roman"/>
      <w:kern w:val="0"/>
      <w:szCs w:val="21"/>
    </w:rPr>
  </w:style>
  <w:style w:type="table" w:styleId="9">
    <w:name w:val="Table Grid"/>
    <w:basedOn w:val="8"/>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uiPriority w:val="0"/>
  </w:style>
  <w:style w:type="character" w:customStyle="1" w:styleId="12">
    <w:name w:val="页眉 Char"/>
    <w:basedOn w:val="10"/>
    <w:link w:val="5"/>
    <w:semiHidden/>
    <w:uiPriority w:val="99"/>
    <w:rPr>
      <w:sz w:val="18"/>
      <w:szCs w:val="18"/>
    </w:rPr>
  </w:style>
  <w:style w:type="character" w:customStyle="1" w:styleId="13">
    <w:name w:val="页脚 Char"/>
    <w:basedOn w:val="10"/>
    <w:link w:val="4"/>
    <w:uiPriority w:val="99"/>
    <w:rPr>
      <w:sz w:val="18"/>
      <w:szCs w:val="18"/>
    </w:rPr>
  </w:style>
  <w:style w:type="paragraph" w:customStyle="1" w:styleId="14">
    <w:name w:val="UserStyle_2"/>
    <w:basedOn w:val="1"/>
    <w:qFormat/>
    <w:uiPriority w:val="0"/>
    <w:pPr>
      <w:spacing w:line="560" w:lineRule="exact"/>
      <w:ind w:firstLine="880" w:firstLineChars="200"/>
      <w:textAlignment w:val="baseline"/>
    </w:pPr>
    <w:rPr>
      <w:rFonts w:ascii="Times New Roman" w:hAnsi="Times New Roman" w:eastAsia="方正仿宋_GBK" w:cs="Times New Roman"/>
      <w:kern w:val="0"/>
      <w:sz w:val="32"/>
    </w:rPr>
  </w:style>
  <w:style w:type="character" w:customStyle="1" w:styleId="15">
    <w:name w:val="正文文本 Char"/>
    <w:basedOn w:val="10"/>
    <w:link w:val="3"/>
    <w:uiPriority w:val="99"/>
    <w:rPr>
      <w:rFonts w:ascii="Calibri" w:hAnsi="Calibri" w:eastAsia="宋体" w:cs="Times New Roman"/>
    </w:rPr>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列出段落1"/>
    <w:basedOn w:val="1"/>
    <w:qFormat/>
    <w:uiPriority w:val="0"/>
    <w:pPr>
      <w:ind w:firstLine="420" w:firstLineChars="200"/>
    </w:pPr>
    <w:rPr>
      <w:rFonts w:ascii="Times New Roman" w:hAnsi="Times New Roman" w:eastAsia="宋体" w:cs="Times New Roman"/>
      <w:szCs w:val="21"/>
    </w:rPr>
  </w:style>
  <w:style w:type="character" w:customStyle="1" w:styleId="18">
    <w:name w:val="正文首行缩进 Char"/>
    <w:basedOn w:val="15"/>
    <w:link w:val="7"/>
    <w:uiPriority w:val="99"/>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6431</Words>
  <Characters>6544</Characters>
  <Lines>47</Lines>
  <Paragraphs>13</Paragraphs>
  <TotalTime>1821</TotalTime>
  <ScaleCrop>false</ScaleCrop>
  <LinksUpToDate>false</LinksUpToDate>
  <CharactersWithSpaces>6552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2021-12-28T02:58:00Z</dcterms:created>
  <dc:creator>Sky123.Org</dc:creator>
  <cp:lastModifiedBy>_</cp:lastModifiedBy>
  <cp:lastPrinted>2022-03-09T01:40:00Z</cp:lastPrinted>
  <dcterms:modified xsi:type="dcterms:W3CDTF">2024-10-29T02:18:09Z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D94D970FBDC741558ABD5A62284B0053_12</vt:lpwstr>
  </property>
</Properties>
</file>