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line="338" w:lineRule="atLeast"/>
        <w:ind w:firstLine="480"/>
        <w:jc w:val="center"/>
        <w:rPr>
          <w:rStyle w:val="14"/>
          <w:rFonts w:ascii="黑体" w:hAnsi="黑体" w:eastAsia="黑体"/>
          <w:b w:val="0"/>
          <w:bCs w:val="0"/>
          <w:color w:val="333333"/>
          <w:sz w:val="30"/>
          <w:szCs w:val="30"/>
        </w:rPr>
      </w:pPr>
      <w:r>
        <w:rPr>
          <w:rStyle w:val="14"/>
          <w:rFonts w:hint="eastAsia" w:ascii="黑体" w:hAnsi="黑体" w:eastAsia="黑体" w:cs="Times New Roman"/>
          <w:b w:val="0"/>
          <w:bCs w:val="0"/>
          <w:color w:val="333333"/>
          <w:sz w:val="30"/>
          <w:szCs w:val="30"/>
          <w:lang w:eastAsia="zh-CN"/>
        </w:rPr>
        <w:t>江苏省海门中等专业学校采购网络教学平台维护管理及资源更新服务项目</w:t>
      </w:r>
      <w:r>
        <w:rPr>
          <w:rStyle w:val="14"/>
          <w:rFonts w:hint="eastAsia" w:ascii="黑体" w:hAnsi="黑体" w:eastAsia="黑体"/>
          <w:b w:val="0"/>
          <w:bCs w:val="0"/>
          <w:color w:val="333333"/>
          <w:sz w:val="30"/>
          <w:szCs w:val="30"/>
        </w:rPr>
        <w:t>询价采购公告</w:t>
      </w:r>
    </w:p>
    <w:p>
      <w:pPr>
        <w:pStyle w:val="9"/>
        <w:shd w:val="clear" w:color="auto" w:fill="FFFFFF"/>
        <w:spacing w:before="0" w:beforeAutospacing="0" w:after="0" w:afterAutospacing="0" w:line="338" w:lineRule="atLeast"/>
        <w:ind w:firstLine="482" w:firstLineChars="200"/>
        <w:rPr>
          <w:rFonts w:asciiTheme="minorEastAsia" w:hAnsiTheme="minorEastAsia" w:eastAsiaTheme="minorEastAsia"/>
          <w:color w:val="333333"/>
        </w:rPr>
      </w:pPr>
      <w:r>
        <w:rPr>
          <w:rStyle w:val="14"/>
          <w:rFonts w:asciiTheme="minorEastAsia" w:hAnsiTheme="minorEastAsia" w:eastAsiaTheme="minorEastAsia"/>
          <w:bCs w:val="0"/>
          <w:color w:val="333333"/>
        </w:rPr>
        <w:t>一、项目名称</w:t>
      </w:r>
      <w:r>
        <w:rPr>
          <w:rFonts w:asciiTheme="minorEastAsia" w:hAnsiTheme="minorEastAsia" w:eastAsiaTheme="minorEastAsia"/>
          <w:color w:val="333333"/>
        </w:rPr>
        <w:t> </w:t>
      </w:r>
    </w:p>
    <w:p>
      <w:pPr>
        <w:pStyle w:val="9"/>
        <w:shd w:val="clear" w:color="auto" w:fill="FFFFFF"/>
        <w:spacing w:before="0" w:beforeAutospacing="0" w:after="0" w:afterAutospacing="0" w:line="338" w:lineRule="atLeast"/>
        <w:ind w:firstLine="480" w:firstLineChars="200"/>
        <w:rPr>
          <w:rFonts w:hint="eastAsia" w:cs="宋体" w:asciiTheme="minorEastAsia" w:hAnsiTheme="minorEastAsia" w:eastAsiaTheme="minorEastAsia"/>
        </w:rPr>
      </w:pPr>
      <w:r>
        <w:rPr>
          <w:rFonts w:hint="eastAsia" w:cs="宋体" w:asciiTheme="minorEastAsia" w:hAnsiTheme="minorEastAsia" w:eastAsiaTheme="minorEastAsia"/>
          <w:lang w:eastAsia="zh-CN"/>
        </w:rPr>
        <w:t>江苏省海门中等专业学校采购</w:t>
      </w:r>
      <w:bookmarkStart w:id="8" w:name="_GoBack"/>
      <w:bookmarkEnd w:id="8"/>
      <w:r>
        <w:rPr>
          <w:rFonts w:hint="eastAsia" w:cs="宋体" w:asciiTheme="minorEastAsia" w:hAnsiTheme="minorEastAsia" w:eastAsiaTheme="minorEastAsia"/>
          <w:lang w:eastAsia="zh-CN"/>
        </w:rPr>
        <w:t>网络教学平台维护管理及资源更新服务项目</w:t>
      </w:r>
      <w:r>
        <w:rPr>
          <w:rFonts w:hint="eastAsia" w:cs="宋体" w:asciiTheme="minorEastAsia" w:hAnsiTheme="minorEastAsia" w:eastAsiaTheme="minorEastAsia"/>
        </w:rPr>
        <w:t>。</w:t>
      </w:r>
    </w:p>
    <w:p>
      <w:pPr>
        <w:pStyle w:val="9"/>
        <w:shd w:val="clear" w:color="auto" w:fill="FFFFFF"/>
        <w:spacing w:before="0" w:beforeAutospacing="0" w:after="0" w:afterAutospacing="0" w:line="338" w:lineRule="atLeast"/>
        <w:ind w:firstLine="482" w:firstLineChars="200"/>
        <w:rPr>
          <w:rFonts w:asciiTheme="minorEastAsia" w:hAnsiTheme="minorEastAsia" w:eastAsiaTheme="minorEastAsia"/>
          <w:color w:val="333333"/>
        </w:rPr>
      </w:pPr>
      <w:r>
        <w:rPr>
          <w:rStyle w:val="14"/>
          <w:rFonts w:asciiTheme="minorEastAsia" w:hAnsiTheme="minorEastAsia" w:eastAsiaTheme="minorEastAsia"/>
          <w:bCs w:val="0"/>
          <w:color w:val="333333"/>
        </w:rPr>
        <w:t>二、项目内容及要求</w:t>
      </w:r>
      <w:r>
        <w:rPr>
          <w:rStyle w:val="14"/>
          <w:rFonts w:hint="eastAsia" w:asciiTheme="minorEastAsia" w:hAnsiTheme="minorEastAsia" w:eastAsiaTheme="minorEastAsia"/>
          <w:bCs w:val="0"/>
          <w:color w:val="333333"/>
        </w:rPr>
        <w:t>：</w:t>
      </w:r>
    </w:p>
    <w:tbl>
      <w:tblPr>
        <w:tblStyle w:val="12"/>
        <w:tblW w:w="10185" w:type="dxa"/>
        <w:tblInd w:w="-72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45"/>
        <w:gridCol w:w="1245"/>
        <w:gridCol w:w="6825"/>
        <w:gridCol w:w="720"/>
        <w:gridCol w:w="7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45" w:type="dxa"/>
            <w:vAlign w:val="center"/>
          </w:tcPr>
          <w:p>
            <w:pPr>
              <w:pStyle w:val="9"/>
              <w:shd w:val="clear" w:color="auto" w:fill="FFFFFF"/>
              <w:spacing w:before="0" w:beforeAutospacing="0" w:after="0" w:afterAutospacing="0" w:line="338" w:lineRule="atLeast"/>
              <w:jc w:val="center"/>
              <w:rPr>
                <w:rFonts w:asciiTheme="minorEastAsia" w:hAnsiTheme="minorEastAsia" w:eastAsiaTheme="minorEastAsia"/>
                <w:color w:val="333333"/>
              </w:rPr>
            </w:pPr>
            <w:r>
              <w:rPr>
                <w:rFonts w:hint="eastAsia" w:asciiTheme="minorEastAsia" w:hAnsiTheme="minorEastAsia" w:eastAsiaTheme="minorEastAsia"/>
                <w:color w:val="333333"/>
              </w:rPr>
              <w:t>序号</w:t>
            </w:r>
          </w:p>
        </w:tc>
        <w:tc>
          <w:tcPr>
            <w:tcW w:w="1245" w:type="dxa"/>
            <w:vAlign w:val="center"/>
          </w:tcPr>
          <w:p>
            <w:pPr>
              <w:pStyle w:val="9"/>
              <w:shd w:val="clear" w:color="auto" w:fill="FFFFFF"/>
              <w:spacing w:before="0" w:beforeAutospacing="0" w:after="0" w:afterAutospacing="0" w:line="338" w:lineRule="atLeast"/>
              <w:jc w:val="center"/>
              <w:rPr>
                <w:rFonts w:asciiTheme="minorEastAsia" w:hAnsiTheme="minorEastAsia" w:eastAsiaTheme="minorEastAsia"/>
                <w:color w:val="333333"/>
              </w:rPr>
            </w:pPr>
            <w:r>
              <w:rPr>
                <w:rFonts w:hint="eastAsia" w:asciiTheme="minorEastAsia" w:hAnsiTheme="minorEastAsia" w:eastAsiaTheme="minorEastAsia"/>
                <w:color w:val="333333"/>
              </w:rPr>
              <w:t>产品名称</w:t>
            </w:r>
          </w:p>
        </w:tc>
        <w:tc>
          <w:tcPr>
            <w:tcW w:w="6825" w:type="dxa"/>
            <w:vAlign w:val="center"/>
          </w:tcPr>
          <w:p>
            <w:pPr>
              <w:pStyle w:val="9"/>
              <w:shd w:val="clear" w:color="auto" w:fill="FFFFFF"/>
              <w:spacing w:before="0" w:beforeAutospacing="0" w:after="0" w:afterAutospacing="0" w:line="338" w:lineRule="atLeast"/>
              <w:jc w:val="center"/>
              <w:rPr>
                <w:rFonts w:asciiTheme="minorEastAsia" w:hAnsiTheme="minorEastAsia" w:eastAsiaTheme="minorEastAsia"/>
                <w:color w:val="333333"/>
              </w:rPr>
            </w:pPr>
            <w:r>
              <w:rPr>
                <w:rFonts w:hint="eastAsia" w:asciiTheme="minorEastAsia" w:hAnsiTheme="minorEastAsia" w:eastAsiaTheme="minorEastAsia"/>
                <w:color w:val="333333"/>
              </w:rPr>
              <w:t>技术参数</w:t>
            </w:r>
          </w:p>
        </w:tc>
        <w:tc>
          <w:tcPr>
            <w:tcW w:w="720" w:type="dxa"/>
            <w:vAlign w:val="center"/>
          </w:tcPr>
          <w:p>
            <w:pPr>
              <w:pStyle w:val="9"/>
              <w:shd w:val="clear" w:color="auto" w:fill="FFFFFF"/>
              <w:spacing w:before="0" w:beforeAutospacing="0" w:after="0" w:afterAutospacing="0" w:line="338" w:lineRule="atLeast"/>
              <w:jc w:val="center"/>
              <w:rPr>
                <w:rFonts w:asciiTheme="minorEastAsia" w:hAnsiTheme="minorEastAsia" w:eastAsiaTheme="minorEastAsia"/>
                <w:color w:val="333333"/>
              </w:rPr>
            </w:pPr>
            <w:r>
              <w:rPr>
                <w:rFonts w:hint="eastAsia" w:asciiTheme="minorEastAsia" w:hAnsiTheme="minorEastAsia" w:eastAsiaTheme="minorEastAsia"/>
                <w:color w:val="333333"/>
              </w:rPr>
              <w:t>单位</w:t>
            </w:r>
          </w:p>
        </w:tc>
        <w:tc>
          <w:tcPr>
            <w:tcW w:w="750" w:type="dxa"/>
            <w:vAlign w:val="center"/>
          </w:tcPr>
          <w:p>
            <w:pPr>
              <w:pStyle w:val="9"/>
              <w:shd w:val="clear" w:color="auto" w:fill="FFFFFF"/>
              <w:spacing w:before="0" w:beforeAutospacing="0" w:after="0" w:afterAutospacing="0" w:line="338" w:lineRule="atLeast"/>
              <w:jc w:val="center"/>
              <w:rPr>
                <w:rFonts w:asciiTheme="minorEastAsia" w:hAnsiTheme="minorEastAsia" w:eastAsiaTheme="minorEastAsia"/>
                <w:color w:val="333333"/>
              </w:rPr>
            </w:pPr>
            <w:r>
              <w:rPr>
                <w:rFonts w:hint="eastAsia" w:asciiTheme="minorEastAsia" w:hAnsiTheme="minorEastAsia" w:eastAsiaTheme="minorEastAsia"/>
                <w:color w:val="333333"/>
              </w:rPr>
              <w:t>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jc w:val="center"/>
              <w:rPr>
                <w:rStyle w:val="14"/>
                <w:rFonts w:hint="eastAsia" w:asciiTheme="minorEastAsia" w:hAnsiTheme="minorEastAsia" w:eastAsiaTheme="minorEastAsia"/>
                <w:bCs w:val="0"/>
                <w:color w:val="333333"/>
                <w:lang w:val="en-US" w:eastAsia="zh-CN"/>
              </w:rPr>
            </w:pPr>
            <w:r>
              <w:rPr>
                <w:rStyle w:val="14"/>
                <w:rFonts w:hint="eastAsia" w:asciiTheme="minorEastAsia" w:hAnsiTheme="minorEastAsia" w:eastAsiaTheme="minorEastAsia"/>
                <w:bCs w:val="0"/>
                <w:color w:val="333333"/>
                <w:lang w:val="en-US" w:eastAsia="zh-CN"/>
              </w:rPr>
              <w:t>1</w:t>
            </w:r>
          </w:p>
        </w:tc>
        <w:tc>
          <w:tcPr>
            <w:tcW w:w="1245" w:type="dxa"/>
          </w:tcPr>
          <w:p>
            <w:pPr>
              <w:pStyle w:val="9"/>
              <w:spacing w:before="0" w:beforeAutospacing="0" w:after="0" w:afterAutospacing="0" w:line="338" w:lineRule="atLeast"/>
              <w:rPr>
                <w:rFonts w:hint="eastAsia" w:cs="宋体" w:asciiTheme="minorEastAsia" w:hAnsiTheme="minorEastAsia" w:eastAsiaTheme="minorEastAsia"/>
                <w:lang w:eastAsia="zh-CN"/>
              </w:rPr>
            </w:pPr>
          </w:p>
          <w:p>
            <w:pPr>
              <w:pStyle w:val="9"/>
              <w:spacing w:before="0" w:beforeAutospacing="0" w:after="0" w:afterAutospacing="0" w:line="338" w:lineRule="atLeast"/>
              <w:rPr>
                <w:rFonts w:hint="eastAsia" w:cs="宋体" w:asciiTheme="minorEastAsia" w:hAnsiTheme="minorEastAsia" w:eastAsiaTheme="minorEastAsia"/>
                <w:lang w:eastAsia="zh-CN"/>
              </w:rPr>
            </w:pPr>
          </w:p>
          <w:p>
            <w:pPr>
              <w:pStyle w:val="9"/>
              <w:spacing w:before="0" w:beforeAutospacing="0" w:after="0" w:afterAutospacing="0" w:line="338" w:lineRule="atLeast"/>
              <w:rPr>
                <w:rFonts w:hint="eastAsia" w:cs="宋体" w:asciiTheme="minorEastAsia" w:hAnsiTheme="minorEastAsia" w:eastAsiaTheme="minorEastAsia"/>
                <w:lang w:eastAsia="zh-CN"/>
              </w:rPr>
            </w:pPr>
          </w:p>
          <w:p>
            <w:pPr>
              <w:pStyle w:val="9"/>
              <w:spacing w:before="0" w:beforeAutospacing="0" w:after="0" w:afterAutospacing="0" w:line="338" w:lineRule="atLeast"/>
              <w:rPr>
                <w:rFonts w:hint="eastAsia" w:cs="宋体" w:asciiTheme="minorEastAsia" w:hAnsiTheme="minorEastAsia" w:eastAsiaTheme="minorEastAsia"/>
                <w:lang w:eastAsia="zh-CN"/>
              </w:rPr>
            </w:pPr>
          </w:p>
          <w:p>
            <w:pPr>
              <w:pStyle w:val="9"/>
              <w:spacing w:before="0" w:beforeAutospacing="0" w:after="0" w:afterAutospacing="0" w:line="338" w:lineRule="atLeast"/>
              <w:rPr>
                <w:rFonts w:hint="eastAsia" w:cs="宋体" w:asciiTheme="minorEastAsia" w:hAnsiTheme="minorEastAsia" w:eastAsiaTheme="minorEastAsia"/>
                <w:lang w:eastAsia="zh-CN"/>
              </w:rPr>
            </w:pPr>
          </w:p>
          <w:p>
            <w:pPr>
              <w:pStyle w:val="9"/>
              <w:spacing w:before="0" w:beforeAutospacing="0" w:after="0" w:afterAutospacing="0" w:line="338" w:lineRule="atLeast"/>
              <w:rPr>
                <w:rFonts w:hint="eastAsia" w:cs="宋体" w:asciiTheme="minorEastAsia" w:hAnsiTheme="minorEastAsia" w:eastAsiaTheme="minorEastAsia"/>
                <w:lang w:eastAsia="zh-CN"/>
              </w:rPr>
            </w:pPr>
          </w:p>
          <w:p>
            <w:pPr>
              <w:pStyle w:val="9"/>
              <w:spacing w:before="0" w:beforeAutospacing="0" w:after="0" w:afterAutospacing="0" w:line="338" w:lineRule="atLeast"/>
              <w:rPr>
                <w:rFonts w:hint="eastAsia" w:cs="宋体" w:asciiTheme="minorEastAsia" w:hAnsiTheme="minorEastAsia" w:eastAsiaTheme="minorEastAsia"/>
                <w:lang w:eastAsia="zh-CN"/>
              </w:rPr>
            </w:pPr>
          </w:p>
          <w:p>
            <w:pPr>
              <w:pStyle w:val="9"/>
              <w:spacing w:before="0" w:beforeAutospacing="0" w:after="0" w:afterAutospacing="0" w:line="338" w:lineRule="atLeast"/>
              <w:rPr>
                <w:rFonts w:hint="eastAsia" w:cs="宋体" w:asciiTheme="minorEastAsia" w:hAnsiTheme="minorEastAsia" w:eastAsiaTheme="minorEastAsia"/>
                <w:lang w:eastAsia="zh-CN"/>
              </w:rPr>
            </w:pPr>
          </w:p>
          <w:p>
            <w:pPr>
              <w:pStyle w:val="9"/>
              <w:spacing w:before="0" w:beforeAutospacing="0" w:after="0" w:afterAutospacing="0" w:line="338" w:lineRule="atLeast"/>
              <w:rPr>
                <w:rFonts w:hint="eastAsia" w:cs="宋体" w:asciiTheme="minorEastAsia" w:hAnsiTheme="minorEastAsia" w:eastAsiaTheme="minorEastAsia"/>
                <w:lang w:eastAsia="zh-CN"/>
              </w:rPr>
            </w:pPr>
          </w:p>
          <w:p>
            <w:pPr>
              <w:pStyle w:val="9"/>
              <w:spacing w:before="0" w:beforeAutospacing="0" w:after="0" w:afterAutospacing="0" w:line="338" w:lineRule="atLeast"/>
              <w:rPr>
                <w:rFonts w:hint="eastAsia" w:cs="宋体" w:asciiTheme="minorEastAsia" w:hAnsiTheme="minorEastAsia" w:eastAsiaTheme="minorEastAsia"/>
                <w:lang w:eastAsia="zh-CN"/>
              </w:rPr>
            </w:pPr>
          </w:p>
          <w:p>
            <w:pPr>
              <w:pStyle w:val="9"/>
              <w:spacing w:before="0" w:beforeAutospacing="0" w:after="0" w:afterAutospacing="0" w:line="338" w:lineRule="atLeast"/>
              <w:rPr>
                <w:rFonts w:hint="eastAsia" w:cs="宋体" w:asciiTheme="minorEastAsia" w:hAnsiTheme="minorEastAsia" w:eastAsiaTheme="minorEastAsia"/>
                <w:lang w:eastAsia="zh-CN"/>
              </w:rPr>
            </w:pPr>
          </w:p>
          <w:p>
            <w:pPr>
              <w:pStyle w:val="9"/>
              <w:spacing w:before="0" w:beforeAutospacing="0" w:after="0" w:afterAutospacing="0" w:line="338" w:lineRule="atLeast"/>
              <w:rPr>
                <w:rFonts w:hint="eastAsia" w:cs="宋体" w:asciiTheme="minorEastAsia" w:hAnsiTheme="minorEastAsia" w:eastAsiaTheme="minorEastAsia"/>
                <w:lang w:eastAsia="zh-CN"/>
              </w:rPr>
            </w:pPr>
          </w:p>
          <w:p>
            <w:pPr>
              <w:pStyle w:val="9"/>
              <w:spacing w:before="0" w:beforeAutospacing="0" w:after="0" w:afterAutospacing="0" w:line="338" w:lineRule="atLeast"/>
              <w:rPr>
                <w:rFonts w:hint="eastAsia" w:cs="宋体" w:asciiTheme="minorEastAsia" w:hAnsiTheme="minorEastAsia" w:eastAsiaTheme="minorEastAsia"/>
                <w:lang w:eastAsia="zh-CN"/>
              </w:rPr>
            </w:pPr>
          </w:p>
          <w:p>
            <w:pPr>
              <w:pStyle w:val="9"/>
              <w:spacing w:before="0" w:beforeAutospacing="0" w:after="0" w:afterAutospacing="0" w:line="338" w:lineRule="atLeast"/>
              <w:rPr>
                <w:rFonts w:hint="eastAsia" w:cs="宋体" w:asciiTheme="minorEastAsia" w:hAnsiTheme="minorEastAsia" w:eastAsiaTheme="minorEastAsia"/>
                <w:lang w:eastAsia="zh-CN"/>
              </w:rPr>
            </w:pPr>
          </w:p>
          <w:p>
            <w:pPr>
              <w:pStyle w:val="9"/>
              <w:spacing w:before="0" w:beforeAutospacing="0" w:after="0" w:afterAutospacing="0" w:line="338" w:lineRule="atLeast"/>
              <w:rPr>
                <w:rStyle w:val="14"/>
                <w:rFonts w:asciiTheme="minorEastAsia" w:hAnsiTheme="minorEastAsia" w:eastAsiaTheme="minorEastAsia"/>
                <w:bCs w:val="0"/>
                <w:color w:val="333333"/>
              </w:rPr>
            </w:pPr>
            <w:r>
              <w:rPr>
                <w:rFonts w:hint="eastAsia" w:cs="宋体" w:asciiTheme="minorEastAsia" w:hAnsiTheme="minorEastAsia" w:eastAsiaTheme="minorEastAsia"/>
                <w:lang w:eastAsia="zh-CN"/>
              </w:rPr>
              <w:t>网络教学平台维护管理及资源更新服务</w:t>
            </w:r>
          </w:p>
        </w:tc>
        <w:tc>
          <w:tcPr>
            <w:tcW w:w="6825" w:type="dxa"/>
          </w:tcPr>
          <w:p>
            <w:pPr>
              <w:pStyle w:val="9"/>
              <w:numPr>
                <w:ilvl w:val="0"/>
                <w:numId w:val="1"/>
              </w:numPr>
              <w:spacing w:before="0" w:beforeAutospacing="0" w:after="0" w:afterAutospacing="0" w:line="338" w:lineRule="atLeas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基本技术功能要求</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平台服务能提供包括网络课程建课、教学互动功能、网络学习空间、教学管理评估、网络教学门户网站、移动学习等内容。</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（1）系统设计满足大规模用户使用、支持分布式部署，应满足万人在线学习的性能要求。</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（2）采用B/S结构，基于J2EE架构，页面采用Web2.0 AJAX开发，不需要另行安装插件就可以支持IE9及以上版本、safari、Firefox、chrome等浏览器。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（3）具有先进性、可移植性、开放性和兼容性，支持标准化多媒体课件。支持随用户使用量的增大而只需增加相应的硬件即可。</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支持Web服务器集群。具有安全策略和备份机制，可根据不同的业务要求采用不同的安全措施，保证发生故障时不影响整个系统的正常运行。提供各级数据备份机制能够每天非工作时段定时备份数据库。具有相关策略对知识产权进行保护。</w:t>
            </w:r>
          </w:p>
          <w:p>
            <w:pPr>
              <w:pStyle w:val="9"/>
              <w:numPr>
                <w:ilvl w:val="0"/>
                <w:numId w:val="0"/>
              </w:numPr>
              <w:spacing w:before="0" w:beforeAutospacing="0" w:after="0" w:afterAutospacing="0" w:line="338"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（5）不限注册课程数量和注册用户数，其中网络课程可以实现按课程的导入、导出进行备份。</w:t>
            </w:r>
          </w:p>
          <w:p>
            <w:pPr>
              <w:pStyle w:val="9"/>
              <w:numPr>
                <w:ilvl w:val="0"/>
                <w:numId w:val="0"/>
              </w:numPr>
              <w:spacing w:before="0" w:beforeAutospacing="0" w:after="0" w:afterAutospacing="0" w:line="338" w:lineRule="atLeast"/>
              <w:rPr>
                <w:rFonts w:hint="eastAsia" w:asciiTheme="minorEastAsia" w:hAnsiTheme="minorEastAsia" w:eastAsiaTheme="minorEastAsia" w:cstheme="minorEastAsia"/>
                <w:color w:val="auto"/>
                <w:sz w:val="24"/>
                <w:szCs w:val="24"/>
                <w:highlight w:val="none"/>
              </w:rPr>
            </w:pPr>
          </w:p>
          <w:p>
            <w:pPr>
              <w:pStyle w:val="9"/>
              <w:numPr>
                <w:ilvl w:val="0"/>
                <w:numId w:val="0"/>
              </w:numPr>
              <w:spacing w:before="0" w:beforeAutospacing="0" w:after="0" w:afterAutospacing="0" w:line="338" w:lineRule="atLeas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rPr>
              <w:t>网络课程建设</w:t>
            </w:r>
            <w:r>
              <w:rPr>
                <w:rFonts w:hint="eastAsia" w:asciiTheme="minorEastAsia" w:hAnsiTheme="minorEastAsia" w:eastAsiaTheme="minorEastAsia" w:cstheme="minorEastAsia"/>
                <w:b/>
                <w:bCs/>
                <w:color w:val="auto"/>
                <w:sz w:val="24"/>
                <w:szCs w:val="24"/>
                <w:highlight w:val="none"/>
                <w:lang w:val="en-US" w:eastAsia="zh-CN"/>
              </w:rPr>
              <w:t>功能要求</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（1）支持整个课程创建、内容共享、学习过程跟踪和控制、在线测试和作业发布、交流互动、成绩评测和学习成果反馈教学流程，实现信息技术与教学过程的深度融合。</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（2）提供多套的精美网络课程建课模板，教师可依据个人资料及喜欢的风格进行个性化的设置，支持教师在建课程自动生成课程网站。</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（3）操作简单，只需通过“选择模板、编辑课程信息、编辑课程章节”等几个必要步骤，就可以快速地建成一门慕课或符合精品资源共享课程要求的个性化课程网站。</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（4）开始建课前，可以选择按周、课时自动生成课程章节，快速创建课程章节目录，提升建课效率。</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课程编辑页面操作简单、灵活方便、原位编辑、所见即所得。可以发布通告、课程资料、任务、教学资源链接、教师简介等信息。可以任意编写和设置课程的介绍、封面、教学要求、教师团队等等，并支持模块的添加、删除和位置调整，支持是否公开显示的设置，可以上传课程片花。</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课程负责人可指派其他人作为具有同等或者小于本身课程建设管理权限的课程建设者共建同一门课程，也可为自己指定助教辅助自己进行课程建设和教学管理。并且可以对助教的权限进行设置，比如，是否允许查看成绩、允许管理作业、允许管理考试、允许管理论坛、允许发布通知、允许管理课程设置等。</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教师可通过平台上传课程所需要的教材、参考书、参考文献、视频等资源。支持引用网络共享资源，课程的内容建设，参考资料，课程介绍等位置都可以使用图书、图片、视频等网络资源一键式搜索插入，插入的资源可以直接点击在线播放查阅。</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（8）支持课程教学流程管理，可在课程学习过程中任意位置添加随堂测验，可在单元学习完成后布置作业，可以在章节学习完成后安排考试。</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（9）支持慕课制作和慕课教学模式，实现课程知识单元化，每个知识单元聚合丰富的富媒体教学资源，并在同一个页面中进行显示。每个课程单元还可以设置多个标签页。</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（10）课程单元内容建设采用富媒体编辑器，编辑器包含视频、文档、图片、音频、图书、公式、符号、附件、网页、动画等常用组件。</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（11）支持直接将从word中将内容复制粘贴到富媒体编辑器内，并完整保留里面的文字和图片等内容。</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（12）支持rmvb、3gp、mpg、mpeg、mov、wmv、asf、avi、mkv、mp4、flv、vob、f4v等高清和网络格式视频上传，视频上传后自动转码，无需下载可以直接在线进行播放。</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（13）支持多种文档格式的上传，包括PPT、PDF、WORD、EXCEL等，上传后自动转码，无需下载可以直接在线阅读。</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（14）支持超大文件（2G以上）上传并可断点续传。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（15）支持将资源先批量上传至个人云盘中，然后在课程中引用。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（16）支持视频中任意时间点插入测验：上传视频后，可以在任意时间点插入测试题，包含单选题、多选题和对错题。</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（17）支持视频中任意时间点插入图片或PPT：可以在任意时间点插入图片或PPT，同时支持对插入的内容在时间轴上随意拖动。插入的PPT可以任意拖动位置，并可以跟视频窗口进行切换。</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（18）支持视频的虚拟剪辑，可以将视频文件按照课程的要求剪辑成适当长度。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（19）提供可视化的公式编辑器，可以在线进行公式的录入与编辑。</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（20）支持在线录音功能，录完的声音可以直接在线播放。</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（21）知识点拓展阅读功能，可以根据一个关键词自动生成相关知识点的知识树，插入到课程单元中，并自动推送知识点相关的图书、期刊、论文等资料。</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（22）支持课程管理，设置试读范围、设置学生导航栏目、克隆与映射课程等。</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（23）提供课程编辑的详细操作日志和学生退课日志，便于追溯问题、查找原因。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（24）支持图书内页知识点的插入，可以插入书本中对某个知识点的详解的页面。</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（25）支持FLASH动画的插入，可以自动播放FLASH动画。</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（26）支持调查问卷的插入，可以自定义问卷的内容。</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（27）支持班级分配，分配班级指定成员后，该班级为私有班级，仅被指定成员可见。</w:t>
            </w:r>
          </w:p>
          <w:p>
            <w:pPr>
              <w:pStyle w:val="9"/>
              <w:numPr>
                <w:ilvl w:val="0"/>
                <w:numId w:val="0"/>
              </w:numPr>
              <w:spacing w:before="0" w:beforeAutospacing="0" w:after="0" w:afterAutospacing="0" w:line="338"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（28）支持考试客户端功能，可利用客户端独立进行考试。</w:t>
            </w:r>
          </w:p>
          <w:p>
            <w:pPr>
              <w:pStyle w:val="9"/>
              <w:numPr>
                <w:ilvl w:val="0"/>
                <w:numId w:val="0"/>
              </w:numPr>
              <w:spacing w:before="0" w:beforeAutospacing="0" w:after="0" w:afterAutospacing="0" w:line="338" w:lineRule="atLeast"/>
              <w:rPr>
                <w:rFonts w:hint="eastAsia" w:asciiTheme="minorEastAsia" w:hAnsiTheme="minorEastAsia" w:eastAsiaTheme="minorEastAsia" w:cstheme="minorEastAsia"/>
                <w:color w:val="auto"/>
                <w:sz w:val="24"/>
                <w:szCs w:val="24"/>
                <w:highlight w:val="none"/>
              </w:rPr>
            </w:pPr>
          </w:p>
          <w:p>
            <w:pPr>
              <w:pStyle w:val="9"/>
              <w:numPr>
                <w:ilvl w:val="0"/>
                <w:numId w:val="0"/>
              </w:numPr>
              <w:spacing w:before="0" w:beforeAutospacing="0" w:after="0" w:afterAutospacing="0" w:line="338" w:lineRule="atLeas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rPr>
              <w:t>教学互动功能</w:t>
            </w:r>
            <w:r>
              <w:rPr>
                <w:rFonts w:hint="eastAsia" w:asciiTheme="minorEastAsia" w:hAnsiTheme="minorEastAsia" w:eastAsiaTheme="minorEastAsia" w:cstheme="minorEastAsia"/>
                <w:b/>
                <w:bCs/>
                <w:color w:val="auto"/>
                <w:sz w:val="24"/>
                <w:szCs w:val="24"/>
                <w:highlight w:val="none"/>
                <w:lang w:val="en-US" w:eastAsia="zh-CN"/>
              </w:rPr>
              <w:t>要求</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支持辅助教学、翻转课堂、纯网络学习、直播课、同步课堂等多种教学模式。</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以课程为中心，提供同步、异步的交流讨论工具，提供作业、考试、通知、讨论、资料共享、评价等互动教学活动功能，使得学生之间、学生与教师之间方便地共享信息、交流、讨论、协商，支持网络辅助教学、翻转课堂教学、修学分的网络学习、直播课堂等多种教学模式。</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教师端提供课程管理、班级管理、教师团队管理、助教管理、统计、考试及作业管理、课程通告管理等。提供当前学习过程实时监管。提供进度统计功能、成绩统计并支持报表导出。</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学生端实现学生友好学习体验、根据教师设定的课程学习进度，完整地学习网络课程、记录笔记方便复习、支持在线提问、反馈心得。支持师生、生生在线讨论交流、在线作业、在线考试，提供个人学习成绩单（实时展现课程学习要求、已完成进度、待完成任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3</w:t>
            </w:r>
            <w:r>
              <w:rPr>
                <w:rFonts w:hint="eastAsia" w:asciiTheme="minorEastAsia" w:hAnsiTheme="minorEastAsia" w:eastAsiaTheme="minorEastAsia" w:cstheme="minorEastAsia"/>
                <w:b w:val="0"/>
                <w:bCs/>
                <w:color w:val="auto"/>
                <w:sz w:val="21"/>
                <w:szCs w:val="21"/>
                <w:highlight w:val="none"/>
              </w:rPr>
              <w:t>.1  学习过程控制与管理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人脸识别</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学生在平台进行课程学习过程时，需要进行人脸识别，通过认证才可以学习课程内容。</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（2）章节知识点学习推送控制</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教师可以针对每一个教学班对每个章节学习内容进行“开放、定时开放、闯关模式开放、关闭”等设置。“开放”，表示该章节可以学习。“定时开放”，表示该章节在设置的一个时间段内开放习。“闯关模式开放”，表示学生需要完成上一章节学习内容并通过相应的作业和测试后才能进行下一章节的学习内容。“关闭”，表示学生无法进行学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（3）任务驱动式的进阶式学习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教师可以将课程章节内视频、图书、作业等内容设置为任务点，要求学生必须完成，灵活控制学生学习的情况。学生端可以看到整个课程和每个章节需要完成的任务点情况，每完成一个任务，数量会自动减一。</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（4）学习过程的监督和跟踪</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可以跟踪记录并统计基于每个学生的学习进度、课程访问次数、作业和测试完成情况、视频观看时长及次数、参加答疑讨论的情况等多项学习考核指标。</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（5）视频播放控制</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课程的教学视频文件具有“防拖拽和防窗口切换”功能，即视频播放的时候无法进行快进播放，打开章节学习的时候不能再打开其它网页，否则视频播放停止。同时在章节视频中可以插入测验题，作答正确，才能继续学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（6）证书发放功能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教师可以将学生的学习成绩导出，提取成绩达标的学生ID，并为其发放证书，学生可以将证书下载并打印。</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（7）课程复习模式</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教师在开课时可以设定课程的开课时间和结课时间，并且在课程结束后，可以自动开启复习模式，在复习模式中，学生可以复习，但学习记录不记入总成绩。</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（8）角色管理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可建立学生、教师、管理员、超级管理员等角色，各级管理员也可以根据自身的需求创建角色和为角色指定权限。</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（9）权限管理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可为每个导航功能点分配访问、管理等不同的权限，管理员可以批量给用户分配、收回权限，具有权限整体移交功能。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（10）机构和用户管理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机构和用户管理必须和数字化校园平台进行集成。管理员可以增加、删除、修改组织机构树，可单个/批量增加、删除、修改、查找用户信息。</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3</w:t>
            </w:r>
            <w:r>
              <w:rPr>
                <w:rFonts w:hint="eastAsia" w:asciiTheme="minorEastAsia" w:hAnsiTheme="minorEastAsia" w:eastAsiaTheme="minorEastAsia" w:cstheme="minorEastAsia"/>
                <w:b w:val="0"/>
                <w:bCs/>
                <w:color w:val="auto"/>
                <w:sz w:val="21"/>
                <w:szCs w:val="21"/>
                <w:highlight w:val="none"/>
              </w:rPr>
              <w:t>.2  教学资源管理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教学资源管理包括上传课程资源、将资源共享给学生、设置资源使用期限与适用对像、是否公开等功能，同时资源可在不同板块中反复调用，随时随地下载。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（1）教学资料</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教师可以对自己所负责的课程的资料进行管理，建立课程文件的目录层级，同时教师可以根据课程需要，赋予一人或多人一定权限，</w:t>
            </w:r>
            <w:r>
              <w:rPr>
                <w:rFonts w:hint="eastAsia" w:asciiTheme="minorEastAsia" w:hAnsiTheme="minorEastAsia" w:eastAsiaTheme="minorEastAsia" w:cstheme="minorEastAsia"/>
                <w:color w:val="auto"/>
                <w:sz w:val="21"/>
                <w:szCs w:val="21"/>
                <w:highlight w:val="none"/>
                <w:lang w:eastAsia="zh-CN"/>
              </w:rPr>
              <w:t>共同参与</w:t>
            </w:r>
            <w:r>
              <w:rPr>
                <w:rFonts w:hint="eastAsia" w:asciiTheme="minorEastAsia" w:hAnsiTheme="minorEastAsia" w:eastAsiaTheme="minorEastAsia" w:cstheme="minorEastAsia"/>
                <w:color w:val="auto"/>
                <w:sz w:val="21"/>
                <w:szCs w:val="21"/>
                <w:highlight w:val="none"/>
              </w:rPr>
              <w:t>课程资源建设，即委派角色。教师可以直接从备课资源库检索、添加相关在线资源。</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（2）教材教参</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教师可以从备课资源库中查找并添加课程相关的教学参考书，推荐给学生直接进行在线阅读。</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（3）推荐视频</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教师可以从备课资源库中查找并添加课程相关的学术视频，推荐给学生直接进行在线观看。</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（4）题库管理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教师可以创建课程试题库，对试题库进行管理，包括添加、修改、删除、查询、浏览等功能。题型包括单选、多选、判断、简答、填空、案例分析、计算题、连线题、投票题、程序题、口语题等，题的属性包括题型、难度、使用量等。题库导入支持excel及word格式的模板方式导入。</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题库导入支持excel及word格式的模板方式导入。</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（5）作业管理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教师可以创建作业，形成课程作业库，可以对作业库进行管理，设置发布作业的时间及相关要求。</w:t>
            </w:r>
          </w:p>
          <w:p>
            <w:pPr>
              <w:keepNext w:val="0"/>
              <w:keepLines w:val="0"/>
              <w:pageBreakBefore w:val="0"/>
              <w:widowControl w:val="0"/>
              <w:kinsoku/>
              <w:wordWrap/>
              <w:overflowPunct/>
              <w:topLinePunct w:val="0"/>
              <w:autoSpaceDE/>
              <w:autoSpaceDN/>
              <w:bidi w:val="0"/>
              <w:adjustRightInd/>
              <w:snapToGrid/>
              <w:spacing w:line="320" w:lineRule="exact"/>
              <w:ind w:left="420" w:left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1）作业可以是来源于题库、作业库或自定义，每次布置作业，自定义的题目需具有保存到题库的功能。</w:t>
            </w:r>
          </w:p>
          <w:p>
            <w:pPr>
              <w:keepNext w:val="0"/>
              <w:keepLines w:val="0"/>
              <w:pageBreakBefore w:val="0"/>
              <w:widowControl w:val="0"/>
              <w:kinsoku/>
              <w:wordWrap/>
              <w:overflowPunct/>
              <w:topLinePunct w:val="0"/>
              <w:autoSpaceDE/>
              <w:autoSpaceDN/>
              <w:bidi w:val="0"/>
              <w:adjustRightInd/>
              <w:snapToGrid/>
              <w:spacing w:line="320" w:lineRule="exact"/>
              <w:ind w:left="420" w:left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2）教师可以随时查看学生作业的完成情况并对作业进行线上批阅打分，学生在线提交作业后，对于客观题系统能自动判分。线下作业教师可以将成绩登记到线上，以备定期统计，了解学生的学习情况。</w:t>
            </w:r>
          </w:p>
          <w:p>
            <w:pPr>
              <w:keepNext w:val="0"/>
              <w:keepLines w:val="0"/>
              <w:pageBreakBefore w:val="0"/>
              <w:widowControl w:val="0"/>
              <w:kinsoku/>
              <w:wordWrap/>
              <w:overflowPunct/>
              <w:topLinePunct w:val="0"/>
              <w:autoSpaceDE/>
              <w:autoSpaceDN/>
              <w:bidi w:val="0"/>
              <w:adjustRightInd/>
              <w:snapToGrid/>
              <w:spacing w:line="320" w:lineRule="exact"/>
              <w:ind w:left="420" w:left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3）作业支持文档、附件、视频、音频等形式，同时音视频支持在线播放功能。</w:t>
            </w:r>
          </w:p>
          <w:p>
            <w:pPr>
              <w:keepNext w:val="0"/>
              <w:keepLines w:val="0"/>
              <w:pageBreakBefore w:val="0"/>
              <w:widowControl w:val="0"/>
              <w:kinsoku/>
              <w:wordWrap/>
              <w:overflowPunct/>
              <w:topLinePunct w:val="0"/>
              <w:autoSpaceDE/>
              <w:autoSpaceDN/>
              <w:bidi w:val="0"/>
              <w:adjustRightInd/>
              <w:snapToGrid/>
              <w:spacing w:line="320" w:lineRule="exact"/>
              <w:ind w:left="420" w:left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4）支持填空题是否为客观题的设定，当设填空题为客观题，系统可自动对其批阅，同时，支持及格分数的设定，并可设置是否允许学生重做。</w:t>
            </w:r>
          </w:p>
          <w:p>
            <w:pPr>
              <w:keepNext w:val="0"/>
              <w:keepLines w:val="0"/>
              <w:pageBreakBefore w:val="0"/>
              <w:widowControl w:val="0"/>
              <w:kinsoku/>
              <w:wordWrap/>
              <w:overflowPunct/>
              <w:topLinePunct w:val="0"/>
              <w:autoSpaceDE/>
              <w:autoSpaceDN/>
              <w:bidi w:val="0"/>
              <w:adjustRightInd/>
              <w:snapToGrid/>
              <w:spacing w:line="320" w:lineRule="exact"/>
              <w:ind w:left="420" w:left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5）作业详细统计，可以查看某份作业单个选项的选择人数。</w:t>
            </w:r>
          </w:p>
          <w:p>
            <w:pPr>
              <w:keepNext w:val="0"/>
              <w:keepLines w:val="0"/>
              <w:pageBreakBefore w:val="0"/>
              <w:widowControl w:val="0"/>
              <w:kinsoku/>
              <w:wordWrap/>
              <w:overflowPunct/>
              <w:topLinePunct w:val="0"/>
              <w:autoSpaceDE/>
              <w:autoSpaceDN/>
              <w:bidi w:val="0"/>
              <w:adjustRightInd/>
              <w:snapToGrid/>
              <w:spacing w:line="320" w:lineRule="exact"/>
              <w:ind w:left="420" w:left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6）对于同一套作业，可以设置题目乱序，防止学生作弊。</w:t>
            </w:r>
          </w:p>
          <w:p>
            <w:pPr>
              <w:keepNext w:val="0"/>
              <w:keepLines w:val="0"/>
              <w:pageBreakBefore w:val="0"/>
              <w:widowControl w:val="0"/>
              <w:kinsoku/>
              <w:wordWrap/>
              <w:overflowPunct/>
              <w:topLinePunct w:val="0"/>
              <w:autoSpaceDE/>
              <w:autoSpaceDN/>
              <w:bidi w:val="0"/>
              <w:adjustRightInd/>
              <w:snapToGrid/>
              <w:spacing w:line="320" w:lineRule="exact"/>
              <w:ind w:left="420" w:left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r>
              <w:rPr>
                <w:rFonts w:hint="eastAsia" w:asciiTheme="minorEastAsia" w:hAnsiTheme="minorEastAsia" w:eastAsiaTheme="minorEastAsia" w:cstheme="minorEastAsia"/>
                <w:color w:val="auto"/>
                <w:sz w:val="21"/>
                <w:szCs w:val="21"/>
                <w:highlight w:val="none"/>
              </w:rPr>
              <w:tab/>
            </w:r>
            <w:r>
              <w:rPr>
                <w:rFonts w:hint="eastAsia" w:asciiTheme="minorEastAsia" w:hAnsiTheme="minorEastAsia" w:eastAsiaTheme="minorEastAsia" w:cstheme="minorEastAsia"/>
                <w:color w:val="auto"/>
                <w:sz w:val="21"/>
                <w:szCs w:val="21"/>
                <w:highlight w:val="none"/>
              </w:rPr>
              <w:t>可以根据任务点的完成情况设置是否允许学生做作业。</w:t>
            </w:r>
          </w:p>
          <w:p>
            <w:pPr>
              <w:keepNext w:val="0"/>
              <w:keepLines w:val="0"/>
              <w:pageBreakBefore w:val="0"/>
              <w:widowControl w:val="0"/>
              <w:kinsoku/>
              <w:wordWrap/>
              <w:overflowPunct/>
              <w:topLinePunct w:val="0"/>
              <w:autoSpaceDE/>
              <w:autoSpaceDN/>
              <w:bidi w:val="0"/>
              <w:adjustRightInd/>
              <w:snapToGrid/>
              <w:spacing w:line="320" w:lineRule="exact"/>
              <w:ind w:left="420" w:left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8）教师可随时设定作业答案是否公开、作业分数是否公开，可设定学生答案的字数范围及是否防止粘贴的功能。</w:t>
            </w:r>
          </w:p>
          <w:p>
            <w:pPr>
              <w:keepNext w:val="0"/>
              <w:keepLines w:val="0"/>
              <w:pageBreakBefore w:val="0"/>
              <w:widowControl w:val="0"/>
              <w:kinsoku/>
              <w:wordWrap/>
              <w:overflowPunct/>
              <w:topLinePunct w:val="0"/>
              <w:autoSpaceDE/>
              <w:autoSpaceDN/>
              <w:bidi w:val="0"/>
              <w:adjustRightInd/>
              <w:snapToGrid/>
              <w:spacing w:line="320" w:lineRule="exact"/>
              <w:ind w:left="420" w:left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9）作业支持随机出题模式，创建作业时可以从选择的题目中随机选取若干道，从而实现每个学生领取的作业有一些差别。对于未提交作业的学生，可以进行督促，发放督促通知。</w:t>
            </w:r>
          </w:p>
          <w:p>
            <w:pPr>
              <w:keepNext w:val="0"/>
              <w:keepLines w:val="0"/>
              <w:pageBreakBefore w:val="0"/>
              <w:widowControl w:val="0"/>
              <w:kinsoku/>
              <w:wordWrap/>
              <w:overflowPunct/>
              <w:topLinePunct w:val="0"/>
              <w:autoSpaceDE/>
              <w:autoSpaceDN/>
              <w:bidi w:val="0"/>
              <w:adjustRightInd/>
              <w:snapToGrid/>
              <w:spacing w:line="320" w:lineRule="exact"/>
              <w:ind w:left="420" w:left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10）章节测验、作业支持相似度查询功能。</w:t>
            </w:r>
          </w:p>
          <w:p>
            <w:pPr>
              <w:keepNext w:val="0"/>
              <w:keepLines w:val="0"/>
              <w:pageBreakBefore w:val="0"/>
              <w:widowControl w:val="0"/>
              <w:kinsoku/>
              <w:wordWrap/>
              <w:overflowPunct/>
              <w:topLinePunct w:val="0"/>
              <w:autoSpaceDE/>
              <w:autoSpaceDN/>
              <w:bidi w:val="0"/>
              <w:adjustRightInd/>
              <w:snapToGrid/>
              <w:spacing w:line="320" w:lineRule="exact"/>
              <w:ind w:left="420" w:left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11）作业需具备指定发送给某个人的功能，实现有针对性的教学管理。</w:t>
            </w:r>
          </w:p>
          <w:p>
            <w:pPr>
              <w:keepNext w:val="0"/>
              <w:keepLines w:val="0"/>
              <w:pageBreakBefore w:val="0"/>
              <w:widowControl w:val="0"/>
              <w:kinsoku/>
              <w:wordWrap/>
              <w:overflowPunct/>
              <w:topLinePunct w:val="0"/>
              <w:autoSpaceDE/>
              <w:autoSpaceDN/>
              <w:bidi w:val="0"/>
              <w:adjustRightInd/>
              <w:snapToGrid/>
              <w:spacing w:line="320" w:lineRule="exact"/>
              <w:ind w:left="420" w:left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12）可对作业进行随机出题，从海量题库中随机抽取若干道题目，保证每位学生收到不同的作业，实现学生之间防作弊功能。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（6）测验与考试</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具有从题库或以前的测验中随机生成新的试卷的功能，教师可以对试卷中的试题进行添加、修改、删除、任意排序、预览等功能，还可以对试题设定分值。试卷可多次重复使用。</w:t>
            </w:r>
          </w:p>
          <w:p>
            <w:pPr>
              <w:keepNext w:val="0"/>
              <w:keepLines w:val="0"/>
              <w:pageBreakBefore w:val="0"/>
              <w:widowControl w:val="0"/>
              <w:kinsoku/>
              <w:wordWrap/>
              <w:overflowPunct/>
              <w:topLinePunct w:val="0"/>
              <w:autoSpaceDE/>
              <w:autoSpaceDN/>
              <w:bidi w:val="0"/>
              <w:adjustRightInd/>
              <w:snapToGrid/>
              <w:spacing w:line="320" w:lineRule="exact"/>
              <w:ind w:left="420" w:left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1）能为学生提供限时和不限时的测验和考试，能按照设定的日期和时间自动开放或关闭测验和考试。</w:t>
            </w:r>
          </w:p>
          <w:p>
            <w:pPr>
              <w:keepNext w:val="0"/>
              <w:keepLines w:val="0"/>
              <w:pageBreakBefore w:val="0"/>
              <w:widowControl w:val="0"/>
              <w:kinsoku/>
              <w:wordWrap/>
              <w:overflowPunct/>
              <w:topLinePunct w:val="0"/>
              <w:autoSpaceDE/>
              <w:autoSpaceDN/>
              <w:bidi w:val="0"/>
              <w:adjustRightInd/>
              <w:snapToGrid/>
              <w:spacing w:line="320" w:lineRule="exact"/>
              <w:ind w:left="420" w:left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2）需具备随机组卷功能，组卷可以从不同章节选择，并可以随机组若干套试卷发放给学生，确保每个人接收的试卷是不同的。</w:t>
            </w:r>
          </w:p>
          <w:p>
            <w:pPr>
              <w:keepNext w:val="0"/>
              <w:keepLines w:val="0"/>
              <w:pageBreakBefore w:val="0"/>
              <w:widowControl w:val="0"/>
              <w:kinsoku/>
              <w:wordWrap/>
              <w:overflowPunct/>
              <w:topLinePunct w:val="0"/>
              <w:autoSpaceDE/>
              <w:autoSpaceDN/>
              <w:bidi w:val="0"/>
              <w:adjustRightInd/>
              <w:snapToGrid/>
              <w:spacing w:line="320" w:lineRule="exact"/>
              <w:ind w:left="420" w:left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教师可以发起一个测验或考试，学生可以在线答题，教师可以随时查看学生测验的完成情况，学生解答后教师可对测验进行线上批阅打分，对于客观题系统能自动判分。测验、考试题目可以是来源于题库、试卷或自定义。</w:t>
            </w:r>
          </w:p>
          <w:p>
            <w:pPr>
              <w:keepNext w:val="0"/>
              <w:keepLines w:val="0"/>
              <w:pageBreakBefore w:val="0"/>
              <w:widowControl w:val="0"/>
              <w:kinsoku/>
              <w:wordWrap/>
              <w:overflowPunct/>
              <w:topLinePunct w:val="0"/>
              <w:autoSpaceDE/>
              <w:autoSpaceDN/>
              <w:bidi w:val="0"/>
              <w:adjustRightInd/>
              <w:snapToGrid/>
              <w:spacing w:line="320" w:lineRule="exact"/>
              <w:ind w:left="420" w:left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4）可对每一次测验查看详细的答题情况，每一道题答对、答错的人数，每一个选项的选择人数等。</w:t>
            </w:r>
          </w:p>
          <w:p>
            <w:pPr>
              <w:keepNext w:val="0"/>
              <w:keepLines w:val="0"/>
              <w:pageBreakBefore w:val="0"/>
              <w:widowControl w:val="0"/>
              <w:kinsoku/>
              <w:wordWrap/>
              <w:overflowPunct/>
              <w:topLinePunct w:val="0"/>
              <w:autoSpaceDE/>
              <w:autoSpaceDN/>
              <w:bidi w:val="0"/>
              <w:adjustRightInd/>
              <w:snapToGrid/>
              <w:spacing w:line="320" w:lineRule="exact"/>
              <w:ind w:left="420" w:left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5）支持设置任务学习完成的情况作为是否能参加考试的条件。</w:t>
            </w:r>
          </w:p>
          <w:p>
            <w:pPr>
              <w:keepNext w:val="0"/>
              <w:keepLines w:val="0"/>
              <w:pageBreakBefore w:val="0"/>
              <w:widowControl w:val="0"/>
              <w:kinsoku/>
              <w:wordWrap/>
              <w:overflowPunct/>
              <w:topLinePunct w:val="0"/>
              <w:autoSpaceDE/>
              <w:autoSpaceDN/>
              <w:bidi w:val="0"/>
              <w:adjustRightInd/>
              <w:snapToGrid/>
              <w:spacing w:line="320" w:lineRule="exact"/>
              <w:ind w:left="420" w:left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6）对于同一套试卷，可以设置考题乱序，防止学生作弊。</w:t>
            </w:r>
          </w:p>
          <w:p>
            <w:pPr>
              <w:keepNext w:val="0"/>
              <w:keepLines w:val="0"/>
              <w:pageBreakBefore w:val="0"/>
              <w:widowControl w:val="0"/>
              <w:kinsoku/>
              <w:wordWrap/>
              <w:overflowPunct/>
              <w:topLinePunct w:val="0"/>
              <w:autoSpaceDE/>
              <w:autoSpaceDN/>
              <w:bidi w:val="0"/>
              <w:adjustRightInd/>
              <w:snapToGrid/>
              <w:spacing w:line="320" w:lineRule="exact"/>
              <w:ind w:left="420" w:left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7）可对考试进行是否允许查看答案及分数的设定，避免学生因答题时间不同而产生作弊现象。</w:t>
            </w:r>
          </w:p>
          <w:p>
            <w:pPr>
              <w:keepNext w:val="0"/>
              <w:keepLines w:val="0"/>
              <w:pageBreakBefore w:val="0"/>
              <w:widowControl w:val="0"/>
              <w:kinsoku/>
              <w:wordWrap/>
              <w:overflowPunct/>
              <w:topLinePunct w:val="0"/>
              <w:autoSpaceDE/>
              <w:autoSpaceDN/>
              <w:bidi w:val="0"/>
              <w:adjustRightInd/>
              <w:snapToGrid/>
              <w:spacing w:line="320" w:lineRule="exact"/>
              <w:ind w:left="420" w:left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8）具备设定随机验证码的功能，学生进入考试前需输入验证码。</w:t>
            </w:r>
          </w:p>
          <w:p>
            <w:pPr>
              <w:keepNext w:val="0"/>
              <w:keepLines w:val="0"/>
              <w:pageBreakBefore w:val="0"/>
              <w:widowControl w:val="0"/>
              <w:kinsoku/>
              <w:wordWrap/>
              <w:overflowPunct/>
              <w:topLinePunct w:val="0"/>
              <w:autoSpaceDE/>
              <w:autoSpaceDN/>
              <w:bidi w:val="0"/>
              <w:adjustRightInd/>
              <w:snapToGrid/>
              <w:spacing w:line="320" w:lineRule="exact"/>
              <w:ind w:left="420" w:left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9）可以设置只允许指定的IP参加考试。</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3</w:t>
            </w:r>
            <w:r>
              <w:rPr>
                <w:rFonts w:hint="eastAsia" w:asciiTheme="minorEastAsia" w:hAnsiTheme="minorEastAsia" w:eastAsiaTheme="minorEastAsia" w:cstheme="minorEastAsia"/>
                <w:b w:val="0"/>
                <w:bCs/>
                <w:color w:val="auto"/>
                <w:sz w:val="21"/>
                <w:szCs w:val="21"/>
                <w:highlight w:val="none"/>
              </w:rPr>
              <w:t>.3  教学互动功能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（1）课堂教学互动功能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网络平台支持线下课堂教学互动功能，通过教师端和学生端电子设备实现课堂签到、问题抢答、互动讨论、随机选人、课堂测验、课堂投票、课堂直播、课堂报告等功能。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（2）作业生生互评功能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作业需具备生生互评的功能，设为互评的作业，学生间对作业相互打分，教师可参与最后的评估。教师可随时设定作业答案是否公开、作业分数是否公开，可设定是否防止粘贴的功能。对于未提交作业的学生，可以进行督促，发放督促通知。作业需具备指定发送给某个人的功能，实现有针对性的教学管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（3）通知</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教师可以在网络课程中发布课程通知。移动端能针对学校的组织机构、班级等不同的范围发放通知，并能及时统计到已读和未读人员名单，并且可与移动端打通，无缝对接。</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通知不仅限于文字，还可以附带各类文档，图片，视频等文件。</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（4）讨论</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学生和教师可以在讨论区中发起讨论，讨论可以跟某一个章节进行关联。教师可针对精彩的讨论或有重要意义的讨论做加精或置顶的操作，也可对非法讨论进行删除。移动端可以建立各种讨论小组，进行权限设置，小组成员可以发帖、回帖、置顶、观看小组的动态等。</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（5）笔记</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学生在学习某一个章节时，可以针对此章节做笔记。移动端可以记录笔记，并可以分享给单位、好友，也可以私有，同时可以查看好友的笔记，关注好友笔记。并能实时统计阅读次数、回复笔记等。</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lang w:val="en-US" w:eastAsia="zh-CN"/>
              </w:rPr>
              <w:t>3</w:t>
            </w:r>
            <w:r>
              <w:rPr>
                <w:rFonts w:hint="eastAsia" w:asciiTheme="minorEastAsia" w:hAnsiTheme="minorEastAsia" w:eastAsiaTheme="minorEastAsia" w:cstheme="minorEastAsia"/>
                <w:b w:val="0"/>
                <w:bCs/>
                <w:color w:val="auto"/>
                <w:sz w:val="21"/>
                <w:szCs w:val="21"/>
                <w:highlight w:val="none"/>
              </w:rPr>
              <w:t>.4  统计功能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（1）分布图</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可以对任务点、访问数、学生数、讨论数进行统计，并可以查看成绩、作业、章节测验等详细内容；</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（2）综合统计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可以查看一门课程的任务点分布及总体成绩分布，并可以看班级上的最快进度、最慢进度及平均进度，可以看平均视频观看时长、最长观看时长及最短观看时长；可以按月份统计学生的访问情况，并以图表的形式进行展现。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（3）成绩统计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可对课程中的视频、作业、测验、在线时长等做权重设置。可统计所有学生的各项成绩、综合成绩及排名；教师可以设置是否允许学生查看成绩，如果允许，学生端可以查看自己的各项成绩及综合排名，同时其他同学的成绩可设为保密状态；同时，可以导入线下成绩，导入课堂互动的成绩如签到、课堂互动、阅读、直播等课堂成绩，保证学生的成绩更加全面。（4）章节测验统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可以统计章节测验中全部已交人数、未交人数及待批人数，并且可以对选择题统计出各选项的选择人数，并可以柱状图、饼图、条形图、折线图的形式呈现。</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（5）视频观看统计</w:t>
            </w:r>
          </w:p>
          <w:p>
            <w:pPr>
              <w:pStyle w:val="9"/>
              <w:numPr>
                <w:ilvl w:val="0"/>
                <w:numId w:val="0"/>
              </w:numPr>
              <w:spacing w:before="0" w:beforeAutospacing="0" w:after="0" w:afterAutospacing="0" w:line="338"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可以统计一门课程的最长观看时长、最短观看时长及平均观看时长，可以统计任何人观看某一视频的总观看时长。可以统计每门课程的学生的视频观看详情，哪些学生看了，看了几遍，观看日志，哪些学生没看。可以统计视频中测验的答题情况，标记测验的位置、测验的数量、答错的次数，从而更好的了解学生的学习情况。</w:t>
            </w:r>
          </w:p>
          <w:p>
            <w:pPr>
              <w:pStyle w:val="9"/>
              <w:numPr>
                <w:ilvl w:val="0"/>
                <w:numId w:val="0"/>
              </w:numPr>
              <w:spacing w:before="0" w:beforeAutospacing="0" w:after="0" w:afterAutospacing="0" w:line="338" w:lineRule="atLeast"/>
              <w:rPr>
                <w:rFonts w:hint="eastAsia" w:asciiTheme="minorEastAsia" w:hAnsiTheme="minorEastAsia" w:eastAsiaTheme="minorEastAsia" w:cstheme="minorEastAsia"/>
                <w:color w:val="auto"/>
                <w:sz w:val="24"/>
                <w:szCs w:val="24"/>
                <w:highlight w:val="none"/>
              </w:rPr>
            </w:pPr>
          </w:p>
          <w:p>
            <w:pPr>
              <w:pStyle w:val="9"/>
              <w:numPr>
                <w:ilvl w:val="0"/>
                <w:numId w:val="2"/>
              </w:numPr>
              <w:spacing w:before="0" w:beforeAutospacing="0" w:after="0" w:afterAutospacing="0" w:line="338" w:lineRule="atLeas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网络学习空间</w:t>
            </w:r>
            <w:r>
              <w:rPr>
                <w:rFonts w:hint="eastAsia" w:asciiTheme="minorEastAsia" w:hAnsiTheme="minorEastAsia" w:eastAsiaTheme="minorEastAsia" w:cstheme="minorEastAsia"/>
                <w:b/>
                <w:bCs/>
                <w:color w:val="auto"/>
                <w:sz w:val="24"/>
                <w:szCs w:val="24"/>
                <w:highlight w:val="none"/>
                <w:lang w:val="en-US" w:eastAsia="zh-CN"/>
              </w:rPr>
              <w:t>功能要求</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学习空间采用APP架构，所有学习服务APP化，可以把常用的APP应用安装到自己的学习空间主页中，并可以管理自己安装的应用。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学习空间至少包含以下APP：</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（1）日程表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可以编辑、查看自己的日程。</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（2）云盘</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可以将文件上传至云盘中，随时随地进行下载，并可以在课程建设时引用云盘的资源。提供一个PC版客户端，可以设定一个文件夹，文件夹内容自动与云盘内容保持同步，方便批量上传资源。</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（3）小组</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小组是就某一类话题或兴趣点（例如计算机、电影、电子产品等）跟别人交流的场所。用户可以自己创建小组，可以设定小组名称、介绍、加入的权限，权限包括公开加入、邀请加入、审批加入等。用户可以浏览和发现小组。进入小组后，可以参与小组的讨论，查看小组成员。</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（4）问卷调查</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问卷可以设置有效时间，是否允许查看统计结果。支持公开问卷和定向问卷。定向问卷可以发送给老师、学校、课程。支持匿名提交问卷。</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（5）PBL教学</w:t>
            </w:r>
          </w:p>
          <w:p>
            <w:pPr>
              <w:keepNext w:val="0"/>
              <w:keepLines w:val="0"/>
              <w:pageBreakBefore w:val="0"/>
              <w:widowControl w:val="0"/>
              <w:kinsoku/>
              <w:wordWrap/>
              <w:overflowPunct/>
              <w:topLinePunct w:val="0"/>
              <w:autoSpaceDE/>
              <w:autoSpaceDN/>
              <w:bidi w:val="0"/>
              <w:adjustRightInd/>
              <w:snapToGrid/>
              <w:spacing w:line="320" w:lineRule="exact"/>
              <w:ind w:left="420" w:left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1）分组管理</w:t>
            </w:r>
          </w:p>
          <w:p>
            <w:pPr>
              <w:keepNext w:val="0"/>
              <w:keepLines w:val="0"/>
              <w:pageBreakBefore w:val="0"/>
              <w:widowControl w:val="0"/>
              <w:kinsoku/>
              <w:wordWrap/>
              <w:overflowPunct/>
              <w:topLinePunct w:val="0"/>
              <w:autoSpaceDE/>
              <w:autoSpaceDN/>
              <w:bidi w:val="0"/>
              <w:adjustRightInd/>
              <w:snapToGrid/>
              <w:spacing w:line="320" w:lineRule="exact"/>
              <w:ind w:left="420" w:left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与本项目的学生数据、以及教师数据同步；支持自动随机分组和手动分组方式，并能够有效防止某学生重复分组；可查看历史小组的小组成员信息、小组历史文件、小组历史论坛内容、小组历史评论等；支持分配小组教师，教师同时允许兼任多个小组；其中小组教师只允许是课程教师、共建教师以及有相应权限的助教。</w:t>
            </w:r>
          </w:p>
          <w:p>
            <w:pPr>
              <w:keepNext w:val="0"/>
              <w:keepLines w:val="0"/>
              <w:pageBreakBefore w:val="0"/>
              <w:widowControl w:val="0"/>
              <w:kinsoku/>
              <w:wordWrap/>
              <w:overflowPunct/>
              <w:topLinePunct w:val="0"/>
              <w:autoSpaceDE/>
              <w:autoSpaceDN/>
              <w:bidi w:val="0"/>
              <w:adjustRightInd/>
              <w:snapToGrid/>
              <w:spacing w:line="320" w:lineRule="exact"/>
              <w:ind w:left="420" w:left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2）小组文件管理</w:t>
            </w:r>
          </w:p>
          <w:p>
            <w:pPr>
              <w:keepNext w:val="0"/>
              <w:keepLines w:val="0"/>
              <w:pageBreakBefore w:val="0"/>
              <w:widowControl w:val="0"/>
              <w:kinsoku/>
              <w:wordWrap/>
              <w:overflowPunct/>
              <w:topLinePunct w:val="0"/>
              <w:autoSpaceDE/>
              <w:autoSpaceDN/>
              <w:bidi w:val="0"/>
              <w:adjustRightInd/>
              <w:snapToGrid/>
              <w:spacing w:line="320" w:lineRule="exact"/>
              <w:ind w:left="420" w:left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小组教师可以上传小组文件；可下载某时间段内某小组所有文件；小组教师可以批阅本小组学生的文件；小组学生查看批阅信息。</w:t>
            </w:r>
          </w:p>
          <w:p>
            <w:pPr>
              <w:keepNext w:val="0"/>
              <w:keepLines w:val="0"/>
              <w:pageBreakBefore w:val="0"/>
              <w:widowControl w:val="0"/>
              <w:kinsoku/>
              <w:wordWrap/>
              <w:overflowPunct/>
              <w:topLinePunct w:val="0"/>
              <w:autoSpaceDE/>
              <w:autoSpaceDN/>
              <w:bidi w:val="0"/>
              <w:adjustRightInd/>
              <w:snapToGrid/>
              <w:spacing w:line="320" w:lineRule="exact"/>
              <w:ind w:left="420" w:left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3）小组论坛</w:t>
            </w:r>
          </w:p>
          <w:p>
            <w:pPr>
              <w:keepNext w:val="0"/>
              <w:keepLines w:val="0"/>
              <w:pageBreakBefore w:val="0"/>
              <w:widowControl w:val="0"/>
              <w:kinsoku/>
              <w:wordWrap/>
              <w:overflowPunct/>
              <w:topLinePunct w:val="0"/>
              <w:autoSpaceDE/>
              <w:autoSpaceDN/>
              <w:bidi w:val="0"/>
              <w:adjustRightInd/>
              <w:snapToGrid/>
              <w:spacing w:line="320" w:lineRule="exact"/>
              <w:ind w:left="420" w:left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支持小组教师在本小组内发表论题、维护论题、回复论题；支持小组学生在本小组内发表论题、回复论题；允许小组教师和小组学生查看其他小组论题。</w:t>
            </w:r>
          </w:p>
          <w:p>
            <w:pPr>
              <w:keepNext w:val="0"/>
              <w:keepLines w:val="0"/>
              <w:pageBreakBefore w:val="0"/>
              <w:widowControl w:val="0"/>
              <w:kinsoku/>
              <w:wordWrap/>
              <w:overflowPunct/>
              <w:topLinePunct w:val="0"/>
              <w:autoSpaceDE/>
              <w:autoSpaceDN/>
              <w:bidi w:val="0"/>
              <w:adjustRightInd/>
              <w:snapToGrid/>
              <w:spacing w:line="320" w:lineRule="exact"/>
              <w:ind w:left="420" w:left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4）小组评价</w:t>
            </w:r>
          </w:p>
          <w:p>
            <w:pPr>
              <w:pStyle w:val="9"/>
              <w:numPr>
                <w:ilvl w:val="0"/>
                <w:numId w:val="0"/>
              </w:numPr>
              <w:spacing w:before="0" w:beforeAutospacing="0" w:after="0" w:afterAutospacing="0" w:line="338"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允许课程教师查看所有小组的评价；评价表格既提供量化指标评价也需要提供组长评语录入；支持教师对本组学生的评价；支持学生对本组其他学生的评价，支持学生自评；其中互评中学生姓名匿名显示；可查看本次以及历次评价结果及统计。</w:t>
            </w:r>
          </w:p>
          <w:p>
            <w:pPr>
              <w:pStyle w:val="9"/>
              <w:numPr>
                <w:ilvl w:val="0"/>
                <w:numId w:val="0"/>
              </w:numPr>
              <w:spacing w:before="0" w:beforeAutospacing="0" w:after="0" w:afterAutospacing="0" w:line="338" w:lineRule="atLeast"/>
              <w:rPr>
                <w:rFonts w:hint="eastAsia" w:asciiTheme="minorEastAsia" w:hAnsiTheme="minorEastAsia" w:eastAsiaTheme="minorEastAsia" w:cstheme="minorEastAsia"/>
                <w:color w:val="auto"/>
                <w:sz w:val="24"/>
                <w:szCs w:val="24"/>
                <w:highlight w:val="none"/>
              </w:rPr>
            </w:pPr>
          </w:p>
          <w:p>
            <w:pPr>
              <w:pStyle w:val="9"/>
              <w:numPr>
                <w:ilvl w:val="0"/>
                <w:numId w:val="0"/>
              </w:numPr>
              <w:spacing w:before="0" w:beforeAutospacing="0" w:after="0" w:afterAutospacing="0" w:line="338" w:lineRule="atLeast"/>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五、</w:t>
            </w:r>
            <w:r>
              <w:rPr>
                <w:rFonts w:hint="eastAsia" w:ascii="宋体" w:hAnsi="宋体" w:cs="宋体"/>
                <w:b/>
                <w:bCs/>
                <w:szCs w:val="21"/>
              </w:rPr>
              <w:t>教学管理评估</w:t>
            </w:r>
            <w:r>
              <w:rPr>
                <w:rFonts w:hint="eastAsia" w:ascii="宋体" w:hAnsi="宋体" w:cs="宋体"/>
                <w:b/>
                <w:bCs/>
                <w:szCs w:val="21"/>
                <w:lang w:val="en-US" w:eastAsia="zh-CN"/>
              </w:rPr>
              <w:t>功能要求</w:t>
            </w:r>
          </w:p>
          <w:p>
            <w:pPr>
              <w:rPr>
                <w:rFonts w:ascii="宋体" w:hAnsi="宋体" w:cs="宋体"/>
                <w:sz w:val="21"/>
                <w:szCs w:val="21"/>
              </w:rPr>
            </w:pPr>
            <w:r>
              <w:rPr>
                <w:rFonts w:hint="eastAsia" w:ascii="宋体" w:hAnsi="宋体" w:cs="宋体"/>
                <w:sz w:val="21"/>
                <w:szCs w:val="21"/>
              </w:rPr>
              <w:t>实现对教学过程中影响质量的各环节进行全员、全程、全面系统地监督、控制与评估，包括教师教学工作评估、专业评估、课程评估、学生评估、学院评估。通过这些评估收集教学运行过程中的各类信息，为学校的教学管理与决策服务。</w:t>
            </w:r>
          </w:p>
          <w:p>
            <w:pPr>
              <w:rPr>
                <w:rFonts w:ascii="宋体" w:hAnsi="宋体" w:cs="宋体"/>
                <w:sz w:val="21"/>
                <w:szCs w:val="21"/>
              </w:rPr>
            </w:pPr>
            <w:r>
              <w:rPr>
                <w:rFonts w:hint="eastAsia" w:ascii="宋体" w:hAnsi="宋体" w:cs="宋体"/>
                <w:sz w:val="21"/>
                <w:szCs w:val="21"/>
              </w:rPr>
              <w:t>（1）教学统计</w:t>
            </w:r>
          </w:p>
          <w:p>
            <w:pPr>
              <w:rPr>
                <w:rFonts w:ascii="宋体" w:hAnsi="宋体" w:cs="宋体"/>
                <w:sz w:val="21"/>
                <w:szCs w:val="21"/>
              </w:rPr>
            </w:pPr>
            <w:r>
              <w:rPr>
                <w:rFonts w:hint="eastAsia" w:ascii="宋体" w:hAnsi="宋体" w:cs="宋体"/>
                <w:sz w:val="21"/>
                <w:szCs w:val="21"/>
              </w:rPr>
              <w:t>可以按院系统计教师课程教学情况排行，比如发布章节测验数、发布作业数、发布考试数等，提供排名TOP10的教师名单 ；</w:t>
            </w:r>
          </w:p>
          <w:p>
            <w:pPr>
              <w:rPr>
                <w:rFonts w:ascii="宋体" w:hAnsi="宋体" w:cs="宋体"/>
                <w:sz w:val="21"/>
                <w:szCs w:val="21"/>
              </w:rPr>
            </w:pPr>
            <w:r>
              <w:rPr>
                <w:rFonts w:hint="eastAsia" w:ascii="宋体" w:hAnsi="宋体" w:cs="宋体"/>
                <w:sz w:val="21"/>
                <w:szCs w:val="21"/>
              </w:rPr>
              <w:t>可以查看某时间段内教师课程教学情况，支持查看某一个人的详细建课信息。</w:t>
            </w:r>
          </w:p>
          <w:p>
            <w:pPr>
              <w:rPr>
                <w:rFonts w:ascii="宋体" w:hAnsi="宋体" w:cs="宋体"/>
                <w:sz w:val="21"/>
                <w:szCs w:val="21"/>
              </w:rPr>
            </w:pPr>
            <w:r>
              <w:rPr>
                <w:rFonts w:hint="eastAsia" w:ascii="宋体" w:hAnsi="宋体" w:cs="宋体"/>
                <w:sz w:val="21"/>
                <w:szCs w:val="21"/>
              </w:rPr>
              <w:t>（2）学习统计</w:t>
            </w:r>
          </w:p>
          <w:p>
            <w:pPr>
              <w:rPr>
                <w:rFonts w:ascii="宋体" w:hAnsi="宋体" w:cs="宋体"/>
                <w:sz w:val="21"/>
                <w:szCs w:val="21"/>
              </w:rPr>
            </w:pPr>
            <w:r>
              <w:rPr>
                <w:rFonts w:hint="eastAsia" w:ascii="宋体" w:hAnsi="宋体" w:cs="宋体"/>
                <w:sz w:val="21"/>
                <w:szCs w:val="21"/>
              </w:rPr>
              <w:t>可以按院系统计学生的总数及活跃学生数，并横向对比院系的活跃指数；</w:t>
            </w:r>
          </w:p>
          <w:p>
            <w:pPr>
              <w:rPr>
                <w:rFonts w:ascii="宋体" w:hAnsi="宋体" w:cs="宋体"/>
                <w:sz w:val="21"/>
                <w:szCs w:val="21"/>
              </w:rPr>
            </w:pPr>
            <w:r>
              <w:rPr>
                <w:rFonts w:hint="eastAsia" w:ascii="宋体" w:hAnsi="宋体" w:cs="宋体"/>
                <w:sz w:val="21"/>
                <w:szCs w:val="21"/>
              </w:rPr>
              <w:t>可以查看某一学生的详细学习信息。</w:t>
            </w:r>
          </w:p>
          <w:p>
            <w:pPr>
              <w:rPr>
                <w:rFonts w:ascii="宋体" w:hAnsi="宋体" w:cs="宋体"/>
                <w:sz w:val="21"/>
                <w:szCs w:val="21"/>
              </w:rPr>
            </w:pPr>
            <w:r>
              <w:rPr>
                <w:rFonts w:hint="eastAsia" w:ascii="宋体" w:hAnsi="宋体" w:cs="宋体"/>
                <w:sz w:val="21"/>
                <w:szCs w:val="21"/>
              </w:rPr>
              <w:t>（3）课程统计</w:t>
            </w:r>
          </w:p>
          <w:p>
            <w:pPr>
              <w:rPr>
                <w:rFonts w:ascii="宋体" w:hAnsi="宋体" w:cs="宋体"/>
                <w:sz w:val="21"/>
                <w:szCs w:val="21"/>
              </w:rPr>
            </w:pPr>
            <w:r>
              <w:rPr>
                <w:rFonts w:hint="eastAsia" w:ascii="宋体" w:hAnsi="宋体" w:cs="宋体"/>
                <w:sz w:val="21"/>
                <w:szCs w:val="21"/>
              </w:rPr>
              <w:t>可以统计平台上创建的全部网络课程的基本信息及建设情况，如课程章节数、学习课程总人数、任务点数、章节资源数、试卷数、试题数、作业数、讨论数从而对比老师的建课情况；</w:t>
            </w:r>
          </w:p>
          <w:p>
            <w:pPr>
              <w:rPr>
                <w:rFonts w:ascii="宋体" w:hAnsi="宋体" w:cs="宋体"/>
                <w:sz w:val="21"/>
                <w:szCs w:val="21"/>
              </w:rPr>
            </w:pPr>
            <w:r>
              <w:rPr>
                <w:rFonts w:hint="eastAsia" w:ascii="宋体" w:hAnsi="宋体" w:cs="宋体"/>
                <w:sz w:val="21"/>
                <w:szCs w:val="21"/>
              </w:rPr>
              <w:t>可通过课程创建时间、教师所属院系、课程名称等关键字对课程进行检索。</w:t>
            </w:r>
          </w:p>
          <w:p>
            <w:pPr>
              <w:rPr>
                <w:rFonts w:ascii="宋体" w:hAnsi="宋体" w:cs="宋体"/>
                <w:sz w:val="21"/>
                <w:szCs w:val="21"/>
              </w:rPr>
            </w:pPr>
            <w:r>
              <w:rPr>
                <w:rFonts w:hint="eastAsia" w:ascii="宋体" w:hAnsi="宋体" w:cs="宋体"/>
                <w:sz w:val="21"/>
                <w:szCs w:val="21"/>
              </w:rPr>
              <w:t>（4）访问量统计</w:t>
            </w:r>
          </w:p>
          <w:p>
            <w:pPr>
              <w:rPr>
                <w:rFonts w:ascii="宋体" w:hAnsi="宋体" w:cs="宋体"/>
                <w:sz w:val="21"/>
                <w:szCs w:val="21"/>
              </w:rPr>
            </w:pPr>
            <w:r>
              <w:rPr>
                <w:rFonts w:hint="eastAsia" w:ascii="宋体" w:hAnsi="宋体" w:cs="宋体"/>
                <w:sz w:val="21"/>
                <w:szCs w:val="21"/>
              </w:rPr>
              <w:t>可以按照不同的时间段统计访问人次，不同终端的访问比例。</w:t>
            </w:r>
          </w:p>
          <w:p>
            <w:pPr>
              <w:rPr>
                <w:rFonts w:ascii="宋体" w:hAnsi="宋体" w:cs="宋体"/>
                <w:sz w:val="21"/>
                <w:szCs w:val="21"/>
              </w:rPr>
            </w:pPr>
            <w:r>
              <w:rPr>
                <w:rFonts w:hint="eastAsia" w:ascii="宋体" w:hAnsi="宋体" w:cs="宋体"/>
                <w:sz w:val="21"/>
                <w:szCs w:val="21"/>
              </w:rPr>
              <w:t>（5）选课统计</w:t>
            </w:r>
          </w:p>
          <w:p>
            <w:pPr>
              <w:rPr>
                <w:rFonts w:ascii="宋体" w:hAnsi="宋体" w:cs="宋体"/>
                <w:sz w:val="21"/>
                <w:szCs w:val="21"/>
              </w:rPr>
            </w:pPr>
            <w:r>
              <w:rPr>
                <w:rFonts w:hint="eastAsia" w:ascii="宋体" w:hAnsi="宋体" w:cs="宋体"/>
                <w:sz w:val="21"/>
                <w:szCs w:val="21"/>
              </w:rPr>
              <w:t>可以按照不同年份、不同课程统计选课人次，正在学习的班级列表及进度详情并能导出数据。</w:t>
            </w:r>
          </w:p>
          <w:p>
            <w:pPr>
              <w:rPr>
                <w:rFonts w:ascii="宋体" w:hAnsi="宋体" w:cs="宋体"/>
                <w:sz w:val="21"/>
                <w:szCs w:val="21"/>
              </w:rPr>
            </w:pPr>
            <w:r>
              <w:rPr>
                <w:rFonts w:hint="eastAsia" w:ascii="宋体" w:hAnsi="宋体" w:cs="宋体"/>
                <w:sz w:val="21"/>
                <w:szCs w:val="21"/>
              </w:rPr>
              <w:t>（6）大数据分析</w:t>
            </w:r>
          </w:p>
          <w:p>
            <w:pPr>
              <w:rPr>
                <w:rFonts w:ascii="宋体" w:hAnsi="宋体" w:cs="宋体"/>
                <w:sz w:val="21"/>
                <w:szCs w:val="21"/>
              </w:rPr>
            </w:pPr>
            <w:r>
              <w:rPr>
                <w:rFonts w:hint="eastAsia" w:ascii="宋体" w:hAnsi="宋体" w:cs="宋体"/>
                <w:sz w:val="21"/>
                <w:szCs w:val="21"/>
              </w:rPr>
              <w:t>提供平台各种活动的数据分析，比如：近一个月最受欢迎的课程前十名、使用终端比、活跃度最高的院系前十名、活跃度最高的用户前十名、近一个月每天的活跃度及频繁的活动类型等。用户也可以根据各种数据做自行分析。</w:t>
            </w:r>
          </w:p>
          <w:p>
            <w:pPr>
              <w:rPr>
                <w:rFonts w:ascii="宋体" w:hAnsi="宋体" w:cs="宋体"/>
                <w:sz w:val="21"/>
                <w:szCs w:val="21"/>
              </w:rPr>
            </w:pPr>
            <w:r>
              <w:rPr>
                <w:rFonts w:hint="eastAsia" w:ascii="宋体" w:hAnsi="宋体" w:cs="宋体"/>
                <w:sz w:val="21"/>
                <w:szCs w:val="21"/>
              </w:rPr>
              <w:t>（7）答疑统计</w:t>
            </w:r>
          </w:p>
          <w:p>
            <w:pPr>
              <w:pStyle w:val="9"/>
              <w:numPr>
                <w:ilvl w:val="0"/>
                <w:numId w:val="0"/>
              </w:numPr>
              <w:spacing w:before="0" w:beforeAutospacing="0" w:after="0" w:afterAutospacing="0" w:line="338" w:lineRule="atLeast"/>
              <w:rPr>
                <w:rFonts w:hint="eastAsia" w:ascii="宋体" w:hAnsi="宋体" w:cs="宋体"/>
                <w:sz w:val="21"/>
                <w:szCs w:val="21"/>
              </w:rPr>
            </w:pPr>
            <w:r>
              <w:rPr>
                <w:rFonts w:hint="eastAsia" w:ascii="宋体" w:hAnsi="宋体" w:cs="宋体"/>
                <w:sz w:val="21"/>
                <w:szCs w:val="21"/>
              </w:rPr>
              <w:t>具有答疑和咨询服务质量检查评价标准，答疑统计包含课程答疑统计和教师答疑统计，通过多维度进行答疑数据统计。课程答疑统计可以查看到具体课程下的答疑情况。教师答疑统计可以查看相关教师的答疑情况，统计数据支持下载。答疑查询可依据日期、课程、教师进行查询。</w:t>
            </w:r>
          </w:p>
          <w:p>
            <w:pPr>
              <w:pStyle w:val="9"/>
              <w:numPr>
                <w:ilvl w:val="0"/>
                <w:numId w:val="0"/>
              </w:numPr>
              <w:spacing w:before="0" w:beforeAutospacing="0" w:after="0" w:afterAutospacing="0" w:line="338" w:lineRule="atLeast"/>
              <w:rPr>
                <w:rFonts w:hint="eastAsia" w:ascii="宋体" w:hAnsi="宋体" w:cs="宋体"/>
                <w:sz w:val="24"/>
                <w:szCs w:val="24"/>
              </w:rPr>
            </w:pPr>
          </w:p>
          <w:p>
            <w:pPr>
              <w:pStyle w:val="9"/>
              <w:numPr>
                <w:ilvl w:val="0"/>
                <w:numId w:val="0"/>
              </w:numPr>
              <w:spacing w:before="0" w:beforeAutospacing="0" w:after="0" w:afterAutospacing="0" w:line="338" w:lineRule="atLeast"/>
              <w:ind w:leftChars="0"/>
              <w:rPr>
                <w:rFonts w:hint="eastAsia" w:ascii="宋体" w:hAnsi="宋体" w:cs="宋体"/>
                <w:b/>
                <w:bCs/>
                <w:szCs w:val="21"/>
                <w:lang w:val="en-US" w:eastAsia="zh-CN"/>
              </w:rPr>
            </w:pPr>
            <w:r>
              <w:rPr>
                <w:rFonts w:hint="eastAsia" w:ascii="宋体" w:hAnsi="宋体" w:cs="宋体"/>
                <w:b/>
                <w:bCs/>
                <w:szCs w:val="21"/>
                <w:lang w:val="en-US" w:eastAsia="zh-CN"/>
              </w:rPr>
              <w:t>六、</w:t>
            </w:r>
            <w:r>
              <w:rPr>
                <w:rFonts w:hint="eastAsia" w:ascii="宋体" w:hAnsi="宋体" w:cs="宋体"/>
                <w:b/>
                <w:bCs/>
                <w:szCs w:val="21"/>
              </w:rPr>
              <w:t>网络教学门户网站</w:t>
            </w:r>
            <w:r>
              <w:rPr>
                <w:rFonts w:hint="eastAsia" w:ascii="宋体" w:hAnsi="宋体" w:cs="宋体"/>
                <w:b/>
                <w:bCs/>
                <w:szCs w:val="21"/>
                <w:lang w:val="en-US" w:eastAsia="zh-CN"/>
              </w:rPr>
              <w:t>功能要求</w:t>
            </w:r>
          </w:p>
          <w:p>
            <w:pPr>
              <w:rPr>
                <w:rFonts w:ascii="宋体" w:hAnsi="宋体" w:cs="宋体"/>
                <w:sz w:val="21"/>
                <w:szCs w:val="21"/>
              </w:rPr>
            </w:pPr>
            <w:r>
              <w:rPr>
                <w:rFonts w:hint="eastAsia" w:ascii="宋体" w:hAnsi="宋体" w:cs="宋体"/>
                <w:sz w:val="21"/>
                <w:szCs w:val="21"/>
              </w:rPr>
              <w:t>可提供充分展示学校教学特色的教学门户网站，可以实现新闻公告动态显示、精品课程推荐、热门课程排行、教学资源排行以及学校的教学组织与开设的课程展示。具有校园代表性的大图片展示区。</w:t>
            </w:r>
          </w:p>
          <w:p>
            <w:pPr>
              <w:numPr>
                <w:ilvl w:val="0"/>
                <w:numId w:val="3"/>
              </w:numPr>
              <w:rPr>
                <w:rFonts w:hint="eastAsia" w:ascii="宋体" w:hAnsi="宋体" w:cs="宋体"/>
                <w:sz w:val="21"/>
                <w:szCs w:val="21"/>
              </w:rPr>
            </w:pPr>
            <w:r>
              <w:rPr>
                <w:rFonts w:hint="eastAsia" w:ascii="宋体" w:hAnsi="宋体" w:cs="宋体"/>
                <w:sz w:val="21"/>
                <w:szCs w:val="21"/>
              </w:rPr>
              <w:t>具备信息发布和页面自定义、访问统计分析、统一检索等功能。</w:t>
            </w:r>
          </w:p>
          <w:p>
            <w:pPr>
              <w:rPr>
                <w:rFonts w:ascii="宋体" w:hAnsi="宋体" w:cs="宋体"/>
                <w:sz w:val="21"/>
                <w:szCs w:val="21"/>
              </w:rPr>
            </w:pPr>
            <w:r>
              <w:rPr>
                <w:rFonts w:hint="eastAsia" w:ascii="宋体" w:hAnsi="宋体" w:cs="宋体"/>
                <w:sz w:val="21"/>
                <w:szCs w:val="21"/>
              </w:rPr>
              <w:t>（2）具备精品课程的展示以及后台推荐控制功能。</w:t>
            </w:r>
          </w:p>
          <w:p>
            <w:pPr>
              <w:rPr>
                <w:rFonts w:ascii="宋体" w:hAnsi="宋体" w:cs="宋体"/>
                <w:sz w:val="21"/>
                <w:szCs w:val="21"/>
              </w:rPr>
            </w:pPr>
            <w:r>
              <w:rPr>
                <w:rFonts w:hint="eastAsia" w:ascii="宋体" w:hAnsi="宋体" w:cs="宋体"/>
                <w:sz w:val="21"/>
                <w:szCs w:val="21"/>
              </w:rPr>
              <w:t>（3）具备多种资源排行展示，如精品课程排行、课程网站排行、课程资料排行等。</w:t>
            </w:r>
          </w:p>
          <w:p>
            <w:pPr>
              <w:rPr>
                <w:rFonts w:ascii="宋体" w:hAnsi="宋体" w:cs="宋体"/>
                <w:sz w:val="21"/>
                <w:szCs w:val="21"/>
              </w:rPr>
            </w:pPr>
            <w:r>
              <w:rPr>
                <w:rFonts w:hint="eastAsia" w:ascii="宋体" w:hAnsi="宋体" w:cs="宋体"/>
                <w:sz w:val="21"/>
                <w:szCs w:val="21"/>
              </w:rPr>
              <w:t>（4）展示本校教学组织体系、专业设置及本校课程。</w:t>
            </w:r>
          </w:p>
          <w:p>
            <w:pPr>
              <w:pStyle w:val="10"/>
              <w:numPr>
                <w:ilvl w:val="0"/>
                <w:numId w:val="0"/>
              </w:numPr>
              <w:rPr>
                <w:rFonts w:hint="eastAsia" w:ascii="宋体" w:hAnsi="宋体" w:cs="宋体"/>
                <w:szCs w:val="21"/>
              </w:rPr>
            </w:pPr>
            <w:r>
              <w:rPr>
                <w:rFonts w:hint="eastAsia" w:ascii="宋体" w:hAnsi="宋体" w:cs="宋体"/>
                <w:sz w:val="21"/>
                <w:szCs w:val="21"/>
              </w:rPr>
              <w:t>（5）可以对本校课程进行搜索</w:t>
            </w:r>
            <w:r>
              <w:rPr>
                <w:rFonts w:hint="eastAsia" w:ascii="宋体" w:hAnsi="宋体" w:cs="宋体"/>
                <w:szCs w:val="21"/>
              </w:rPr>
              <w:t>。</w:t>
            </w:r>
          </w:p>
          <w:p>
            <w:pPr>
              <w:pStyle w:val="10"/>
              <w:numPr>
                <w:ilvl w:val="0"/>
                <w:numId w:val="0"/>
              </w:numPr>
              <w:rPr>
                <w:rFonts w:hint="eastAsia" w:ascii="宋体" w:hAnsi="宋体" w:cs="宋体"/>
                <w:szCs w:val="21"/>
              </w:rPr>
            </w:pPr>
          </w:p>
          <w:p>
            <w:pPr>
              <w:pStyle w:val="9"/>
              <w:numPr>
                <w:ilvl w:val="0"/>
                <w:numId w:val="4"/>
              </w:numPr>
              <w:spacing w:before="0" w:beforeAutospacing="0" w:after="0" w:afterAutospacing="0" w:line="338" w:lineRule="atLeast"/>
              <w:ind w:leftChars="0"/>
              <w:rPr>
                <w:rFonts w:hint="eastAsia" w:ascii="宋体" w:hAnsi="宋体" w:cs="宋体"/>
                <w:b/>
                <w:bCs/>
                <w:szCs w:val="21"/>
                <w:lang w:val="en-US" w:eastAsia="zh-CN"/>
              </w:rPr>
            </w:pPr>
            <w:r>
              <w:rPr>
                <w:rFonts w:hint="eastAsia" w:ascii="宋体" w:hAnsi="宋体" w:cs="宋体"/>
                <w:b/>
                <w:bCs/>
                <w:szCs w:val="21"/>
              </w:rPr>
              <w:t>移动学习</w:t>
            </w:r>
            <w:r>
              <w:rPr>
                <w:rFonts w:hint="eastAsia" w:ascii="宋体" w:hAnsi="宋体" w:cs="宋体"/>
                <w:b/>
                <w:bCs/>
                <w:szCs w:val="21"/>
                <w:lang w:val="en-US" w:eastAsia="zh-CN"/>
              </w:rPr>
              <w:t>功能要求</w:t>
            </w:r>
          </w:p>
          <w:p>
            <w:pPr>
              <w:rPr>
                <w:rFonts w:ascii="宋体" w:hAnsi="宋体" w:cs="宋体"/>
                <w:szCs w:val="21"/>
              </w:rPr>
            </w:pPr>
            <w:r>
              <w:rPr>
                <w:rFonts w:hint="eastAsia" w:ascii="宋体" w:hAnsi="宋体" w:cs="宋体"/>
                <w:szCs w:val="21"/>
              </w:rPr>
              <w:t>系统提供专门的APP移动客户端，需支持iOS和Android系统。与网络教学平台能够对接，进行在线课程的学习、作业、考试、讨论、笔记、小组、成绩分析、学生管理，支持课堂签到、抢答、问卷、讨论、选人、资料、直播等功能。移动学习系统需具备课堂教学活动的互动功能，含课堂签到、抢答、选人、测验、投票、多屏互动、讨论、主题讨论、课堂报告等。</w:t>
            </w:r>
          </w:p>
          <w:p>
            <w:pPr>
              <w:rPr>
                <w:rFonts w:ascii="宋体" w:hAnsi="宋体" w:cs="宋体"/>
                <w:szCs w:val="21"/>
              </w:rPr>
            </w:pPr>
            <w:r>
              <w:rPr>
                <w:rFonts w:hint="eastAsia" w:ascii="宋体" w:hAnsi="宋体" w:cs="宋体"/>
                <w:szCs w:val="21"/>
              </w:rPr>
              <w:t>（1）具有移动客户端，支持iOS和Android操作系统，用于手机、Pad等智能移动终端中，实现在线移动学习。</w:t>
            </w:r>
          </w:p>
          <w:p>
            <w:pPr>
              <w:rPr>
                <w:rFonts w:ascii="宋体" w:hAnsi="宋体" w:cs="宋体"/>
                <w:szCs w:val="21"/>
              </w:rPr>
            </w:pPr>
            <w:r>
              <w:rPr>
                <w:rFonts w:hint="eastAsia" w:ascii="宋体" w:hAnsi="宋体" w:cs="宋体"/>
                <w:szCs w:val="21"/>
              </w:rPr>
              <w:t>（2）PC端与移动端的学习进度保持同步，学生在任何终端上，都可以实现学习记录的持续性。</w:t>
            </w:r>
          </w:p>
          <w:p>
            <w:pPr>
              <w:rPr>
                <w:rFonts w:ascii="宋体" w:hAnsi="宋体" w:cs="宋体"/>
                <w:szCs w:val="21"/>
              </w:rPr>
            </w:pPr>
            <w:r>
              <w:rPr>
                <w:rFonts w:hint="eastAsia" w:ascii="宋体" w:hAnsi="宋体" w:cs="宋体"/>
                <w:szCs w:val="21"/>
              </w:rPr>
              <w:t xml:space="preserve">（3）按照教学计划，可在移动端组织教学内容，有序安排资料推送、签到、问答、抢答、投票等教学活动，可实现互动内容课堂发放并复用。                          </w:t>
            </w:r>
          </w:p>
          <w:p>
            <w:pPr>
              <w:rPr>
                <w:rFonts w:ascii="宋体" w:hAnsi="宋体" w:cs="宋体"/>
                <w:szCs w:val="21"/>
              </w:rPr>
            </w:pPr>
            <w:r>
              <w:rPr>
                <w:rFonts w:hint="eastAsia" w:ascii="宋体" w:hAnsi="宋体" w:cs="宋体"/>
                <w:szCs w:val="21"/>
              </w:rPr>
              <w:t>（4）教师可以在课堂上发布问题，通过抢答进行提问，学生同时在手机收到抢答请求进行抢答。</w:t>
            </w:r>
          </w:p>
          <w:p>
            <w:pPr>
              <w:rPr>
                <w:rFonts w:ascii="宋体" w:hAnsi="宋体" w:cs="宋体"/>
                <w:szCs w:val="21"/>
              </w:rPr>
            </w:pPr>
            <w:r>
              <w:rPr>
                <w:rFonts w:hint="eastAsia" w:ascii="宋体" w:hAnsi="宋体" w:cs="宋体"/>
                <w:szCs w:val="21"/>
              </w:rPr>
              <w:t xml:space="preserve">（5）教师可通过随机选人功能选择学生回答问题，并可以将选择结果投屏显示。                 </w:t>
            </w:r>
          </w:p>
          <w:p>
            <w:pPr>
              <w:rPr>
                <w:rFonts w:ascii="宋体" w:hAnsi="宋体" w:cs="宋体"/>
                <w:szCs w:val="21"/>
              </w:rPr>
            </w:pPr>
            <w:r>
              <w:rPr>
                <w:rFonts w:hint="eastAsia" w:ascii="宋体" w:hAnsi="宋体" w:cs="宋体"/>
                <w:szCs w:val="21"/>
              </w:rPr>
              <w:t xml:space="preserve">（6）教师可以在课堂上实时发布调查问卷，学生通过移动端进行投票。教师端可以立即统计投票结果。                               </w:t>
            </w:r>
          </w:p>
          <w:p>
            <w:pPr>
              <w:rPr>
                <w:rFonts w:ascii="宋体" w:hAnsi="宋体" w:cs="宋体"/>
                <w:szCs w:val="21"/>
              </w:rPr>
            </w:pPr>
            <w:r>
              <w:rPr>
                <w:rFonts w:hint="eastAsia" w:ascii="宋体" w:hAnsi="宋体" w:cs="宋体"/>
                <w:szCs w:val="21"/>
              </w:rPr>
              <w:t xml:space="preserve">（7）课堂结束后，可以将所有课堂上发布的控件进行记录，生成课堂历史记录。                               </w:t>
            </w:r>
          </w:p>
          <w:p>
            <w:pPr>
              <w:rPr>
                <w:rFonts w:ascii="宋体" w:hAnsi="宋体" w:cs="宋体"/>
                <w:szCs w:val="21"/>
              </w:rPr>
            </w:pPr>
            <w:r>
              <w:rPr>
                <w:rFonts w:hint="eastAsia" w:ascii="宋体" w:hAnsi="宋体" w:cs="宋体"/>
                <w:szCs w:val="21"/>
              </w:rPr>
              <w:t>（8）可基于课程形成师生互动交流群，实时进行即时通讯，进行讨论与交流。</w:t>
            </w:r>
          </w:p>
          <w:p>
            <w:pPr>
              <w:rPr>
                <w:rFonts w:ascii="宋体" w:hAnsi="宋体" w:cs="宋体"/>
                <w:szCs w:val="21"/>
              </w:rPr>
            </w:pPr>
            <w:r>
              <w:rPr>
                <w:rFonts w:hint="eastAsia" w:ascii="宋体" w:hAnsi="宋体" w:cs="宋体"/>
                <w:szCs w:val="21"/>
              </w:rPr>
              <w:t xml:space="preserve">（9）教师可以编辑问答题并可将题目发布到学生端，学生可以回答问题并提交，教师可以实时查看学生提交结果。 </w:t>
            </w:r>
          </w:p>
          <w:p>
            <w:pPr>
              <w:rPr>
                <w:rFonts w:ascii="宋体" w:hAnsi="宋体" w:cs="宋体"/>
                <w:szCs w:val="21"/>
              </w:rPr>
            </w:pPr>
            <w:r>
              <w:rPr>
                <w:rFonts w:hint="eastAsia" w:ascii="宋体" w:hAnsi="宋体" w:cs="宋体"/>
                <w:szCs w:val="21"/>
              </w:rPr>
              <w:t>（10）教师和学生可以开展话题讨论，利用发帖形式进行小组话题交流。</w:t>
            </w:r>
          </w:p>
          <w:p>
            <w:pPr>
              <w:rPr>
                <w:rFonts w:ascii="宋体" w:hAnsi="宋体" w:cs="宋体"/>
                <w:szCs w:val="21"/>
              </w:rPr>
            </w:pPr>
            <w:r>
              <w:rPr>
                <w:rFonts w:hint="eastAsia" w:ascii="宋体" w:hAnsi="宋体" w:cs="宋体"/>
                <w:szCs w:val="21"/>
              </w:rPr>
              <w:t>（11）教师在课前对资料进行云盘存储，课堂上可以利用云盘功能选择和自己课程相关的资料进行资料推送，推送完成后参与教学的学生和教师都可以查看资料的详细内容。</w:t>
            </w:r>
          </w:p>
          <w:p>
            <w:pPr>
              <w:rPr>
                <w:rFonts w:ascii="宋体" w:hAnsi="宋体" w:cs="宋体"/>
                <w:szCs w:val="21"/>
              </w:rPr>
            </w:pPr>
            <w:r>
              <w:rPr>
                <w:rFonts w:hint="eastAsia" w:ascii="宋体" w:hAnsi="宋体" w:cs="宋体"/>
                <w:szCs w:val="21"/>
              </w:rPr>
              <w:t>（12）在线课程的学习、做作业、考试，讨论、答疑等支持闯关模式学习。</w:t>
            </w:r>
          </w:p>
          <w:p>
            <w:pPr>
              <w:rPr>
                <w:rFonts w:ascii="宋体" w:hAnsi="宋体" w:cs="宋体"/>
                <w:szCs w:val="21"/>
              </w:rPr>
            </w:pPr>
            <w:r>
              <w:rPr>
                <w:rFonts w:hint="eastAsia" w:ascii="宋体" w:hAnsi="宋体" w:cs="宋体"/>
                <w:szCs w:val="21"/>
              </w:rPr>
              <w:t>（13）移动教案：按照教学计划，教师可提前在移动学习系统上组织教学内容，有序安排资料推送、签到、问答、抢答、投票等教学活动，方便课堂发放并易于复用。</w:t>
            </w:r>
          </w:p>
          <w:p>
            <w:pPr>
              <w:rPr>
                <w:rFonts w:ascii="宋体" w:hAnsi="宋体" w:cs="宋体"/>
                <w:szCs w:val="21"/>
              </w:rPr>
            </w:pPr>
            <w:r>
              <w:rPr>
                <w:rFonts w:hint="eastAsia" w:ascii="宋体" w:hAnsi="宋体" w:cs="宋体"/>
                <w:szCs w:val="21"/>
              </w:rPr>
              <w:t>（14）课堂签到：教师在移动端发布课堂签到，学生直接用手机通过扫描课堂大屏的二维码、或输入教师分享的邀请码等方式进行签到。教师端可以显示已签到和未签到学生名单，并显示学生具体的签到时间。</w:t>
            </w:r>
          </w:p>
          <w:p>
            <w:pPr>
              <w:rPr>
                <w:rFonts w:ascii="宋体" w:hAnsi="宋体" w:cs="宋体"/>
                <w:szCs w:val="21"/>
              </w:rPr>
            </w:pPr>
            <w:r>
              <w:rPr>
                <w:rFonts w:hint="eastAsia" w:ascii="宋体" w:hAnsi="宋体" w:cs="宋体"/>
                <w:szCs w:val="21"/>
              </w:rPr>
              <w:t>（15）问题抢答：教师可以在课堂上发布问题抢答进行提问，学生同时在移动端收到抢答提问，学生此时可以进行迅速抢答。教师端显示抢答顺序结果，获得抢答优先权的学生可以优先回答问题。抢答标题可以拍照上传，教师还可根据学生抢答的先后顺序，设置不同的分数。</w:t>
            </w:r>
          </w:p>
          <w:p>
            <w:pPr>
              <w:rPr>
                <w:rFonts w:ascii="宋体" w:hAnsi="宋体" w:cs="宋体"/>
                <w:szCs w:val="21"/>
              </w:rPr>
            </w:pPr>
            <w:r>
              <w:rPr>
                <w:rFonts w:hint="eastAsia" w:ascii="宋体" w:hAnsi="宋体" w:cs="宋体"/>
                <w:szCs w:val="21"/>
              </w:rPr>
              <w:t>（16）随机选人：教师发布随机选人，移动课堂互动系统会自动在已经签到的学生中随机选择学生。</w:t>
            </w:r>
          </w:p>
          <w:p>
            <w:pPr>
              <w:rPr>
                <w:rFonts w:ascii="宋体" w:hAnsi="宋体" w:cs="宋体"/>
                <w:szCs w:val="21"/>
              </w:rPr>
            </w:pPr>
            <w:r>
              <w:rPr>
                <w:rFonts w:hint="eastAsia" w:ascii="宋体" w:hAnsi="宋体" w:cs="宋体"/>
                <w:szCs w:val="21"/>
              </w:rPr>
              <w:t>（17）视频直播：教师可以在上课过程中，发放课堂直播，学生可以直接参与直播并进行互动。</w:t>
            </w:r>
          </w:p>
          <w:p>
            <w:pPr>
              <w:rPr>
                <w:rFonts w:ascii="宋体" w:hAnsi="宋体" w:cs="宋体"/>
                <w:szCs w:val="21"/>
              </w:rPr>
            </w:pPr>
            <w:r>
              <w:rPr>
                <w:rFonts w:hint="eastAsia" w:ascii="宋体" w:hAnsi="宋体" w:cs="宋体"/>
                <w:szCs w:val="21"/>
              </w:rPr>
              <w:t>（18）学生的课堂表现等都以积分形式形成评价，可转换为平时成绩；在线课程的学习同时记录作业成绩、考试成绩、按照老师设计的成绩权重给出综合评价。</w:t>
            </w:r>
          </w:p>
          <w:p>
            <w:pPr>
              <w:rPr>
                <w:rFonts w:ascii="宋体" w:hAnsi="宋体" w:cs="宋体"/>
                <w:szCs w:val="21"/>
              </w:rPr>
            </w:pPr>
            <w:r>
              <w:rPr>
                <w:rFonts w:hint="eastAsia" w:ascii="宋体" w:hAnsi="宋体" w:cs="宋体"/>
                <w:szCs w:val="21"/>
              </w:rPr>
              <w:t>（19）可以阅读海量电子图书、报纸、期刊、专题等资源，可以订阅到自己的空间，并进行分类管理；可以对所有精彩的内容进行分享。</w:t>
            </w:r>
          </w:p>
          <w:p>
            <w:pPr>
              <w:rPr>
                <w:rFonts w:ascii="宋体" w:hAnsi="宋体" w:cs="宋体"/>
                <w:szCs w:val="21"/>
              </w:rPr>
            </w:pPr>
            <w:r>
              <w:rPr>
                <w:rFonts w:hint="eastAsia" w:ascii="宋体" w:hAnsi="宋体" w:cs="宋体"/>
                <w:szCs w:val="21"/>
              </w:rPr>
              <w:t>（20）基于真实身份、课程、读书等学习行为及学生活动的社交互动，形成趣味式的成长花瓣，引发学习激励。包括：小组、私有笔记、共享笔记、阅读时间等。</w:t>
            </w:r>
          </w:p>
          <w:p>
            <w:pPr>
              <w:rPr>
                <w:rFonts w:ascii="宋体" w:hAnsi="宋体" w:cs="宋体"/>
                <w:szCs w:val="21"/>
              </w:rPr>
            </w:pPr>
            <w:r>
              <w:rPr>
                <w:rFonts w:hint="eastAsia" w:ascii="宋体" w:hAnsi="宋体" w:cs="宋体"/>
                <w:szCs w:val="21"/>
              </w:rPr>
              <w:t>（21）可以按照组织架构建立通讯录，可查看组织内所有人的联系方式，也可以根据实际情况进行个人信息适当范围的私密保护设置。</w:t>
            </w:r>
          </w:p>
          <w:p>
            <w:pPr>
              <w:rPr>
                <w:rFonts w:ascii="宋体" w:hAnsi="宋体" w:cs="宋体"/>
                <w:szCs w:val="21"/>
              </w:rPr>
            </w:pPr>
            <w:r>
              <w:rPr>
                <w:rFonts w:hint="eastAsia" w:ascii="宋体" w:hAnsi="宋体" w:cs="宋体"/>
                <w:szCs w:val="21"/>
              </w:rPr>
              <w:t>（22）教务通知、教师课程通知、小组通知、个人互相通知的即时消息任意组合设置，实时发送，实时接收，并可查看通知阅读状态，已读和未读名单。教师、学生都可以进行实时的学习通知、组建小组群聊（也可设置屏蔽提醒）、好友验证等即时通信。</w:t>
            </w:r>
          </w:p>
          <w:p>
            <w:pPr>
              <w:rPr>
                <w:rFonts w:ascii="宋体" w:hAnsi="宋体" w:cs="宋体"/>
                <w:szCs w:val="21"/>
              </w:rPr>
            </w:pPr>
            <w:r>
              <w:rPr>
                <w:rFonts w:hint="eastAsia" w:ascii="宋体" w:hAnsi="宋体" w:cs="宋体"/>
                <w:szCs w:val="21"/>
              </w:rPr>
              <w:t>（23）支持手机端、电脑端发起视频直播，学生可以通过手机观看直播并留言。</w:t>
            </w:r>
          </w:p>
          <w:p>
            <w:pPr>
              <w:rPr>
                <w:rFonts w:ascii="宋体" w:hAnsi="宋体" w:cs="宋体"/>
                <w:szCs w:val="21"/>
              </w:rPr>
            </w:pPr>
            <w:r>
              <w:rPr>
                <w:rFonts w:hint="eastAsia" w:ascii="宋体" w:hAnsi="宋体" w:cs="宋体"/>
                <w:szCs w:val="21"/>
              </w:rPr>
              <w:t>（24）教师轻松通过投屏进行签到、选人、抢答等教学环节，并能直接在投屏上展示结果数据。支持将资源先批量上传至个人云盘中，然后在课程中引用。支持从云盘中调取PPT直接上课投屏，支持通过手机端投屏功能把课程相关图片、视频资源、以及能够直接查找一些资源，然后直接在投屏上展示。支持强大PPT演示功能，PPT投屏演示保留动画效果，播放流畅。PPT文件来源多种渠道，可以通过电脑端把文件直接发送至移动端，提高资源展示的便捷性。</w:t>
            </w:r>
          </w:p>
          <w:p>
            <w:pPr>
              <w:rPr>
                <w:rFonts w:ascii="宋体" w:hAnsi="宋体" w:cs="宋体"/>
                <w:szCs w:val="21"/>
              </w:rPr>
            </w:pPr>
            <w:r>
              <w:rPr>
                <w:rFonts w:hint="eastAsia" w:ascii="宋体" w:hAnsi="宋体" w:cs="宋体"/>
                <w:szCs w:val="21"/>
              </w:rPr>
              <w:t>（24）教师备课：教师可以在需要上课的ppt任意页面下设置移动教案，也可以总体设计好一节课需要使用的教学活动。按照教学计划，教师可提前在移动端上组织教学内容，有序安排资料推送、签到、问答、抢答、投票等教学活动，方便课堂发放并易于复用。</w:t>
            </w:r>
          </w:p>
          <w:p>
            <w:pPr>
              <w:rPr>
                <w:rFonts w:ascii="宋体" w:hAnsi="宋体" w:cs="宋体"/>
                <w:szCs w:val="21"/>
              </w:rPr>
            </w:pPr>
            <w:r>
              <w:rPr>
                <w:rFonts w:hint="eastAsia" w:ascii="宋体" w:hAnsi="宋体" w:cs="宋体"/>
                <w:szCs w:val="21"/>
              </w:rPr>
              <w:t>（25）授课资源：教师可以从备课资源库中查找并添加课程相关的教学参考书，推荐给学生，图书可以直接进行在线阅读。推荐视频：教师可以从备课资源库中查找并添加课程相关的学术视频，推荐给学生直接进行在线观看。支持知识点拓展阅读功能，可以根据一个关键词自动生成相关知识点的知识树，插入到课程单元中，并自动推送知识点相关的图书、期刊、论文等资料。</w:t>
            </w:r>
          </w:p>
          <w:p>
            <w:pPr>
              <w:rPr>
                <w:rFonts w:ascii="宋体" w:hAnsi="宋体" w:cs="宋体"/>
                <w:szCs w:val="21"/>
              </w:rPr>
            </w:pPr>
            <w:r>
              <w:rPr>
                <w:rFonts w:hint="eastAsia" w:ascii="宋体" w:hAnsi="宋体" w:cs="宋体"/>
                <w:szCs w:val="21"/>
              </w:rPr>
              <w:t>（26）课程管理：支持视频中任意时间点插入测验：上传视频后，可以在任意时间点插入测试题，包含单选题、多选题和对错题。支持视频中任意时间点插入图片或PPT：可以在任意时间点插入图片或PPT，同时支持对插入的内容在时间轴上随意拖动。插入的PPT可以任意拖动位置，并可以跟视频窗口进行切换，支持任务点设计，教师可以将课程章节内视频、图书、作业等内容设置为任务点，灵活控制学生学习的情况。学生端可以看到整个课程和每个章节需要完成的任务点情况，每完成一个任务，数量会自动减一</w:t>
            </w:r>
          </w:p>
          <w:p>
            <w:pPr>
              <w:rPr>
                <w:rFonts w:ascii="宋体" w:hAnsi="宋体" w:cs="宋体"/>
                <w:szCs w:val="21"/>
              </w:rPr>
            </w:pPr>
            <w:r>
              <w:rPr>
                <w:rFonts w:hint="eastAsia" w:ascii="宋体" w:hAnsi="宋体" w:cs="宋体"/>
                <w:szCs w:val="21"/>
              </w:rPr>
              <w:t>（27）移动端：可以在移动客户端选择给指定的人发送通知，并统计已读和未读名单。并与pc端无缝对接。视频直播：移动端教师可以发起视频直播，同时具有考试客户端，支持使用客户端进行独立考试。</w:t>
            </w:r>
          </w:p>
          <w:p>
            <w:pPr>
              <w:pStyle w:val="9"/>
              <w:spacing w:before="0" w:beforeAutospacing="0" w:after="0" w:afterAutospacing="0" w:line="338" w:lineRule="atLeas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28）可以阅读海量电子图书、报纸、期刊、专题等资源，可以订阅到自己的空间，并进行分类管理；可以对所有精彩的内容进行分享。可以基于真实身份、课程、读书等学习行为及学生活动的社交互动，形成趣味式的成长花瓣，引发学习激励。包括：使用量、笔记、收藏、阅读时间等。</w:t>
            </w:r>
          </w:p>
          <w:p>
            <w:pPr>
              <w:pStyle w:val="9"/>
              <w:spacing w:before="0" w:beforeAutospacing="0" w:after="0" w:afterAutospacing="0" w:line="338" w:lineRule="atLeast"/>
              <w:rPr>
                <w:rFonts w:hint="eastAsia" w:ascii="宋体" w:hAnsi="宋体" w:eastAsia="宋体" w:cs="宋体"/>
                <w:kern w:val="2"/>
                <w:sz w:val="21"/>
                <w:szCs w:val="21"/>
                <w:lang w:val="en-US" w:eastAsia="zh-CN" w:bidi="ar-SA"/>
              </w:rPr>
            </w:pPr>
          </w:p>
          <w:p>
            <w:pPr>
              <w:pStyle w:val="9"/>
              <w:numPr>
                <w:ilvl w:val="0"/>
                <w:numId w:val="4"/>
              </w:numPr>
              <w:spacing w:before="0" w:beforeAutospacing="0" w:after="0" w:afterAutospacing="0" w:line="338" w:lineRule="atLeast"/>
              <w:ind w:left="0" w:leftChars="0" w:firstLine="0" w:firstLineChars="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其他要求</w:t>
            </w:r>
          </w:p>
          <w:p>
            <w:pPr>
              <w:pStyle w:val="9"/>
              <w:numPr>
                <w:ilvl w:val="0"/>
                <w:numId w:val="0"/>
              </w:numPr>
              <w:spacing w:before="0" w:beforeAutospacing="0" w:after="0" w:afterAutospacing="0" w:line="338" w:lineRule="atLeast"/>
              <w:ind w:leftChars="0"/>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1"/>
                <w:szCs w:val="21"/>
                <w:highlight w:val="none"/>
              </w:rPr>
              <w:t>平台提供老师建课可使用的示范教学包，升级后的平台各种学习使用数据及师生信息和之前的网络教学平台全面无缝的对接，移动端和PC端数据的同步更新等。维保期内提供优质的培训和售后服务。</w:t>
            </w:r>
          </w:p>
        </w:tc>
        <w:tc>
          <w:tcPr>
            <w:tcW w:w="720" w:type="dxa"/>
          </w:tcPr>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jc w:val="center"/>
              <w:rPr>
                <w:rStyle w:val="14"/>
                <w:rFonts w:hint="default" w:asciiTheme="minorEastAsia" w:hAnsiTheme="minorEastAsia" w:eastAsiaTheme="minorEastAsia"/>
                <w:bCs w:val="0"/>
                <w:color w:val="333333"/>
                <w:lang w:val="en-US" w:eastAsia="zh-CN"/>
              </w:rPr>
            </w:pPr>
            <w:r>
              <w:rPr>
                <w:rStyle w:val="14"/>
                <w:rFonts w:hint="eastAsia" w:asciiTheme="minorEastAsia" w:hAnsiTheme="minorEastAsia" w:eastAsiaTheme="minorEastAsia"/>
                <w:bCs w:val="0"/>
                <w:color w:val="333333"/>
                <w:lang w:val="en-US" w:eastAsia="zh-CN"/>
              </w:rPr>
              <w:t>套</w:t>
            </w:r>
          </w:p>
        </w:tc>
        <w:tc>
          <w:tcPr>
            <w:tcW w:w="750" w:type="dxa"/>
          </w:tcPr>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rPr>
                <w:rStyle w:val="14"/>
                <w:rFonts w:asciiTheme="minorEastAsia" w:hAnsiTheme="minorEastAsia" w:eastAsiaTheme="minorEastAsia"/>
                <w:bCs w:val="0"/>
                <w:color w:val="333333"/>
              </w:rPr>
            </w:pPr>
          </w:p>
          <w:p>
            <w:pPr>
              <w:pStyle w:val="9"/>
              <w:spacing w:before="0" w:beforeAutospacing="0" w:after="0" w:afterAutospacing="0" w:line="338" w:lineRule="atLeast"/>
              <w:jc w:val="center"/>
              <w:rPr>
                <w:rStyle w:val="14"/>
                <w:rFonts w:hint="eastAsia" w:asciiTheme="minorEastAsia" w:hAnsiTheme="minorEastAsia" w:eastAsiaTheme="minorEastAsia"/>
                <w:bCs w:val="0"/>
                <w:color w:val="333333"/>
                <w:lang w:val="en-US" w:eastAsia="zh-CN"/>
              </w:rPr>
            </w:pPr>
            <w:r>
              <w:rPr>
                <w:rStyle w:val="14"/>
                <w:rFonts w:hint="eastAsia" w:asciiTheme="minorEastAsia" w:hAnsiTheme="minorEastAsia" w:eastAsiaTheme="minorEastAsia"/>
                <w:bCs w:val="0"/>
                <w:color w:val="333333"/>
                <w:lang w:val="en-US" w:eastAsia="zh-CN"/>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pStyle w:val="9"/>
              <w:spacing w:before="0" w:beforeAutospacing="0" w:after="0" w:afterAutospacing="0" w:line="338" w:lineRule="atLeast"/>
              <w:rPr>
                <w:rStyle w:val="14"/>
                <w:rFonts w:asciiTheme="minorEastAsia" w:hAnsiTheme="minorEastAsia" w:eastAsiaTheme="minorEastAsia"/>
                <w:bCs w:val="0"/>
                <w:color w:val="333333"/>
              </w:rPr>
            </w:pPr>
          </w:p>
        </w:tc>
        <w:tc>
          <w:tcPr>
            <w:tcW w:w="1245" w:type="dxa"/>
          </w:tcPr>
          <w:p>
            <w:pPr>
              <w:pStyle w:val="9"/>
              <w:spacing w:before="0" w:beforeAutospacing="0" w:after="0" w:afterAutospacing="0" w:line="338" w:lineRule="atLeast"/>
              <w:rPr>
                <w:rStyle w:val="14"/>
                <w:rFonts w:asciiTheme="minorEastAsia" w:hAnsiTheme="minorEastAsia" w:eastAsiaTheme="minorEastAsia"/>
                <w:bCs w:val="0"/>
                <w:color w:val="333333"/>
              </w:rPr>
            </w:pPr>
          </w:p>
        </w:tc>
        <w:tc>
          <w:tcPr>
            <w:tcW w:w="6825" w:type="dxa"/>
          </w:tcPr>
          <w:p>
            <w:pPr>
              <w:pStyle w:val="9"/>
              <w:spacing w:before="0" w:beforeAutospacing="0" w:after="0" w:afterAutospacing="0" w:line="338" w:lineRule="atLeast"/>
              <w:rPr>
                <w:rStyle w:val="14"/>
                <w:rFonts w:asciiTheme="minorEastAsia" w:hAnsiTheme="minorEastAsia" w:eastAsiaTheme="minorEastAsia"/>
                <w:bCs w:val="0"/>
                <w:color w:val="333333"/>
              </w:rPr>
            </w:pPr>
          </w:p>
        </w:tc>
        <w:tc>
          <w:tcPr>
            <w:tcW w:w="720" w:type="dxa"/>
          </w:tcPr>
          <w:p>
            <w:pPr>
              <w:pStyle w:val="9"/>
              <w:spacing w:before="0" w:beforeAutospacing="0" w:after="0" w:afterAutospacing="0" w:line="338" w:lineRule="atLeast"/>
              <w:rPr>
                <w:rStyle w:val="14"/>
                <w:rFonts w:asciiTheme="minorEastAsia" w:hAnsiTheme="minorEastAsia" w:eastAsiaTheme="minorEastAsia"/>
                <w:bCs w:val="0"/>
                <w:color w:val="333333"/>
              </w:rPr>
            </w:pPr>
          </w:p>
        </w:tc>
        <w:tc>
          <w:tcPr>
            <w:tcW w:w="750" w:type="dxa"/>
          </w:tcPr>
          <w:p>
            <w:pPr>
              <w:pStyle w:val="9"/>
              <w:spacing w:before="0" w:beforeAutospacing="0" w:after="0" w:afterAutospacing="0" w:line="338" w:lineRule="atLeast"/>
              <w:rPr>
                <w:rStyle w:val="14"/>
                <w:rFonts w:asciiTheme="minorEastAsia" w:hAnsiTheme="minorEastAsia" w:eastAsiaTheme="minorEastAsia"/>
                <w:bCs w:val="0"/>
                <w:color w:val="333333"/>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45" w:type="dxa"/>
          </w:tcPr>
          <w:p>
            <w:pPr>
              <w:pStyle w:val="9"/>
              <w:spacing w:before="0" w:beforeAutospacing="0" w:after="0" w:afterAutospacing="0" w:line="338" w:lineRule="atLeast"/>
              <w:rPr>
                <w:rStyle w:val="14"/>
                <w:rFonts w:asciiTheme="minorEastAsia" w:hAnsiTheme="minorEastAsia" w:eastAsiaTheme="minorEastAsia"/>
                <w:bCs w:val="0"/>
                <w:color w:val="333333"/>
              </w:rPr>
            </w:pPr>
          </w:p>
        </w:tc>
        <w:tc>
          <w:tcPr>
            <w:tcW w:w="1245" w:type="dxa"/>
          </w:tcPr>
          <w:p>
            <w:pPr>
              <w:pStyle w:val="9"/>
              <w:spacing w:before="0" w:beforeAutospacing="0" w:after="0" w:afterAutospacing="0" w:line="338" w:lineRule="atLeast"/>
              <w:rPr>
                <w:rStyle w:val="14"/>
                <w:rFonts w:asciiTheme="minorEastAsia" w:hAnsiTheme="minorEastAsia" w:eastAsiaTheme="minorEastAsia"/>
                <w:bCs w:val="0"/>
                <w:color w:val="333333"/>
              </w:rPr>
            </w:pPr>
          </w:p>
        </w:tc>
        <w:tc>
          <w:tcPr>
            <w:tcW w:w="6825" w:type="dxa"/>
          </w:tcPr>
          <w:p>
            <w:pPr>
              <w:pStyle w:val="9"/>
              <w:spacing w:before="0" w:beforeAutospacing="0" w:after="0" w:afterAutospacing="0" w:line="338" w:lineRule="atLeast"/>
              <w:rPr>
                <w:rStyle w:val="14"/>
                <w:rFonts w:asciiTheme="minorEastAsia" w:hAnsiTheme="minorEastAsia" w:eastAsiaTheme="minorEastAsia"/>
                <w:bCs w:val="0"/>
                <w:color w:val="333333"/>
              </w:rPr>
            </w:pPr>
          </w:p>
        </w:tc>
        <w:tc>
          <w:tcPr>
            <w:tcW w:w="720" w:type="dxa"/>
          </w:tcPr>
          <w:p>
            <w:pPr>
              <w:pStyle w:val="9"/>
              <w:spacing w:before="0" w:beforeAutospacing="0" w:after="0" w:afterAutospacing="0" w:line="338" w:lineRule="atLeast"/>
              <w:rPr>
                <w:rStyle w:val="14"/>
                <w:rFonts w:asciiTheme="minorEastAsia" w:hAnsiTheme="minorEastAsia" w:eastAsiaTheme="minorEastAsia"/>
                <w:bCs w:val="0"/>
                <w:color w:val="333333"/>
              </w:rPr>
            </w:pPr>
          </w:p>
        </w:tc>
        <w:tc>
          <w:tcPr>
            <w:tcW w:w="750" w:type="dxa"/>
          </w:tcPr>
          <w:p>
            <w:pPr>
              <w:pStyle w:val="9"/>
              <w:spacing w:before="0" w:beforeAutospacing="0" w:after="0" w:afterAutospacing="0" w:line="338" w:lineRule="atLeast"/>
              <w:rPr>
                <w:rStyle w:val="14"/>
                <w:rFonts w:asciiTheme="minorEastAsia" w:hAnsiTheme="minorEastAsia" w:eastAsiaTheme="minorEastAsia"/>
                <w:bCs w:val="0"/>
                <w:color w:val="333333"/>
              </w:rPr>
            </w:pPr>
          </w:p>
        </w:tc>
      </w:tr>
    </w:tbl>
    <w:p>
      <w:pPr>
        <w:pStyle w:val="9"/>
        <w:shd w:val="clear" w:color="auto" w:fill="FFFFFF"/>
        <w:spacing w:before="0" w:beforeAutospacing="0" w:after="0" w:afterAutospacing="0" w:line="338" w:lineRule="atLeast"/>
        <w:ind w:firstLine="482" w:firstLineChars="200"/>
        <w:rPr>
          <w:rFonts w:hint="eastAsia" w:ascii="宋体" w:hAnsi="宋体"/>
          <w:b/>
          <w:color w:val="auto"/>
          <w:sz w:val="24"/>
          <w:szCs w:val="32"/>
          <w:highlight w:val="none"/>
        </w:rPr>
      </w:pPr>
      <w:r>
        <w:rPr>
          <w:rFonts w:hint="eastAsia" w:ascii="宋体" w:hAnsi="宋体"/>
          <w:b/>
          <w:color w:val="auto"/>
          <w:sz w:val="24"/>
          <w:szCs w:val="32"/>
          <w:highlight w:val="none"/>
        </w:rPr>
        <w:t>备注：</w:t>
      </w:r>
      <w:bookmarkStart w:id="0" w:name="_Hlk104909210"/>
      <w:r>
        <w:rPr>
          <w:rFonts w:hint="eastAsia" w:ascii="宋体" w:hAnsi="宋体"/>
          <w:b/>
          <w:color w:val="auto"/>
          <w:sz w:val="24"/>
          <w:szCs w:val="32"/>
          <w:highlight w:val="none"/>
        </w:rPr>
        <w:t>本项目不接受负偏离参数产品</w:t>
      </w:r>
      <w:bookmarkEnd w:id="0"/>
      <w:r>
        <w:rPr>
          <w:rFonts w:hint="eastAsia" w:ascii="宋体" w:hAnsi="宋体"/>
          <w:b/>
          <w:color w:val="auto"/>
          <w:sz w:val="24"/>
          <w:szCs w:val="32"/>
          <w:highlight w:val="none"/>
        </w:rPr>
        <w:t>，有负偏离作为</w:t>
      </w:r>
      <w:r>
        <w:rPr>
          <w:rFonts w:ascii="宋体" w:hAnsi="宋体"/>
          <w:b/>
          <w:color w:val="auto"/>
          <w:sz w:val="24"/>
          <w:szCs w:val="32"/>
          <w:highlight w:val="none"/>
        </w:rPr>
        <w:t>无效投标</w:t>
      </w:r>
      <w:r>
        <w:rPr>
          <w:rFonts w:hint="eastAsia" w:ascii="宋体" w:hAnsi="宋体"/>
          <w:b/>
          <w:color w:val="auto"/>
          <w:sz w:val="24"/>
          <w:szCs w:val="32"/>
          <w:highlight w:val="none"/>
        </w:rPr>
        <w:t>处理</w:t>
      </w:r>
    </w:p>
    <w:p>
      <w:pPr>
        <w:pStyle w:val="9"/>
        <w:shd w:val="clear" w:color="auto" w:fill="FFFFFF"/>
        <w:spacing w:before="0" w:beforeAutospacing="0" w:after="0" w:afterAutospacing="0" w:line="338" w:lineRule="atLeast"/>
        <w:ind w:firstLine="482" w:firstLineChars="200"/>
        <w:rPr>
          <w:rFonts w:hint="eastAsia" w:ascii="宋体" w:hAnsi="宋体"/>
          <w:b/>
          <w:color w:val="auto"/>
          <w:sz w:val="24"/>
          <w:szCs w:val="32"/>
          <w:highlight w:val="none"/>
        </w:rPr>
      </w:pPr>
    </w:p>
    <w:p>
      <w:pPr>
        <w:pStyle w:val="9"/>
        <w:shd w:val="clear" w:color="auto" w:fill="FFFFFF"/>
        <w:spacing w:before="0" w:beforeAutospacing="0" w:after="0" w:afterAutospacing="0" w:line="338" w:lineRule="atLeast"/>
        <w:ind w:firstLine="482" w:firstLineChars="200"/>
        <w:rPr>
          <w:rFonts w:asciiTheme="minorEastAsia" w:hAnsiTheme="minorEastAsia" w:eastAsiaTheme="minorEastAsia"/>
          <w:color w:val="333333"/>
        </w:rPr>
      </w:pPr>
      <w:r>
        <w:rPr>
          <w:rStyle w:val="14"/>
          <w:rFonts w:asciiTheme="minorEastAsia" w:hAnsiTheme="minorEastAsia" w:eastAsiaTheme="minorEastAsia"/>
          <w:bCs w:val="0"/>
          <w:color w:val="333333"/>
        </w:rPr>
        <w:t>三、项目预算及报价要求</w:t>
      </w:r>
    </w:p>
    <w:p>
      <w:pPr>
        <w:pStyle w:val="9"/>
        <w:shd w:val="clear" w:color="auto" w:fill="FFFFFF"/>
        <w:tabs>
          <w:tab w:val="left" w:pos="6586"/>
        </w:tabs>
        <w:spacing w:before="0" w:beforeAutospacing="0" w:after="0" w:afterAutospacing="0" w:line="338" w:lineRule="atLeast"/>
        <w:ind w:firstLine="480" w:firstLineChars="200"/>
        <w:rPr>
          <w:rFonts w:asciiTheme="minorEastAsia" w:hAnsiTheme="minorEastAsia" w:eastAsiaTheme="minorEastAsia"/>
          <w:color w:val="333333"/>
        </w:rPr>
      </w:pPr>
      <w:r>
        <w:rPr>
          <w:rFonts w:asciiTheme="minorEastAsia" w:hAnsiTheme="minorEastAsia" w:eastAsiaTheme="minorEastAsia"/>
          <w:color w:val="333333"/>
        </w:rPr>
        <w:t>项目预算：</w:t>
      </w:r>
      <w:r>
        <w:rPr>
          <w:rFonts w:hint="eastAsia" w:asciiTheme="minorEastAsia" w:hAnsiTheme="minorEastAsia" w:eastAsiaTheme="minorEastAsia"/>
          <w:color w:val="333333"/>
          <w:lang w:val="en-US" w:eastAsia="zh-CN"/>
        </w:rPr>
        <w:t>8</w:t>
      </w:r>
      <w:r>
        <w:rPr>
          <w:rFonts w:asciiTheme="minorEastAsia" w:hAnsiTheme="minorEastAsia" w:eastAsiaTheme="minorEastAsia"/>
          <w:color w:val="333333"/>
        </w:rPr>
        <w:t>万元（报价不得高于预算）</w:t>
      </w:r>
      <w:r>
        <w:rPr>
          <w:rFonts w:hint="eastAsia" w:asciiTheme="minorEastAsia" w:hAnsiTheme="minorEastAsia" w:eastAsiaTheme="minorEastAsia"/>
          <w:color w:val="333333"/>
        </w:rPr>
        <w:t>。</w:t>
      </w:r>
      <w:r>
        <w:rPr>
          <w:rFonts w:asciiTheme="minorEastAsia" w:hAnsiTheme="minorEastAsia" w:eastAsiaTheme="minorEastAsia"/>
          <w:color w:val="333333"/>
        </w:rPr>
        <w:tab/>
      </w:r>
    </w:p>
    <w:p>
      <w:pPr>
        <w:pStyle w:val="9"/>
        <w:shd w:val="clear" w:color="auto" w:fill="FFFFFF"/>
        <w:spacing w:before="0" w:beforeAutospacing="0" w:after="0" w:afterAutospacing="0" w:line="338" w:lineRule="atLeast"/>
        <w:ind w:firstLine="482" w:firstLineChars="200"/>
        <w:rPr>
          <w:rFonts w:asciiTheme="minorEastAsia" w:hAnsiTheme="minorEastAsia" w:eastAsiaTheme="minorEastAsia"/>
          <w:color w:val="333333"/>
        </w:rPr>
      </w:pPr>
      <w:r>
        <w:rPr>
          <w:rStyle w:val="14"/>
          <w:rFonts w:hint="eastAsia" w:asciiTheme="minorEastAsia" w:hAnsiTheme="minorEastAsia" w:eastAsiaTheme="minorEastAsia"/>
          <w:bCs w:val="0"/>
          <w:color w:val="333333"/>
        </w:rPr>
        <w:t>四</w:t>
      </w:r>
      <w:r>
        <w:rPr>
          <w:rStyle w:val="14"/>
          <w:rFonts w:asciiTheme="minorEastAsia" w:hAnsiTheme="minorEastAsia" w:eastAsiaTheme="minorEastAsia"/>
          <w:bCs w:val="0"/>
          <w:color w:val="333333"/>
        </w:rPr>
        <w:t>、供应商资格要求</w:t>
      </w:r>
    </w:p>
    <w:p>
      <w:pPr>
        <w:pStyle w:val="9"/>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asciiTheme="minorEastAsia" w:hAnsiTheme="minorEastAsia" w:eastAsiaTheme="minorEastAsia"/>
          <w:color w:val="333333"/>
        </w:rPr>
        <w:t>1.符合《中华人民共和国政府采购法》第22条规定</w:t>
      </w:r>
      <w:r>
        <w:rPr>
          <w:rFonts w:hint="eastAsia" w:asciiTheme="minorEastAsia" w:hAnsiTheme="minorEastAsia" w:eastAsiaTheme="minorEastAsia"/>
          <w:color w:val="333333"/>
        </w:rPr>
        <w:t>：</w:t>
      </w:r>
    </w:p>
    <w:p>
      <w:pPr>
        <w:pStyle w:val="9"/>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hint="eastAsia" w:asciiTheme="minorEastAsia" w:hAnsiTheme="minorEastAsia" w:eastAsiaTheme="minorEastAsia"/>
          <w:color w:val="333333"/>
        </w:rPr>
        <w:t>①具有独立承担民事责任的能力（提供法人营业执照复印件）；</w:t>
      </w:r>
    </w:p>
    <w:p>
      <w:pPr>
        <w:pStyle w:val="9"/>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hint="eastAsia" w:asciiTheme="minorEastAsia" w:hAnsiTheme="minorEastAsia" w:eastAsiaTheme="minorEastAsia"/>
          <w:color w:val="333333"/>
        </w:rPr>
        <w:t>②具有良好的商业信誉和健全的财务会计制度（提供上一年度的财务状况报告（成立不满一年不需提供）；</w:t>
      </w:r>
    </w:p>
    <w:p>
      <w:pPr>
        <w:pStyle w:val="9"/>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hint="eastAsia" w:asciiTheme="minorEastAsia" w:hAnsiTheme="minorEastAsia" w:eastAsiaTheme="minorEastAsia"/>
          <w:color w:val="333333"/>
        </w:rPr>
        <w:t>③具有履行合同所必需的设备和专业技术能力（提供承诺函）（格式见招标文件附件）；</w:t>
      </w:r>
    </w:p>
    <w:p>
      <w:pPr>
        <w:pStyle w:val="9"/>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hint="eastAsia" w:asciiTheme="minorEastAsia" w:hAnsiTheme="minorEastAsia" w:eastAsiaTheme="minorEastAsia"/>
          <w:color w:val="333333"/>
        </w:rPr>
        <w:t>④有依法缴纳税收和社会保障资金的良好记录（提供依法缴纳税收和社会保障资金的相关材料）；</w:t>
      </w:r>
    </w:p>
    <w:p>
      <w:pPr>
        <w:pStyle w:val="9"/>
        <w:shd w:val="clear" w:color="auto" w:fill="FFFFFF"/>
        <w:spacing w:before="0" w:beforeAutospacing="0" w:after="0" w:afterAutospacing="0" w:line="420" w:lineRule="exact"/>
        <w:ind w:firstLine="480" w:firstLineChars="200"/>
        <w:rPr>
          <w:rFonts w:hint="eastAsia" w:asciiTheme="minorEastAsia" w:hAnsiTheme="minorEastAsia" w:eastAsiaTheme="minorEastAsia"/>
          <w:color w:val="333333"/>
          <w:lang w:val="en-US" w:eastAsia="zh-CN"/>
        </w:rPr>
      </w:pPr>
      <w:r>
        <w:rPr>
          <w:rFonts w:hint="eastAsia" w:cs="宋体" w:asciiTheme="minorEastAsia" w:hAnsiTheme="minorEastAsia" w:eastAsiaTheme="minorEastAsia"/>
          <w:color w:val="333333"/>
          <w:lang w:val="en-US" w:eastAsia="zh-CN"/>
        </w:rPr>
        <w:t>2.落实政府采购政策需满足的资格要求：无。</w:t>
      </w:r>
    </w:p>
    <w:p>
      <w:pPr>
        <w:pStyle w:val="9"/>
        <w:shd w:val="clear" w:color="auto" w:fill="FFFFFF"/>
        <w:spacing w:before="0" w:beforeAutospacing="0" w:after="0" w:afterAutospacing="0" w:line="420" w:lineRule="exact"/>
        <w:ind w:firstLine="480" w:firstLineChars="200"/>
        <w:rPr>
          <w:rFonts w:hint="eastAsia" w:asciiTheme="minorEastAsia" w:hAnsiTheme="minorEastAsia" w:eastAsiaTheme="minorEastAsia"/>
          <w:color w:val="333333"/>
          <w:lang w:val="en-US" w:eastAsia="zh-CN"/>
        </w:rPr>
      </w:pPr>
      <w:r>
        <w:rPr>
          <w:rFonts w:hint="eastAsia" w:cs="宋体" w:asciiTheme="minorEastAsia" w:hAnsiTheme="minorEastAsia" w:eastAsiaTheme="minorEastAsia"/>
          <w:color w:val="333333"/>
          <w:lang w:val="en-US" w:eastAsia="zh-CN"/>
        </w:rPr>
        <w:t xml:space="preserve">3.本项目的特定资格要求：无。 </w:t>
      </w:r>
    </w:p>
    <w:p>
      <w:pPr>
        <w:pStyle w:val="9"/>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hint="eastAsia" w:asciiTheme="minorEastAsia" w:hAnsiTheme="minorEastAsia" w:eastAsiaTheme="minorEastAsia"/>
          <w:color w:val="333333"/>
        </w:rPr>
        <w:t>4</w:t>
      </w:r>
      <w:r>
        <w:rPr>
          <w:rFonts w:asciiTheme="minorEastAsia" w:hAnsiTheme="minorEastAsia" w:eastAsiaTheme="minorEastAsia"/>
          <w:color w:val="333333"/>
        </w:rPr>
        <w:t>.本项目不接受联合体投标。</w:t>
      </w:r>
    </w:p>
    <w:p>
      <w:pPr>
        <w:pStyle w:val="9"/>
        <w:shd w:val="clear" w:color="auto" w:fill="FFFFFF"/>
        <w:spacing w:before="0" w:beforeAutospacing="0" w:after="0" w:afterAutospacing="0" w:line="338" w:lineRule="atLeast"/>
        <w:ind w:firstLine="482" w:firstLineChars="200"/>
        <w:rPr>
          <w:rStyle w:val="14"/>
          <w:rFonts w:asciiTheme="minorEastAsia" w:hAnsiTheme="minorEastAsia" w:eastAsiaTheme="minorEastAsia"/>
        </w:rPr>
      </w:pPr>
      <w:r>
        <w:rPr>
          <w:rStyle w:val="14"/>
          <w:rFonts w:asciiTheme="minorEastAsia" w:hAnsiTheme="minorEastAsia" w:eastAsiaTheme="minorEastAsia"/>
          <w:bCs w:val="0"/>
          <w:color w:val="333333"/>
        </w:rPr>
        <w:t>五、合同签订、交货及售后服务要求</w:t>
      </w:r>
    </w:p>
    <w:p>
      <w:pPr>
        <w:pStyle w:val="9"/>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asciiTheme="minorEastAsia" w:hAnsiTheme="minorEastAsia" w:eastAsiaTheme="minorEastAsia"/>
          <w:color w:val="333333"/>
        </w:rPr>
        <w:t>1.签订合同后</w:t>
      </w:r>
      <w:r>
        <w:rPr>
          <w:rFonts w:hint="eastAsia" w:asciiTheme="minorEastAsia" w:hAnsiTheme="minorEastAsia" w:eastAsiaTheme="minorEastAsia"/>
          <w:color w:val="333333"/>
          <w:u w:val="single"/>
          <w:lang w:val="en-US" w:eastAsia="zh-CN"/>
        </w:rPr>
        <w:t>5</w:t>
      </w:r>
      <w:r>
        <w:rPr>
          <w:rFonts w:asciiTheme="minorEastAsia" w:hAnsiTheme="minorEastAsia" w:eastAsiaTheme="minorEastAsia"/>
          <w:color w:val="333333"/>
        </w:rPr>
        <w:t>日内按采购人要求送货至指定地点，免费安装调试，需方验收。</w:t>
      </w:r>
    </w:p>
    <w:p>
      <w:pPr>
        <w:pStyle w:val="9"/>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asciiTheme="minorEastAsia" w:hAnsiTheme="minorEastAsia" w:eastAsiaTheme="minorEastAsia"/>
          <w:color w:val="333333"/>
        </w:rPr>
        <w:t>2.</w:t>
      </w:r>
      <w:r>
        <w:rPr>
          <w:rFonts w:asciiTheme="minorEastAsia" w:hAnsiTheme="minorEastAsia" w:eastAsiaTheme="minorEastAsia"/>
          <w:b/>
          <w:bCs/>
          <w:color w:val="333333"/>
        </w:rPr>
        <w:t>质保</w:t>
      </w:r>
      <w:r>
        <w:rPr>
          <w:rFonts w:hint="eastAsia" w:asciiTheme="minorEastAsia" w:hAnsiTheme="minorEastAsia" w:eastAsiaTheme="minorEastAsia"/>
          <w:b/>
          <w:bCs/>
          <w:color w:val="333333"/>
        </w:rPr>
        <w:t>及售后服务</w:t>
      </w:r>
      <w:r>
        <w:rPr>
          <w:rFonts w:asciiTheme="minorEastAsia" w:hAnsiTheme="minorEastAsia" w:eastAsiaTheme="minorEastAsia"/>
          <w:b/>
          <w:bCs/>
          <w:color w:val="333333"/>
        </w:rPr>
        <w:t>：</w:t>
      </w:r>
    </w:p>
    <w:p>
      <w:pPr>
        <w:pStyle w:val="9"/>
        <w:shd w:val="clear" w:color="auto" w:fill="FFFFFF"/>
        <w:spacing w:before="0" w:beforeAutospacing="0" w:after="0" w:afterAutospacing="0" w:line="420" w:lineRule="exact"/>
        <w:ind w:firstLine="480" w:firstLineChars="200"/>
        <w:rPr>
          <w:rFonts w:hint="eastAsia" w:asciiTheme="minorEastAsia" w:hAnsiTheme="minorEastAsia" w:eastAsiaTheme="minorEastAsia"/>
          <w:color w:val="333333"/>
        </w:rPr>
      </w:pPr>
      <w:r>
        <w:rPr>
          <w:rFonts w:hint="eastAsia" w:asciiTheme="minorEastAsia" w:hAnsiTheme="minorEastAsia" w:eastAsiaTheme="minorEastAsia"/>
          <w:color w:val="333333"/>
          <w:lang w:val="en-US" w:eastAsia="zh-CN"/>
        </w:rPr>
        <w:t>2.</w:t>
      </w:r>
      <w:r>
        <w:rPr>
          <w:rFonts w:hint="eastAsia" w:asciiTheme="minorEastAsia" w:hAnsiTheme="minorEastAsia" w:eastAsiaTheme="minorEastAsia"/>
          <w:color w:val="333333"/>
        </w:rPr>
        <w:t>1.中标供应商需提供网络教学平台</w:t>
      </w:r>
      <w:r>
        <w:rPr>
          <w:rFonts w:hint="eastAsia" w:asciiTheme="minorEastAsia" w:hAnsiTheme="minorEastAsia" w:eastAsiaTheme="minorEastAsia"/>
          <w:color w:val="333333"/>
          <w:lang w:val="en-US" w:eastAsia="zh-CN"/>
        </w:rPr>
        <w:t>1</w:t>
      </w:r>
      <w:r>
        <w:rPr>
          <w:rFonts w:hint="eastAsia" w:asciiTheme="minorEastAsia" w:hAnsiTheme="minorEastAsia" w:eastAsiaTheme="minorEastAsia"/>
          <w:color w:val="333333"/>
        </w:rPr>
        <w:t>年免费质保。</w:t>
      </w:r>
    </w:p>
    <w:p>
      <w:pPr>
        <w:pStyle w:val="9"/>
        <w:shd w:val="clear" w:color="auto" w:fill="FFFFFF"/>
        <w:spacing w:before="0" w:beforeAutospacing="0" w:after="0" w:afterAutospacing="0" w:line="420" w:lineRule="exact"/>
        <w:ind w:firstLine="480" w:firstLineChars="200"/>
        <w:rPr>
          <w:rFonts w:hint="eastAsia" w:asciiTheme="minorEastAsia" w:hAnsiTheme="minorEastAsia" w:eastAsiaTheme="minorEastAsia"/>
          <w:color w:val="333333"/>
        </w:rPr>
      </w:pPr>
      <w:r>
        <w:rPr>
          <w:rFonts w:hint="eastAsia" w:asciiTheme="minorEastAsia" w:hAnsiTheme="minorEastAsia" w:eastAsiaTheme="minorEastAsia"/>
          <w:color w:val="333333"/>
        </w:rPr>
        <w:t>2.</w:t>
      </w:r>
      <w:r>
        <w:rPr>
          <w:rFonts w:hint="eastAsia" w:asciiTheme="minorEastAsia" w:hAnsiTheme="minorEastAsia" w:eastAsiaTheme="minorEastAsia"/>
          <w:color w:val="333333"/>
          <w:lang w:val="en-US" w:eastAsia="zh-CN"/>
        </w:rPr>
        <w:t>2.</w:t>
      </w:r>
      <w:r>
        <w:rPr>
          <w:rFonts w:hint="eastAsia" w:asciiTheme="minorEastAsia" w:hAnsiTheme="minorEastAsia" w:eastAsiaTheme="minorEastAsia"/>
          <w:color w:val="333333"/>
        </w:rPr>
        <w:t>服务期间中标方对采购方的网络教学平台进行免费升级、维护服务，同时对系统正常运行、安全管理提供技术支持，提供24小时的热线支持，在系统发生重大故障时，中标方技术人员应4小时内到达事故现场，并于24小时内完全解决故障。</w:t>
      </w:r>
    </w:p>
    <w:p>
      <w:pPr>
        <w:pStyle w:val="9"/>
        <w:shd w:val="clear" w:color="auto" w:fill="FFFFFF"/>
        <w:spacing w:before="0" w:beforeAutospacing="0" w:after="0" w:afterAutospacing="0" w:line="420" w:lineRule="exact"/>
        <w:ind w:firstLine="480" w:firstLineChars="200"/>
        <w:rPr>
          <w:rFonts w:hint="eastAsia" w:asciiTheme="minorEastAsia" w:hAnsiTheme="minorEastAsia" w:eastAsiaTheme="minorEastAsia"/>
          <w:color w:val="333333"/>
        </w:rPr>
      </w:pPr>
      <w:r>
        <w:rPr>
          <w:rFonts w:hint="eastAsia" w:asciiTheme="minorEastAsia" w:hAnsiTheme="minorEastAsia" w:eastAsiaTheme="minorEastAsia"/>
          <w:color w:val="333333"/>
          <w:lang w:val="en-US" w:eastAsia="zh-CN"/>
        </w:rPr>
        <w:t>2.</w:t>
      </w:r>
      <w:r>
        <w:rPr>
          <w:rFonts w:hint="eastAsia" w:asciiTheme="minorEastAsia" w:hAnsiTheme="minorEastAsia" w:eastAsiaTheme="minorEastAsia"/>
          <w:color w:val="333333"/>
        </w:rPr>
        <w:t>3.供应商在服务期内要根据学校的需求每年组织教师培训，并提供平台线上在线客服服务，老师在使用过程中，客服及时解答疑问。</w:t>
      </w:r>
    </w:p>
    <w:p>
      <w:pPr>
        <w:pStyle w:val="9"/>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hint="eastAsia" w:asciiTheme="minorEastAsia" w:hAnsiTheme="minorEastAsia" w:eastAsiaTheme="minorEastAsia"/>
          <w:color w:val="333333"/>
          <w:lang w:val="en-US" w:eastAsia="zh-CN"/>
        </w:rPr>
        <w:t>2.</w:t>
      </w:r>
      <w:r>
        <w:rPr>
          <w:rFonts w:hint="eastAsia" w:asciiTheme="minorEastAsia" w:hAnsiTheme="minorEastAsia" w:eastAsiaTheme="minorEastAsia"/>
          <w:color w:val="333333"/>
        </w:rPr>
        <w:t>4.供应商在服务期内要根据学校的需要配合学校完成新生数据更新和维护。</w:t>
      </w:r>
    </w:p>
    <w:p>
      <w:pPr>
        <w:pStyle w:val="9"/>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hint="eastAsia" w:asciiTheme="minorEastAsia" w:hAnsiTheme="minorEastAsia" w:eastAsiaTheme="minorEastAsia"/>
          <w:color w:val="333333"/>
        </w:rPr>
        <w:t>3</w:t>
      </w:r>
      <w:r>
        <w:rPr>
          <w:rFonts w:asciiTheme="minorEastAsia" w:hAnsiTheme="minorEastAsia" w:eastAsiaTheme="minorEastAsia"/>
          <w:color w:val="333333"/>
        </w:rPr>
        <w:t>.成交人必须负责所采购产品的运输，并派技术人员到现场免费进行卸货、安装、培训，经调试、检测合格后交付使用，其费用由成交人承担，包含在投标报价中。</w:t>
      </w:r>
    </w:p>
    <w:p>
      <w:pPr>
        <w:pStyle w:val="9"/>
        <w:shd w:val="clear" w:color="auto" w:fill="FFFFFF"/>
        <w:spacing w:before="0" w:beforeAutospacing="0" w:after="0" w:afterAutospacing="0" w:line="338" w:lineRule="atLeast"/>
        <w:ind w:firstLine="482" w:firstLineChars="200"/>
        <w:rPr>
          <w:rStyle w:val="14"/>
          <w:rFonts w:asciiTheme="minorEastAsia" w:hAnsiTheme="minorEastAsia" w:eastAsiaTheme="minorEastAsia"/>
        </w:rPr>
      </w:pPr>
      <w:r>
        <w:rPr>
          <w:rStyle w:val="14"/>
          <w:rFonts w:hint="eastAsia" w:asciiTheme="minorEastAsia" w:hAnsiTheme="minorEastAsia" w:eastAsiaTheme="minorEastAsia"/>
          <w:bCs w:val="0"/>
          <w:color w:val="333333"/>
        </w:rPr>
        <w:t>六</w:t>
      </w:r>
      <w:r>
        <w:rPr>
          <w:rStyle w:val="14"/>
          <w:rFonts w:asciiTheme="minorEastAsia" w:hAnsiTheme="minorEastAsia" w:eastAsiaTheme="minorEastAsia"/>
          <w:bCs w:val="0"/>
          <w:color w:val="333333"/>
        </w:rPr>
        <w:t>、投标文件的构成</w:t>
      </w:r>
    </w:p>
    <w:p>
      <w:pPr>
        <w:pStyle w:val="9"/>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asciiTheme="minorEastAsia" w:hAnsiTheme="minorEastAsia" w:eastAsiaTheme="minorEastAsia"/>
          <w:color w:val="333333"/>
        </w:rPr>
        <w:t>（一）</w:t>
      </w:r>
      <w:r>
        <w:rPr>
          <w:rFonts w:hint="eastAsia" w:asciiTheme="minorEastAsia" w:hAnsiTheme="minorEastAsia" w:eastAsiaTheme="minorEastAsia"/>
          <w:color w:val="333333"/>
        </w:rPr>
        <w:t>技术</w:t>
      </w:r>
      <w:r>
        <w:rPr>
          <w:rFonts w:asciiTheme="minorEastAsia" w:hAnsiTheme="minorEastAsia" w:eastAsiaTheme="minorEastAsia"/>
          <w:color w:val="333333"/>
        </w:rPr>
        <w:t>文件</w:t>
      </w:r>
      <w:r>
        <w:t>（1份正本和2份副本，必须包含以下内容并</w:t>
      </w:r>
      <w:r>
        <w:rPr>
          <w:b/>
        </w:rPr>
        <w:t>装订成册</w:t>
      </w:r>
      <w:r>
        <w:t>，密封并加盖公章）</w:t>
      </w:r>
    </w:p>
    <w:p>
      <w:pPr>
        <w:pStyle w:val="9"/>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asciiTheme="minorEastAsia" w:hAnsiTheme="minorEastAsia" w:eastAsiaTheme="minorEastAsia"/>
          <w:color w:val="333333"/>
        </w:rPr>
        <w:t>1.</w:t>
      </w:r>
      <w:r>
        <w:rPr>
          <w:rFonts w:hint="eastAsia" w:asciiTheme="minorEastAsia" w:hAnsiTheme="minorEastAsia" w:eastAsiaTheme="minorEastAsia"/>
          <w:color w:val="333333"/>
        </w:rPr>
        <w:t>投标承诺函；（格式见附件）</w:t>
      </w:r>
    </w:p>
    <w:p>
      <w:pPr>
        <w:pStyle w:val="9"/>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hint="eastAsia" w:asciiTheme="minorEastAsia" w:hAnsiTheme="minorEastAsia" w:eastAsiaTheme="minorEastAsia"/>
          <w:color w:val="333333"/>
        </w:rPr>
        <w:t>2.</w:t>
      </w:r>
      <w:r>
        <w:rPr>
          <w:rFonts w:asciiTheme="minorEastAsia" w:hAnsiTheme="minorEastAsia" w:eastAsiaTheme="minorEastAsia"/>
          <w:color w:val="333333"/>
        </w:rPr>
        <w:t>法</w:t>
      </w:r>
      <w:r>
        <w:rPr>
          <w:rFonts w:hint="eastAsia" w:asciiTheme="minorEastAsia" w:hAnsiTheme="minorEastAsia" w:eastAsiaTheme="minorEastAsia"/>
          <w:color w:val="333333"/>
        </w:rPr>
        <w:t>定代表人</w:t>
      </w:r>
      <w:r>
        <w:rPr>
          <w:rFonts w:asciiTheme="minorEastAsia" w:hAnsiTheme="minorEastAsia" w:eastAsiaTheme="minorEastAsia"/>
          <w:color w:val="333333"/>
        </w:rPr>
        <w:t>授权书（格式见附件</w:t>
      </w:r>
      <w:r>
        <w:rPr>
          <w:rFonts w:hint="eastAsia" w:asciiTheme="minorEastAsia" w:hAnsiTheme="minorEastAsia" w:eastAsiaTheme="minorEastAsia"/>
          <w:color w:val="333333"/>
        </w:rPr>
        <w:t>四</w:t>
      </w:r>
      <w:r>
        <w:rPr>
          <w:rFonts w:asciiTheme="minorEastAsia" w:hAnsiTheme="minorEastAsia" w:eastAsiaTheme="minorEastAsia"/>
          <w:color w:val="333333"/>
        </w:rPr>
        <w:t>，如法</w:t>
      </w:r>
      <w:r>
        <w:rPr>
          <w:rFonts w:hint="eastAsia" w:asciiTheme="minorEastAsia" w:hAnsiTheme="minorEastAsia" w:eastAsiaTheme="minorEastAsia"/>
          <w:color w:val="333333"/>
        </w:rPr>
        <w:t>定代表人</w:t>
      </w:r>
      <w:r>
        <w:rPr>
          <w:rFonts w:asciiTheme="minorEastAsia" w:hAnsiTheme="minorEastAsia" w:eastAsiaTheme="minorEastAsia"/>
          <w:color w:val="333333"/>
        </w:rPr>
        <w:t>参加投标，无需提供）；</w:t>
      </w:r>
    </w:p>
    <w:p>
      <w:pPr>
        <w:pStyle w:val="9"/>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hint="eastAsia" w:asciiTheme="minorEastAsia" w:hAnsiTheme="minorEastAsia" w:eastAsiaTheme="minorEastAsia"/>
          <w:color w:val="333333"/>
        </w:rPr>
        <w:t>3.</w:t>
      </w:r>
      <w:r>
        <w:rPr>
          <w:rFonts w:asciiTheme="minorEastAsia" w:hAnsiTheme="minorEastAsia" w:eastAsiaTheme="minorEastAsia"/>
          <w:color w:val="333333"/>
        </w:rPr>
        <w:t>投标单位法人与被授权人身份证复印件；（加盖公章）</w:t>
      </w:r>
    </w:p>
    <w:p>
      <w:pPr>
        <w:pStyle w:val="9"/>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hint="eastAsia" w:asciiTheme="minorEastAsia" w:hAnsiTheme="minorEastAsia" w:eastAsiaTheme="minorEastAsia"/>
          <w:color w:val="333333"/>
        </w:rPr>
        <w:t>4.</w:t>
      </w:r>
      <w:r>
        <w:rPr>
          <w:rFonts w:asciiTheme="minorEastAsia" w:hAnsiTheme="minorEastAsia" w:eastAsiaTheme="minorEastAsia"/>
          <w:color w:val="333333"/>
        </w:rPr>
        <w:t>参加投标是法人委托人的，必须为投标单位正式员工，需提供单位与被授权人的用工合同，当地社会保险业务经办机构出具并加盖公章的养老保险缴纳证明文件；（开标截止日</w:t>
      </w:r>
      <w:r>
        <w:rPr>
          <w:rFonts w:hint="eastAsia" w:asciiTheme="minorEastAsia" w:hAnsiTheme="minorEastAsia" w:eastAsiaTheme="minorEastAsia"/>
          <w:color w:val="333333"/>
        </w:rPr>
        <w:t>前的一</w:t>
      </w:r>
      <w:r>
        <w:rPr>
          <w:rFonts w:asciiTheme="minorEastAsia" w:hAnsiTheme="minorEastAsia" w:eastAsiaTheme="minorEastAsia"/>
          <w:color w:val="333333"/>
        </w:rPr>
        <w:t>个月）（提供复印件加盖公章）</w:t>
      </w:r>
    </w:p>
    <w:p>
      <w:pPr>
        <w:pStyle w:val="9"/>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hint="eastAsia" w:asciiTheme="minorEastAsia" w:hAnsiTheme="minorEastAsia" w:eastAsiaTheme="minorEastAsia"/>
          <w:color w:val="333333"/>
        </w:rPr>
        <w:t>5.</w:t>
      </w:r>
      <w:r>
        <w:rPr>
          <w:rFonts w:asciiTheme="minorEastAsia" w:hAnsiTheme="minorEastAsia" w:eastAsiaTheme="minorEastAsia"/>
          <w:color w:val="333333"/>
        </w:rPr>
        <w:t>投标单位营业执照复印件加盖公章；</w:t>
      </w:r>
    </w:p>
    <w:p>
      <w:pPr>
        <w:pStyle w:val="9"/>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hint="eastAsia" w:asciiTheme="minorEastAsia" w:hAnsiTheme="minorEastAsia" w:eastAsiaTheme="minorEastAsia"/>
          <w:color w:val="333333"/>
        </w:rPr>
        <w:t>6</w:t>
      </w:r>
      <w:r>
        <w:rPr>
          <w:rFonts w:asciiTheme="minorEastAsia" w:hAnsiTheme="minorEastAsia" w:eastAsiaTheme="minorEastAsia"/>
          <w:color w:val="333333"/>
        </w:rPr>
        <w:t>.上一年度财务状况报告</w:t>
      </w:r>
      <w:r>
        <w:rPr>
          <w:rFonts w:hint="eastAsia" w:asciiTheme="minorEastAsia" w:hAnsiTheme="minorEastAsia" w:eastAsiaTheme="minorEastAsia"/>
          <w:color w:val="333333"/>
        </w:rPr>
        <w:t>（公司成立不满一年不需提供）；</w:t>
      </w:r>
    </w:p>
    <w:p>
      <w:pPr>
        <w:pStyle w:val="9"/>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hint="eastAsia" w:asciiTheme="minorEastAsia" w:hAnsiTheme="minorEastAsia" w:eastAsiaTheme="minorEastAsia"/>
          <w:color w:val="333333"/>
        </w:rPr>
        <w:t>7.依法缴纳税收和社会保障资金的良好记录（提供纳税凭证及缴纳社保的证明）；</w:t>
      </w:r>
    </w:p>
    <w:p>
      <w:pPr>
        <w:pStyle w:val="9"/>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hint="eastAsia" w:asciiTheme="minorEastAsia" w:hAnsiTheme="minorEastAsia" w:eastAsiaTheme="minorEastAsia"/>
          <w:color w:val="333333"/>
        </w:rPr>
        <w:t>8.具有履行合同所必需的设备和专业技术能力（提供承诺函，格式见附件）；</w:t>
      </w:r>
    </w:p>
    <w:p>
      <w:pPr>
        <w:pStyle w:val="9"/>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hint="eastAsia" w:asciiTheme="minorEastAsia" w:hAnsiTheme="minorEastAsia" w:eastAsiaTheme="minorEastAsia"/>
          <w:color w:val="333333"/>
        </w:rPr>
        <w:t>9</w:t>
      </w:r>
      <w:r>
        <w:rPr>
          <w:rFonts w:asciiTheme="minorEastAsia" w:hAnsiTheme="minorEastAsia" w:eastAsiaTheme="minorEastAsia"/>
          <w:color w:val="333333"/>
        </w:rPr>
        <w:t>.投标单位无重大违法记录声明。（格式见附件）</w:t>
      </w:r>
    </w:p>
    <w:p>
      <w:pPr>
        <w:pStyle w:val="9"/>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hint="eastAsia" w:asciiTheme="minorEastAsia" w:hAnsiTheme="minorEastAsia" w:eastAsiaTheme="minorEastAsia"/>
          <w:color w:val="333333"/>
        </w:rPr>
        <w:t>10</w:t>
      </w:r>
      <w:r>
        <w:rPr>
          <w:rFonts w:asciiTheme="minorEastAsia" w:hAnsiTheme="minorEastAsia" w:eastAsiaTheme="minorEastAsia"/>
          <w:color w:val="333333"/>
        </w:rPr>
        <w:t>.售后服务承诺；（须响应公告内容要求）</w:t>
      </w:r>
    </w:p>
    <w:p>
      <w:pPr>
        <w:pStyle w:val="9"/>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asciiTheme="minorEastAsia" w:hAnsiTheme="minorEastAsia" w:eastAsiaTheme="minorEastAsia"/>
          <w:color w:val="333333"/>
        </w:rPr>
        <w:t>1</w:t>
      </w:r>
      <w:r>
        <w:rPr>
          <w:rFonts w:hint="eastAsia" w:asciiTheme="minorEastAsia" w:hAnsiTheme="minorEastAsia" w:eastAsiaTheme="minorEastAsia"/>
          <w:color w:val="333333"/>
        </w:rPr>
        <w:t>1</w:t>
      </w:r>
      <w:r>
        <w:rPr>
          <w:rFonts w:asciiTheme="minorEastAsia" w:hAnsiTheme="minorEastAsia" w:eastAsiaTheme="minorEastAsia"/>
          <w:color w:val="333333"/>
        </w:rPr>
        <w:t>.技术参数偏离表</w:t>
      </w:r>
      <w:r>
        <w:rPr>
          <w:rFonts w:hint="eastAsia" w:asciiTheme="minorEastAsia" w:hAnsiTheme="minorEastAsia" w:eastAsiaTheme="minorEastAsia"/>
          <w:color w:val="333333"/>
        </w:rPr>
        <w:t>；</w:t>
      </w:r>
      <w:r>
        <w:rPr>
          <w:rFonts w:asciiTheme="minorEastAsia" w:hAnsiTheme="minorEastAsia" w:eastAsiaTheme="minorEastAsia"/>
          <w:color w:val="333333"/>
        </w:rPr>
        <w:t>（加盖公章 格式</w:t>
      </w:r>
      <w:r>
        <w:rPr>
          <w:rFonts w:hint="eastAsia" w:asciiTheme="minorEastAsia" w:hAnsiTheme="minorEastAsia" w:eastAsiaTheme="minorEastAsia"/>
          <w:color w:val="333333"/>
        </w:rPr>
        <w:t>见附件</w:t>
      </w:r>
      <w:r>
        <w:rPr>
          <w:rFonts w:asciiTheme="minorEastAsia" w:hAnsiTheme="minorEastAsia" w:eastAsiaTheme="minorEastAsia"/>
          <w:color w:val="333333"/>
        </w:rPr>
        <w:t>）</w:t>
      </w:r>
    </w:p>
    <w:p>
      <w:pPr>
        <w:pStyle w:val="9"/>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asciiTheme="minorEastAsia" w:hAnsiTheme="minorEastAsia" w:eastAsiaTheme="minorEastAsia"/>
          <w:color w:val="333333"/>
        </w:rPr>
        <w:t>1</w:t>
      </w:r>
      <w:r>
        <w:rPr>
          <w:rFonts w:hint="eastAsia" w:asciiTheme="minorEastAsia" w:hAnsiTheme="minorEastAsia" w:eastAsiaTheme="minorEastAsia"/>
          <w:color w:val="333333"/>
        </w:rPr>
        <w:t>2</w:t>
      </w:r>
      <w:r>
        <w:rPr>
          <w:rFonts w:asciiTheme="minorEastAsia" w:hAnsiTheme="minorEastAsia" w:eastAsiaTheme="minorEastAsia"/>
          <w:color w:val="333333"/>
        </w:rPr>
        <w:t>.</w:t>
      </w:r>
      <w:r>
        <w:rPr>
          <w:rFonts w:hint="eastAsia" w:asciiTheme="minorEastAsia" w:hAnsiTheme="minorEastAsia" w:eastAsiaTheme="minorEastAsia"/>
          <w:color w:val="333333"/>
        </w:rPr>
        <w:t xml:space="preserve"> 招标文件要求提供的其他材料。</w:t>
      </w:r>
    </w:p>
    <w:p>
      <w:pPr>
        <w:pStyle w:val="9"/>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asciiTheme="minorEastAsia" w:hAnsiTheme="minorEastAsia" w:eastAsiaTheme="minorEastAsia"/>
          <w:color w:val="333333"/>
        </w:rPr>
        <w:t>本项目需求清单所列产品，如有品牌（或型号）仅为参考,投标人可以选择建议品牌，也可以选择建议品牌以外的品牌，但所选品牌档次须等于或高于建议品牌档次</w:t>
      </w:r>
      <w:r>
        <w:rPr>
          <w:rFonts w:hint="eastAsia" w:asciiTheme="minorEastAsia" w:hAnsiTheme="minorEastAsia" w:eastAsiaTheme="minorEastAsia"/>
          <w:color w:val="333333"/>
        </w:rPr>
        <w:t>，并将相关证明材料于投标截止时间24小时前递交招标方，如达到招标方要求，则由招标方出具允许参加投标的书面确认书</w:t>
      </w:r>
      <w:r>
        <w:rPr>
          <w:rFonts w:asciiTheme="minorEastAsia" w:hAnsiTheme="minorEastAsia" w:eastAsiaTheme="minorEastAsia"/>
          <w:color w:val="333333"/>
        </w:rPr>
        <w:t>。</w:t>
      </w:r>
    </w:p>
    <w:p>
      <w:pPr>
        <w:pStyle w:val="9"/>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asciiTheme="minorEastAsia" w:hAnsiTheme="minorEastAsia" w:eastAsiaTheme="minorEastAsia"/>
          <w:color w:val="333333"/>
        </w:rPr>
        <w:t>（二）</w:t>
      </w:r>
      <w:r>
        <w:rPr>
          <w:rFonts w:hint="eastAsia" w:asciiTheme="minorEastAsia" w:hAnsiTheme="minorEastAsia" w:eastAsiaTheme="minorEastAsia"/>
          <w:color w:val="333333"/>
        </w:rPr>
        <w:t>商务文件</w:t>
      </w:r>
      <w:r>
        <w:t>（单独密封并加盖公章）</w:t>
      </w:r>
    </w:p>
    <w:p>
      <w:pPr>
        <w:pStyle w:val="9"/>
        <w:shd w:val="clear" w:color="auto" w:fill="FFFFFF"/>
        <w:spacing w:before="0" w:beforeAutospacing="0" w:after="0" w:afterAutospacing="0" w:line="338" w:lineRule="atLeast"/>
        <w:ind w:firstLine="480" w:firstLineChars="200"/>
        <w:rPr>
          <w:rFonts w:asciiTheme="minorEastAsia" w:hAnsiTheme="minorEastAsia"/>
          <w:color w:val="333333"/>
        </w:rPr>
      </w:pPr>
      <w:r>
        <w:rPr>
          <w:color w:val="333333"/>
        </w:rPr>
        <w:t>《</w:t>
      </w:r>
      <w:r>
        <w:rPr>
          <w:rFonts w:hint="eastAsia"/>
          <w:color w:val="333333"/>
        </w:rPr>
        <w:t>海门区</w:t>
      </w:r>
      <w:r>
        <w:rPr>
          <w:color w:val="333333"/>
        </w:rPr>
        <w:t>教育部门集中采购询价采购报价单》并加盖公章</w:t>
      </w:r>
      <w:r>
        <w:rPr>
          <w:rFonts w:hint="eastAsia"/>
          <w:color w:val="333333"/>
        </w:rPr>
        <w:t>，报价单须电脑打印，手写或涂改无效</w:t>
      </w:r>
      <w:r>
        <w:rPr>
          <w:color w:val="333333"/>
        </w:rPr>
        <w:t>（格式</w:t>
      </w:r>
      <w:r>
        <w:rPr>
          <w:rFonts w:hint="eastAsia"/>
          <w:color w:val="333333"/>
        </w:rPr>
        <w:t>见附件</w:t>
      </w:r>
      <w:r>
        <w:rPr>
          <w:color w:val="333333"/>
        </w:rPr>
        <w:t>）</w:t>
      </w:r>
      <w:r>
        <w:rPr>
          <w:rFonts w:hint="eastAsia"/>
          <w:color w:val="333333"/>
        </w:rPr>
        <w:t>。</w:t>
      </w:r>
    </w:p>
    <w:p>
      <w:pPr>
        <w:pStyle w:val="9"/>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p>
    <w:p>
      <w:pPr>
        <w:pStyle w:val="9"/>
        <w:shd w:val="clear" w:color="auto" w:fill="FFFFFF"/>
        <w:spacing w:before="0" w:beforeAutospacing="0" w:after="0" w:afterAutospacing="0" w:line="338" w:lineRule="atLeast"/>
        <w:ind w:firstLine="482" w:firstLineChars="200"/>
        <w:rPr>
          <w:rStyle w:val="14"/>
          <w:rFonts w:asciiTheme="minorEastAsia" w:hAnsiTheme="minorEastAsia" w:eastAsiaTheme="minorEastAsia"/>
          <w:bCs w:val="0"/>
          <w:color w:val="333333"/>
        </w:rPr>
      </w:pPr>
      <w:r>
        <w:rPr>
          <w:rStyle w:val="14"/>
          <w:rFonts w:hint="eastAsia" w:asciiTheme="minorEastAsia" w:hAnsiTheme="minorEastAsia" w:eastAsiaTheme="minorEastAsia"/>
          <w:bCs w:val="0"/>
          <w:color w:val="333333"/>
        </w:rPr>
        <w:t>七</w:t>
      </w:r>
      <w:r>
        <w:rPr>
          <w:rStyle w:val="14"/>
          <w:rFonts w:asciiTheme="minorEastAsia" w:hAnsiTheme="minorEastAsia" w:eastAsiaTheme="minorEastAsia"/>
          <w:bCs w:val="0"/>
          <w:color w:val="333333"/>
        </w:rPr>
        <w:t>、评审方法</w:t>
      </w:r>
    </w:p>
    <w:p>
      <w:pPr>
        <w:pStyle w:val="9"/>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asciiTheme="minorEastAsia" w:hAnsiTheme="minorEastAsia" w:eastAsiaTheme="minorEastAsia"/>
          <w:color w:val="333333"/>
        </w:rPr>
        <w:t>1.资质审查：依据本询价文件的规定和要求，对投标人提供的资格证明材料是否齐全、是否满足本次询价采购的要求进行审核，审核合格的进入下一个评审流程。</w:t>
      </w:r>
    </w:p>
    <w:p>
      <w:pPr>
        <w:pStyle w:val="9"/>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asciiTheme="minorEastAsia" w:hAnsiTheme="minorEastAsia" w:eastAsiaTheme="minorEastAsia"/>
          <w:color w:val="333333"/>
        </w:rPr>
        <w:t>2.技术参数：未能实质性响应询价文件要求，技术参数存在不可接受的负偏离（投标人必须提供技术偏离表，如有偏离，必须在技术偏离表中注明）者取消报价资格。</w:t>
      </w:r>
    </w:p>
    <w:p>
      <w:pPr>
        <w:pStyle w:val="9"/>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asciiTheme="minorEastAsia" w:hAnsiTheme="minorEastAsia" w:eastAsiaTheme="minorEastAsia"/>
          <w:color w:val="333333"/>
        </w:rPr>
        <w:t>3.服务响应：投标人须按询价文件要求，按序详细列出服务响应要求。若评委认为未能响应服务并不能承诺者，取消报价资格。</w:t>
      </w:r>
    </w:p>
    <w:p>
      <w:pPr>
        <w:pStyle w:val="9"/>
        <w:shd w:val="clear" w:color="auto" w:fill="FFFFFF"/>
        <w:spacing w:before="0" w:beforeAutospacing="0" w:after="0" w:afterAutospacing="0" w:line="338" w:lineRule="atLeast"/>
        <w:ind w:firstLine="482" w:firstLineChars="200"/>
        <w:rPr>
          <w:rStyle w:val="14"/>
          <w:rFonts w:asciiTheme="minorEastAsia" w:hAnsiTheme="minorEastAsia" w:eastAsiaTheme="minorEastAsia"/>
          <w:bCs w:val="0"/>
          <w:color w:val="333333"/>
        </w:rPr>
      </w:pPr>
      <w:r>
        <w:rPr>
          <w:rStyle w:val="14"/>
          <w:rFonts w:hint="eastAsia" w:asciiTheme="minorEastAsia" w:hAnsiTheme="minorEastAsia" w:eastAsiaTheme="minorEastAsia"/>
          <w:bCs w:val="0"/>
          <w:color w:val="333333"/>
        </w:rPr>
        <w:t>八</w:t>
      </w:r>
      <w:r>
        <w:rPr>
          <w:rStyle w:val="14"/>
          <w:rFonts w:asciiTheme="minorEastAsia" w:hAnsiTheme="minorEastAsia" w:eastAsiaTheme="minorEastAsia"/>
          <w:bCs w:val="0"/>
          <w:color w:val="333333"/>
        </w:rPr>
        <w:t>、成交原则</w:t>
      </w:r>
    </w:p>
    <w:p>
      <w:pPr>
        <w:pStyle w:val="9"/>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asciiTheme="minorEastAsia" w:hAnsiTheme="minorEastAsia" w:eastAsiaTheme="minorEastAsia"/>
          <w:color w:val="333333"/>
        </w:rPr>
        <w:t>采用一次报价方式。按照质量和服务均能满足询价采购文件实质性响应要求且报价最低的原则，确定成交供应商。如出现两家以上相同的最低报价</w:t>
      </w:r>
      <w:r>
        <w:rPr>
          <w:rFonts w:hint="eastAsia" w:asciiTheme="minorEastAsia" w:hAnsiTheme="minorEastAsia" w:eastAsiaTheme="minorEastAsia"/>
          <w:color w:val="333333"/>
        </w:rPr>
        <w:t>，</w:t>
      </w:r>
      <w:r>
        <w:rPr>
          <w:rFonts w:asciiTheme="minorEastAsia" w:hAnsiTheme="minorEastAsia" w:eastAsiaTheme="minorEastAsia"/>
          <w:color w:val="333333"/>
        </w:rPr>
        <w:t>则由最低报价者进行二次报价</w:t>
      </w:r>
      <w:r>
        <w:rPr>
          <w:rFonts w:hint="eastAsia" w:asciiTheme="minorEastAsia" w:hAnsiTheme="minorEastAsia" w:eastAsiaTheme="minorEastAsia"/>
          <w:color w:val="333333"/>
        </w:rPr>
        <w:t>，</w:t>
      </w:r>
      <w:r>
        <w:rPr>
          <w:rFonts w:asciiTheme="minorEastAsia" w:hAnsiTheme="minorEastAsia" w:eastAsiaTheme="minorEastAsia"/>
          <w:color w:val="333333"/>
        </w:rPr>
        <w:t>直到产生最低报价为止</w:t>
      </w:r>
      <w:r>
        <w:rPr>
          <w:rFonts w:hint="eastAsia" w:asciiTheme="minorEastAsia" w:hAnsiTheme="minorEastAsia" w:eastAsiaTheme="minorEastAsia"/>
          <w:color w:val="333333"/>
        </w:rPr>
        <w:t>。</w:t>
      </w:r>
    </w:p>
    <w:p>
      <w:pPr>
        <w:pStyle w:val="9"/>
        <w:shd w:val="clear" w:color="auto" w:fill="FFFFFF"/>
        <w:spacing w:before="0" w:beforeAutospacing="0" w:after="0" w:afterAutospacing="0" w:line="338" w:lineRule="atLeast"/>
        <w:ind w:firstLine="482" w:firstLineChars="200"/>
        <w:rPr>
          <w:rStyle w:val="14"/>
          <w:rFonts w:asciiTheme="minorEastAsia" w:hAnsiTheme="minorEastAsia" w:eastAsiaTheme="minorEastAsia"/>
        </w:rPr>
      </w:pPr>
      <w:r>
        <w:rPr>
          <w:rStyle w:val="14"/>
          <w:rFonts w:hint="eastAsia" w:asciiTheme="minorEastAsia" w:hAnsiTheme="minorEastAsia" w:eastAsiaTheme="minorEastAsia"/>
          <w:bCs w:val="0"/>
          <w:color w:val="333333"/>
        </w:rPr>
        <w:t>九</w:t>
      </w:r>
      <w:r>
        <w:rPr>
          <w:rStyle w:val="14"/>
          <w:rFonts w:asciiTheme="minorEastAsia" w:hAnsiTheme="minorEastAsia" w:eastAsiaTheme="minorEastAsia"/>
          <w:bCs w:val="0"/>
          <w:color w:val="333333"/>
        </w:rPr>
        <w:t>、投标地点、时间和联系人信息</w:t>
      </w:r>
    </w:p>
    <w:p>
      <w:pPr>
        <w:pStyle w:val="9"/>
        <w:shd w:val="clear" w:color="auto" w:fill="FFFFFF"/>
        <w:spacing w:before="0" w:beforeAutospacing="0" w:after="0" w:afterAutospacing="0" w:line="420" w:lineRule="exact"/>
        <w:ind w:firstLine="480" w:firstLineChars="200"/>
        <w:rPr>
          <w:rFonts w:hint="eastAsia" w:asciiTheme="minorEastAsia" w:hAnsiTheme="minorEastAsia" w:eastAsiaTheme="minorEastAsia"/>
          <w:color w:val="333333"/>
        </w:rPr>
      </w:pPr>
      <w:r>
        <w:rPr>
          <w:rFonts w:asciiTheme="minorEastAsia" w:hAnsiTheme="minorEastAsia" w:eastAsiaTheme="minorEastAsia"/>
          <w:color w:val="333333"/>
        </w:rPr>
        <w:t>1.投标地点</w:t>
      </w:r>
      <w:r>
        <w:rPr>
          <w:rFonts w:hint="eastAsia" w:asciiTheme="minorEastAsia" w:hAnsiTheme="minorEastAsia" w:eastAsiaTheme="minorEastAsia"/>
          <w:color w:val="333333"/>
        </w:rPr>
        <w:t>：南通市海门区张謇大道899号海门区教体局8303室。</w:t>
      </w:r>
    </w:p>
    <w:p>
      <w:pPr>
        <w:pStyle w:val="9"/>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hint="eastAsia" w:asciiTheme="minorEastAsia" w:hAnsiTheme="minorEastAsia" w:eastAsiaTheme="minorEastAsia"/>
          <w:color w:val="333333"/>
        </w:rPr>
        <w:t>2.投标截止时间：</w:t>
      </w:r>
      <w:r>
        <w:rPr>
          <w:rFonts w:hint="eastAsia" w:asciiTheme="minorEastAsia" w:hAnsiTheme="minorEastAsia" w:eastAsiaTheme="minorEastAsia"/>
          <w:color w:val="333333"/>
          <w:lang w:val="en-US" w:eastAsia="zh-CN"/>
        </w:rPr>
        <w:t>2024</w:t>
      </w:r>
      <w:r>
        <w:rPr>
          <w:rFonts w:asciiTheme="minorEastAsia" w:hAnsiTheme="minorEastAsia" w:eastAsiaTheme="minorEastAsia"/>
          <w:color w:val="333333"/>
        </w:rPr>
        <w:t>年</w:t>
      </w:r>
      <w:r>
        <w:rPr>
          <w:rFonts w:hint="eastAsia" w:asciiTheme="minorEastAsia" w:hAnsiTheme="minorEastAsia" w:eastAsiaTheme="minorEastAsia"/>
          <w:color w:val="333333"/>
          <w:lang w:val="en-US" w:eastAsia="zh-CN"/>
        </w:rPr>
        <w:t>6</w:t>
      </w:r>
      <w:r>
        <w:rPr>
          <w:rFonts w:asciiTheme="minorEastAsia" w:hAnsiTheme="minorEastAsia" w:eastAsiaTheme="minorEastAsia"/>
          <w:color w:val="333333"/>
        </w:rPr>
        <w:t>月</w:t>
      </w:r>
      <w:r>
        <w:rPr>
          <w:rFonts w:hint="eastAsia" w:asciiTheme="minorEastAsia" w:hAnsiTheme="minorEastAsia" w:eastAsiaTheme="minorEastAsia"/>
          <w:color w:val="333333"/>
          <w:lang w:val="en-US" w:eastAsia="zh-CN"/>
        </w:rPr>
        <w:t>27日</w:t>
      </w:r>
      <w:r>
        <w:rPr>
          <w:rFonts w:asciiTheme="minorEastAsia" w:hAnsiTheme="minorEastAsia" w:eastAsiaTheme="minorEastAsia"/>
          <w:color w:val="333333"/>
        </w:rPr>
        <w:t>上午</w:t>
      </w:r>
      <w:r>
        <w:rPr>
          <w:rFonts w:hint="eastAsia" w:asciiTheme="minorEastAsia" w:hAnsiTheme="minorEastAsia" w:eastAsiaTheme="minorEastAsia"/>
          <w:color w:val="333333"/>
          <w:lang w:val="en-US" w:eastAsia="zh-CN"/>
        </w:rPr>
        <w:t>9</w:t>
      </w:r>
      <w:r>
        <w:rPr>
          <w:rFonts w:asciiTheme="minorEastAsia" w:hAnsiTheme="minorEastAsia" w:eastAsiaTheme="minorEastAsia"/>
          <w:color w:val="333333"/>
        </w:rPr>
        <w:t>:</w:t>
      </w:r>
      <w:r>
        <w:rPr>
          <w:rFonts w:hint="eastAsia" w:asciiTheme="minorEastAsia" w:hAnsiTheme="minorEastAsia" w:eastAsiaTheme="minorEastAsia"/>
          <w:color w:val="333333"/>
          <w:lang w:val="en-US" w:eastAsia="zh-CN"/>
        </w:rPr>
        <w:t>30</w:t>
      </w:r>
      <w:r>
        <w:rPr>
          <w:rFonts w:hint="eastAsia" w:asciiTheme="minorEastAsia" w:hAnsiTheme="minorEastAsia" w:eastAsiaTheme="minorEastAsia"/>
          <w:color w:val="333333"/>
        </w:rPr>
        <w:t>。</w:t>
      </w:r>
    </w:p>
    <w:p>
      <w:pPr>
        <w:pStyle w:val="9"/>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asciiTheme="minorEastAsia" w:hAnsiTheme="minorEastAsia" w:eastAsiaTheme="minorEastAsia"/>
          <w:color w:val="333333"/>
        </w:rPr>
        <w:t>特别提醒：请投标供应商于投标截止时间前半小时内将投标文件送达投标地点</w:t>
      </w:r>
      <w:r>
        <w:rPr>
          <w:rFonts w:hint="eastAsia" w:asciiTheme="minorEastAsia" w:hAnsiTheme="minorEastAsia" w:eastAsiaTheme="minorEastAsia"/>
          <w:color w:val="333333"/>
        </w:rPr>
        <w:t>。</w:t>
      </w:r>
    </w:p>
    <w:p>
      <w:pPr>
        <w:pStyle w:val="9"/>
        <w:shd w:val="clear" w:color="auto" w:fill="FFFFFF"/>
        <w:spacing w:before="0" w:beforeAutospacing="0" w:after="0" w:afterAutospacing="0" w:line="420" w:lineRule="exact"/>
        <w:ind w:firstLine="480" w:firstLineChars="200"/>
        <w:rPr>
          <w:rFonts w:hint="default" w:asciiTheme="minorEastAsia" w:hAnsiTheme="minorEastAsia" w:eastAsiaTheme="minorEastAsia"/>
          <w:color w:val="333333"/>
          <w:lang w:val="en-US" w:eastAsia="zh-CN"/>
        </w:rPr>
      </w:pPr>
      <w:r>
        <w:rPr>
          <w:rFonts w:asciiTheme="minorEastAsia" w:hAnsiTheme="minorEastAsia" w:eastAsiaTheme="minorEastAsia"/>
          <w:color w:val="333333"/>
        </w:rPr>
        <w:t>3.采购单位联系人：</w:t>
      </w:r>
      <w:r>
        <w:rPr>
          <w:rFonts w:hint="eastAsia" w:asciiTheme="minorEastAsia" w:hAnsiTheme="minorEastAsia" w:eastAsiaTheme="minorEastAsia"/>
          <w:color w:val="333333"/>
          <w:lang w:val="en-US" w:eastAsia="zh-CN"/>
        </w:rPr>
        <w:t>熊</w:t>
      </w:r>
      <w:r>
        <w:rPr>
          <w:rFonts w:asciiTheme="minorEastAsia" w:hAnsiTheme="minorEastAsia" w:eastAsiaTheme="minorEastAsia"/>
          <w:color w:val="333333"/>
        </w:rPr>
        <w:t>老师   电话：</w:t>
      </w:r>
      <w:r>
        <w:rPr>
          <w:rFonts w:hint="eastAsia" w:asciiTheme="minorEastAsia" w:hAnsiTheme="minorEastAsia" w:eastAsiaTheme="minorEastAsia"/>
          <w:color w:val="333333"/>
          <w:lang w:val="en-US" w:eastAsia="zh-CN"/>
        </w:rPr>
        <w:t>18118629768</w:t>
      </w:r>
    </w:p>
    <w:p>
      <w:pPr>
        <w:pStyle w:val="9"/>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asciiTheme="minorEastAsia" w:hAnsiTheme="minorEastAsia" w:eastAsiaTheme="minorEastAsia"/>
          <w:color w:val="333333"/>
        </w:rPr>
        <w:t>注：对项目需求部分的询问、质疑请向采购单位联系人提出，询问、质疑由采购单位联系人负责答复。</w:t>
      </w:r>
    </w:p>
    <w:p>
      <w:pPr>
        <w:pStyle w:val="9"/>
        <w:shd w:val="clear" w:color="auto" w:fill="FFFFFF"/>
        <w:spacing w:before="0" w:beforeAutospacing="0" w:after="0" w:afterAutospacing="0" w:line="338" w:lineRule="atLeast"/>
        <w:ind w:firstLine="482" w:firstLineChars="200"/>
        <w:rPr>
          <w:rStyle w:val="14"/>
        </w:rPr>
      </w:pPr>
      <w:r>
        <w:rPr>
          <w:rStyle w:val="14"/>
          <w:rFonts w:asciiTheme="minorEastAsia" w:hAnsiTheme="minorEastAsia" w:eastAsiaTheme="minorEastAsia"/>
          <w:bCs w:val="0"/>
          <w:color w:val="333333"/>
        </w:rPr>
        <w:t>十、合同签订</w:t>
      </w:r>
    </w:p>
    <w:p>
      <w:pPr>
        <w:pStyle w:val="9"/>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asciiTheme="minorEastAsia" w:hAnsiTheme="minorEastAsia" w:eastAsiaTheme="minorEastAsia"/>
          <w:color w:val="333333"/>
        </w:rPr>
        <w:t>供应商</w:t>
      </w:r>
      <w:r>
        <w:rPr>
          <w:rFonts w:hint="eastAsia" w:asciiTheme="minorEastAsia" w:hAnsiTheme="minorEastAsia" w:eastAsiaTheme="minorEastAsia"/>
          <w:color w:val="333333"/>
        </w:rPr>
        <w:t>在中标公示期满后与</w:t>
      </w:r>
      <w:r>
        <w:rPr>
          <w:rFonts w:asciiTheme="minorEastAsia" w:hAnsiTheme="minorEastAsia" w:eastAsiaTheme="minorEastAsia"/>
          <w:color w:val="333333"/>
        </w:rPr>
        <w:t>采购单位签订合同。所签合同不得对采购文件作实质性修改。采购单位不得向供应商提出不合理的要求作为签订合同的条件，不得与供应商私下订立背离采购文件实质性内容的协议。</w:t>
      </w:r>
    </w:p>
    <w:p>
      <w:pPr>
        <w:pStyle w:val="9"/>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asciiTheme="minorEastAsia" w:hAnsiTheme="minorEastAsia" w:eastAsiaTheme="minorEastAsia"/>
          <w:color w:val="333333"/>
        </w:rPr>
        <w:t>乙方交纳本合同履约保证金</w:t>
      </w:r>
      <w:r>
        <w:rPr>
          <w:rFonts w:hint="eastAsia" w:asciiTheme="minorEastAsia" w:hAnsiTheme="minorEastAsia" w:eastAsiaTheme="minorEastAsia"/>
          <w:color w:val="333333"/>
        </w:rPr>
        <w:t>:</w:t>
      </w:r>
      <w:r>
        <w:rPr>
          <w:rFonts w:asciiTheme="minorEastAsia" w:hAnsiTheme="minorEastAsia" w:eastAsiaTheme="minorEastAsia"/>
          <w:color w:val="333333"/>
        </w:rPr>
        <w:t>人民币_________元。</w:t>
      </w:r>
      <w:r>
        <w:rPr>
          <w:rFonts w:hint="eastAsia" w:asciiTheme="minorEastAsia" w:hAnsiTheme="minorEastAsia" w:eastAsiaTheme="minorEastAsia"/>
          <w:color w:val="333333"/>
        </w:rPr>
        <w:t>（不得超过合同金额的10%）合同履行结束后，甲方应及时退还交纳的履约保证金。根据《南通市财政局关于进一步加大政府采购支持中小企业力度的通知》（通财购〔2022〕23号）精神，对政府采购信用档案中无不良记录的中小企业免收履约保证金。</w:t>
      </w:r>
    </w:p>
    <w:p>
      <w:pPr>
        <w:pStyle w:val="9"/>
        <w:shd w:val="clear" w:color="auto" w:fill="FFFFFF"/>
        <w:spacing w:before="0" w:beforeAutospacing="0" w:after="0" w:afterAutospacing="0" w:line="338" w:lineRule="atLeast"/>
        <w:ind w:firstLine="482" w:firstLineChars="200"/>
        <w:rPr>
          <w:rStyle w:val="14"/>
        </w:rPr>
      </w:pPr>
      <w:r>
        <w:rPr>
          <w:rStyle w:val="14"/>
          <w:rFonts w:asciiTheme="minorEastAsia" w:hAnsiTheme="minorEastAsia" w:eastAsiaTheme="minorEastAsia"/>
          <w:bCs w:val="0"/>
          <w:color w:val="333333"/>
        </w:rPr>
        <w:t>十</w:t>
      </w:r>
      <w:r>
        <w:rPr>
          <w:rStyle w:val="14"/>
          <w:rFonts w:hint="eastAsia" w:asciiTheme="minorEastAsia" w:hAnsiTheme="minorEastAsia" w:eastAsiaTheme="minorEastAsia"/>
          <w:bCs w:val="0"/>
          <w:color w:val="333333"/>
        </w:rPr>
        <w:t>一</w:t>
      </w:r>
      <w:r>
        <w:rPr>
          <w:rStyle w:val="14"/>
          <w:rFonts w:asciiTheme="minorEastAsia" w:hAnsiTheme="minorEastAsia" w:eastAsiaTheme="minorEastAsia"/>
          <w:bCs w:val="0"/>
          <w:color w:val="333333"/>
        </w:rPr>
        <w:t>、付款方式</w:t>
      </w:r>
    </w:p>
    <w:p>
      <w:pPr>
        <w:pStyle w:val="9"/>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asciiTheme="minorEastAsia" w:hAnsiTheme="minorEastAsia" w:eastAsiaTheme="minorEastAsia"/>
          <w:color w:val="333333"/>
        </w:rPr>
        <w:t>安装调试结束</w:t>
      </w:r>
      <w:r>
        <w:rPr>
          <w:rFonts w:hint="eastAsia" w:asciiTheme="minorEastAsia" w:hAnsiTheme="minorEastAsia" w:eastAsiaTheme="minorEastAsia"/>
          <w:color w:val="333333"/>
        </w:rPr>
        <w:t>，</w:t>
      </w:r>
      <w:r>
        <w:rPr>
          <w:rFonts w:hint="eastAsia" w:asciiTheme="minorEastAsia" w:hAnsiTheme="minorEastAsia" w:eastAsiaTheme="minorEastAsia"/>
          <w:color w:val="333333"/>
          <w:lang w:val="en-US" w:eastAsia="zh-CN"/>
        </w:rPr>
        <w:t>服务期到期，经</w:t>
      </w:r>
      <w:r>
        <w:rPr>
          <w:rFonts w:asciiTheme="minorEastAsia" w:hAnsiTheme="minorEastAsia" w:eastAsiaTheme="minorEastAsia"/>
          <w:color w:val="333333"/>
        </w:rPr>
        <w:t>验收合格后一个月内，付合同金额的</w:t>
      </w:r>
      <w:r>
        <w:rPr>
          <w:rFonts w:hint="eastAsia" w:asciiTheme="minorEastAsia" w:hAnsiTheme="minorEastAsia" w:eastAsiaTheme="minorEastAsia"/>
          <w:color w:val="333333"/>
        </w:rPr>
        <w:t>100</w:t>
      </w:r>
      <w:r>
        <w:rPr>
          <w:rFonts w:asciiTheme="minorEastAsia" w:hAnsiTheme="minorEastAsia" w:eastAsiaTheme="minorEastAsia"/>
          <w:color w:val="333333"/>
        </w:rPr>
        <w:t>%</w:t>
      </w:r>
      <w:r>
        <w:rPr>
          <w:rFonts w:hint="eastAsia" w:asciiTheme="minorEastAsia" w:hAnsiTheme="minorEastAsia" w:eastAsiaTheme="minorEastAsia"/>
          <w:color w:val="333333"/>
        </w:rPr>
        <w:t>。</w:t>
      </w:r>
      <w:bookmarkStart w:id="1" w:name="_Toc19289"/>
      <w:bookmarkStart w:id="2" w:name="_Toc3779"/>
      <w:bookmarkStart w:id="3" w:name="_二、投标承诺函"/>
      <w:bookmarkStart w:id="4" w:name="_一、法定代表人授权书"/>
    </w:p>
    <w:p>
      <w:pPr>
        <w:pStyle w:val="9"/>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p>
    <w:p>
      <w:pPr>
        <w:pStyle w:val="9"/>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p>
    <w:p>
      <w:pPr>
        <w:pStyle w:val="9"/>
        <w:shd w:val="clear" w:color="auto" w:fill="FFFFFF"/>
        <w:spacing w:before="0" w:beforeAutospacing="0" w:after="0" w:afterAutospacing="0" w:line="420" w:lineRule="exact"/>
        <w:ind w:firstLine="480" w:firstLineChars="200"/>
        <w:rPr>
          <w:rFonts w:asciiTheme="minorEastAsia" w:hAnsiTheme="minorEastAsia" w:eastAsiaTheme="minorEastAsia"/>
          <w:color w:val="333333"/>
        </w:rPr>
      </w:pPr>
      <w:r>
        <w:rPr>
          <w:rFonts w:hint="eastAsia" w:asciiTheme="minorEastAsia" w:hAnsiTheme="minorEastAsia" w:eastAsiaTheme="minorEastAsia"/>
          <w:color w:val="333333"/>
        </w:rPr>
        <w:t>友情提醒：</w:t>
      </w:r>
    </w:p>
    <w:p>
      <w:pPr>
        <w:pStyle w:val="9"/>
        <w:shd w:val="clear" w:color="auto" w:fill="FFFFFF"/>
        <w:spacing w:before="0" w:beforeAutospacing="0" w:after="0" w:afterAutospacing="0" w:line="420" w:lineRule="exact"/>
        <w:ind w:firstLine="480" w:firstLineChars="200"/>
        <w:rPr>
          <w:rFonts w:ascii="黑体" w:hAnsi="黑体" w:cs="黑体"/>
          <w:sz w:val="30"/>
          <w:szCs w:val="30"/>
          <w:lang w:val="en-GB"/>
        </w:rPr>
      </w:pPr>
      <w:r>
        <w:rPr>
          <w:rFonts w:hint="eastAsia" w:asciiTheme="minorEastAsia" w:hAnsiTheme="minorEastAsia" w:eastAsiaTheme="minorEastAsia"/>
          <w:color w:val="333333"/>
        </w:rPr>
        <w:t>招标方如对本文件做出补充或修改</w:t>
      </w:r>
      <w:r>
        <w:rPr>
          <w:rFonts w:asciiTheme="minorEastAsia" w:hAnsiTheme="minorEastAsia" w:eastAsiaTheme="minorEastAsia"/>
          <w:color w:val="333333"/>
        </w:rPr>
        <w:t>,</w:t>
      </w:r>
      <w:r>
        <w:rPr>
          <w:rFonts w:hint="eastAsia" w:asciiTheme="minorEastAsia" w:hAnsiTheme="minorEastAsia" w:eastAsiaTheme="minorEastAsia"/>
          <w:color w:val="333333"/>
        </w:rPr>
        <w:t>亦在本公告发布网站发布，请供应商随时关注。</w:t>
      </w:r>
      <w:r>
        <w:rPr>
          <w:rFonts w:hint="eastAsia"/>
        </w:rPr>
        <w:t>如没有及时获悉相关变化而引起的后果由供应商自负。</w:t>
      </w:r>
    </w:p>
    <w:p>
      <w:pPr>
        <w:pStyle w:val="9"/>
        <w:shd w:val="clear" w:color="auto" w:fill="FFFFFF"/>
        <w:spacing w:before="0" w:beforeAutospacing="0" w:after="0" w:afterAutospacing="0" w:line="338" w:lineRule="atLeast"/>
        <w:ind w:firstLine="600" w:firstLineChars="200"/>
        <w:rPr>
          <w:rFonts w:ascii="黑体" w:hAnsi="黑体" w:cs="黑体"/>
          <w:sz w:val="30"/>
          <w:szCs w:val="30"/>
          <w:lang w:val="en-GB"/>
        </w:rPr>
      </w:pPr>
    </w:p>
    <w:p>
      <w:pPr>
        <w:pStyle w:val="9"/>
        <w:shd w:val="clear" w:color="auto" w:fill="FFFFFF"/>
        <w:spacing w:before="0" w:beforeAutospacing="0" w:after="0" w:afterAutospacing="0" w:line="338" w:lineRule="atLeast"/>
        <w:ind w:firstLine="4680" w:firstLineChars="1950"/>
        <w:rPr>
          <w:rFonts w:hint="eastAsia" w:asciiTheme="minorEastAsia" w:hAnsiTheme="minorEastAsia" w:eastAsiaTheme="minorEastAsia"/>
          <w:color w:val="333333"/>
          <w:lang w:val="en-US" w:eastAsia="zh-CN"/>
        </w:rPr>
      </w:pPr>
      <w:r>
        <w:rPr>
          <w:rFonts w:hint="eastAsia" w:asciiTheme="minorEastAsia" w:hAnsiTheme="minorEastAsia" w:eastAsiaTheme="minorEastAsia"/>
          <w:color w:val="333333"/>
          <w:lang w:val="en-US" w:eastAsia="zh-CN"/>
        </w:rPr>
        <w:t>江苏省海门中等专业学校</w:t>
      </w:r>
    </w:p>
    <w:p>
      <w:pPr>
        <w:pStyle w:val="9"/>
        <w:shd w:val="clear" w:color="auto" w:fill="FFFFFF"/>
        <w:spacing w:before="0" w:beforeAutospacing="0" w:after="0" w:afterAutospacing="0" w:line="338" w:lineRule="atLeast"/>
        <w:ind w:firstLine="5160" w:firstLineChars="2150"/>
        <w:rPr>
          <w:lang w:val="en-GB"/>
        </w:rPr>
      </w:pPr>
      <w:r>
        <w:rPr>
          <w:rFonts w:hint="eastAsia" w:asciiTheme="minorEastAsia" w:hAnsiTheme="minorEastAsia" w:eastAsiaTheme="minorEastAsia"/>
          <w:color w:val="333333"/>
          <w:lang w:val="en-US" w:eastAsia="zh-CN"/>
        </w:rPr>
        <w:t>2024</w:t>
      </w:r>
      <w:r>
        <w:rPr>
          <w:rFonts w:hint="eastAsia" w:asciiTheme="minorEastAsia" w:hAnsiTheme="minorEastAsia" w:eastAsiaTheme="minorEastAsia"/>
          <w:color w:val="333333"/>
        </w:rPr>
        <w:t>年</w:t>
      </w:r>
      <w:r>
        <w:rPr>
          <w:rFonts w:hint="eastAsia" w:asciiTheme="minorEastAsia" w:hAnsiTheme="minorEastAsia" w:eastAsiaTheme="minorEastAsia"/>
          <w:color w:val="333333"/>
          <w:lang w:val="en-US" w:eastAsia="zh-CN"/>
        </w:rPr>
        <w:t>6</w:t>
      </w:r>
      <w:r>
        <w:rPr>
          <w:rFonts w:hint="eastAsia" w:asciiTheme="minorEastAsia" w:hAnsiTheme="minorEastAsia" w:eastAsiaTheme="minorEastAsia"/>
          <w:color w:val="333333"/>
        </w:rPr>
        <w:t>月</w:t>
      </w:r>
      <w:r>
        <w:rPr>
          <w:rFonts w:hint="eastAsia" w:asciiTheme="minorEastAsia" w:hAnsiTheme="minorEastAsia" w:eastAsiaTheme="minorEastAsia"/>
          <w:color w:val="333333"/>
          <w:lang w:val="en-US" w:eastAsia="zh-CN"/>
        </w:rPr>
        <w:t>13</w:t>
      </w:r>
      <w:r>
        <w:rPr>
          <w:rFonts w:hint="eastAsia" w:asciiTheme="minorEastAsia" w:hAnsiTheme="minorEastAsia" w:eastAsiaTheme="minorEastAsia"/>
          <w:color w:val="333333"/>
        </w:rPr>
        <w:t>日</w:t>
      </w:r>
    </w:p>
    <w:p>
      <w:pPr>
        <w:rPr>
          <w:lang w:val="en-GB"/>
        </w:rPr>
      </w:pPr>
    </w:p>
    <w:p>
      <w:pPr>
        <w:rPr>
          <w:lang w:val="en-GB"/>
        </w:rPr>
      </w:pPr>
    </w:p>
    <w:p>
      <w:pPr>
        <w:rPr>
          <w:lang w:val="en-GB"/>
        </w:rPr>
      </w:pPr>
    </w:p>
    <w:bookmarkEnd w:id="1"/>
    <w:bookmarkEnd w:id="2"/>
    <w:bookmarkEnd w:id="3"/>
    <w:bookmarkEnd w:id="4"/>
    <w:p>
      <w:pPr>
        <w:pStyle w:val="3"/>
        <w:keepNext w:val="0"/>
        <w:keepLines w:val="0"/>
        <w:spacing w:before="0" w:after="0" w:line="415" w:lineRule="auto"/>
        <w:rPr>
          <w:rFonts w:ascii="黑体" w:hAnsi="黑体" w:cs="黑体"/>
          <w:sz w:val="30"/>
          <w:szCs w:val="30"/>
          <w:lang w:val="en-GB"/>
        </w:rPr>
      </w:pPr>
      <w:r>
        <w:rPr>
          <w:rFonts w:hint="eastAsia" w:ascii="黑体" w:hAnsi="黑体" w:cs="黑体"/>
          <w:sz w:val="30"/>
          <w:szCs w:val="30"/>
          <w:lang w:val="en-GB"/>
        </w:rPr>
        <w:t xml:space="preserve">附件： </w:t>
      </w:r>
      <w:r>
        <w:rPr>
          <w:rFonts w:ascii="黑体" w:hAnsi="黑体" w:cs="黑体"/>
          <w:sz w:val="30"/>
          <w:szCs w:val="30"/>
          <w:lang w:val="en-GB"/>
        </w:rPr>
        <w:t xml:space="preserve">              </w:t>
      </w:r>
      <w:r>
        <w:rPr>
          <w:rFonts w:hint="eastAsia" w:ascii="黑体" w:hAnsi="黑体" w:cs="黑体"/>
          <w:sz w:val="30"/>
          <w:szCs w:val="30"/>
          <w:lang w:val="en-GB"/>
        </w:rPr>
        <w:t>投标承诺函</w:t>
      </w:r>
    </w:p>
    <w:p>
      <w:pPr>
        <w:pStyle w:val="9"/>
        <w:shd w:val="clear" w:color="auto" w:fill="FFFFFF"/>
        <w:spacing w:before="156" w:beforeLines="50" w:beforeAutospacing="0" w:after="0" w:afterAutospacing="0" w:line="440" w:lineRule="exact"/>
        <w:ind w:firstLine="240" w:firstLineChars="100"/>
        <w:rPr>
          <w:color w:val="333333"/>
        </w:rPr>
      </w:pPr>
      <w:r>
        <w:rPr>
          <w:rFonts w:hint="eastAsia"/>
          <w:color w:val="333333"/>
          <w:u w:val="single"/>
        </w:rPr>
        <w:t xml:space="preserve"> </w:t>
      </w:r>
      <w:r>
        <w:rPr>
          <w:color w:val="333333"/>
          <w:u w:val="single"/>
        </w:rPr>
        <w:t xml:space="preserve">                  </w:t>
      </w:r>
      <w:r>
        <w:rPr>
          <w:rFonts w:hint="eastAsia"/>
          <w:color w:val="333333"/>
        </w:rPr>
        <w:t>（单位名称）：</w:t>
      </w:r>
    </w:p>
    <w:p>
      <w:pPr>
        <w:pStyle w:val="9"/>
        <w:shd w:val="clear" w:color="auto" w:fill="FFFFFF"/>
        <w:spacing w:before="0" w:beforeAutospacing="0" w:after="0" w:afterAutospacing="0" w:line="440" w:lineRule="exact"/>
        <w:ind w:firstLine="480" w:firstLineChars="200"/>
        <w:rPr>
          <w:color w:val="333333"/>
        </w:rPr>
      </w:pPr>
      <w:r>
        <w:rPr>
          <w:rFonts w:hint="eastAsia"/>
          <w:color w:val="333333"/>
        </w:rPr>
        <w:t>依据贵单位</w:t>
      </w:r>
      <w:r>
        <w:rPr>
          <w:rFonts w:hint="eastAsia"/>
          <w:color w:val="333333"/>
          <w:u w:val="single"/>
        </w:rPr>
        <w:t xml:space="preserve">  </w:t>
      </w:r>
      <w:r>
        <w:rPr>
          <w:color w:val="333333"/>
          <w:u w:val="single"/>
        </w:rPr>
        <w:t xml:space="preserve">                             </w:t>
      </w:r>
      <w:r>
        <w:rPr>
          <w:rFonts w:hint="eastAsia"/>
          <w:color w:val="333333"/>
        </w:rPr>
        <w:t>（采购项目名称及项目编号)项目招标采购的邀请，我方授权</w:t>
      </w:r>
      <w:r>
        <w:rPr>
          <w:rFonts w:hint="eastAsia"/>
          <w:color w:val="333333"/>
          <w:u w:val="single"/>
        </w:rPr>
        <w:t xml:space="preserve"> </w:t>
      </w:r>
      <w:r>
        <w:rPr>
          <w:color w:val="333333"/>
          <w:u w:val="single"/>
        </w:rPr>
        <w:t xml:space="preserve">       </w:t>
      </w:r>
      <w:r>
        <w:rPr>
          <w:rFonts w:hint="eastAsia"/>
          <w:color w:val="333333"/>
        </w:rPr>
        <w:t>（姓名）</w:t>
      </w:r>
      <w:r>
        <w:rPr>
          <w:rFonts w:hint="eastAsia"/>
          <w:color w:val="333333"/>
          <w:u w:val="single"/>
        </w:rPr>
        <w:t xml:space="preserve">    </w:t>
      </w:r>
      <w:r>
        <w:rPr>
          <w:color w:val="333333"/>
          <w:u w:val="single"/>
        </w:rPr>
        <w:t xml:space="preserve">   </w:t>
      </w:r>
      <w:r>
        <w:rPr>
          <w:rFonts w:hint="eastAsia"/>
          <w:color w:val="333333"/>
        </w:rPr>
        <w:t>（职务）为全权代表参加该项目的投标，全权处理本次招标采购的有关事宜。同时，我公司声明如下：</w:t>
      </w:r>
    </w:p>
    <w:p>
      <w:pPr>
        <w:pStyle w:val="9"/>
        <w:shd w:val="clear" w:color="auto" w:fill="FFFFFF"/>
        <w:spacing w:before="0" w:beforeAutospacing="0" w:after="0" w:afterAutospacing="0" w:line="440" w:lineRule="exact"/>
        <w:ind w:firstLine="480" w:firstLineChars="200"/>
        <w:rPr>
          <w:color w:val="333333"/>
        </w:rPr>
      </w:pPr>
      <w:r>
        <w:rPr>
          <w:rFonts w:hint="eastAsia"/>
          <w:color w:val="333333"/>
        </w:rPr>
        <w:t>1.我方符合招标方提出的资格要求，同意并接受招标文件的各项要求，遵守招标文件中的各项规定，按招标文件的要求提供报价。</w:t>
      </w:r>
    </w:p>
    <w:p>
      <w:pPr>
        <w:pStyle w:val="9"/>
        <w:shd w:val="clear" w:color="auto" w:fill="FFFFFF"/>
        <w:spacing w:before="0" w:beforeAutospacing="0" w:after="0" w:afterAutospacing="0" w:line="440" w:lineRule="exact"/>
        <w:ind w:firstLine="480" w:firstLineChars="200"/>
        <w:rPr>
          <w:color w:val="333333"/>
        </w:rPr>
      </w:pPr>
      <w:r>
        <w:rPr>
          <w:rFonts w:hint="eastAsia"/>
          <w:color w:val="333333"/>
        </w:rPr>
        <w:t>2.我方已经详细阅读了全部招标文件及其附件，我方已完全清晰理解招标文件的要求，不存在任何含糊不清和误解之处，同意放弃对这些文件所提出的异议和质疑的权利。</w:t>
      </w:r>
    </w:p>
    <w:p>
      <w:pPr>
        <w:pStyle w:val="9"/>
        <w:shd w:val="clear" w:color="auto" w:fill="FFFFFF"/>
        <w:spacing w:before="0" w:beforeAutospacing="0" w:after="0" w:afterAutospacing="0" w:line="440" w:lineRule="exact"/>
        <w:ind w:firstLine="480" w:firstLineChars="200"/>
        <w:rPr>
          <w:color w:val="333333"/>
        </w:rPr>
      </w:pPr>
      <w:r>
        <w:rPr>
          <w:rFonts w:hint="eastAsia"/>
          <w:color w:val="333333"/>
        </w:rPr>
        <w:t>3.我方承诺在本次投标中提供的一切文件，无论是原件还是复印件均真实有效，绝无任何虚假、伪造和夸大的成份。否则，愿承担相应的后果和法律责任。</w:t>
      </w:r>
    </w:p>
    <w:p>
      <w:pPr>
        <w:pStyle w:val="9"/>
        <w:shd w:val="clear" w:color="auto" w:fill="FFFFFF"/>
        <w:spacing w:before="0" w:beforeAutospacing="0" w:after="0" w:afterAutospacing="0" w:line="440" w:lineRule="exact"/>
        <w:ind w:firstLine="480" w:firstLineChars="200"/>
        <w:rPr>
          <w:color w:val="333333"/>
        </w:rPr>
      </w:pPr>
      <w:r>
        <w:rPr>
          <w:rFonts w:hint="eastAsia"/>
          <w:color w:val="333333"/>
        </w:rPr>
        <w:t>4.我方参与本项目投标绝无串标、围标等行为。</w:t>
      </w:r>
    </w:p>
    <w:p>
      <w:pPr>
        <w:pStyle w:val="9"/>
        <w:shd w:val="clear" w:color="auto" w:fill="FFFFFF"/>
        <w:spacing w:before="0" w:beforeAutospacing="0" w:after="0" w:afterAutospacing="0" w:line="440" w:lineRule="exact"/>
        <w:ind w:firstLine="480" w:firstLineChars="200"/>
        <w:rPr>
          <w:color w:val="333333"/>
        </w:rPr>
      </w:pPr>
      <w:r>
        <w:rPr>
          <w:rFonts w:hint="eastAsia"/>
          <w:color w:val="333333"/>
        </w:rPr>
        <w:t>5.投标文件有效期为开标之日起60日。</w:t>
      </w:r>
    </w:p>
    <w:p>
      <w:pPr>
        <w:pStyle w:val="9"/>
        <w:shd w:val="clear" w:color="auto" w:fill="FFFFFF"/>
        <w:spacing w:before="0" w:beforeAutospacing="0" w:after="0" w:afterAutospacing="0" w:line="440" w:lineRule="exact"/>
        <w:ind w:firstLine="480" w:firstLineChars="200"/>
        <w:rPr>
          <w:color w:val="333333"/>
        </w:rPr>
      </w:pPr>
      <w:r>
        <w:rPr>
          <w:rFonts w:hint="eastAsia"/>
          <w:color w:val="333333"/>
        </w:rPr>
        <w:t>6.我公司尊重评标委员会所作的评定结果。</w:t>
      </w:r>
    </w:p>
    <w:p>
      <w:pPr>
        <w:pStyle w:val="9"/>
        <w:shd w:val="clear" w:color="auto" w:fill="FFFFFF"/>
        <w:spacing w:before="0" w:beforeAutospacing="0" w:after="0" w:afterAutospacing="0" w:line="440" w:lineRule="exact"/>
        <w:ind w:firstLine="480" w:firstLineChars="200"/>
        <w:rPr>
          <w:color w:val="333333"/>
        </w:rPr>
      </w:pPr>
      <w:r>
        <w:rPr>
          <w:rFonts w:hint="eastAsia"/>
          <w:color w:val="333333"/>
        </w:rPr>
        <w:t>7.我单位在参加政府采购活动前三年内，在经营活动中没有重大违法记录。</w:t>
      </w:r>
    </w:p>
    <w:p>
      <w:pPr>
        <w:pStyle w:val="9"/>
        <w:shd w:val="clear" w:color="auto" w:fill="FFFFFF"/>
        <w:spacing w:before="0" w:beforeAutospacing="0" w:after="0" w:afterAutospacing="0" w:line="440" w:lineRule="exact"/>
        <w:ind w:firstLine="480" w:firstLineChars="200"/>
        <w:rPr>
          <w:color w:val="333333"/>
        </w:rPr>
      </w:pPr>
      <w:r>
        <w:rPr>
          <w:rFonts w:hint="eastAsia"/>
          <w:color w:val="333333"/>
        </w:rPr>
        <w:t>8.如中标，我单位在中标公示结束后3天内领取中标通知书。</w:t>
      </w:r>
    </w:p>
    <w:p>
      <w:pPr>
        <w:pStyle w:val="9"/>
        <w:shd w:val="clear" w:color="auto" w:fill="FFFFFF"/>
        <w:spacing w:before="0" w:beforeAutospacing="0" w:after="0" w:afterAutospacing="0" w:line="440" w:lineRule="exact"/>
        <w:ind w:firstLine="480" w:firstLineChars="200"/>
        <w:rPr>
          <w:color w:val="333333"/>
        </w:rPr>
      </w:pPr>
      <w:r>
        <w:rPr>
          <w:rFonts w:hint="eastAsia"/>
          <w:color w:val="333333"/>
        </w:rPr>
        <w:t>9.一旦我方中标,我方将根据招标文件的规定，在规定的时限内与采购方签订合同，并严格履行合同的责任和义务,保证在招标文件及合同规定的时间内完成项目，交付采购人验收、使用。否则我方愿意承担一切后果，并不再寻求任何旨在减轻或免除法律责任的辩解。</w:t>
      </w:r>
    </w:p>
    <w:p>
      <w:pPr>
        <w:pStyle w:val="9"/>
        <w:shd w:val="clear" w:color="auto" w:fill="FFFFFF"/>
        <w:spacing w:before="0" w:beforeAutospacing="0" w:after="0" w:afterAutospacing="0" w:line="440" w:lineRule="exact"/>
        <w:ind w:firstLine="480" w:firstLineChars="200"/>
        <w:rPr>
          <w:color w:val="333333"/>
        </w:rPr>
      </w:pPr>
      <w:r>
        <w:rPr>
          <w:rFonts w:hint="eastAsia"/>
          <w:color w:val="333333"/>
        </w:rPr>
        <w:t>10.与本次招标有关的一切正式往来通讯请寄：</w:t>
      </w:r>
    </w:p>
    <w:p>
      <w:pPr>
        <w:pStyle w:val="9"/>
        <w:shd w:val="clear" w:color="auto" w:fill="FFFFFF"/>
        <w:spacing w:before="0" w:beforeAutospacing="0" w:after="0" w:afterAutospacing="0" w:line="440" w:lineRule="exact"/>
        <w:ind w:firstLine="480" w:firstLineChars="200"/>
        <w:rPr>
          <w:color w:val="333333"/>
        </w:rPr>
      </w:pPr>
      <w:r>
        <w:rPr>
          <w:rFonts w:hint="eastAsia"/>
          <w:color w:val="333333"/>
        </w:rPr>
        <w:t>地    址：</w:t>
      </w:r>
      <w:r>
        <w:rPr>
          <w:color w:val="333333"/>
        </w:rPr>
        <w:t xml:space="preserve"> </w:t>
      </w:r>
    </w:p>
    <w:p>
      <w:pPr>
        <w:pStyle w:val="9"/>
        <w:shd w:val="clear" w:color="auto" w:fill="FFFFFF"/>
        <w:spacing w:before="0" w:beforeAutospacing="0" w:after="0" w:afterAutospacing="0" w:line="440" w:lineRule="exact"/>
        <w:ind w:firstLine="480" w:firstLineChars="200"/>
        <w:rPr>
          <w:color w:val="333333"/>
        </w:rPr>
      </w:pPr>
      <w:r>
        <w:rPr>
          <w:rFonts w:hint="eastAsia"/>
          <w:color w:val="333333"/>
        </w:rPr>
        <w:t>邮    编：</w:t>
      </w:r>
    </w:p>
    <w:p>
      <w:pPr>
        <w:pStyle w:val="9"/>
        <w:shd w:val="clear" w:color="auto" w:fill="FFFFFF"/>
        <w:spacing w:before="0" w:beforeAutospacing="0" w:after="0" w:afterAutospacing="0" w:line="440" w:lineRule="exact"/>
        <w:ind w:firstLine="480" w:firstLineChars="200"/>
        <w:rPr>
          <w:color w:val="333333"/>
        </w:rPr>
      </w:pPr>
      <w:r>
        <w:rPr>
          <w:rFonts w:hint="eastAsia"/>
          <w:color w:val="333333"/>
        </w:rPr>
        <w:t>电    话：</w:t>
      </w:r>
    </w:p>
    <w:p>
      <w:pPr>
        <w:pStyle w:val="9"/>
        <w:shd w:val="clear" w:color="auto" w:fill="FFFFFF"/>
        <w:spacing w:before="0" w:beforeAutospacing="0" w:after="0" w:afterAutospacing="0" w:line="440" w:lineRule="exact"/>
        <w:ind w:firstLine="480" w:firstLineChars="200"/>
        <w:rPr>
          <w:color w:val="333333"/>
        </w:rPr>
      </w:pPr>
      <w:r>
        <w:rPr>
          <w:rFonts w:hint="eastAsia"/>
          <w:color w:val="333333"/>
        </w:rPr>
        <w:t>移动电话：</w:t>
      </w:r>
    </w:p>
    <w:p>
      <w:pPr>
        <w:pStyle w:val="9"/>
        <w:shd w:val="clear" w:color="auto" w:fill="FFFFFF"/>
        <w:spacing w:before="0" w:beforeAutospacing="0" w:after="0" w:afterAutospacing="0" w:line="440" w:lineRule="exact"/>
        <w:ind w:firstLine="480" w:firstLineChars="200"/>
        <w:rPr>
          <w:color w:val="333333"/>
        </w:rPr>
      </w:pPr>
      <w:r>
        <w:rPr>
          <w:rFonts w:hint="eastAsia"/>
          <w:color w:val="333333"/>
        </w:rPr>
        <w:t>投标人：（加盖公章）</w:t>
      </w:r>
    </w:p>
    <w:p>
      <w:pPr>
        <w:pStyle w:val="9"/>
        <w:shd w:val="clear" w:color="auto" w:fill="FFFFFF"/>
        <w:spacing w:before="0" w:beforeAutospacing="0" w:after="0" w:afterAutospacing="0" w:line="440" w:lineRule="exact"/>
        <w:ind w:firstLine="480" w:firstLineChars="200"/>
        <w:rPr>
          <w:color w:val="333333"/>
        </w:rPr>
      </w:pPr>
      <w:r>
        <w:rPr>
          <w:rFonts w:hint="eastAsia"/>
          <w:color w:val="333333"/>
        </w:rPr>
        <w:t>法定代表人：（签字或盖章）           授权代表：（签字）</w:t>
      </w:r>
    </w:p>
    <w:p>
      <w:pPr>
        <w:pStyle w:val="9"/>
        <w:shd w:val="clear" w:color="auto" w:fill="FFFFFF"/>
        <w:spacing w:before="0" w:beforeAutospacing="0" w:after="0" w:afterAutospacing="0" w:line="440" w:lineRule="exact"/>
        <w:ind w:firstLine="480" w:firstLineChars="200"/>
        <w:rPr>
          <w:color w:val="333333"/>
        </w:rPr>
      </w:pPr>
      <w:r>
        <w:rPr>
          <w:rFonts w:hint="eastAsia"/>
          <w:color w:val="333333"/>
        </w:rPr>
        <w:t xml:space="preserve">             年  月  日                     年  月  日</w:t>
      </w:r>
    </w:p>
    <w:p>
      <w:pPr>
        <w:pStyle w:val="3"/>
        <w:spacing w:before="0" w:after="0" w:line="415" w:lineRule="auto"/>
        <w:jc w:val="center"/>
        <w:rPr>
          <w:rFonts w:ascii="黑体" w:hAnsi="黑体" w:cs="黑体"/>
          <w:sz w:val="30"/>
          <w:szCs w:val="30"/>
          <w:lang w:val="en-GB"/>
        </w:rPr>
      </w:pPr>
      <w:r>
        <w:rPr>
          <w:rFonts w:hint="eastAsia" w:ascii="黑体" w:hAnsi="黑体" w:eastAsia="黑体" w:cs="黑体"/>
          <w:b w:val="0"/>
          <w:sz w:val="30"/>
          <w:szCs w:val="30"/>
          <w:lang w:val="en-GB"/>
        </w:rPr>
        <w:br w:type="page"/>
      </w:r>
      <w:r>
        <w:rPr>
          <w:rFonts w:hint="eastAsia" w:ascii="黑体" w:hAnsi="黑体" w:cs="黑体"/>
          <w:sz w:val="30"/>
          <w:szCs w:val="30"/>
          <w:lang w:val="en-GB"/>
        </w:rPr>
        <w:t>法定代表人授权书</w:t>
      </w:r>
    </w:p>
    <w:p>
      <w:pPr>
        <w:pStyle w:val="9"/>
        <w:shd w:val="clear" w:color="auto" w:fill="FFFFFF"/>
        <w:spacing w:before="156" w:beforeLines="50" w:beforeAutospacing="0" w:after="0" w:afterAutospacing="0" w:line="440" w:lineRule="exact"/>
        <w:ind w:firstLine="240" w:firstLineChars="100"/>
        <w:rPr>
          <w:color w:val="333333"/>
        </w:rPr>
      </w:pPr>
      <w:r>
        <w:rPr>
          <w:rFonts w:hint="eastAsia"/>
          <w:color w:val="333333"/>
          <w:u w:val="single"/>
        </w:rPr>
        <w:t xml:space="preserve"> </w:t>
      </w:r>
      <w:r>
        <w:rPr>
          <w:color w:val="333333"/>
          <w:u w:val="single"/>
        </w:rPr>
        <w:t xml:space="preserve">                  </w:t>
      </w:r>
      <w:r>
        <w:rPr>
          <w:rFonts w:hint="eastAsia"/>
          <w:color w:val="333333"/>
        </w:rPr>
        <w:t>（单位名称）：</w:t>
      </w:r>
    </w:p>
    <w:p>
      <w:pPr>
        <w:pStyle w:val="9"/>
        <w:shd w:val="clear" w:color="auto" w:fill="FFFFFF"/>
        <w:spacing w:before="0" w:beforeAutospacing="0" w:after="0" w:afterAutospacing="0" w:line="520" w:lineRule="exact"/>
        <w:ind w:firstLine="480" w:firstLineChars="200"/>
        <w:rPr>
          <w:color w:val="333333"/>
        </w:rPr>
      </w:pPr>
      <w:r>
        <w:rPr>
          <w:rFonts w:hint="eastAsia"/>
          <w:color w:val="333333"/>
        </w:rPr>
        <w:t>兹授权</w:t>
      </w:r>
      <w:r>
        <w:rPr>
          <w:rFonts w:hint="eastAsia"/>
          <w:color w:val="333333"/>
          <w:u w:val="single"/>
        </w:rPr>
        <w:t xml:space="preserve"> </w:t>
      </w:r>
      <w:r>
        <w:rPr>
          <w:color w:val="333333"/>
          <w:u w:val="single"/>
        </w:rPr>
        <w:t xml:space="preserve">      </w:t>
      </w:r>
      <w:r>
        <w:rPr>
          <w:rFonts w:hint="eastAsia"/>
          <w:color w:val="333333"/>
          <w:u w:val="single"/>
        </w:rPr>
        <w:t xml:space="preserve">      </w:t>
      </w:r>
      <w:r>
        <w:rPr>
          <w:rFonts w:hint="eastAsia"/>
          <w:color w:val="333333"/>
        </w:rPr>
        <w:t>（被授权人的姓名、职务）代表我公司参加</w:t>
      </w:r>
      <w:r>
        <w:rPr>
          <w:rFonts w:hint="eastAsia"/>
          <w:color w:val="333333"/>
          <w:u w:val="single"/>
        </w:rPr>
        <w:t xml:space="preserve">   </w:t>
      </w:r>
      <w:r>
        <w:rPr>
          <w:color w:val="333333"/>
          <w:u w:val="single"/>
        </w:rPr>
        <w:t xml:space="preserve">  </w:t>
      </w:r>
      <w:r>
        <w:rPr>
          <w:rFonts w:hint="eastAsia"/>
          <w:color w:val="333333"/>
          <w:u w:val="single"/>
        </w:rPr>
        <w:t xml:space="preserve">     </w:t>
      </w:r>
      <w:r>
        <w:rPr>
          <w:rFonts w:hint="eastAsia"/>
          <w:color w:val="333333"/>
        </w:rPr>
        <w:t>（采购项目名称及项目编号)项目的招标采购活动，全权处理一切与该项目招标有关的事务。其在办理上述事宜过程中所签署的所有文件我公司均予以承认，我公司对被授权人签名的所有文件负全部责任。</w:t>
      </w:r>
    </w:p>
    <w:p>
      <w:pPr>
        <w:pStyle w:val="9"/>
        <w:shd w:val="clear" w:color="auto" w:fill="FFFFFF"/>
        <w:spacing w:before="0" w:beforeAutospacing="0" w:after="0" w:afterAutospacing="0" w:line="440" w:lineRule="exact"/>
        <w:ind w:firstLine="480" w:firstLineChars="200"/>
        <w:rPr>
          <w:color w:val="333333"/>
        </w:rPr>
      </w:pPr>
    </w:p>
    <w:p>
      <w:pPr>
        <w:pStyle w:val="9"/>
        <w:shd w:val="clear" w:color="auto" w:fill="FFFFFF"/>
        <w:spacing w:before="0" w:beforeAutospacing="0" w:after="0" w:afterAutospacing="0" w:line="440" w:lineRule="exact"/>
        <w:ind w:firstLine="480" w:firstLineChars="200"/>
        <w:rPr>
          <w:color w:val="333333"/>
        </w:rPr>
      </w:pPr>
      <w:r>
        <w:rPr>
          <w:rFonts w:hint="eastAsia"/>
          <w:color w:val="333333"/>
        </w:rPr>
        <w:t>附：授权代表情况：</w:t>
      </w:r>
    </w:p>
    <w:p>
      <w:pPr>
        <w:pStyle w:val="9"/>
        <w:shd w:val="clear" w:color="auto" w:fill="FFFFFF"/>
        <w:spacing w:before="0" w:beforeAutospacing="0" w:after="0" w:afterAutospacing="0" w:line="440" w:lineRule="exact"/>
        <w:ind w:firstLine="480" w:firstLineChars="200"/>
        <w:rPr>
          <w:color w:val="333333"/>
        </w:rPr>
      </w:pPr>
      <w:r>
        <w:rPr>
          <w:rFonts w:hint="eastAsia"/>
          <w:color w:val="333333"/>
        </w:rPr>
        <w:t xml:space="preserve">姓名： </w:t>
      </w:r>
      <w:r>
        <w:rPr>
          <w:color w:val="333333"/>
        </w:rPr>
        <w:t xml:space="preserve">  </w:t>
      </w:r>
      <w:r>
        <w:rPr>
          <w:rFonts w:hint="eastAsia"/>
          <w:color w:val="333333"/>
        </w:rPr>
        <w:t xml:space="preserve"> 性别： </w:t>
      </w:r>
      <w:r>
        <w:rPr>
          <w:color w:val="333333"/>
        </w:rPr>
        <w:t xml:space="preserve"> </w:t>
      </w:r>
      <w:r>
        <w:rPr>
          <w:rFonts w:hint="eastAsia"/>
          <w:color w:val="333333"/>
        </w:rPr>
        <w:t xml:space="preserve"> 年龄：</w:t>
      </w:r>
      <w:r>
        <w:rPr>
          <w:color w:val="333333"/>
        </w:rPr>
        <w:t xml:space="preserve">  </w:t>
      </w:r>
      <w:r>
        <w:rPr>
          <w:rFonts w:hint="eastAsia"/>
          <w:color w:val="333333"/>
        </w:rPr>
        <w:t xml:space="preserve">  职务：         </w:t>
      </w:r>
    </w:p>
    <w:p>
      <w:pPr>
        <w:pStyle w:val="9"/>
        <w:shd w:val="clear" w:color="auto" w:fill="FFFFFF"/>
        <w:spacing w:before="0" w:beforeAutospacing="0" w:after="0" w:afterAutospacing="0" w:line="440" w:lineRule="exact"/>
        <w:ind w:firstLine="480" w:firstLineChars="200"/>
        <w:rPr>
          <w:color w:val="333333"/>
        </w:rPr>
      </w:pPr>
      <w:r>
        <w:rPr>
          <w:rFonts w:hint="eastAsia"/>
          <w:color w:val="333333"/>
        </w:rPr>
        <w:t xml:space="preserve">联系电话：             手机：            </w:t>
      </w:r>
    </w:p>
    <w:p>
      <w:pPr>
        <w:pStyle w:val="9"/>
        <w:shd w:val="clear" w:color="auto" w:fill="FFFFFF"/>
        <w:spacing w:before="0" w:beforeAutospacing="0" w:after="0" w:afterAutospacing="0" w:line="440" w:lineRule="exact"/>
        <w:ind w:firstLine="480" w:firstLineChars="200"/>
        <w:rPr>
          <w:color w:val="333333"/>
        </w:rPr>
      </w:pPr>
      <w:r>
        <w:rPr>
          <w:rFonts w:hint="eastAsia"/>
          <w:color w:val="333333"/>
        </w:rPr>
        <w:t xml:space="preserve">身份证号码：                              </w:t>
      </w:r>
    </w:p>
    <w:p>
      <w:pPr>
        <w:pStyle w:val="9"/>
        <w:shd w:val="clear" w:color="auto" w:fill="FFFFFF"/>
        <w:spacing w:before="0" w:beforeAutospacing="0" w:after="0" w:afterAutospacing="0" w:line="440" w:lineRule="exact"/>
        <w:ind w:firstLine="480" w:firstLineChars="200"/>
        <w:rPr>
          <w:color w:val="333333"/>
        </w:rPr>
      </w:pPr>
      <w:r>
        <w:rPr>
          <w:rFonts w:hint="eastAsia"/>
          <w:color w:val="333333"/>
        </w:rPr>
        <w:t xml:space="preserve">详细通讯地址：      </w:t>
      </w:r>
      <w:r>
        <w:rPr>
          <w:color w:val="333333"/>
        </w:rPr>
        <w:t xml:space="preserve">    </w:t>
      </w:r>
      <w:r>
        <w:rPr>
          <w:rFonts w:hint="eastAsia"/>
          <w:color w:val="333333"/>
        </w:rPr>
        <w:t xml:space="preserve">邮政编码：                           </w:t>
      </w:r>
    </w:p>
    <w:p>
      <w:pPr>
        <w:pStyle w:val="9"/>
        <w:shd w:val="clear" w:color="auto" w:fill="FFFFFF"/>
        <w:spacing w:before="0" w:beforeAutospacing="0" w:after="0" w:afterAutospacing="0" w:line="440" w:lineRule="exact"/>
        <w:ind w:firstLine="480" w:firstLineChars="200"/>
        <w:rPr>
          <w:color w:val="333333"/>
        </w:rPr>
      </w:pPr>
    </w:p>
    <w:p>
      <w:pPr>
        <w:pStyle w:val="9"/>
        <w:shd w:val="clear" w:color="auto" w:fill="FFFFFF"/>
        <w:spacing w:before="0" w:beforeAutospacing="0" w:after="0" w:afterAutospacing="0" w:line="440" w:lineRule="exact"/>
        <w:ind w:firstLine="480" w:firstLineChars="200"/>
        <w:rPr>
          <w:color w:val="333333"/>
        </w:rPr>
      </w:pPr>
      <w:r>
        <w:rPr>
          <w:rFonts w:hint="eastAsia"/>
          <w:color w:val="333333"/>
        </w:rPr>
        <w:t>单位名称（公章）              法定代表人（签字）</w:t>
      </w:r>
    </w:p>
    <w:p>
      <w:pPr>
        <w:pStyle w:val="9"/>
        <w:shd w:val="clear" w:color="auto" w:fill="FFFFFF"/>
        <w:spacing w:before="0" w:beforeAutospacing="0" w:after="0" w:afterAutospacing="0" w:line="440" w:lineRule="exact"/>
        <w:ind w:firstLine="480" w:firstLineChars="200"/>
        <w:rPr>
          <w:color w:val="333333"/>
        </w:rPr>
      </w:pPr>
      <w:r>
        <w:rPr>
          <w:rFonts w:hint="eastAsia"/>
          <w:color w:val="333333"/>
        </w:rPr>
        <w:t xml:space="preserve">                                  年   月    日  </w:t>
      </w:r>
    </w:p>
    <w:p>
      <w:pPr>
        <w:pStyle w:val="9"/>
        <w:shd w:val="clear" w:color="auto" w:fill="FFFFFF"/>
        <w:spacing w:before="0" w:beforeAutospacing="0" w:after="0" w:afterAutospacing="0" w:line="440" w:lineRule="exact"/>
        <w:ind w:firstLine="480" w:firstLineChars="200"/>
        <w:rPr>
          <w:color w:val="333333"/>
        </w:rPr>
      </w:pPr>
    </w:p>
    <w:p>
      <w:pPr>
        <w:pStyle w:val="9"/>
        <w:shd w:val="clear" w:color="auto" w:fill="FFFFFF"/>
        <w:spacing w:before="0" w:beforeAutospacing="0" w:after="0" w:afterAutospacing="0" w:line="440" w:lineRule="exact"/>
        <w:ind w:firstLine="480" w:firstLineChars="200"/>
        <w:rPr>
          <w:color w:val="333333"/>
        </w:rPr>
      </w:pPr>
      <w:r>
        <w:rPr>
          <w:rFonts w:hint="eastAsia"/>
          <w:color w:val="333333"/>
        </w:rPr>
        <w:t>法定代表人身份证复印件</w:t>
      </w:r>
    </w:p>
    <w:p>
      <w:pPr>
        <w:spacing w:line="520" w:lineRule="exact"/>
        <w:rPr>
          <w:rFonts w:ascii="宋体" w:hAnsi="宋体" w:cs="宋体"/>
          <w:szCs w:val="21"/>
        </w:rPr>
      </w:pPr>
    </w:p>
    <w:p>
      <w:pPr>
        <w:spacing w:line="520" w:lineRule="exact"/>
        <w:ind w:firstLine="422" w:firstLineChars="200"/>
        <w:rPr>
          <w:rFonts w:ascii="宋体" w:hAnsi="宋体" w:cs="宋体"/>
          <w:b/>
          <w:bCs/>
          <w:szCs w:val="21"/>
        </w:rPr>
      </w:pPr>
    </w:p>
    <w:p>
      <w:pPr>
        <w:spacing w:line="520" w:lineRule="exact"/>
        <w:ind w:firstLine="1995" w:firstLineChars="950"/>
        <w:rPr>
          <w:rFonts w:ascii="宋体" w:hAnsi="宋体" w:cs="宋体"/>
          <w:b/>
          <w:bCs/>
          <w:szCs w:val="21"/>
        </w:rPr>
      </w:pPr>
      <w:r>
        <w:rPr>
          <w:rFonts w:hint="eastAsia" w:ascii="宋体" w:hAnsi="宋体" w:cs="宋体"/>
          <w:szCs w:val="21"/>
        </w:rPr>
        <w:t>（粘贴此处）</w:t>
      </w:r>
    </w:p>
    <w:p>
      <w:pPr>
        <w:snapToGrid w:val="0"/>
        <w:spacing w:line="520" w:lineRule="exact"/>
        <w:rPr>
          <w:rFonts w:ascii="宋体" w:hAnsi="宋体" w:cs="宋体"/>
          <w:szCs w:val="21"/>
        </w:rPr>
      </w:pPr>
    </w:p>
    <w:p>
      <w:pPr>
        <w:snapToGrid w:val="0"/>
        <w:spacing w:line="520" w:lineRule="exact"/>
        <w:ind w:firstLine="600"/>
        <w:rPr>
          <w:rFonts w:ascii="仿宋_GB2312" w:eastAsia="仿宋_GB2312"/>
          <w:szCs w:val="21"/>
        </w:rPr>
      </w:pPr>
    </w:p>
    <w:p>
      <w:pPr>
        <w:snapToGrid w:val="0"/>
        <w:spacing w:line="520" w:lineRule="exact"/>
        <w:ind w:firstLine="600"/>
        <w:rPr>
          <w:rFonts w:ascii="仿宋_GB2312" w:eastAsia="仿宋_GB2312"/>
          <w:szCs w:val="21"/>
        </w:rPr>
      </w:pPr>
    </w:p>
    <w:p>
      <w:pPr>
        <w:pStyle w:val="5"/>
        <w:spacing w:line="360" w:lineRule="auto"/>
        <w:rPr>
          <w:rFonts w:ascii="宋体" w:hAnsi="宋体"/>
        </w:rPr>
      </w:pPr>
      <w:r>
        <w:rPr>
          <w:rFonts w:hint="eastAsia" w:ascii="宋体" w:hAnsi="宋体"/>
        </w:rPr>
        <w:t>注:参加投标时授权代表须将身份证原件带至开标现场核查。</w:t>
      </w:r>
    </w:p>
    <w:p>
      <w:pPr>
        <w:pStyle w:val="5"/>
        <w:spacing w:line="360" w:lineRule="auto"/>
        <w:rPr>
          <w:rFonts w:ascii="宋体" w:hAnsi="宋体"/>
          <w:b/>
        </w:rPr>
      </w:pPr>
    </w:p>
    <w:p>
      <w:pPr>
        <w:pStyle w:val="5"/>
        <w:spacing w:line="360" w:lineRule="auto"/>
        <w:rPr>
          <w:rFonts w:ascii="宋体" w:hAnsi="宋体"/>
          <w:b/>
          <w:szCs w:val="20"/>
        </w:rPr>
      </w:pPr>
    </w:p>
    <w:p>
      <w:pPr>
        <w:pStyle w:val="5"/>
        <w:spacing w:line="360" w:lineRule="auto"/>
        <w:rPr>
          <w:rFonts w:ascii="宋体" w:hAnsi="宋体"/>
          <w:b/>
          <w:szCs w:val="20"/>
        </w:rPr>
      </w:pPr>
    </w:p>
    <w:p>
      <w:pPr>
        <w:pStyle w:val="3"/>
        <w:keepNext w:val="0"/>
        <w:keepLines w:val="0"/>
        <w:spacing w:before="0" w:after="0" w:line="415" w:lineRule="auto"/>
        <w:jc w:val="center"/>
        <w:rPr>
          <w:rFonts w:ascii="黑体" w:hAnsi="黑体" w:cs="黑体"/>
          <w:sz w:val="30"/>
          <w:szCs w:val="30"/>
          <w:lang w:val="en-GB"/>
        </w:rPr>
      </w:pPr>
      <w:r>
        <w:rPr>
          <w:rFonts w:hint="eastAsia" w:ascii="黑体" w:hAnsi="黑体" w:cs="黑体"/>
          <w:sz w:val="30"/>
          <w:szCs w:val="30"/>
          <w:lang w:val="en-GB"/>
        </w:rPr>
        <w:t>履行合同所必需的设备和专业技术能力承诺函</w:t>
      </w:r>
    </w:p>
    <w:p>
      <w:pPr>
        <w:jc w:val="center"/>
        <w:rPr>
          <w:rFonts w:ascii="宋体"/>
          <w:b/>
          <w:bCs/>
          <w:sz w:val="36"/>
          <w:szCs w:val="36"/>
        </w:rPr>
      </w:pPr>
    </w:p>
    <w:p>
      <w:pPr>
        <w:pStyle w:val="9"/>
        <w:shd w:val="clear" w:color="auto" w:fill="FFFFFF"/>
        <w:spacing w:before="156" w:beforeLines="50" w:beforeAutospacing="0" w:after="0" w:afterAutospacing="0" w:line="440" w:lineRule="exact"/>
        <w:ind w:firstLine="240" w:firstLineChars="100"/>
        <w:rPr>
          <w:color w:val="333333"/>
        </w:rPr>
      </w:pPr>
      <w:r>
        <w:rPr>
          <w:rFonts w:hint="eastAsia"/>
          <w:color w:val="333333"/>
          <w:u w:val="single"/>
        </w:rPr>
        <w:t xml:space="preserve"> </w:t>
      </w:r>
      <w:r>
        <w:rPr>
          <w:color w:val="333333"/>
          <w:u w:val="single"/>
        </w:rPr>
        <w:t xml:space="preserve">                  </w:t>
      </w:r>
      <w:r>
        <w:rPr>
          <w:rFonts w:hint="eastAsia"/>
          <w:color w:val="333333"/>
        </w:rPr>
        <w:t>（单位名称）：</w:t>
      </w:r>
    </w:p>
    <w:p>
      <w:pPr>
        <w:pStyle w:val="18"/>
        <w:spacing w:line="480" w:lineRule="atLeast"/>
        <w:ind w:firstLine="480"/>
        <w:rPr>
          <w:rFonts w:ascii="宋体" w:hAnsi="宋体" w:cs="宋体"/>
          <w:color w:val="333333"/>
          <w:sz w:val="24"/>
          <w:szCs w:val="24"/>
        </w:rPr>
      </w:pPr>
      <w:r>
        <w:rPr>
          <w:rFonts w:hint="eastAsia" w:ascii="宋体" w:hAnsi="宋体" w:cs="宋体"/>
          <w:color w:val="333333"/>
          <w:sz w:val="24"/>
          <w:szCs w:val="24"/>
        </w:rPr>
        <w:t>我单位</w:t>
      </w:r>
      <w:r>
        <w:rPr>
          <w:rFonts w:hint="eastAsia" w:ascii="宋体" w:hAnsi="宋体" w:cs="宋体"/>
          <w:color w:val="333333"/>
          <w:sz w:val="24"/>
          <w:szCs w:val="24"/>
          <w:u w:val="single"/>
        </w:rPr>
        <w:t xml:space="preserve"> </w:t>
      </w:r>
      <w:r>
        <w:rPr>
          <w:rFonts w:ascii="宋体" w:hAnsi="宋体" w:cs="宋体"/>
          <w:color w:val="333333"/>
          <w:sz w:val="24"/>
          <w:szCs w:val="24"/>
          <w:u w:val="single"/>
        </w:rPr>
        <w:t xml:space="preserve">       </w:t>
      </w:r>
      <w:r>
        <w:rPr>
          <w:rFonts w:hint="eastAsia" w:ascii="宋体" w:hAnsi="宋体" w:cs="宋体"/>
          <w:color w:val="333333"/>
          <w:sz w:val="24"/>
          <w:szCs w:val="24"/>
          <w:u w:val="single"/>
        </w:rPr>
        <w:t xml:space="preserve">    </w:t>
      </w:r>
      <w:r>
        <w:rPr>
          <w:rFonts w:hint="eastAsia" w:ascii="宋体" w:hAnsi="宋体" w:cs="宋体"/>
          <w:color w:val="333333"/>
          <w:sz w:val="24"/>
          <w:szCs w:val="24"/>
        </w:rPr>
        <w:t>（供应商名称）郑重承诺：</w:t>
      </w:r>
    </w:p>
    <w:p>
      <w:pPr>
        <w:pStyle w:val="18"/>
        <w:spacing w:line="480" w:lineRule="atLeast"/>
        <w:ind w:firstLine="480"/>
        <w:rPr>
          <w:rFonts w:ascii="宋体" w:hAnsi="宋体" w:cs="宋体"/>
          <w:color w:val="333333"/>
          <w:sz w:val="24"/>
          <w:szCs w:val="24"/>
        </w:rPr>
      </w:pPr>
      <w:r>
        <w:rPr>
          <w:rFonts w:hint="eastAsia" w:ascii="宋体" w:hAnsi="宋体" w:cs="宋体"/>
          <w:color w:val="333333"/>
          <w:sz w:val="24"/>
          <w:szCs w:val="24"/>
        </w:rPr>
        <w:t>贵方组织的</w:t>
      </w:r>
      <w:r>
        <w:rPr>
          <w:rFonts w:hint="eastAsia" w:ascii="宋体" w:hAnsi="宋体"/>
          <w:color w:val="333333"/>
          <w:u w:val="single"/>
        </w:rPr>
        <w:t xml:space="preserve"> </w:t>
      </w:r>
      <w:r>
        <w:rPr>
          <w:rFonts w:ascii="宋体" w:hAnsi="宋体"/>
          <w:color w:val="333333"/>
          <w:u w:val="single"/>
        </w:rPr>
        <w:t xml:space="preserve">           </w:t>
      </w:r>
      <w:r>
        <w:rPr>
          <w:rFonts w:hint="eastAsia" w:ascii="宋体" w:hAnsi="宋体" w:cs="宋体"/>
          <w:color w:val="333333"/>
          <w:sz w:val="24"/>
          <w:szCs w:val="24"/>
          <w:u w:val="single"/>
        </w:rPr>
        <w:t xml:space="preserve">     </w:t>
      </w:r>
      <w:r>
        <w:rPr>
          <w:rFonts w:hint="eastAsia" w:ascii="宋体" w:hAnsi="宋体" w:cs="宋体"/>
          <w:color w:val="333333"/>
          <w:sz w:val="24"/>
          <w:szCs w:val="24"/>
        </w:rPr>
        <w:t>(项目名称），我单位</w:t>
      </w:r>
      <w:r>
        <w:rPr>
          <w:rFonts w:hint="eastAsia" w:ascii="宋体" w:hAnsi="宋体" w:cs="宋体"/>
          <w:color w:val="333333"/>
          <w:sz w:val="24"/>
          <w:szCs w:val="24"/>
          <w:u w:val="single"/>
        </w:rPr>
        <w:t xml:space="preserve">      </w:t>
      </w:r>
      <w:r>
        <w:rPr>
          <w:rFonts w:hint="eastAsia" w:ascii="宋体" w:hAnsi="宋体" w:cs="宋体"/>
          <w:color w:val="333333"/>
          <w:sz w:val="24"/>
          <w:szCs w:val="24"/>
        </w:rPr>
        <w:t xml:space="preserve"> (在下划线上如实填写：有或没有）履行合同所必需的设备和专业技术能力。</w:t>
      </w:r>
    </w:p>
    <w:p>
      <w:pPr>
        <w:ind w:firstLine="560"/>
        <w:jc w:val="left"/>
        <w:rPr>
          <w:rFonts w:ascii="仿宋_GB2312" w:eastAsia="仿宋_GB2312"/>
          <w:sz w:val="24"/>
          <w:szCs w:val="20"/>
        </w:rPr>
      </w:pPr>
    </w:p>
    <w:p>
      <w:pPr>
        <w:ind w:firstLine="560"/>
        <w:jc w:val="left"/>
        <w:rPr>
          <w:rFonts w:ascii="仿宋_GB2312" w:eastAsia="仿宋_GB2312"/>
          <w:sz w:val="28"/>
          <w:szCs w:val="28"/>
        </w:rPr>
      </w:pPr>
    </w:p>
    <w:p>
      <w:pPr>
        <w:ind w:firstLine="560"/>
        <w:jc w:val="left"/>
        <w:rPr>
          <w:rFonts w:ascii="仿宋_GB2312" w:eastAsia="仿宋_GB2312"/>
          <w:sz w:val="28"/>
          <w:szCs w:val="28"/>
        </w:rPr>
      </w:pPr>
    </w:p>
    <w:p>
      <w:pPr>
        <w:pStyle w:val="18"/>
        <w:spacing w:line="480" w:lineRule="atLeast"/>
        <w:ind w:firstLine="480"/>
        <w:rPr>
          <w:rFonts w:ascii="宋体" w:hAnsi="宋体" w:cs="宋体"/>
          <w:color w:val="333333"/>
          <w:sz w:val="24"/>
          <w:szCs w:val="24"/>
        </w:rPr>
      </w:pPr>
      <w:r>
        <w:rPr>
          <w:rFonts w:hint="eastAsia" w:ascii="仿宋_GB2312" w:eastAsia="仿宋_GB2312"/>
          <w:sz w:val="28"/>
          <w:szCs w:val="28"/>
        </w:rPr>
        <w:t xml:space="preserve">                             </w:t>
      </w:r>
      <w:r>
        <w:rPr>
          <w:rFonts w:hint="eastAsia" w:ascii="宋体" w:hAnsi="宋体" w:cs="宋体"/>
          <w:color w:val="333333"/>
          <w:sz w:val="24"/>
          <w:szCs w:val="24"/>
        </w:rPr>
        <w:t>承诺人：（公章）</w:t>
      </w:r>
    </w:p>
    <w:p>
      <w:pPr>
        <w:pStyle w:val="18"/>
        <w:spacing w:line="480" w:lineRule="atLeast"/>
        <w:ind w:firstLine="480"/>
        <w:rPr>
          <w:rFonts w:ascii="宋体" w:hAnsi="宋体" w:cs="宋体"/>
          <w:color w:val="333333"/>
          <w:sz w:val="24"/>
          <w:szCs w:val="24"/>
        </w:rPr>
      </w:pPr>
      <w:r>
        <w:rPr>
          <w:rFonts w:hint="eastAsia" w:ascii="宋体" w:hAnsi="宋体" w:cs="宋体"/>
          <w:color w:val="333333"/>
          <w:sz w:val="24"/>
          <w:szCs w:val="24"/>
        </w:rPr>
        <w:t xml:space="preserve">                                    年  月  日</w:t>
      </w:r>
    </w:p>
    <w:p>
      <w:pPr>
        <w:spacing w:line="360" w:lineRule="auto"/>
        <w:jc w:val="center"/>
        <w:rPr>
          <w:rFonts w:ascii="宋体" w:hAnsi="宋体"/>
          <w:b/>
          <w:sz w:val="32"/>
          <w:szCs w:val="32"/>
          <w:u w:val="single"/>
        </w:rPr>
      </w:pPr>
    </w:p>
    <w:p>
      <w:pPr>
        <w:spacing w:line="360" w:lineRule="auto"/>
        <w:jc w:val="center"/>
        <w:rPr>
          <w:rFonts w:ascii="宋体" w:hAnsi="宋体"/>
          <w:b/>
          <w:sz w:val="32"/>
          <w:szCs w:val="32"/>
          <w:u w:val="single"/>
        </w:rPr>
      </w:pPr>
    </w:p>
    <w:p>
      <w:pPr>
        <w:spacing w:line="360" w:lineRule="auto"/>
        <w:jc w:val="center"/>
        <w:rPr>
          <w:rFonts w:ascii="宋体" w:hAnsi="宋体"/>
          <w:b/>
          <w:sz w:val="32"/>
          <w:szCs w:val="32"/>
          <w:u w:val="single"/>
        </w:rPr>
      </w:pPr>
    </w:p>
    <w:p>
      <w:pPr>
        <w:spacing w:line="360" w:lineRule="auto"/>
        <w:jc w:val="center"/>
        <w:rPr>
          <w:rFonts w:ascii="宋体" w:hAnsi="宋体"/>
          <w:b/>
          <w:sz w:val="32"/>
          <w:szCs w:val="32"/>
          <w:u w:val="single"/>
        </w:rPr>
      </w:pPr>
    </w:p>
    <w:p>
      <w:pPr>
        <w:spacing w:line="360" w:lineRule="auto"/>
        <w:jc w:val="center"/>
        <w:rPr>
          <w:rFonts w:ascii="宋体" w:hAnsi="宋体"/>
          <w:b/>
          <w:sz w:val="32"/>
          <w:szCs w:val="32"/>
          <w:u w:val="single"/>
        </w:rPr>
      </w:pPr>
    </w:p>
    <w:p>
      <w:pPr>
        <w:spacing w:line="360" w:lineRule="auto"/>
        <w:jc w:val="center"/>
        <w:rPr>
          <w:rFonts w:ascii="宋体" w:hAnsi="宋体"/>
          <w:b/>
          <w:sz w:val="32"/>
          <w:szCs w:val="32"/>
          <w:u w:val="single"/>
        </w:rPr>
      </w:pPr>
    </w:p>
    <w:p>
      <w:pPr>
        <w:spacing w:line="360" w:lineRule="auto"/>
        <w:jc w:val="center"/>
        <w:rPr>
          <w:rFonts w:ascii="宋体" w:hAnsi="宋体"/>
          <w:b/>
          <w:sz w:val="32"/>
          <w:szCs w:val="32"/>
          <w:u w:val="single"/>
        </w:rPr>
      </w:pPr>
    </w:p>
    <w:p>
      <w:pPr>
        <w:spacing w:line="360" w:lineRule="auto"/>
        <w:jc w:val="center"/>
        <w:rPr>
          <w:rFonts w:ascii="宋体" w:hAnsi="宋体"/>
          <w:b/>
          <w:sz w:val="32"/>
          <w:szCs w:val="32"/>
          <w:u w:val="single"/>
        </w:rPr>
      </w:pPr>
    </w:p>
    <w:p>
      <w:pPr>
        <w:jc w:val="center"/>
        <w:rPr>
          <w:rFonts w:ascii="??_GB2312"/>
          <w:b/>
          <w:bCs/>
          <w:sz w:val="44"/>
          <w:szCs w:val="44"/>
        </w:rPr>
      </w:pPr>
    </w:p>
    <w:p>
      <w:pPr>
        <w:jc w:val="center"/>
        <w:rPr>
          <w:rFonts w:ascii="??_GB2312"/>
          <w:b/>
          <w:bCs/>
          <w:sz w:val="44"/>
          <w:szCs w:val="44"/>
        </w:rPr>
      </w:pPr>
    </w:p>
    <w:p>
      <w:pPr>
        <w:pStyle w:val="3"/>
        <w:keepNext w:val="0"/>
        <w:keepLines w:val="0"/>
        <w:spacing w:before="0" w:after="0" w:line="415" w:lineRule="auto"/>
        <w:jc w:val="center"/>
        <w:rPr>
          <w:rFonts w:ascii="黑体" w:hAnsi="黑体" w:cs="黑体"/>
          <w:sz w:val="30"/>
          <w:szCs w:val="30"/>
          <w:lang w:val="en-GB"/>
        </w:rPr>
      </w:pPr>
      <w:r>
        <w:rPr>
          <w:rFonts w:ascii="??_GB2312" w:eastAsia="Times New Roman"/>
          <w:sz w:val="44"/>
          <w:szCs w:val="44"/>
        </w:rPr>
        <w:br w:type="page"/>
      </w:r>
      <w:r>
        <w:rPr>
          <w:rFonts w:hint="eastAsia" w:ascii="黑体" w:hAnsi="黑体" w:cs="黑体"/>
          <w:sz w:val="30"/>
          <w:szCs w:val="30"/>
          <w:lang w:val="en-GB"/>
        </w:rPr>
        <w:t>无重大违法记录的书面声明</w:t>
      </w:r>
    </w:p>
    <w:p>
      <w:pPr>
        <w:jc w:val="center"/>
        <w:rPr>
          <w:rFonts w:ascii="??_GB2312" w:eastAsia="Times New Roman"/>
          <w:b/>
          <w:bCs/>
          <w:sz w:val="44"/>
          <w:szCs w:val="44"/>
        </w:rPr>
      </w:pPr>
    </w:p>
    <w:p>
      <w:pPr>
        <w:pStyle w:val="9"/>
        <w:shd w:val="clear" w:color="auto" w:fill="FFFFFF"/>
        <w:spacing w:before="156" w:beforeLines="50" w:beforeAutospacing="0" w:after="0" w:afterAutospacing="0" w:line="440" w:lineRule="exact"/>
        <w:ind w:firstLine="240" w:firstLineChars="100"/>
        <w:rPr>
          <w:color w:val="333333"/>
        </w:rPr>
      </w:pPr>
      <w:r>
        <w:rPr>
          <w:rFonts w:hint="eastAsia"/>
          <w:color w:val="333333"/>
          <w:u w:val="single"/>
        </w:rPr>
        <w:t xml:space="preserve"> </w:t>
      </w:r>
      <w:r>
        <w:rPr>
          <w:color w:val="333333"/>
          <w:u w:val="single"/>
        </w:rPr>
        <w:t xml:space="preserve">                  </w:t>
      </w:r>
      <w:r>
        <w:rPr>
          <w:rFonts w:hint="eastAsia"/>
          <w:color w:val="333333"/>
        </w:rPr>
        <w:t>（单位名称）：</w:t>
      </w:r>
    </w:p>
    <w:p>
      <w:pPr>
        <w:pStyle w:val="18"/>
        <w:spacing w:line="480" w:lineRule="atLeast"/>
        <w:ind w:firstLine="480" w:firstLineChars="200"/>
        <w:rPr>
          <w:rFonts w:ascii="宋体" w:hAnsi="宋体" w:cs="宋体"/>
          <w:color w:val="333333"/>
          <w:sz w:val="24"/>
          <w:szCs w:val="24"/>
        </w:rPr>
      </w:pPr>
      <w:r>
        <w:rPr>
          <w:rFonts w:hint="eastAsia" w:ascii="宋体" w:hAnsi="宋体" w:cs="宋体"/>
          <w:color w:val="333333"/>
          <w:sz w:val="24"/>
          <w:szCs w:val="24"/>
        </w:rPr>
        <w:t>我单位</w:t>
      </w:r>
      <w:r>
        <w:rPr>
          <w:rFonts w:ascii="宋体" w:hAnsi="宋体" w:cs="宋体"/>
          <w:color w:val="333333"/>
          <w:sz w:val="24"/>
          <w:szCs w:val="24"/>
          <w:u w:val="single"/>
        </w:rPr>
        <w:t xml:space="preserve">   </w:t>
      </w:r>
      <w:r>
        <w:rPr>
          <w:rFonts w:hint="eastAsia" w:ascii="宋体" w:hAnsi="宋体" w:cs="宋体"/>
          <w:color w:val="333333"/>
          <w:sz w:val="24"/>
          <w:szCs w:val="24"/>
          <w:u w:val="single"/>
        </w:rPr>
        <w:t xml:space="preserve"> </w:t>
      </w:r>
      <w:r>
        <w:rPr>
          <w:rFonts w:ascii="宋体" w:hAnsi="宋体" w:cs="宋体"/>
          <w:color w:val="333333"/>
          <w:sz w:val="24"/>
          <w:szCs w:val="24"/>
          <w:u w:val="single"/>
        </w:rPr>
        <w:t xml:space="preserve">         </w:t>
      </w:r>
      <w:r>
        <w:rPr>
          <w:rFonts w:hint="eastAsia" w:ascii="宋体" w:hAnsi="宋体" w:cs="宋体"/>
          <w:color w:val="333333"/>
          <w:sz w:val="24"/>
          <w:szCs w:val="24"/>
        </w:rPr>
        <w:t>（供应商名称）郑重声明：</w:t>
      </w:r>
    </w:p>
    <w:p>
      <w:pPr>
        <w:pStyle w:val="18"/>
        <w:spacing w:line="480" w:lineRule="atLeast"/>
        <w:ind w:firstLine="480" w:firstLineChars="200"/>
        <w:rPr>
          <w:rFonts w:ascii="宋体" w:hAnsi="宋体" w:cs="宋体"/>
          <w:color w:val="333333"/>
          <w:sz w:val="24"/>
          <w:szCs w:val="24"/>
        </w:rPr>
      </w:pPr>
      <w:r>
        <w:rPr>
          <w:rFonts w:hint="eastAsia" w:ascii="宋体" w:hAnsi="宋体" w:cs="宋体"/>
          <w:color w:val="333333"/>
          <w:sz w:val="24"/>
          <w:szCs w:val="24"/>
        </w:rPr>
        <w:t>参加本项目政府采购活动前</w:t>
      </w:r>
      <w:r>
        <w:rPr>
          <w:rFonts w:ascii="宋体" w:hAnsi="宋体" w:cs="宋体"/>
          <w:color w:val="333333"/>
          <w:sz w:val="24"/>
          <w:szCs w:val="24"/>
        </w:rPr>
        <w:t>3</w:t>
      </w:r>
      <w:r>
        <w:rPr>
          <w:rFonts w:hint="eastAsia" w:ascii="宋体" w:hAnsi="宋体" w:cs="宋体"/>
          <w:color w:val="333333"/>
          <w:sz w:val="24"/>
          <w:szCs w:val="24"/>
        </w:rPr>
        <w:t>年内在经营活动中</w:t>
      </w:r>
      <w:r>
        <w:rPr>
          <w:rFonts w:ascii="宋体" w:hAnsi="宋体" w:cs="宋体"/>
          <w:color w:val="333333"/>
          <w:sz w:val="24"/>
          <w:szCs w:val="24"/>
          <w:u w:val="single"/>
        </w:rPr>
        <w:t xml:space="preserve">    </w:t>
      </w:r>
      <w:r>
        <w:rPr>
          <w:rFonts w:hint="eastAsia" w:ascii="宋体" w:hAnsi="宋体" w:cs="宋体"/>
          <w:color w:val="333333"/>
          <w:sz w:val="24"/>
          <w:szCs w:val="24"/>
          <w:u w:val="single"/>
        </w:rPr>
        <w:t xml:space="preserve"> </w:t>
      </w:r>
      <w:r>
        <w:rPr>
          <w:rFonts w:ascii="宋体" w:hAnsi="宋体" w:cs="宋体"/>
          <w:color w:val="333333"/>
          <w:sz w:val="24"/>
          <w:szCs w:val="24"/>
          <w:u w:val="single"/>
        </w:rPr>
        <w:t xml:space="preserve">     </w:t>
      </w:r>
      <w:r>
        <w:rPr>
          <w:rFonts w:ascii="宋体" w:hAnsi="宋体" w:cs="宋体"/>
          <w:color w:val="333333"/>
          <w:sz w:val="24"/>
          <w:szCs w:val="24"/>
        </w:rPr>
        <w:t>(</w:t>
      </w:r>
      <w:r>
        <w:rPr>
          <w:rFonts w:hint="eastAsia" w:ascii="宋体" w:hAnsi="宋体" w:cs="宋体"/>
          <w:color w:val="333333"/>
          <w:sz w:val="24"/>
          <w:szCs w:val="24"/>
        </w:rPr>
        <w:t>在下划线上如实填写：有或没有）重大违法记录。</w:t>
      </w:r>
    </w:p>
    <w:p>
      <w:pPr>
        <w:ind w:firstLine="560"/>
        <w:jc w:val="left"/>
        <w:rPr>
          <w:rFonts w:ascii="??_GB2312" w:eastAsia="Times New Roman"/>
          <w:sz w:val="28"/>
          <w:szCs w:val="28"/>
        </w:rPr>
      </w:pPr>
    </w:p>
    <w:p>
      <w:pPr>
        <w:pStyle w:val="18"/>
        <w:spacing w:line="480" w:lineRule="atLeast"/>
        <w:ind w:firstLine="480" w:firstLineChars="200"/>
        <w:rPr>
          <w:rFonts w:ascii="宋体" w:hAnsi="宋体" w:cs="宋体"/>
          <w:color w:val="333333"/>
          <w:sz w:val="24"/>
          <w:szCs w:val="24"/>
        </w:rPr>
      </w:pPr>
      <w:r>
        <w:rPr>
          <w:rFonts w:hint="eastAsia" w:ascii="宋体" w:hAnsi="宋体" w:cs="宋体"/>
          <w:color w:val="333333"/>
          <w:sz w:val="24"/>
          <w:szCs w:val="24"/>
        </w:rPr>
        <w:t>（说明：政府采购法第二十二条第一款第五项所称重大违法记录，是指供应商因违法经营受到刑事处罚或者责令停产停业、吊销许可证或者执照、较大数额罚款等行政处罚。）</w:t>
      </w:r>
    </w:p>
    <w:p>
      <w:pPr>
        <w:ind w:firstLine="560"/>
        <w:jc w:val="left"/>
        <w:rPr>
          <w:rFonts w:ascii="??_GB2312" w:eastAsia="Times New Roman"/>
          <w:sz w:val="28"/>
          <w:szCs w:val="28"/>
        </w:rPr>
      </w:pPr>
    </w:p>
    <w:p>
      <w:pPr>
        <w:ind w:firstLine="560"/>
        <w:jc w:val="left"/>
        <w:rPr>
          <w:rFonts w:ascii="??_GB2312" w:eastAsia="Times New Roman"/>
          <w:sz w:val="28"/>
          <w:szCs w:val="28"/>
        </w:rPr>
      </w:pPr>
    </w:p>
    <w:p>
      <w:pPr>
        <w:pStyle w:val="18"/>
        <w:spacing w:line="480" w:lineRule="atLeast"/>
        <w:ind w:firstLine="560" w:firstLineChars="200"/>
        <w:rPr>
          <w:rFonts w:ascii="宋体" w:hAnsi="宋体" w:cs="宋体"/>
          <w:color w:val="333333"/>
          <w:sz w:val="24"/>
          <w:szCs w:val="24"/>
        </w:rPr>
      </w:pPr>
      <w:r>
        <w:rPr>
          <w:rFonts w:ascii="??_GB2312" w:eastAsia="Times New Roman"/>
          <w:sz w:val="28"/>
          <w:szCs w:val="28"/>
        </w:rPr>
        <w:t xml:space="preserve">           </w:t>
      </w:r>
      <w:r>
        <w:rPr>
          <w:rFonts w:hint="eastAsia" w:ascii="??_GB2312"/>
          <w:sz w:val="28"/>
          <w:szCs w:val="28"/>
        </w:rPr>
        <w:t xml:space="preserve">          </w:t>
      </w:r>
      <w:r>
        <w:rPr>
          <w:rFonts w:ascii="??_GB2312" w:eastAsia="Times New Roman"/>
          <w:sz w:val="28"/>
          <w:szCs w:val="28"/>
        </w:rPr>
        <w:t xml:space="preserve"> </w:t>
      </w:r>
      <w:r>
        <w:rPr>
          <w:rFonts w:hint="eastAsia" w:ascii="??_GB2312"/>
          <w:sz w:val="28"/>
          <w:szCs w:val="28"/>
        </w:rPr>
        <w:t xml:space="preserve">       </w:t>
      </w:r>
      <w:r>
        <w:rPr>
          <w:rFonts w:hint="eastAsia" w:ascii="宋体" w:hAnsi="宋体" w:cs="宋体"/>
          <w:color w:val="333333"/>
          <w:sz w:val="24"/>
          <w:szCs w:val="24"/>
        </w:rPr>
        <w:t>声明人：（公章）</w:t>
      </w:r>
    </w:p>
    <w:p>
      <w:pPr>
        <w:pStyle w:val="18"/>
        <w:spacing w:line="480" w:lineRule="atLeast"/>
        <w:ind w:firstLine="480" w:firstLineChars="200"/>
        <w:rPr>
          <w:rFonts w:ascii="宋体" w:hAnsi="宋体" w:cs="宋体"/>
          <w:color w:val="333333"/>
          <w:sz w:val="24"/>
          <w:szCs w:val="24"/>
        </w:rPr>
      </w:pPr>
      <w:r>
        <w:rPr>
          <w:rFonts w:ascii="宋体" w:hAnsi="宋体" w:cs="宋体"/>
          <w:color w:val="333333"/>
          <w:sz w:val="24"/>
          <w:szCs w:val="24"/>
        </w:rPr>
        <w:t xml:space="preserve">                           </w:t>
      </w:r>
      <w:r>
        <w:rPr>
          <w:rFonts w:hint="eastAsia" w:ascii="宋体" w:hAnsi="宋体" w:cs="宋体"/>
          <w:color w:val="333333"/>
          <w:sz w:val="24"/>
          <w:szCs w:val="24"/>
        </w:rPr>
        <w:t xml:space="preserve">      年</w:t>
      </w:r>
      <w:r>
        <w:rPr>
          <w:rFonts w:ascii="宋体" w:hAnsi="宋体" w:cs="宋体"/>
          <w:color w:val="333333"/>
          <w:sz w:val="24"/>
          <w:szCs w:val="24"/>
        </w:rPr>
        <w:t xml:space="preserve">   </w:t>
      </w:r>
      <w:r>
        <w:rPr>
          <w:rFonts w:hint="eastAsia" w:ascii="宋体" w:hAnsi="宋体" w:cs="宋体"/>
          <w:color w:val="333333"/>
          <w:sz w:val="24"/>
          <w:szCs w:val="24"/>
        </w:rPr>
        <w:t>月</w:t>
      </w:r>
      <w:r>
        <w:rPr>
          <w:rFonts w:ascii="宋体" w:hAnsi="宋体" w:cs="宋体"/>
          <w:color w:val="333333"/>
          <w:sz w:val="24"/>
          <w:szCs w:val="24"/>
        </w:rPr>
        <w:t xml:space="preserve">   </w:t>
      </w:r>
      <w:r>
        <w:rPr>
          <w:rFonts w:hint="eastAsia" w:ascii="宋体" w:hAnsi="宋体" w:cs="宋体"/>
          <w:color w:val="333333"/>
          <w:sz w:val="24"/>
          <w:szCs w:val="24"/>
        </w:rPr>
        <w:t>日</w:t>
      </w:r>
    </w:p>
    <w:p>
      <w:pPr>
        <w:pStyle w:val="3"/>
        <w:keepNext w:val="0"/>
        <w:keepLines w:val="0"/>
        <w:spacing w:before="0" w:after="0" w:line="415" w:lineRule="auto"/>
        <w:jc w:val="center"/>
        <w:rPr>
          <w:rFonts w:ascii="黑体" w:hAnsi="黑体" w:cs="黑体"/>
          <w:sz w:val="30"/>
          <w:szCs w:val="30"/>
          <w:lang w:val="en-GB"/>
        </w:rPr>
      </w:pPr>
      <w:r>
        <w:rPr>
          <w:rFonts w:ascii="??_GB2312" w:eastAsia="Times New Roman"/>
          <w:sz w:val="28"/>
          <w:szCs w:val="28"/>
        </w:rPr>
        <w:br w:type="page"/>
      </w:r>
      <w:r>
        <w:rPr>
          <w:rFonts w:hint="eastAsia" w:ascii="黑体" w:hAnsi="黑体" w:cs="黑体"/>
          <w:sz w:val="30"/>
          <w:szCs w:val="30"/>
          <w:lang w:val="en-GB"/>
        </w:rPr>
        <w:t>所投产品技术参数偏离表</w:t>
      </w:r>
    </w:p>
    <w:tbl>
      <w:tblPr>
        <w:tblStyle w:val="11"/>
        <w:tblW w:w="8046" w:type="dxa"/>
        <w:tblInd w:w="0" w:type="dxa"/>
        <w:tblBorders>
          <w:top w:val="double" w:color="auto" w:sz="4" w:space="0"/>
          <w:left w:val="double" w:color="auto" w:sz="4" w:space="0"/>
          <w:bottom w:val="doub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134"/>
        <w:gridCol w:w="1418"/>
        <w:gridCol w:w="2268"/>
        <w:gridCol w:w="2409"/>
      </w:tblGrid>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8"/>
              <w:spacing w:line="320" w:lineRule="atLeast"/>
              <w:jc w:val="center"/>
              <w:rPr>
                <w:rFonts w:ascii="宋体" w:hAnsi="宋体" w:cs="宋体"/>
                <w:color w:val="333333"/>
                <w:sz w:val="24"/>
                <w:szCs w:val="24"/>
              </w:rPr>
            </w:pPr>
            <w:r>
              <w:rPr>
                <w:rFonts w:hint="eastAsia" w:ascii="宋体" w:hAnsi="宋体" w:cs="宋体"/>
                <w:color w:val="333333"/>
                <w:sz w:val="24"/>
                <w:szCs w:val="24"/>
              </w:rPr>
              <w:t>序号</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8"/>
              <w:spacing w:line="320" w:lineRule="atLeast"/>
              <w:jc w:val="center"/>
              <w:rPr>
                <w:rFonts w:ascii="宋体" w:hAnsi="宋体" w:cs="宋体"/>
                <w:color w:val="333333"/>
                <w:sz w:val="24"/>
                <w:szCs w:val="24"/>
              </w:rPr>
            </w:pPr>
            <w:r>
              <w:rPr>
                <w:rFonts w:hint="eastAsia" w:ascii="宋体" w:hAnsi="宋体" w:cs="宋体"/>
                <w:color w:val="333333"/>
                <w:sz w:val="24"/>
                <w:szCs w:val="24"/>
              </w:rPr>
              <w:t>名称</w:t>
            </w:r>
          </w:p>
        </w:tc>
        <w:tc>
          <w:tcPr>
            <w:tcW w:w="1418" w:type="dxa"/>
            <w:tcBorders>
              <w:top w:val="single" w:color="000000" w:sz="8" w:space="0"/>
              <w:left w:val="single" w:color="000000" w:sz="8" w:space="0"/>
              <w:bottom w:val="nil"/>
              <w:right w:val="single" w:color="auto" w:sz="4" w:space="0"/>
            </w:tcBorders>
            <w:shd w:val="clear" w:color="auto" w:fill="FFFFFF"/>
            <w:vAlign w:val="center"/>
          </w:tcPr>
          <w:p>
            <w:pPr>
              <w:pStyle w:val="18"/>
              <w:spacing w:line="320" w:lineRule="atLeast"/>
              <w:jc w:val="center"/>
              <w:rPr>
                <w:rFonts w:ascii="宋体" w:hAnsi="宋体" w:cs="宋体"/>
                <w:color w:val="333333"/>
                <w:sz w:val="24"/>
                <w:szCs w:val="24"/>
              </w:rPr>
            </w:pPr>
            <w:r>
              <w:rPr>
                <w:rFonts w:hint="eastAsia" w:ascii="宋体" w:hAnsi="宋体" w:cs="宋体"/>
                <w:color w:val="333333"/>
                <w:sz w:val="24"/>
                <w:szCs w:val="24"/>
              </w:rPr>
              <w:t>招标文件要</w:t>
            </w:r>
          </w:p>
          <w:p>
            <w:pPr>
              <w:pStyle w:val="18"/>
              <w:spacing w:line="320" w:lineRule="atLeast"/>
              <w:jc w:val="center"/>
              <w:rPr>
                <w:rFonts w:ascii="宋体" w:hAnsi="宋体" w:cs="宋体"/>
                <w:color w:val="333333"/>
                <w:sz w:val="24"/>
                <w:szCs w:val="24"/>
              </w:rPr>
            </w:pPr>
            <w:r>
              <w:rPr>
                <w:rFonts w:hint="eastAsia" w:ascii="宋体" w:hAnsi="宋体" w:cs="宋体"/>
                <w:color w:val="333333"/>
                <w:sz w:val="24"/>
                <w:szCs w:val="24"/>
              </w:rPr>
              <w:t>求的参数</w:t>
            </w:r>
          </w:p>
        </w:tc>
        <w:tc>
          <w:tcPr>
            <w:tcW w:w="2268" w:type="dxa"/>
            <w:tcBorders>
              <w:top w:val="single" w:color="000000" w:sz="8" w:space="0"/>
              <w:left w:val="single" w:color="auto" w:sz="4" w:space="0"/>
              <w:bottom w:val="nil"/>
              <w:right w:val="single" w:color="000000" w:sz="8" w:space="0"/>
            </w:tcBorders>
            <w:shd w:val="clear" w:color="auto" w:fill="FFFFFF"/>
            <w:vAlign w:val="center"/>
          </w:tcPr>
          <w:p>
            <w:pPr>
              <w:pStyle w:val="18"/>
              <w:spacing w:line="320" w:lineRule="atLeast"/>
              <w:jc w:val="center"/>
              <w:rPr>
                <w:rFonts w:ascii="宋体" w:hAnsi="宋体" w:cs="宋体"/>
                <w:color w:val="333333"/>
                <w:sz w:val="24"/>
                <w:szCs w:val="24"/>
              </w:rPr>
            </w:pPr>
            <w:r>
              <w:rPr>
                <w:rFonts w:hint="eastAsia" w:ascii="宋体" w:hAnsi="宋体" w:cs="宋体"/>
                <w:color w:val="333333"/>
                <w:sz w:val="24"/>
                <w:szCs w:val="24"/>
              </w:rPr>
              <w:t>所投产品的</w:t>
            </w:r>
          </w:p>
          <w:p>
            <w:pPr>
              <w:pStyle w:val="18"/>
              <w:spacing w:line="320" w:lineRule="atLeast"/>
              <w:jc w:val="center"/>
              <w:rPr>
                <w:rFonts w:ascii="宋体" w:hAnsi="宋体" w:cs="宋体"/>
                <w:color w:val="333333"/>
                <w:sz w:val="24"/>
                <w:szCs w:val="24"/>
              </w:rPr>
            </w:pPr>
            <w:r>
              <w:rPr>
                <w:rFonts w:hint="eastAsia" w:ascii="宋体" w:hAnsi="宋体" w:cs="宋体"/>
                <w:color w:val="333333"/>
                <w:sz w:val="24"/>
                <w:szCs w:val="24"/>
              </w:rPr>
              <w:t>品牌、参数</w:t>
            </w:r>
          </w:p>
        </w:tc>
        <w:tc>
          <w:tcPr>
            <w:tcW w:w="2409" w:type="dxa"/>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18"/>
              <w:spacing w:line="320" w:lineRule="atLeast"/>
              <w:jc w:val="center"/>
              <w:rPr>
                <w:rFonts w:ascii="宋体" w:hAnsi="宋体" w:cs="宋体"/>
                <w:color w:val="333333"/>
                <w:sz w:val="24"/>
                <w:szCs w:val="24"/>
              </w:rPr>
            </w:pPr>
            <w:r>
              <w:rPr>
                <w:rFonts w:hint="eastAsia" w:ascii="宋体" w:hAnsi="宋体" w:cs="宋体"/>
                <w:color w:val="333333"/>
                <w:sz w:val="24"/>
                <w:szCs w:val="24"/>
              </w:rPr>
              <w:t>与招标文件相比，所投产品参数偏离情况</w:t>
            </w: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kern w:val="0"/>
                <w:sz w:val="20"/>
                <w:szCs w:val="20"/>
              </w:rPr>
            </w:pPr>
            <w:r>
              <w:rPr>
                <w:kern w:val="0"/>
                <w:sz w:val="20"/>
                <w:szCs w:val="20"/>
              </w:rPr>
              <w:t>1</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kern w:val="0"/>
                <w:sz w:val="24"/>
              </w:rP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kern w:val="0"/>
                <w:sz w:val="20"/>
                <w:szCs w:val="20"/>
              </w:rPr>
            </w:pPr>
            <w:r>
              <w:rPr>
                <w:kern w:val="0"/>
                <w:sz w:val="20"/>
                <w:szCs w:val="20"/>
              </w:rPr>
              <w:t>2</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kern w:val="0"/>
                <w:sz w:val="20"/>
                <w:szCs w:val="20"/>
              </w:rPr>
            </w:pPr>
            <w:r>
              <w:rPr>
                <w:kern w:val="0"/>
                <w:sz w:val="20"/>
                <w:szCs w:val="20"/>
              </w:rPr>
              <w:t>3</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kern w:val="0"/>
                <w:sz w:val="20"/>
                <w:szCs w:val="20"/>
              </w:rPr>
            </w:pPr>
            <w:r>
              <w:rPr>
                <w:kern w:val="0"/>
                <w:sz w:val="20"/>
                <w:szCs w:val="20"/>
              </w:rPr>
              <w:t>4</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kern w:val="0"/>
                <w:sz w:val="20"/>
                <w:szCs w:val="20"/>
              </w:rPr>
            </w:pPr>
            <w:r>
              <w:rPr>
                <w:kern w:val="0"/>
                <w:sz w:val="20"/>
                <w:szCs w:val="20"/>
              </w:rPr>
              <w:t>5</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kern w:val="0"/>
                <w:sz w:val="20"/>
                <w:szCs w:val="20"/>
              </w:rPr>
            </w:pPr>
            <w:r>
              <w:rPr>
                <w:kern w:val="0"/>
                <w:sz w:val="20"/>
                <w:szCs w:val="20"/>
              </w:rPr>
              <w:t>6</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kern w:val="0"/>
                <w:sz w:val="20"/>
                <w:szCs w:val="20"/>
              </w:rPr>
            </w:pPr>
            <w:r>
              <w:rPr>
                <w:kern w:val="0"/>
                <w:sz w:val="20"/>
                <w:szCs w:val="20"/>
              </w:rPr>
              <w:t>7</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kern w:val="0"/>
                <w:sz w:val="20"/>
                <w:szCs w:val="20"/>
              </w:rPr>
            </w:pPr>
            <w:r>
              <w:rPr>
                <w:kern w:val="0"/>
                <w:sz w:val="20"/>
                <w:szCs w:val="20"/>
              </w:rPr>
              <w:t>8</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kern w:val="0"/>
                <w:sz w:val="20"/>
                <w:szCs w:val="20"/>
              </w:rPr>
            </w:pPr>
            <w:r>
              <w:rPr>
                <w:kern w:val="0"/>
                <w:sz w:val="20"/>
                <w:szCs w:val="20"/>
              </w:rPr>
              <w:t>9</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kern w:val="0"/>
                <w:sz w:val="20"/>
                <w:szCs w:val="20"/>
              </w:rPr>
            </w:pPr>
            <w:r>
              <w:rPr>
                <w:kern w:val="0"/>
                <w:sz w:val="20"/>
                <w:szCs w:val="20"/>
              </w:rPr>
              <w:t>10</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kern w:val="0"/>
                <w:sz w:val="20"/>
                <w:szCs w:val="20"/>
              </w:rPr>
            </w:pPr>
            <w:r>
              <w:rPr>
                <w:kern w:val="0"/>
                <w:sz w:val="20"/>
                <w:szCs w:val="20"/>
              </w:rPr>
              <w:t>11</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kern w:val="0"/>
                <w:sz w:val="20"/>
                <w:szCs w:val="20"/>
              </w:rPr>
            </w:pPr>
            <w:r>
              <w:rPr>
                <w:kern w:val="0"/>
                <w:sz w:val="20"/>
                <w:szCs w:val="20"/>
              </w:rPr>
              <w:t>12</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kern w:val="0"/>
                <w:sz w:val="24"/>
              </w:rPr>
            </w:pPr>
            <w:r>
              <w:t>13</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r>
              <w:t>14</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r>
              <w:t>15</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4"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r>
              <w:t>16</w:t>
            </w: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ascii="宋体" w:hAnsi="宋体" w:cs="宋体"/>
                <w:kern w:val="0"/>
                <w:sz w:val="20"/>
                <w:szCs w:val="20"/>
              </w:rP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ascii="宋体" w:hAnsi="宋体" w:cs="宋体"/>
                <w:kern w:val="0"/>
                <w:sz w:val="20"/>
                <w:szCs w:val="20"/>
              </w:rP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ascii="宋体" w:hAnsi="宋体" w:cs="宋体"/>
                <w:kern w:val="0"/>
                <w:sz w:val="20"/>
                <w:szCs w:val="20"/>
              </w:rP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ascii="宋体" w:hAnsi="宋体" w:cs="宋体"/>
                <w:kern w:val="0"/>
                <w:sz w:val="20"/>
                <w:szCs w:val="20"/>
              </w:rP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ascii="宋体" w:hAnsi="宋体" w:cs="宋体"/>
                <w:kern w:val="0"/>
                <w:sz w:val="20"/>
                <w:szCs w:val="20"/>
              </w:rP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spacing w:line="240" w:lineRule="auto"/>
              <w:jc w:val="center"/>
              <w:rPr>
                <w:rFonts w:ascii="宋体" w:hAnsi="宋体" w:cs="宋体"/>
                <w:kern w:val="0"/>
                <w:sz w:val="20"/>
                <w:szCs w:val="20"/>
              </w:rP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hAnsi="宋体" w:cs="宋体"/>
                <w:color w:val="000000"/>
                <w:szCs w:val="21"/>
              </w:rPr>
            </w:pPr>
          </w:p>
        </w:tc>
      </w:tr>
      <w:tr>
        <w:tblPrEx>
          <w:tblBorders>
            <w:top w:val="double" w:color="auto" w:sz="4" w:space="0"/>
            <w:left w:val="double" w:color="auto" w:sz="4" w:space="0"/>
            <w:bottom w:val="doub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 w:hRule="atLeast"/>
        </w:trPr>
        <w:tc>
          <w:tcPr>
            <w:tcW w:w="817"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2" w:firstLineChars="200"/>
              <w:jc w:val="center"/>
              <w:rPr>
                <w:rFonts w:ascii="宋体" w:hAnsi="宋体" w:cs="宋体"/>
                <w:b/>
                <w:bCs/>
                <w:color w:val="000000"/>
                <w:szCs w:val="21"/>
              </w:rPr>
            </w:pPr>
          </w:p>
        </w:tc>
        <w:tc>
          <w:tcPr>
            <w:tcW w:w="1134"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hAnsi="宋体" w:cs="宋体"/>
                <w:color w:val="000000"/>
                <w:szCs w:val="21"/>
              </w:rPr>
            </w:pPr>
          </w:p>
        </w:tc>
        <w:tc>
          <w:tcPr>
            <w:tcW w:w="1418"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hAnsi="宋体" w:cs="宋体"/>
                <w:color w:val="000000"/>
                <w:szCs w:val="21"/>
              </w:rPr>
            </w:pPr>
          </w:p>
        </w:tc>
        <w:tc>
          <w:tcPr>
            <w:tcW w:w="2268" w:type="dxa"/>
            <w:tcBorders>
              <w:top w:val="single" w:color="000000" w:sz="8" w:space="0"/>
              <w:left w:val="single" w:color="000000" w:sz="8" w:space="0"/>
              <w:bottom w:val="single" w:color="000000" w:sz="8" w:space="0"/>
              <w:right w:val="single" w:color="000000" w:sz="8" w:space="0"/>
            </w:tcBorders>
            <w:shd w:val="clear" w:color="auto" w:fill="FFFFFF"/>
            <w:vAlign w:val="center"/>
          </w:tcPr>
          <w:p>
            <w:pPr>
              <w:autoSpaceDE w:val="0"/>
              <w:autoSpaceDN w:val="0"/>
              <w:adjustRightInd w:val="0"/>
              <w:spacing w:line="360" w:lineRule="auto"/>
              <w:ind w:firstLine="420" w:firstLineChars="200"/>
              <w:rPr>
                <w:rFonts w:ascii="宋体" w:hAnsi="宋体" w:cs="宋体"/>
                <w:color w:val="000000"/>
                <w:szCs w:val="21"/>
              </w:rPr>
            </w:pPr>
          </w:p>
        </w:tc>
        <w:tc>
          <w:tcPr>
            <w:tcW w:w="2409" w:type="dxa"/>
            <w:tcBorders>
              <w:top w:val="single" w:color="000000" w:sz="8" w:space="0"/>
              <w:left w:val="single" w:color="000000" w:sz="8" w:space="0"/>
              <w:bottom w:val="single" w:color="000000" w:sz="8" w:space="0"/>
              <w:right w:val="single" w:color="000000" w:sz="8" w:space="0"/>
            </w:tcBorders>
            <w:shd w:val="clear" w:color="auto" w:fill="FFFFFF"/>
          </w:tcPr>
          <w:p>
            <w:pPr>
              <w:autoSpaceDE w:val="0"/>
              <w:autoSpaceDN w:val="0"/>
              <w:adjustRightInd w:val="0"/>
              <w:spacing w:line="360" w:lineRule="auto"/>
              <w:ind w:firstLine="420" w:firstLineChars="200"/>
              <w:rPr>
                <w:rFonts w:ascii="宋体" w:hAnsi="宋体" w:cs="宋体"/>
                <w:color w:val="000000"/>
                <w:szCs w:val="21"/>
              </w:rPr>
            </w:pPr>
          </w:p>
        </w:tc>
      </w:tr>
    </w:tbl>
    <w:p>
      <w:pPr>
        <w:pStyle w:val="5"/>
        <w:kinsoku w:val="0"/>
        <w:topLinePunct/>
        <w:autoSpaceDE w:val="0"/>
        <w:autoSpaceDN w:val="0"/>
        <w:snapToGrid w:val="0"/>
        <w:spacing w:line="400" w:lineRule="exact"/>
        <w:ind w:right="210" w:firstLineChars="200"/>
        <w:rPr>
          <w:rFonts w:ascii="宋体" w:hAnsi="宋体" w:cs="宋体"/>
          <w:szCs w:val="21"/>
        </w:rPr>
      </w:pPr>
      <w:r>
        <w:rPr>
          <w:rFonts w:hint="eastAsia" w:ascii="宋体" w:hAnsi="宋体" w:cs="宋体"/>
          <w:szCs w:val="21"/>
          <w:lang w:val="zh-CN"/>
        </w:rPr>
        <w:t>注：</w:t>
      </w:r>
      <w:r>
        <w:rPr>
          <w:rFonts w:hint="eastAsia" w:ascii="宋体" w:hAnsi="宋体" w:cs="宋体"/>
          <w:szCs w:val="21"/>
        </w:rPr>
        <w:t>1.根据招标文件中《产品清单》，与相应标项的所有参数相比较详细填列；2.参数偏离</w:t>
      </w:r>
      <w:r>
        <w:rPr>
          <w:rFonts w:hint="eastAsia" w:ascii="宋体" w:hAnsi="宋体" w:cs="宋体"/>
          <w:szCs w:val="21"/>
          <w:lang w:val="zh-CN"/>
        </w:rPr>
        <w:t>情况</w:t>
      </w:r>
      <w:r>
        <w:rPr>
          <w:rFonts w:hint="eastAsia" w:ascii="宋体" w:hAnsi="宋体" w:cs="宋体"/>
          <w:szCs w:val="21"/>
        </w:rPr>
        <w:t>为：符合、正偏离和负偏离；3.招标文件如有品牌要求或者招标文件虽然没有品牌要求但投标产品具有品牌，则填写具体品牌，其余情况可不填具体品牌。</w:t>
      </w:r>
    </w:p>
    <w:p>
      <w:pPr>
        <w:pStyle w:val="5"/>
        <w:kinsoku w:val="0"/>
        <w:topLinePunct/>
        <w:autoSpaceDE w:val="0"/>
        <w:autoSpaceDN w:val="0"/>
        <w:snapToGrid w:val="0"/>
        <w:spacing w:line="400" w:lineRule="exact"/>
        <w:ind w:right="210" w:firstLineChars="200"/>
        <w:rPr>
          <w:rFonts w:ascii="宋体" w:hAnsi="宋体" w:cs="宋体"/>
          <w:bCs/>
          <w:szCs w:val="21"/>
        </w:rPr>
        <w:sectPr>
          <w:footerReference r:id="rId7" w:type="first"/>
          <w:headerReference r:id="rId5" w:type="default"/>
          <w:footerReference r:id="rId6" w:type="default"/>
          <w:pgSz w:w="11907" w:h="16839"/>
          <w:pgMar w:top="1440" w:right="1800" w:bottom="1440" w:left="1800" w:header="624" w:footer="851" w:gutter="0"/>
          <w:pgNumType w:start="1"/>
          <w:cols w:space="720" w:num="1"/>
          <w:docGrid w:type="lines" w:linePitch="312" w:charSpace="0"/>
        </w:sectPr>
      </w:pPr>
      <w:r>
        <w:rPr>
          <w:rFonts w:hint="eastAsia" w:ascii="宋体" w:hAnsi="宋体" w:cs="宋体"/>
          <w:szCs w:val="21"/>
        </w:rPr>
        <w:t xml:space="preserve">   </w:t>
      </w:r>
    </w:p>
    <w:p>
      <w:pPr>
        <w:pStyle w:val="3"/>
        <w:keepNext w:val="0"/>
        <w:keepLines w:val="0"/>
        <w:spacing w:before="0" w:after="0" w:line="415" w:lineRule="auto"/>
        <w:jc w:val="center"/>
        <w:rPr>
          <w:rFonts w:ascii="黑体" w:hAnsi="黑体" w:cs="黑体"/>
          <w:sz w:val="30"/>
          <w:szCs w:val="30"/>
          <w:lang w:val="en-GB"/>
        </w:rPr>
      </w:pPr>
      <w:r>
        <w:rPr>
          <w:rFonts w:hint="eastAsia" w:ascii="黑体" w:hAnsi="黑体" w:cs="黑体"/>
          <w:sz w:val="30"/>
          <w:szCs w:val="30"/>
          <w:lang w:val="en-GB"/>
        </w:rPr>
        <w:t>南通市海门区教育部门集中采购</w:t>
      </w:r>
      <w:r>
        <w:rPr>
          <w:rFonts w:ascii="黑体" w:hAnsi="黑体" w:cs="黑体"/>
          <w:sz w:val="30"/>
          <w:szCs w:val="30"/>
          <w:lang w:val="en-GB"/>
        </w:rPr>
        <w:t>询价采购报价单</w:t>
      </w:r>
    </w:p>
    <w:p>
      <w:pPr>
        <w:pStyle w:val="9"/>
        <w:shd w:val="clear" w:color="auto" w:fill="FFFFFF"/>
        <w:spacing w:before="0" w:beforeAutospacing="0" w:after="0" w:afterAutospacing="0" w:line="338" w:lineRule="atLeast"/>
        <w:ind w:firstLine="480" w:firstLineChars="200"/>
        <w:rPr>
          <w:b/>
          <w:bCs/>
          <w:szCs w:val="21"/>
        </w:rPr>
      </w:pPr>
      <w:r>
        <w:rPr>
          <w:rFonts w:hint="eastAsia"/>
        </w:rPr>
        <w:t>项目名称</w:t>
      </w:r>
      <w:r>
        <w:rPr>
          <w:rFonts w:hint="eastAsia" w:ascii="仿宋_GB2312" w:hAnsi="Times New Roman" w:eastAsia="仿宋_GB2312"/>
          <w:sz w:val="28"/>
          <w:szCs w:val="28"/>
        </w:rPr>
        <w:t>：</w:t>
      </w:r>
      <w:r>
        <w:rPr>
          <w:rFonts w:hint="eastAsia"/>
        </w:rPr>
        <w:t xml:space="preserve"> </w:t>
      </w:r>
      <w:r>
        <w:t xml:space="preserve">    </w:t>
      </w:r>
      <w:r>
        <w:rPr>
          <w:rFonts w:hint="eastAsia" w:ascii="仿宋_GB2312" w:hAnsi="Times New Roman" w:eastAsia="仿宋_GB2312"/>
          <w:sz w:val="28"/>
          <w:szCs w:val="28"/>
        </w:rPr>
        <w:t xml:space="preserve">                      年    月    日</w:t>
      </w:r>
    </w:p>
    <w:tbl>
      <w:tblPr>
        <w:tblStyle w:val="11"/>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590"/>
        <w:gridCol w:w="2685"/>
        <w:gridCol w:w="925"/>
        <w:gridCol w:w="851"/>
        <w:gridCol w:w="99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825" w:type="dxa"/>
            <w:vAlign w:val="center"/>
          </w:tcPr>
          <w:p>
            <w:pPr>
              <w:pStyle w:val="9"/>
              <w:spacing w:before="0" w:beforeAutospacing="0" w:after="0" w:afterAutospacing="0"/>
              <w:jc w:val="center"/>
              <w:rPr>
                <w:rFonts w:ascii="仿宋_GB2312" w:hAnsi="Times New Roman" w:eastAsia="仿宋_GB2312"/>
              </w:rPr>
            </w:pPr>
            <w:r>
              <w:rPr>
                <w:rFonts w:hint="eastAsia" w:ascii="仿宋_GB2312" w:hAnsi="Times New Roman" w:eastAsia="仿宋_GB2312"/>
              </w:rPr>
              <w:t>序号</w:t>
            </w:r>
          </w:p>
        </w:tc>
        <w:tc>
          <w:tcPr>
            <w:tcW w:w="1590" w:type="dxa"/>
            <w:vAlign w:val="center"/>
          </w:tcPr>
          <w:p>
            <w:pPr>
              <w:pStyle w:val="9"/>
              <w:spacing w:before="0" w:beforeAutospacing="0" w:after="0" w:afterAutospacing="0"/>
              <w:jc w:val="center"/>
              <w:rPr>
                <w:rFonts w:ascii="仿宋_GB2312" w:hAnsi="Times New Roman" w:eastAsia="仿宋_GB2312"/>
              </w:rPr>
            </w:pPr>
            <w:r>
              <w:rPr>
                <w:rFonts w:hint="eastAsia" w:ascii="仿宋_GB2312" w:hAnsi="Times New Roman" w:eastAsia="仿宋_GB2312"/>
              </w:rPr>
              <w:t>产品名称</w:t>
            </w:r>
          </w:p>
        </w:tc>
        <w:tc>
          <w:tcPr>
            <w:tcW w:w="2685" w:type="dxa"/>
            <w:vAlign w:val="center"/>
          </w:tcPr>
          <w:p>
            <w:pPr>
              <w:pStyle w:val="9"/>
              <w:spacing w:before="0" w:beforeAutospacing="0" w:after="0" w:afterAutospacing="0"/>
              <w:jc w:val="center"/>
              <w:rPr>
                <w:rFonts w:ascii="仿宋_GB2312" w:hAnsi="Times New Roman" w:eastAsia="仿宋_GB2312"/>
              </w:rPr>
            </w:pPr>
            <w:r>
              <w:rPr>
                <w:rFonts w:hint="eastAsia" w:ascii="仿宋_GB2312" w:hAnsi="Times New Roman" w:eastAsia="仿宋_GB2312"/>
              </w:rPr>
              <w:t>技术参数</w:t>
            </w:r>
          </w:p>
        </w:tc>
        <w:tc>
          <w:tcPr>
            <w:tcW w:w="925" w:type="dxa"/>
            <w:vAlign w:val="center"/>
          </w:tcPr>
          <w:p>
            <w:pPr>
              <w:pStyle w:val="9"/>
              <w:spacing w:before="0" w:beforeAutospacing="0" w:after="0" w:afterAutospacing="0"/>
              <w:jc w:val="center"/>
              <w:rPr>
                <w:rFonts w:ascii="仿宋_GB2312" w:hAnsi="Times New Roman" w:eastAsia="仿宋_GB2312"/>
              </w:rPr>
            </w:pPr>
            <w:r>
              <w:rPr>
                <w:rFonts w:hint="eastAsia" w:ascii="仿宋_GB2312" w:hAnsi="Times New Roman" w:eastAsia="仿宋_GB2312"/>
              </w:rPr>
              <w:t>单位</w:t>
            </w:r>
          </w:p>
        </w:tc>
        <w:tc>
          <w:tcPr>
            <w:tcW w:w="851" w:type="dxa"/>
            <w:vAlign w:val="center"/>
          </w:tcPr>
          <w:p>
            <w:pPr>
              <w:pStyle w:val="9"/>
              <w:spacing w:before="0" w:beforeAutospacing="0" w:after="0" w:afterAutospacing="0"/>
              <w:jc w:val="center"/>
              <w:rPr>
                <w:rFonts w:ascii="仿宋_GB2312" w:hAnsi="Times New Roman" w:eastAsia="仿宋_GB2312"/>
              </w:rPr>
            </w:pPr>
            <w:r>
              <w:rPr>
                <w:rFonts w:hint="eastAsia" w:ascii="仿宋_GB2312" w:hAnsi="Times New Roman" w:eastAsia="仿宋_GB2312"/>
              </w:rPr>
              <w:t>数量</w:t>
            </w:r>
          </w:p>
        </w:tc>
        <w:tc>
          <w:tcPr>
            <w:tcW w:w="992" w:type="dxa"/>
            <w:vAlign w:val="center"/>
          </w:tcPr>
          <w:p>
            <w:pPr>
              <w:pStyle w:val="9"/>
              <w:spacing w:before="0" w:beforeAutospacing="0" w:after="0" w:afterAutospacing="0"/>
              <w:jc w:val="center"/>
              <w:rPr>
                <w:rFonts w:ascii="仿宋_GB2312" w:hAnsi="Times New Roman" w:eastAsia="仿宋_GB2312"/>
              </w:rPr>
            </w:pPr>
            <w:r>
              <w:rPr>
                <w:rFonts w:hint="eastAsia" w:ascii="仿宋_GB2312" w:hAnsi="Times New Roman" w:eastAsia="仿宋_GB2312"/>
              </w:rPr>
              <w:t>单价</w:t>
            </w:r>
          </w:p>
        </w:tc>
        <w:tc>
          <w:tcPr>
            <w:tcW w:w="1134" w:type="dxa"/>
            <w:vAlign w:val="center"/>
          </w:tcPr>
          <w:p>
            <w:pPr>
              <w:pStyle w:val="9"/>
              <w:spacing w:before="0" w:beforeAutospacing="0" w:after="0" w:afterAutospacing="0"/>
              <w:jc w:val="center"/>
              <w:rPr>
                <w:rFonts w:ascii="仿宋_GB2312" w:hAnsi="Times New Roman" w:eastAsia="仿宋_GB2312"/>
              </w:rPr>
            </w:pPr>
            <w:r>
              <w:rPr>
                <w:rFonts w:hint="eastAsia" w:ascii="仿宋_GB2312" w:hAnsi="Times New Roman" w:eastAsia="仿宋_GB2312"/>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25" w:type="dxa"/>
            <w:vAlign w:val="center"/>
          </w:tcPr>
          <w:p>
            <w:pPr>
              <w:pStyle w:val="9"/>
              <w:spacing w:before="0" w:beforeAutospacing="0" w:after="0" w:afterAutospacing="0"/>
              <w:jc w:val="center"/>
              <w:rPr>
                <w:rFonts w:ascii="仿宋_GB2312" w:hAnsi="Times New Roman" w:eastAsia="仿宋_GB2312"/>
              </w:rPr>
            </w:pPr>
            <w:r>
              <w:rPr>
                <w:rFonts w:hint="eastAsia" w:ascii="仿宋_GB2312" w:hAnsi="Times New Roman" w:eastAsia="仿宋_GB2312"/>
              </w:rPr>
              <w:t>1</w:t>
            </w:r>
          </w:p>
        </w:tc>
        <w:tc>
          <w:tcPr>
            <w:tcW w:w="1590" w:type="dxa"/>
          </w:tcPr>
          <w:p>
            <w:pPr>
              <w:widowControl/>
              <w:jc w:val="center"/>
              <w:rPr>
                <w:rFonts w:ascii="宋体" w:hAnsi="宋体" w:cs="宋体"/>
                <w:color w:val="000000"/>
                <w:kern w:val="0"/>
                <w:sz w:val="22"/>
              </w:rPr>
            </w:pPr>
          </w:p>
        </w:tc>
        <w:tc>
          <w:tcPr>
            <w:tcW w:w="2685" w:type="dxa"/>
          </w:tcPr>
          <w:p>
            <w:pPr>
              <w:widowControl/>
              <w:spacing w:line="400" w:lineRule="exact"/>
              <w:jc w:val="left"/>
              <w:rPr>
                <w:rFonts w:ascii="宋体" w:hAnsi="宋体" w:cs="宋体"/>
                <w:color w:val="000000"/>
                <w:kern w:val="0"/>
                <w:sz w:val="22"/>
              </w:rPr>
            </w:pPr>
          </w:p>
        </w:tc>
        <w:tc>
          <w:tcPr>
            <w:tcW w:w="925" w:type="dxa"/>
            <w:vAlign w:val="center"/>
          </w:tcPr>
          <w:p>
            <w:pPr>
              <w:widowControl/>
              <w:jc w:val="right"/>
              <w:rPr>
                <w:rFonts w:ascii="宋体" w:hAnsi="宋体" w:cs="宋体"/>
                <w:color w:val="000000"/>
                <w:kern w:val="0"/>
                <w:sz w:val="22"/>
              </w:rPr>
            </w:pPr>
          </w:p>
        </w:tc>
        <w:tc>
          <w:tcPr>
            <w:tcW w:w="851" w:type="dxa"/>
            <w:vAlign w:val="center"/>
          </w:tcPr>
          <w:p>
            <w:pPr>
              <w:pStyle w:val="9"/>
              <w:spacing w:before="0" w:beforeAutospacing="0" w:after="0" w:afterAutospacing="0"/>
              <w:jc w:val="center"/>
              <w:rPr>
                <w:rFonts w:ascii="仿宋_GB2312" w:hAnsi="Times New Roman" w:eastAsia="仿宋_GB2312"/>
              </w:rPr>
            </w:pPr>
          </w:p>
        </w:tc>
        <w:tc>
          <w:tcPr>
            <w:tcW w:w="992" w:type="dxa"/>
            <w:vAlign w:val="center"/>
          </w:tcPr>
          <w:p>
            <w:pPr>
              <w:pStyle w:val="9"/>
              <w:spacing w:before="0" w:beforeAutospacing="0" w:after="0" w:afterAutospacing="0"/>
              <w:jc w:val="center"/>
              <w:rPr>
                <w:rFonts w:ascii="仿宋_GB2312" w:hAnsi="Times New Roman" w:eastAsia="仿宋_GB2312"/>
              </w:rPr>
            </w:pPr>
          </w:p>
        </w:tc>
        <w:tc>
          <w:tcPr>
            <w:tcW w:w="1134" w:type="dxa"/>
            <w:vAlign w:val="center"/>
          </w:tcPr>
          <w:p>
            <w:pPr>
              <w:pStyle w:val="9"/>
              <w:spacing w:before="0" w:beforeAutospacing="0" w:after="0" w:afterAutospacing="0"/>
              <w:jc w:val="center"/>
              <w:rPr>
                <w:rFonts w:ascii="仿宋_GB2312"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25" w:type="dxa"/>
          </w:tcPr>
          <w:p>
            <w:pPr>
              <w:pStyle w:val="9"/>
              <w:spacing w:before="0" w:beforeAutospacing="0" w:after="0" w:afterAutospacing="0"/>
              <w:jc w:val="center"/>
              <w:rPr>
                <w:rFonts w:ascii="仿宋_GB2312" w:hAnsi="Times New Roman" w:eastAsia="仿宋_GB2312"/>
              </w:rPr>
            </w:pPr>
            <w:r>
              <w:rPr>
                <w:rFonts w:hint="eastAsia" w:ascii="仿宋_GB2312" w:hAnsi="Times New Roman" w:eastAsia="仿宋_GB2312"/>
              </w:rPr>
              <w:t>2</w:t>
            </w:r>
          </w:p>
        </w:tc>
        <w:tc>
          <w:tcPr>
            <w:tcW w:w="1590" w:type="dxa"/>
          </w:tcPr>
          <w:p>
            <w:pPr>
              <w:widowControl/>
              <w:jc w:val="center"/>
              <w:rPr>
                <w:rFonts w:ascii="宋体" w:hAnsi="宋体" w:cs="宋体"/>
                <w:color w:val="000000"/>
                <w:kern w:val="0"/>
                <w:sz w:val="22"/>
              </w:rPr>
            </w:pPr>
          </w:p>
        </w:tc>
        <w:tc>
          <w:tcPr>
            <w:tcW w:w="2685" w:type="dxa"/>
          </w:tcPr>
          <w:p>
            <w:pPr>
              <w:widowControl/>
              <w:jc w:val="left"/>
              <w:rPr>
                <w:rFonts w:ascii="宋体" w:hAnsi="宋体" w:cs="宋体"/>
                <w:color w:val="000000"/>
                <w:kern w:val="0"/>
                <w:sz w:val="22"/>
              </w:rPr>
            </w:pPr>
          </w:p>
        </w:tc>
        <w:tc>
          <w:tcPr>
            <w:tcW w:w="925" w:type="dxa"/>
            <w:vAlign w:val="center"/>
          </w:tcPr>
          <w:p>
            <w:pPr>
              <w:widowControl/>
              <w:jc w:val="right"/>
              <w:rPr>
                <w:rFonts w:ascii="宋体" w:hAnsi="宋体" w:cs="宋体"/>
                <w:color w:val="000000"/>
                <w:kern w:val="0"/>
                <w:sz w:val="22"/>
              </w:rPr>
            </w:pPr>
          </w:p>
        </w:tc>
        <w:tc>
          <w:tcPr>
            <w:tcW w:w="851" w:type="dxa"/>
          </w:tcPr>
          <w:p>
            <w:pPr>
              <w:pStyle w:val="9"/>
              <w:spacing w:before="0" w:beforeAutospacing="0" w:after="0" w:afterAutospacing="0"/>
              <w:jc w:val="center"/>
              <w:rPr>
                <w:rFonts w:ascii="仿宋_GB2312" w:hAnsi="Times New Roman" w:eastAsia="仿宋_GB2312"/>
              </w:rPr>
            </w:pPr>
          </w:p>
        </w:tc>
        <w:tc>
          <w:tcPr>
            <w:tcW w:w="992" w:type="dxa"/>
          </w:tcPr>
          <w:p>
            <w:pPr>
              <w:pStyle w:val="9"/>
              <w:spacing w:before="0" w:beforeAutospacing="0" w:after="0" w:afterAutospacing="0"/>
              <w:jc w:val="center"/>
              <w:rPr>
                <w:rFonts w:ascii="仿宋_GB2312" w:hAnsi="Times New Roman" w:eastAsia="仿宋_GB2312"/>
              </w:rPr>
            </w:pPr>
          </w:p>
        </w:tc>
        <w:tc>
          <w:tcPr>
            <w:tcW w:w="1134" w:type="dxa"/>
          </w:tcPr>
          <w:p>
            <w:pPr>
              <w:pStyle w:val="9"/>
              <w:spacing w:before="0" w:beforeAutospacing="0" w:after="0" w:afterAutospacing="0"/>
              <w:jc w:val="center"/>
              <w:rPr>
                <w:rFonts w:ascii="仿宋_GB2312"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25" w:type="dxa"/>
          </w:tcPr>
          <w:p>
            <w:pPr>
              <w:pStyle w:val="9"/>
              <w:spacing w:before="0" w:beforeAutospacing="0" w:after="0" w:afterAutospacing="0"/>
              <w:jc w:val="center"/>
              <w:rPr>
                <w:rFonts w:ascii="仿宋_GB2312" w:hAnsi="Times New Roman" w:eastAsia="仿宋_GB2312"/>
              </w:rPr>
            </w:pPr>
            <w:r>
              <w:rPr>
                <w:rFonts w:hint="eastAsia" w:ascii="仿宋_GB2312" w:hAnsi="Times New Roman" w:eastAsia="仿宋_GB2312"/>
              </w:rPr>
              <w:t>3</w:t>
            </w:r>
          </w:p>
        </w:tc>
        <w:tc>
          <w:tcPr>
            <w:tcW w:w="1590" w:type="dxa"/>
          </w:tcPr>
          <w:p>
            <w:pPr>
              <w:widowControl/>
              <w:jc w:val="center"/>
              <w:rPr>
                <w:rFonts w:ascii="宋体" w:hAnsi="宋体" w:cs="宋体"/>
                <w:color w:val="000000"/>
                <w:kern w:val="0"/>
                <w:sz w:val="22"/>
              </w:rPr>
            </w:pPr>
          </w:p>
        </w:tc>
        <w:tc>
          <w:tcPr>
            <w:tcW w:w="2685" w:type="dxa"/>
          </w:tcPr>
          <w:p>
            <w:pPr>
              <w:widowControl/>
              <w:jc w:val="left"/>
              <w:rPr>
                <w:rFonts w:ascii="宋体" w:hAnsi="宋体" w:cs="宋体"/>
                <w:color w:val="000000"/>
                <w:kern w:val="0"/>
                <w:sz w:val="22"/>
              </w:rPr>
            </w:pPr>
          </w:p>
        </w:tc>
        <w:tc>
          <w:tcPr>
            <w:tcW w:w="925" w:type="dxa"/>
            <w:vAlign w:val="center"/>
          </w:tcPr>
          <w:p>
            <w:pPr>
              <w:widowControl/>
              <w:jc w:val="right"/>
              <w:rPr>
                <w:rFonts w:ascii="宋体" w:hAnsi="宋体" w:cs="宋体"/>
                <w:color w:val="000000"/>
                <w:kern w:val="0"/>
                <w:sz w:val="22"/>
              </w:rPr>
            </w:pPr>
          </w:p>
        </w:tc>
        <w:tc>
          <w:tcPr>
            <w:tcW w:w="851" w:type="dxa"/>
          </w:tcPr>
          <w:p>
            <w:pPr>
              <w:pStyle w:val="9"/>
              <w:spacing w:before="0" w:beforeAutospacing="0" w:after="0" w:afterAutospacing="0"/>
              <w:jc w:val="center"/>
              <w:rPr>
                <w:rFonts w:ascii="仿宋_GB2312" w:hAnsi="Times New Roman" w:eastAsia="仿宋_GB2312"/>
              </w:rPr>
            </w:pPr>
          </w:p>
        </w:tc>
        <w:tc>
          <w:tcPr>
            <w:tcW w:w="992" w:type="dxa"/>
          </w:tcPr>
          <w:p>
            <w:pPr>
              <w:pStyle w:val="9"/>
              <w:spacing w:before="0" w:beforeAutospacing="0" w:after="0" w:afterAutospacing="0"/>
              <w:jc w:val="center"/>
              <w:rPr>
                <w:rFonts w:ascii="仿宋_GB2312" w:hAnsi="Times New Roman" w:eastAsia="仿宋_GB2312"/>
              </w:rPr>
            </w:pPr>
          </w:p>
        </w:tc>
        <w:tc>
          <w:tcPr>
            <w:tcW w:w="1134" w:type="dxa"/>
          </w:tcPr>
          <w:p>
            <w:pPr>
              <w:pStyle w:val="9"/>
              <w:spacing w:before="0" w:beforeAutospacing="0" w:after="0" w:afterAutospacing="0"/>
              <w:jc w:val="center"/>
              <w:rPr>
                <w:rFonts w:ascii="仿宋_GB2312"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25" w:type="dxa"/>
          </w:tcPr>
          <w:p>
            <w:pPr>
              <w:pStyle w:val="9"/>
              <w:spacing w:before="0" w:beforeAutospacing="0" w:after="0" w:afterAutospacing="0"/>
              <w:jc w:val="center"/>
              <w:rPr>
                <w:rFonts w:ascii="仿宋_GB2312" w:hAnsi="Times New Roman" w:eastAsia="仿宋_GB2312"/>
              </w:rPr>
            </w:pPr>
            <w:r>
              <w:rPr>
                <w:rFonts w:hint="eastAsia" w:ascii="仿宋_GB2312" w:hAnsi="Times New Roman" w:eastAsia="仿宋_GB2312"/>
              </w:rPr>
              <w:t>4</w:t>
            </w:r>
          </w:p>
        </w:tc>
        <w:tc>
          <w:tcPr>
            <w:tcW w:w="1590" w:type="dxa"/>
          </w:tcPr>
          <w:p>
            <w:pPr>
              <w:widowControl/>
              <w:jc w:val="center"/>
              <w:rPr>
                <w:rFonts w:ascii="宋体" w:hAnsi="宋体" w:cs="宋体"/>
                <w:color w:val="000000"/>
                <w:kern w:val="0"/>
                <w:sz w:val="22"/>
              </w:rPr>
            </w:pPr>
          </w:p>
        </w:tc>
        <w:tc>
          <w:tcPr>
            <w:tcW w:w="2685" w:type="dxa"/>
          </w:tcPr>
          <w:p>
            <w:pPr>
              <w:widowControl/>
              <w:jc w:val="left"/>
              <w:rPr>
                <w:rFonts w:ascii="宋体" w:hAnsi="宋体" w:cs="宋体"/>
                <w:color w:val="000000"/>
                <w:kern w:val="0"/>
                <w:sz w:val="22"/>
              </w:rPr>
            </w:pPr>
          </w:p>
        </w:tc>
        <w:tc>
          <w:tcPr>
            <w:tcW w:w="925" w:type="dxa"/>
            <w:vAlign w:val="center"/>
          </w:tcPr>
          <w:p>
            <w:pPr>
              <w:widowControl/>
              <w:jc w:val="right"/>
              <w:rPr>
                <w:rFonts w:ascii="宋体" w:hAnsi="宋体" w:cs="宋体"/>
                <w:color w:val="000000"/>
                <w:kern w:val="0"/>
                <w:sz w:val="22"/>
              </w:rPr>
            </w:pPr>
          </w:p>
        </w:tc>
        <w:tc>
          <w:tcPr>
            <w:tcW w:w="851" w:type="dxa"/>
          </w:tcPr>
          <w:p>
            <w:pPr>
              <w:pStyle w:val="9"/>
              <w:spacing w:before="0" w:beforeAutospacing="0" w:after="0" w:afterAutospacing="0"/>
              <w:jc w:val="center"/>
              <w:rPr>
                <w:rFonts w:ascii="仿宋_GB2312" w:hAnsi="Times New Roman" w:eastAsia="仿宋_GB2312"/>
              </w:rPr>
            </w:pPr>
          </w:p>
        </w:tc>
        <w:tc>
          <w:tcPr>
            <w:tcW w:w="992" w:type="dxa"/>
          </w:tcPr>
          <w:p>
            <w:pPr>
              <w:pStyle w:val="9"/>
              <w:spacing w:before="0" w:beforeAutospacing="0" w:after="0" w:afterAutospacing="0"/>
              <w:jc w:val="center"/>
              <w:rPr>
                <w:rFonts w:ascii="仿宋_GB2312" w:hAnsi="Times New Roman" w:eastAsia="仿宋_GB2312"/>
              </w:rPr>
            </w:pPr>
          </w:p>
        </w:tc>
        <w:tc>
          <w:tcPr>
            <w:tcW w:w="1134" w:type="dxa"/>
          </w:tcPr>
          <w:p>
            <w:pPr>
              <w:pStyle w:val="9"/>
              <w:spacing w:before="0" w:beforeAutospacing="0" w:after="0" w:afterAutospacing="0"/>
              <w:jc w:val="center"/>
              <w:rPr>
                <w:rFonts w:ascii="仿宋_GB2312"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25" w:type="dxa"/>
          </w:tcPr>
          <w:p>
            <w:pPr>
              <w:pStyle w:val="9"/>
              <w:spacing w:before="0" w:beforeAutospacing="0" w:after="0" w:afterAutospacing="0"/>
              <w:jc w:val="center"/>
              <w:rPr>
                <w:rFonts w:ascii="仿宋_GB2312" w:hAnsi="Times New Roman" w:eastAsia="仿宋_GB2312"/>
              </w:rPr>
            </w:pPr>
            <w:r>
              <w:rPr>
                <w:rFonts w:hint="eastAsia" w:ascii="仿宋_GB2312" w:hAnsi="Times New Roman" w:eastAsia="仿宋_GB2312"/>
              </w:rPr>
              <w:t>5</w:t>
            </w:r>
          </w:p>
        </w:tc>
        <w:tc>
          <w:tcPr>
            <w:tcW w:w="1590" w:type="dxa"/>
          </w:tcPr>
          <w:p>
            <w:pPr>
              <w:widowControl/>
              <w:jc w:val="center"/>
              <w:rPr>
                <w:rFonts w:ascii="宋体" w:hAnsi="宋体" w:cs="宋体"/>
                <w:color w:val="000000"/>
                <w:kern w:val="0"/>
                <w:sz w:val="22"/>
              </w:rPr>
            </w:pPr>
          </w:p>
        </w:tc>
        <w:tc>
          <w:tcPr>
            <w:tcW w:w="2685" w:type="dxa"/>
          </w:tcPr>
          <w:p>
            <w:pPr>
              <w:widowControl/>
              <w:jc w:val="left"/>
              <w:rPr>
                <w:rFonts w:ascii="宋体" w:hAnsi="宋体" w:cs="宋体"/>
                <w:color w:val="000000"/>
                <w:kern w:val="0"/>
                <w:sz w:val="22"/>
              </w:rPr>
            </w:pPr>
          </w:p>
        </w:tc>
        <w:tc>
          <w:tcPr>
            <w:tcW w:w="925" w:type="dxa"/>
            <w:vAlign w:val="center"/>
          </w:tcPr>
          <w:p>
            <w:pPr>
              <w:widowControl/>
              <w:jc w:val="right"/>
              <w:rPr>
                <w:rFonts w:ascii="宋体" w:hAnsi="宋体" w:cs="宋体"/>
                <w:color w:val="000000"/>
                <w:kern w:val="0"/>
                <w:sz w:val="22"/>
              </w:rPr>
            </w:pPr>
          </w:p>
        </w:tc>
        <w:tc>
          <w:tcPr>
            <w:tcW w:w="851" w:type="dxa"/>
          </w:tcPr>
          <w:p>
            <w:pPr>
              <w:pStyle w:val="9"/>
              <w:spacing w:before="0" w:beforeAutospacing="0" w:after="0" w:afterAutospacing="0"/>
              <w:jc w:val="center"/>
              <w:rPr>
                <w:rFonts w:ascii="仿宋_GB2312" w:hAnsi="Times New Roman" w:eastAsia="仿宋_GB2312"/>
              </w:rPr>
            </w:pPr>
          </w:p>
        </w:tc>
        <w:tc>
          <w:tcPr>
            <w:tcW w:w="992" w:type="dxa"/>
          </w:tcPr>
          <w:p>
            <w:pPr>
              <w:pStyle w:val="9"/>
              <w:spacing w:before="0" w:beforeAutospacing="0" w:after="0" w:afterAutospacing="0"/>
              <w:jc w:val="center"/>
              <w:rPr>
                <w:rFonts w:ascii="仿宋_GB2312" w:hAnsi="Times New Roman" w:eastAsia="仿宋_GB2312"/>
              </w:rPr>
            </w:pPr>
          </w:p>
        </w:tc>
        <w:tc>
          <w:tcPr>
            <w:tcW w:w="1134" w:type="dxa"/>
          </w:tcPr>
          <w:p>
            <w:pPr>
              <w:pStyle w:val="9"/>
              <w:spacing w:before="0" w:beforeAutospacing="0" w:after="0" w:afterAutospacing="0"/>
              <w:jc w:val="center"/>
              <w:rPr>
                <w:rFonts w:ascii="仿宋_GB2312"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25" w:type="dxa"/>
          </w:tcPr>
          <w:p>
            <w:pPr>
              <w:pStyle w:val="9"/>
              <w:spacing w:before="0" w:beforeAutospacing="0" w:after="0" w:afterAutospacing="0"/>
              <w:jc w:val="center"/>
              <w:rPr>
                <w:rFonts w:ascii="仿宋_GB2312" w:hAnsi="Times New Roman" w:eastAsia="仿宋_GB2312"/>
              </w:rPr>
            </w:pPr>
            <w:r>
              <w:rPr>
                <w:rFonts w:hint="eastAsia" w:ascii="仿宋_GB2312" w:hAnsi="Times New Roman" w:eastAsia="仿宋_GB2312"/>
              </w:rPr>
              <w:t>6</w:t>
            </w:r>
          </w:p>
        </w:tc>
        <w:tc>
          <w:tcPr>
            <w:tcW w:w="1590" w:type="dxa"/>
          </w:tcPr>
          <w:p>
            <w:pPr>
              <w:widowControl/>
              <w:jc w:val="center"/>
              <w:rPr>
                <w:rFonts w:ascii="宋体" w:hAnsi="宋体" w:cs="宋体"/>
                <w:color w:val="000000"/>
                <w:kern w:val="0"/>
                <w:sz w:val="22"/>
              </w:rPr>
            </w:pPr>
          </w:p>
        </w:tc>
        <w:tc>
          <w:tcPr>
            <w:tcW w:w="2685" w:type="dxa"/>
          </w:tcPr>
          <w:p>
            <w:pPr>
              <w:widowControl/>
              <w:jc w:val="left"/>
              <w:rPr>
                <w:rFonts w:ascii="宋体" w:hAnsi="宋体" w:cs="宋体"/>
                <w:color w:val="000000"/>
                <w:kern w:val="0"/>
                <w:sz w:val="22"/>
              </w:rPr>
            </w:pPr>
          </w:p>
        </w:tc>
        <w:tc>
          <w:tcPr>
            <w:tcW w:w="925" w:type="dxa"/>
            <w:vAlign w:val="center"/>
          </w:tcPr>
          <w:p>
            <w:pPr>
              <w:widowControl/>
              <w:jc w:val="right"/>
              <w:rPr>
                <w:rFonts w:ascii="宋体" w:hAnsi="宋体" w:cs="宋体"/>
                <w:color w:val="000000"/>
                <w:kern w:val="0"/>
                <w:sz w:val="22"/>
              </w:rPr>
            </w:pPr>
          </w:p>
        </w:tc>
        <w:tc>
          <w:tcPr>
            <w:tcW w:w="851" w:type="dxa"/>
          </w:tcPr>
          <w:p>
            <w:pPr>
              <w:pStyle w:val="9"/>
              <w:spacing w:before="0" w:beforeAutospacing="0" w:after="0" w:afterAutospacing="0"/>
              <w:jc w:val="center"/>
              <w:rPr>
                <w:rFonts w:ascii="仿宋_GB2312" w:hAnsi="Times New Roman" w:eastAsia="仿宋_GB2312"/>
              </w:rPr>
            </w:pPr>
          </w:p>
        </w:tc>
        <w:tc>
          <w:tcPr>
            <w:tcW w:w="992" w:type="dxa"/>
          </w:tcPr>
          <w:p>
            <w:pPr>
              <w:pStyle w:val="9"/>
              <w:spacing w:before="0" w:beforeAutospacing="0" w:after="0" w:afterAutospacing="0"/>
              <w:jc w:val="center"/>
              <w:rPr>
                <w:rFonts w:ascii="仿宋_GB2312" w:hAnsi="Times New Roman" w:eastAsia="仿宋_GB2312"/>
              </w:rPr>
            </w:pPr>
          </w:p>
        </w:tc>
        <w:tc>
          <w:tcPr>
            <w:tcW w:w="1134" w:type="dxa"/>
          </w:tcPr>
          <w:p>
            <w:pPr>
              <w:pStyle w:val="9"/>
              <w:spacing w:before="0" w:beforeAutospacing="0" w:after="0" w:afterAutospacing="0"/>
              <w:jc w:val="center"/>
              <w:rPr>
                <w:rFonts w:ascii="仿宋_GB2312"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25" w:type="dxa"/>
          </w:tcPr>
          <w:p>
            <w:pPr>
              <w:pStyle w:val="9"/>
              <w:spacing w:before="0" w:beforeAutospacing="0" w:after="0" w:afterAutospacing="0"/>
              <w:jc w:val="center"/>
              <w:rPr>
                <w:rFonts w:ascii="仿宋_GB2312" w:hAnsi="Times New Roman" w:eastAsia="仿宋_GB2312"/>
              </w:rPr>
            </w:pPr>
            <w:r>
              <w:rPr>
                <w:rFonts w:hint="eastAsia" w:ascii="仿宋_GB2312" w:hAnsi="Times New Roman" w:eastAsia="仿宋_GB2312"/>
              </w:rPr>
              <w:t>7</w:t>
            </w:r>
          </w:p>
        </w:tc>
        <w:tc>
          <w:tcPr>
            <w:tcW w:w="1590" w:type="dxa"/>
          </w:tcPr>
          <w:p>
            <w:pPr>
              <w:widowControl/>
              <w:jc w:val="center"/>
              <w:rPr>
                <w:rFonts w:ascii="宋体" w:hAnsi="宋体" w:cs="宋体"/>
                <w:color w:val="000000"/>
                <w:kern w:val="0"/>
                <w:sz w:val="22"/>
              </w:rPr>
            </w:pPr>
          </w:p>
        </w:tc>
        <w:tc>
          <w:tcPr>
            <w:tcW w:w="2685" w:type="dxa"/>
          </w:tcPr>
          <w:p>
            <w:pPr>
              <w:widowControl/>
              <w:jc w:val="left"/>
              <w:rPr>
                <w:rFonts w:ascii="宋体" w:hAnsi="宋体" w:cs="宋体"/>
                <w:color w:val="000000"/>
                <w:kern w:val="0"/>
                <w:sz w:val="22"/>
              </w:rPr>
            </w:pPr>
          </w:p>
        </w:tc>
        <w:tc>
          <w:tcPr>
            <w:tcW w:w="925" w:type="dxa"/>
            <w:vAlign w:val="center"/>
          </w:tcPr>
          <w:p>
            <w:pPr>
              <w:widowControl/>
              <w:jc w:val="right"/>
              <w:rPr>
                <w:rFonts w:ascii="宋体" w:hAnsi="宋体" w:cs="宋体"/>
                <w:color w:val="000000"/>
                <w:kern w:val="0"/>
                <w:sz w:val="22"/>
              </w:rPr>
            </w:pPr>
          </w:p>
        </w:tc>
        <w:tc>
          <w:tcPr>
            <w:tcW w:w="851" w:type="dxa"/>
          </w:tcPr>
          <w:p>
            <w:pPr>
              <w:pStyle w:val="9"/>
              <w:spacing w:before="0" w:beforeAutospacing="0" w:after="0" w:afterAutospacing="0"/>
              <w:jc w:val="center"/>
              <w:rPr>
                <w:rFonts w:ascii="仿宋_GB2312" w:hAnsi="Times New Roman" w:eastAsia="仿宋_GB2312"/>
              </w:rPr>
            </w:pPr>
          </w:p>
        </w:tc>
        <w:tc>
          <w:tcPr>
            <w:tcW w:w="992" w:type="dxa"/>
          </w:tcPr>
          <w:p>
            <w:pPr>
              <w:pStyle w:val="9"/>
              <w:spacing w:before="0" w:beforeAutospacing="0" w:after="0" w:afterAutospacing="0"/>
              <w:jc w:val="center"/>
              <w:rPr>
                <w:rFonts w:ascii="仿宋_GB2312" w:hAnsi="Times New Roman" w:eastAsia="仿宋_GB2312"/>
              </w:rPr>
            </w:pPr>
          </w:p>
        </w:tc>
        <w:tc>
          <w:tcPr>
            <w:tcW w:w="1134" w:type="dxa"/>
          </w:tcPr>
          <w:p>
            <w:pPr>
              <w:pStyle w:val="9"/>
              <w:spacing w:before="0" w:beforeAutospacing="0" w:after="0" w:afterAutospacing="0"/>
              <w:jc w:val="center"/>
              <w:rPr>
                <w:rFonts w:ascii="仿宋_GB2312"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25" w:type="dxa"/>
          </w:tcPr>
          <w:p>
            <w:pPr>
              <w:pStyle w:val="9"/>
              <w:spacing w:before="0" w:beforeAutospacing="0" w:after="0" w:afterAutospacing="0"/>
              <w:jc w:val="center"/>
              <w:rPr>
                <w:rFonts w:ascii="仿宋_GB2312" w:hAnsi="Times New Roman" w:eastAsia="仿宋_GB2312"/>
              </w:rPr>
            </w:pPr>
            <w:r>
              <w:rPr>
                <w:rFonts w:hint="eastAsia" w:ascii="仿宋_GB2312" w:hAnsi="Times New Roman" w:eastAsia="仿宋_GB2312"/>
              </w:rPr>
              <w:t>8</w:t>
            </w:r>
          </w:p>
        </w:tc>
        <w:tc>
          <w:tcPr>
            <w:tcW w:w="1590" w:type="dxa"/>
          </w:tcPr>
          <w:p>
            <w:pPr>
              <w:widowControl/>
              <w:jc w:val="center"/>
              <w:rPr>
                <w:rFonts w:ascii="宋体" w:hAnsi="宋体" w:cs="宋体"/>
                <w:color w:val="000000"/>
                <w:kern w:val="0"/>
                <w:sz w:val="22"/>
              </w:rPr>
            </w:pPr>
          </w:p>
        </w:tc>
        <w:tc>
          <w:tcPr>
            <w:tcW w:w="2685" w:type="dxa"/>
          </w:tcPr>
          <w:p>
            <w:pPr>
              <w:widowControl/>
              <w:jc w:val="left"/>
              <w:rPr>
                <w:rFonts w:ascii="宋体" w:hAnsi="宋体" w:cs="宋体"/>
                <w:color w:val="000000"/>
                <w:kern w:val="0"/>
                <w:sz w:val="22"/>
              </w:rPr>
            </w:pPr>
          </w:p>
        </w:tc>
        <w:tc>
          <w:tcPr>
            <w:tcW w:w="925" w:type="dxa"/>
            <w:vAlign w:val="center"/>
          </w:tcPr>
          <w:p>
            <w:pPr>
              <w:widowControl/>
              <w:jc w:val="right"/>
              <w:rPr>
                <w:rFonts w:ascii="宋体" w:hAnsi="宋体" w:cs="宋体"/>
                <w:color w:val="000000"/>
                <w:kern w:val="0"/>
                <w:sz w:val="22"/>
              </w:rPr>
            </w:pPr>
          </w:p>
        </w:tc>
        <w:tc>
          <w:tcPr>
            <w:tcW w:w="851" w:type="dxa"/>
          </w:tcPr>
          <w:p>
            <w:pPr>
              <w:pStyle w:val="9"/>
              <w:spacing w:before="0" w:beforeAutospacing="0" w:after="0" w:afterAutospacing="0"/>
              <w:jc w:val="center"/>
              <w:rPr>
                <w:rFonts w:ascii="仿宋_GB2312" w:hAnsi="Times New Roman" w:eastAsia="仿宋_GB2312"/>
              </w:rPr>
            </w:pPr>
          </w:p>
        </w:tc>
        <w:tc>
          <w:tcPr>
            <w:tcW w:w="992" w:type="dxa"/>
          </w:tcPr>
          <w:p>
            <w:pPr>
              <w:pStyle w:val="9"/>
              <w:spacing w:before="0" w:beforeAutospacing="0" w:after="0" w:afterAutospacing="0"/>
              <w:jc w:val="center"/>
              <w:rPr>
                <w:rFonts w:ascii="仿宋_GB2312" w:hAnsi="Times New Roman" w:eastAsia="仿宋_GB2312"/>
              </w:rPr>
            </w:pPr>
          </w:p>
        </w:tc>
        <w:tc>
          <w:tcPr>
            <w:tcW w:w="1134" w:type="dxa"/>
          </w:tcPr>
          <w:p>
            <w:pPr>
              <w:pStyle w:val="9"/>
              <w:spacing w:before="0" w:beforeAutospacing="0" w:after="0" w:afterAutospacing="0"/>
              <w:jc w:val="center"/>
              <w:rPr>
                <w:rFonts w:ascii="仿宋_GB2312"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25" w:type="dxa"/>
          </w:tcPr>
          <w:p>
            <w:pPr>
              <w:pStyle w:val="9"/>
              <w:spacing w:before="0" w:beforeAutospacing="0" w:after="0" w:afterAutospacing="0"/>
              <w:jc w:val="center"/>
              <w:rPr>
                <w:rFonts w:ascii="仿宋_GB2312" w:hAnsi="Times New Roman" w:eastAsia="仿宋_GB2312"/>
              </w:rPr>
            </w:pPr>
            <w:r>
              <w:rPr>
                <w:rFonts w:hint="eastAsia" w:ascii="仿宋_GB2312" w:hAnsi="Times New Roman" w:eastAsia="仿宋_GB2312"/>
              </w:rPr>
              <w:t>9</w:t>
            </w:r>
          </w:p>
        </w:tc>
        <w:tc>
          <w:tcPr>
            <w:tcW w:w="1590" w:type="dxa"/>
          </w:tcPr>
          <w:p>
            <w:pPr>
              <w:widowControl/>
              <w:jc w:val="center"/>
              <w:rPr>
                <w:rFonts w:ascii="宋体" w:hAnsi="宋体" w:cs="宋体"/>
                <w:color w:val="000000"/>
                <w:kern w:val="0"/>
                <w:sz w:val="22"/>
              </w:rPr>
            </w:pPr>
          </w:p>
        </w:tc>
        <w:tc>
          <w:tcPr>
            <w:tcW w:w="2685" w:type="dxa"/>
          </w:tcPr>
          <w:p>
            <w:pPr>
              <w:widowControl/>
              <w:jc w:val="left"/>
              <w:rPr>
                <w:rFonts w:ascii="宋体" w:hAnsi="宋体" w:cs="宋体"/>
                <w:color w:val="000000"/>
                <w:kern w:val="0"/>
                <w:sz w:val="22"/>
              </w:rPr>
            </w:pPr>
          </w:p>
        </w:tc>
        <w:tc>
          <w:tcPr>
            <w:tcW w:w="925" w:type="dxa"/>
            <w:vAlign w:val="center"/>
          </w:tcPr>
          <w:p>
            <w:pPr>
              <w:widowControl/>
              <w:jc w:val="right"/>
              <w:rPr>
                <w:rFonts w:ascii="宋体" w:hAnsi="宋体" w:cs="宋体"/>
                <w:color w:val="000000"/>
                <w:kern w:val="0"/>
                <w:sz w:val="22"/>
              </w:rPr>
            </w:pPr>
          </w:p>
        </w:tc>
        <w:tc>
          <w:tcPr>
            <w:tcW w:w="851" w:type="dxa"/>
          </w:tcPr>
          <w:p>
            <w:pPr>
              <w:pStyle w:val="9"/>
              <w:spacing w:before="0" w:beforeAutospacing="0" w:after="0" w:afterAutospacing="0"/>
              <w:jc w:val="center"/>
              <w:rPr>
                <w:rFonts w:ascii="仿宋_GB2312" w:hAnsi="Times New Roman" w:eastAsia="仿宋_GB2312"/>
              </w:rPr>
            </w:pPr>
          </w:p>
        </w:tc>
        <w:tc>
          <w:tcPr>
            <w:tcW w:w="992" w:type="dxa"/>
          </w:tcPr>
          <w:p>
            <w:pPr>
              <w:pStyle w:val="9"/>
              <w:spacing w:before="0" w:beforeAutospacing="0" w:after="0" w:afterAutospacing="0"/>
              <w:jc w:val="center"/>
              <w:rPr>
                <w:rFonts w:ascii="仿宋_GB2312" w:hAnsi="Times New Roman" w:eastAsia="仿宋_GB2312"/>
              </w:rPr>
            </w:pPr>
          </w:p>
        </w:tc>
        <w:tc>
          <w:tcPr>
            <w:tcW w:w="1134" w:type="dxa"/>
          </w:tcPr>
          <w:p>
            <w:pPr>
              <w:pStyle w:val="9"/>
              <w:spacing w:before="0" w:beforeAutospacing="0" w:after="0" w:afterAutospacing="0"/>
              <w:jc w:val="center"/>
              <w:rPr>
                <w:rFonts w:ascii="仿宋_GB2312"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25" w:type="dxa"/>
          </w:tcPr>
          <w:p>
            <w:pPr>
              <w:pStyle w:val="9"/>
              <w:spacing w:before="0" w:beforeAutospacing="0" w:after="0" w:afterAutospacing="0"/>
              <w:jc w:val="center"/>
              <w:rPr>
                <w:rFonts w:ascii="仿宋_GB2312" w:hAnsi="Times New Roman" w:eastAsia="仿宋_GB2312"/>
              </w:rPr>
            </w:pPr>
            <w:r>
              <w:rPr>
                <w:rFonts w:hint="eastAsia" w:ascii="仿宋_GB2312" w:hAnsi="Times New Roman" w:eastAsia="仿宋_GB2312"/>
              </w:rPr>
              <w:t>10</w:t>
            </w:r>
          </w:p>
        </w:tc>
        <w:tc>
          <w:tcPr>
            <w:tcW w:w="1590" w:type="dxa"/>
          </w:tcPr>
          <w:p>
            <w:pPr>
              <w:widowControl/>
              <w:jc w:val="center"/>
              <w:rPr>
                <w:rFonts w:ascii="宋体" w:hAnsi="宋体" w:cs="宋体"/>
                <w:color w:val="000000"/>
                <w:kern w:val="0"/>
                <w:sz w:val="22"/>
              </w:rPr>
            </w:pPr>
          </w:p>
        </w:tc>
        <w:tc>
          <w:tcPr>
            <w:tcW w:w="2685" w:type="dxa"/>
          </w:tcPr>
          <w:p>
            <w:pPr>
              <w:widowControl/>
              <w:jc w:val="left"/>
              <w:rPr>
                <w:rFonts w:ascii="宋体" w:hAnsi="宋体" w:cs="宋体"/>
                <w:color w:val="000000"/>
                <w:kern w:val="0"/>
                <w:sz w:val="22"/>
              </w:rPr>
            </w:pPr>
          </w:p>
        </w:tc>
        <w:tc>
          <w:tcPr>
            <w:tcW w:w="925" w:type="dxa"/>
            <w:vAlign w:val="center"/>
          </w:tcPr>
          <w:p>
            <w:pPr>
              <w:widowControl/>
              <w:jc w:val="right"/>
              <w:rPr>
                <w:rFonts w:ascii="宋体" w:hAnsi="宋体" w:cs="宋体"/>
                <w:color w:val="000000"/>
                <w:kern w:val="0"/>
                <w:sz w:val="22"/>
              </w:rPr>
            </w:pPr>
          </w:p>
        </w:tc>
        <w:tc>
          <w:tcPr>
            <w:tcW w:w="851" w:type="dxa"/>
          </w:tcPr>
          <w:p>
            <w:pPr>
              <w:pStyle w:val="9"/>
              <w:spacing w:before="0" w:beforeAutospacing="0" w:after="0" w:afterAutospacing="0"/>
              <w:jc w:val="center"/>
              <w:rPr>
                <w:rFonts w:ascii="仿宋_GB2312" w:hAnsi="Times New Roman" w:eastAsia="仿宋_GB2312"/>
              </w:rPr>
            </w:pPr>
          </w:p>
        </w:tc>
        <w:tc>
          <w:tcPr>
            <w:tcW w:w="992" w:type="dxa"/>
          </w:tcPr>
          <w:p>
            <w:pPr>
              <w:pStyle w:val="9"/>
              <w:spacing w:before="0" w:beforeAutospacing="0" w:after="0" w:afterAutospacing="0"/>
              <w:jc w:val="center"/>
              <w:rPr>
                <w:rFonts w:ascii="仿宋_GB2312" w:hAnsi="Times New Roman" w:eastAsia="仿宋_GB2312"/>
              </w:rPr>
            </w:pPr>
          </w:p>
        </w:tc>
        <w:tc>
          <w:tcPr>
            <w:tcW w:w="1134" w:type="dxa"/>
          </w:tcPr>
          <w:p>
            <w:pPr>
              <w:pStyle w:val="9"/>
              <w:spacing w:before="0" w:beforeAutospacing="0" w:after="0" w:afterAutospacing="0"/>
              <w:jc w:val="center"/>
              <w:rPr>
                <w:rFonts w:ascii="仿宋_GB2312"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25" w:type="dxa"/>
          </w:tcPr>
          <w:p>
            <w:pPr>
              <w:pStyle w:val="9"/>
              <w:spacing w:before="0" w:beforeAutospacing="0" w:after="0" w:afterAutospacing="0"/>
              <w:jc w:val="center"/>
              <w:rPr>
                <w:rFonts w:ascii="仿宋_GB2312" w:hAnsi="Times New Roman" w:eastAsia="仿宋_GB2312"/>
              </w:rPr>
            </w:pPr>
            <w:r>
              <w:rPr>
                <w:rFonts w:hint="eastAsia" w:ascii="仿宋_GB2312" w:hAnsi="Times New Roman" w:eastAsia="仿宋_GB2312"/>
              </w:rPr>
              <w:t>11</w:t>
            </w:r>
          </w:p>
        </w:tc>
        <w:tc>
          <w:tcPr>
            <w:tcW w:w="1590" w:type="dxa"/>
          </w:tcPr>
          <w:p>
            <w:pPr>
              <w:widowControl/>
              <w:jc w:val="center"/>
              <w:rPr>
                <w:rFonts w:ascii="宋体" w:hAnsi="宋体" w:cs="宋体"/>
                <w:color w:val="000000"/>
                <w:kern w:val="0"/>
                <w:sz w:val="22"/>
              </w:rPr>
            </w:pPr>
          </w:p>
        </w:tc>
        <w:tc>
          <w:tcPr>
            <w:tcW w:w="2685" w:type="dxa"/>
          </w:tcPr>
          <w:p>
            <w:pPr>
              <w:widowControl/>
              <w:jc w:val="left"/>
              <w:rPr>
                <w:rFonts w:ascii="宋体" w:hAnsi="宋体" w:cs="宋体"/>
                <w:color w:val="000000"/>
                <w:kern w:val="0"/>
                <w:sz w:val="22"/>
              </w:rPr>
            </w:pPr>
          </w:p>
        </w:tc>
        <w:tc>
          <w:tcPr>
            <w:tcW w:w="925" w:type="dxa"/>
            <w:vAlign w:val="center"/>
          </w:tcPr>
          <w:p>
            <w:pPr>
              <w:widowControl/>
              <w:jc w:val="right"/>
              <w:rPr>
                <w:rFonts w:ascii="宋体" w:hAnsi="宋体" w:cs="宋体"/>
                <w:color w:val="000000"/>
                <w:kern w:val="0"/>
                <w:sz w:val="22"/>
              </w:rPr>
            </w:pPr>
          </w:p>
        </w:tc>
        <w:tc>
          <w:tcPr>
            <w:tcW w:w="851" w:type="dxa"/>
          </w:tcPr>
          <w:p>
            <w:pPr>
              <w:pStyle w:val="9"/>
              <w:spacing w:before="0" w:beforeAutospacing="0" w:after="0" w:afterAutospacing="0"/>
              <w:jc w:val="center"/>
              <w:rPr>
                <w:rFonts w:ascii="仿宋_GB2312" w:hAnsi="Times New Roman" w:eastAsia="仿宋_GB2312"/>
              </w:rPr>
            </w:pPr>
          </w:p>
        </w:tc>
        <w:tc>
          <w:tcPr>
            <w:tcW w:w="992" w:type="dxa"/>
          </w:tcPr>
          <w:p>
            <w:pPr>
              <w:pStyle w:val="9"/>
              <w:spacing w:before="0" w:beforeAutospacing="0" w:after="0" w:afterAutospacing="0"/>
              <w:jc w:val="center"/>
              <w:rPr>
                <w:rFonts w:ascii="仿宋_GB2312" w:hAnsi="Times New Roman" w:eastAsia="仿宋_GB2312"/>
              </w:rPr>
            </w:pPr>
          </w:p>
        </w:tc>
        <w:tc>
          <w:tcPr>
            <w:tcW w:w="1134" w:type="dxa"/>
          </w:tcPr>
          <w:p>
            <w:pPr>
              <w:pStyle w:val="9"/>
              <w:spacing w:before="0" w:beforeAutospacing="0" w:after="0" w:afterAutospacing="0"/>
              <w:jc w:val="center"/>
              <w:rPr>
                <w:rFonts w:ascii="仿宋_GB2312"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25" w:type="dxa"/>
          </w:tcPr>
          <w:p>
            <w:pPr>
              <w:pStyle w:val="9"/>
              <w:spacing w:before="0" w:beforeAutospacing="0" w:after="0" w:afterAutospacing="0"/>
              <w:jc w:val="center"/>
              <w:rPr>
                <w:rFonts w:ascii="仿宋_GB2312" w:hAnsi="Times New Roman" w:eastAsia="仿宋_GB2312"/>
              </w:rPr>
            </w:pPr>
            <w:r>
              <w:rPr>
                <w:rFonts w:hint="eastAsia" w:ascii="仿宋_GB2312" w:hAnsi="Times New Roman" w:eastAsia="仿宋_GB2312"/>
              </w:rPr>
              <w:t>12</w:t>
            </w:r>
          </w:p>
        </w:tc>
        <w:tc>
          <w:tcPr>
            <w:tcW w:w="1590" w:type="dxa"/>
          </w:tcPr>
          <w:p>
            <w:pPr>
              <w:widowControl/>
              <w:jc w:val="center"/>
              <w:rPr>
                <w:rFonts w:ascii="宋体" w:hAnsi="宋体" w:cs="宋体"/>
                <w:color w:val="000000"/>
                <w:kern w:val="0"/>
                <w:sz w:val="22"/>
              </w:rPr>
            </w:pPr>
          </w:p>
        </w:tc>
        <w:tc>
          <w:tcPr>
            <w:tcW w:w="2685" w:type="dxa"/>
          </w:tcPr>
          <w:p>
            <w:pPr>
              <w:widowControl/>
              <w:spacing w:line="400" w:lineRule="exact"/>
              <w:jc w:val="left"/>
              <w:rPr>
                <w:rFonts w:ascii="宋体" w:hAnsi="宋体" w:cs="宋体"/>
                <w:color w:val="000000"/>
                <w:kern w:val="0"/>
                <w:sz w:val="22"/>
              </w:rPr>
            </w:pPr>
          </w:p>
        </w:tc>
        <w:tc>
          <w:tcPr>
            <w:tcW w:w="925" w:type="dxa"/>
          </w:tcPr>
          <w:p>
            <w:pPr>
              <w:pStyle w:val="9"/>
              <w:spacing w:before="0" w:beforeAutospacing="0" w:after="0" w:afterAutospacing="0" w:line="400" w:lineRule="exact"/>
              <w:jc w:val="center"/>
              <w:rPr>
                <w:rFonts w:ascii="仿宋_GB2312" w:hAnsi="Times New Roman" w:eastAsia="仿宋_GB2312"/>
              </w:rPr>
            </w:pPr>
          </w:p>
        </w:tc>
        <w:tc>
          <w:tcPr>
            <w:tcW w:w="851" w:type="dxa"/>
          </w:tcPr>
          <w:p>
            <w:pPr>
              <w:pStyle w:val="9"/>
              <w:spacing w:before="0" w:beforeAutospacing="0" w:after="0" w:afterAutospacing="0" w:line="400" w:lineRule="exact"/>
              <w:jc w:val="center"/>
              <w:rPr>
                <w:rFonts w:ascii="仿宋_GB2312" w:hAnsi="Times New Roman" w:eastAsia="仿宋_GB2312"/>
              </w:rPr>
            </w:pPr>
          </w:p>
        </w:tc>
        <w:tc>
          <w:tcPr>
            <w:tcW w:w="992" w:type="dxa"/>
          </w:tcPr>
          <w:p>
            <w:pPr>
              <w:pStyle w:val="9"/>
              <w:spacing w:before="0" w:beforeAutospacing="0" w:after="0" w:afterAutospacing="0" w:line="400" w:lineRule="exact"/>
              <w:jc w:val="center"/>
              <w:rPr>
                <w:rFonts w:ascii="仿宋_GB2312" w:hAnsi="Times New Roman" w:eastAsia="仿宋_GB2312"/>
              </w:rPr>
            </w:pPr>
          </w:p>
        </w:tc>
        <w:tc>
          <w:tcPr>
            <w:tcW w:w="1134" w:type="dxa"/>
          </w:tcPr>
          <w:p>
            <w:pPr>
              <w:pStyle w:val="9"/>
              <w:spacing w:before="0" w:beforeAutospacing="0" w:after="0" w:afterAutospacing="0" w:line="400" w:lineRule="exact"/>
              <w:jc w:val="center"/>
              <w:rPr>
                <w:rFonts w:ascii="仿宋_GB2312"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9002" w:type="dxa"/>
            <w:gridSpan w:val="7"/>
            <w:vAlign w:val="center"/>
          </w:tcPr>
          <w:p>
            <w:pPr>
              <w:pStyle w:val="9"/>
              <w:spacing w:before="0" w:beforeAutospacing="0" w:after="0" w:afterAutospacing="0"/>
              <w:rPr>
                <w:rFonts w:ascii="仿宋_GB2312" w:hAnsi="Times New Roman" w:eastAsia="仿宋_GB2312"/>
                <w:b/>
                <w:sz w:val="28"/>
                <w:szCs w:val="28"/>
              </w:rPr>
            </w:pPr>
            <w:r>
              <w:rPr>
                <w:rFonts w:hint="eastAsia" w:ascii="仿宋_GB2312" w:hAnsi="Times New Roman" w:eastAsia="仿宋_GB2312"/>
                <w:b/>
                <w:sz w:val="28"/>
                <w:szCs w:val="28"/>
              </w:rPr>
              <w:t>合计人民币（大写）：                                                （￥：           ）</w:t>
            </w:r>
          </w:p>
        </w:tc>
      </w:tr>
    </w:tbl>
    <w:p>
      <w:pPr>
        <w:pStyle w:val="5"/>
        <w:kinsoku w:val="0"/>
        <w:topLinePunct/>
        <w:autoSpaceDE w:val="0"/>
        <w:autoSpaceDN w:val="0"/>
        <w:snapToGrid w:val="0"/>
        <w:ind w:right="210" w:firstLine="0"/>
        <w:rPr>
          <w:lang w:val="en-GB"/>
        </w:rPr>
      </w:pPr>
      <w:r>
        <w:rPr>
          <w:rFonts w:hint="eastAsia" w:ascii="宋体" w:hAnsi="宋体"/>
          <w:sz w:val="28"/>
          <w:szCs w:val="28"/>
        </w:rPr>
        <w:t xml:space="preserve">投标人：（盖章）                         </w:t>
      </w:r>
      <w:r>
        <w:rPr>
          <w:rFonts w:hint="eastAsia" w:ascii="宋体" w:hAnsi="宋体" w:cs="宋体"/>
          <w:sz w:val="28"/>
          <w:szCs w:val="28"/>
        </w:rPr>
        <w:t>授权代表</w:t>
      </w:r>
      <w:r>
        <w:rPr>
          <w:rFonts w:hint="eastAsia" w:ascii="宋体" w:hAnsi="宋体"/>
          <w:sz w:val="28"/>
          <w:szCs w:val="28"/>
        </w:rPr>
        <w:t>（签字）：</w:t>
      </w:r>
    </w:p>
    <w:p>
      <w:pPr>
        <w:rPr>
          <w:lang w:val="en-GB"/>
        </w:rPr>
      </w:pPr>
    </w:p>
    <w:p>
      <w:pPr>
        <w:rPr>
          <w:lang w:val="en-GB"/>
        </w:rPr>
        <w:sectPr>
          <w:headerReference r:id="rId8" w:type="default"/>
          <w:pgSz w:w="11907" w:h="16839"/>
          <w:pgMar w:top="1440" w:right="1800" w:bottom="1440" w:left="1800" w:header="624" w:footer="851" w:gutter="0"/>
          <w:pgNumType w:start="1"/>
          <w:cols w:space="720" w:num="1"/>
          <w:docGrid w:type="lines" w:linePitch="312" w:charSpace="0"/>
        </w:sectPr>
      </w:pPr>
    </w:p>
    <w:p>
      <w:pPr>
        <w:rPr>
          <w:lang w:val="en-GB"/>
        </w:rPr>
      </w:pPr>
    </w:p>
    <w:p>
      <w:pPr>
        <w:pStyle w:val="10"/>
        <w:ind w:firstLine="0" w:firstLineChars="0"/>
        <w:jc w:val="center"/>
        <w:rPr>
          <w:rFonts w:ascii="黑体" w:hAnsi="黑体" w:eastAsia="黑体" w:cs="黑体"/>
          <w:color w:val="000000"/>
          <w:sz w:val="44"/>
          <w:szCs w:val="20"/>
        </w:rPr>
      </w:pPr>
      <w:r>
        <w:rPr>
          <w:rFonts w:hint="eastAsia" w:ascii="黑体" w:hAnsi="黑体" w:eastAsia="黑体" w:cs="黑体"/>
          <w:color w:val="000000"/>
          <w:sz w:val="36"/>
          <w:szCs w:val="16"/>
        </w:rPr>
        <w:t>附件：</w:t>
      </w:r>
      <w:r>
        <w:rPr>
          <w:rFonts w:hint="eastAsia" w:ascii="黑体" w:hAnsi="黑体" w:eastAsia="黑体" w:cs="黑体"/>
          <w:color w:val="000000"/>
          <w:sz w:val="44"/>
          <w:szCs w:val="20"/>
        </w:rPr>
        <w:t xml:space="preserve">   政府采购合同（货物）文本合同</w:t>
      </w:r>
    </w:p>
    <w:p>
      <w:pPr>
        <w:pStyle w:val="10"/>
        <w:ind w:firstLine="0" w:firstLineChars="0"/>
        <w:jc w:val="center"/>
        <w:rPr>
          <w:rFonts w:ascii="黑体" w:hAnsi="黑体" w:eastAsia="黑体" w:cs="黑体"/>
          <w:color w:val="000000"/>
          <w:sz w:val="44"/>
          <w:szCs w:val="20"/>
        </w:rPr>
      </w:pPr>
      <w:r>
        <w:rPr>
          <w:rFonts w:hint="eastAsia" w:ascii="黑体" w:hAnsi="黑体" w:eastAsia="黑体" w:cs="黑体"/>
          <w:color w:val="000000"/>
          <w:sz w:val="44"/>
          <w:szCs w:val="20"/>
        </w:rPr>
        <w:t>（参考格式）</w:t>
      </w:r>
    </w:p>
    <w:p>
      <w:pPr>
        <w:snapToGrid w:val="0"/>
        <w:spacing w:before="120" w:after="120" w:line="540" w:lineRule="exact"/>
        <w:rPr>
          <w:rFonts w:ascii="宋体" w:hAnsi="宋体" w:cs="Courier New"/>
          <w:color w:val="000000"/>
          <w:sz w:val="28"/>
          <w:szCs w:val="28"/>
        </w:rPr>
      </w:pPr>
      <w:bookmarkStart w:id="5" w:name="_Toc16938559"/>
      <w:bookmarkStart w:id="6" w:name="_Toc20823315"/>
      <w:bookmarkStart w:id="7" w:name="_Toc513029243"/>
      <w:r>
        <w:rPr>
          <w:rFonts w:ascii="宋体" w:hAnsi="宋体" w:cs="Courier New"/>
          <w:color w:val="000000"/>
          <w:sz w:val="28"/>
          <w:szCs w:val="28"/>
        </w:rPr>
        <w:t xml:space="preserve">项目名称：                                     </w:t>
      </w:r>
    </w:p>
    <w:p>
      <w:pPr>
        <w:snapToGrid w:val="0"/>
        <w:spacing w:before="120" w:after="120" w:line="540" w:lineRule="exact"/>
        <w:rPr>
          <w:rFonts w:ascii="宋体" w:hAnsi="宋体" w:cs="Courier New"/>
          <w:color w:val="000000"/>
          <w:sz w:val="28"/>
          <w:szCs w:val="28"/>
        </w:rPr>
      </w:pPr>
      <w:r>
        <w:rPr>
          <w:rFonts w:ascii="宋体" w:hAnsi="宋体" w:cs="Courier New"/>
          <w:color w:val="000000"/>
          <w:sz w:val="28"/>
          <w:szCs w:val="28"/>
        </w:rPr>
        <w:t>甲方：（买方）_________</w:t>
      </w:r>
    </w:p>
    <w:p>
      <w:pPr>
        <w:snapToGrid w:val="0"/>
        <w:spacing w:before="120" w:after="120" w:line="540" w:lineRule="exact"/>
        <w:rPr>
          <w:rFonts w:ascii="宋体" w:hAnsi="宋体" w:cs="Courier New"/>
          <w:color w:val="000000"/>
          <w:sz w:val="28"/>
          <w:szCs w:val="28"/>
        </w:rPr>
      </w:pPr>
      <w:r>
        <w:rPr>
          <w:rFonts w:ascii="宋体" w:hAnsi="宋体" w:cs="Courier New"/>
          <w:color w:val="000000"/>
          <w:sz w:val="28"/>
          <w:szCs w:val="28"/>
        </w:rPr>
        <w:t>乙方：（卖方）_________</w:t>
      </w:r>
    </w:p>
    <w:p>
      <w:pPr>
        <w:snapToGrid w:val="0"/>
        <w:spacing w:before="120" w:after="120" w:line="540" w:lineRule="exact"/>
        <w:rPr>
          <w:rFonts w:ascii="宋体" w:hAnsi="宋体" w:cs="Courier New"/>
          <w:b/>
          <w:color w:val="000000"/>
          <w:sz w:val="28"/>
          <w:szCs w:val="28"/>
        </w:rPr>
      </w:pPr>
      <w:r>
        <w:rPr>
          <w:rFonts w:ascii="宋体" w:hAnsi="宋体" w:cs="Courier New"/>
          <w:color w:val="000000"/>
          <w:sz w:val="28"/>
          <w:szCs w:val="28"/>
        </w:rPr>
        <w:t>甲、乙双方根据项目</w:t>
      </w:r>
      <w:r>
        <w:rPr>
          <w:rFonts w:hint="eastAsia" w:ascii="宋体" w:hAnsi="宋体" w:cs="Courier New"/>
          <w:color w:val="000000"/>
          <w:sz w:val="28"/>
          <w:szCs w:val="28"/>
        </w:rPr>
        <w:t>询价</w:t>
      </w:r>
      <w:r>
        <w:rPr>
          <w:rFonts w:ascii="宋体" w:hAnsi="宋体" w:cs="Courier New"/>
          <w:color w:val="000000"/>
          <w:sz w:val="28"/>
          <w:szCs w:val="28"/>
        </w:rPr>
        <w:t>的结果，签署本合同。</w:t>
      </w:r>
    </w:p>
    <w:p>
      <w:pPr>
        <w:snapToGrid w:val="0"/>
        <w:spacing w:before="120" w:after="120" w:line="540" w:lineRule="exact"/>
        <w:rPr>
          <w:rFonts w:ascii="宋体" w:hAnsi="宋体" w:cs="Courier New"/>
          <w:b/>
          <w:color w:val="000000"/>
          <w:sz w:val="28"/>
          <w:szCs w:val="28"/>
        </w:rPr>
      </w:pPr>
      <w:r>
        <w:rPr>
          <w:rFonts w:ascii="宋体" w:hAnsi="宋体" w:cs="Courier New"/>
          <w:b/>
          <w:color w:val="000000"/>
          <w:sz w:val="28"/>
          <w:szCs w:val="28"/>
        </w:rPr>
        <w:t>一、</w:t>
      </w:r>
      <w:r>
        <w:rPr>
          <w:rFonts w:hint="eastAsia" w:ascii="宋体" w:hAnsi="宋体" w:cs="Courier New"/>
          <w:b/>
          <w:color w:val="000000"/>
          <w:sz w:val="28"/>
          <w:szCs w:val="28"/>
        </w:rPr>
        <w:t>合同</w:t>
      </w:r>
      <w:r>
        <w:rPr>
          <w:rFonts w:ascii="宋体" w:hAnsi="宋体" w:cs="Courier New"/>
          <w:b/>
          <w:color w:val="000000"/>
          <w:sz w:val="28"/>
          <w:szCs w:val="28"/>
        </w:rPr>
        <w:t>内容</w:t>
      </w:r>
    </w:p>
    <w:p>
      <w:pPr>
        <w:adjustRightInd w:val="0"/>
        <w:snapToGrid w:val="0"/>
        <w:rPr>
          <w:rFonts w:ascii="宋体" w:hAnsi="宋体"/>
          <w:sz w:val="24"/>
        </w:rPr>
      </w:pPr>
      <w:r>
        <w:rPr>
          <w:rFonts w:ascii="宋体" w:hAnsi="宋体" w:cs="Courier New"/>
          <w:color w:val="000000"/>
          <w:sz w:val="28"/>
          <w:szCs w:val="28"/>
        </w:rPr>
        <w:t xml:space="preserve">1.1 </w:t>
      </w:r>
      <w:r>
        <w:rPr>
          <w:rFonts w:hint="eastAsia" w:ascii="宋体" w:hAnsi="宋体"/>
          <w:sz w:val="24"/>
        </w:rPr>
        <w:t>货物清单</w:t>
      </w:r>
    </w:p>
    <w:tbl>
      <w:tblPr>
        <w:tblStyle w:val="11"/>
        <w:tblpPr w:leftFromText="180" w:rightFromText="180" w:vertAnchor="text" w:horzAnchor="page" w:tblpX="2455" w:tblpY="39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9"/>
        <w:gridCol w:w="3969"/>
        <w:gridCol w:w="851"/>
        <w:gridCol w:w="992"/>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rPr>
        <w:tc>
          <w:tcPr>
            <w:tcW w:w="709" w:type="dxa"/>
            <w:vAlign w:val="center"/>
          </w:tcPr>
          <w:p>
            <w:pPr>
              <w:jc w:val="center"/>
              <w:rPr>
                <w:rFonts w:ascii="宋体" w:hAnsi="宋体"/>
                <w:sz w:val="24"/>
              </w:rPr>
            </w:pPr>
            <w:r>
              <w:rPr>
                <w:rFonts w:hint="eastAsia" w:ascii="宋体" w:hAnsi="宋体"/>
                <w:sz w:val="24"/>
              </w:rPr>
              <w:t>序号</w:t>
            </w:r>
          </w:p>
        </w:tc>
        <w:tc>
          <w:tcPr>
            <w:tcW w:w="3969" w:type="dxa"/>
            <w:vAlign w:val="center"/>
          </w:tcPr>
          <w:p>
            <w:pPr>
              <w:jc w:val="center"/>
              <w:rPr>
                <w:rFonts w:ascii="宋体" w:hAnsi="宋体"/>
                <w:sz w:val="24"/>
              </w:rPr>
            </w:pPr>
            <w:r>
              <w:rPr>
                <w:rFonts w:hint="eastAsia" w:ascii="宋体" w:hAnsi="宋体"/>
                <w:sz w:val="24"/>
              </w:rPr>
              <w:t>名称</w:t>
            </w:r>
          </w:p>
        </w:tc>
        <w:tc>
          <w:tcPr>
            <w:tcW w:w="851" w:type="dxa"/>
            <w:vAlign w:val="center"/>
          </w:tcPr>
          <w:p>
            <w:pPr>
              <w:jc w:val="center"/>
              <w:rPr>
                <w:rFonts w:ascii="宋体" w:hAnsi="宋体"/>
                <w:sz w:val="24"/>
              </w:rPr>
            </w:pPr>
            <w:r>
              <w:rPr>
                <w:rFonts w:hint="eastAsia" w:ascii="宋体" w:hAnsi="宋体"/>
                <w:sz w:val="24"/>
              </w:rPr>
              <w:t>单位</w:t>
            </w:r>
          </w:p>
        </w:tc>
        <w:tc>
          <w:tcPr>
            <w:tcW w:w="992" w:type="dxa"/>
            <w:vAlign w:val="center"/>
          </w:tcPr>
          <w:p>
            <w:pPr>
              <w:jc w:val="center"/>
              <w:rPr>
                <w:rFonts w:ascii="宋体" w:hAnsi="宋体"/>
                <w:sz w:val="24"/>
              </w:rPr>
            </w:pPr>
            <w:r>
              <w:rPr>
                <w:rFonts w:hint="eastAsia" w:ascii="宋体" w:hAnsi="宋体"/>
                <w:sz w:val="24"/>
              </w:rPr>
              <w:t>数量</w:t>
            </w:r>
          </w:p>
        </w:tc>
        <w:tc>
          <w:tcPr>
            <w:tcW w:w="1276" w:type="dxa"/>
            <w:vAlign w:val="center"/>
          </w:tcPr>
          <w:p>
            <w:pPr>
              <w:jc w:val="center"/>
              <w:rPr>
                <w:rFonts w:ascii="宋体" w:hAnsi="宋体"/>
                <w:sz w:val="24"/>
              </w:rPr>
            </w:pPr>
            <w:r>
              <w:rPr>
                <w:rFonts w:hint="eastAsia" w:ascii="宋体" w:hAnsi="宋体"/>
                <w:sz w:val="24"/>
              </w:rPr>
              <w:t>单价（元）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0" w:hRule="atLeast"/>
        </w:trPr>
        <w:tc>
          <w:tcPr>
            <w:tcW w:w="709" w:type="dxa"/>
            <w:vAlign w:val="center"/>
          </w:tcPr>
          <w:p>
            <w:pPr>
              <w:jc w:val="center"/>
              <w:rPr>
                <w:rFonts w:ascii="宋体" w:hAnsi="宋体"/>
                <w:sz w:val="24"/>
              </w:rPr>
            </w:pPr>
            <w:r>
              <w:rPr>
                <w:rFonts w:hint="eastAsia" w:ascii="宋体" w:hAnsi="宋体"/>
                <w:sz w:val="24"/>
              </w:rPr>
              <w:t>1</w:t>
            </w:r>
          </w:p>
        </w:tc>
        <w:tc>
          <w:tcPr>
            <w:tcW w:w="3969" w:type="dxa"/>
            <w:vAlign w:val="center"/>
          </w:tcPr>
          <w:p>
            <w:pPr>
              <w:jc w:val="center"/>
              <w:rPr>
                <w:rFonts w:ascii="宋体" w:hAnsi="宋体"/>
                <w:sz w:val="24"/>
              </w:rPr>
            </w:pPr>
          </w:p>
          <w:p>
            <w:pPr>
              <w:jc w:val="center"/>
              <w:rPr>
                <w:rFonts w:ascii="宋体" w:hAnsi="宋体"/>
                <w:sz w:val="24"/>
              </w:rPr>
            </w:pPr>
          </w:p>
        </w:tc>
        <w:tc>
          <w:tcPr>
            <w:tcW w:w="851" w:type="dxa"/>
            <w:vAlign w:val="center"/>
          </w:tcPr>
          <w:p>
            <w:pPr>
              <w:jc w:val="center"/>
              <w:rPr>
                <w:rFonts w:ascii="宋体" w:hAnsi="宋体"/>
                <w:sz w:val="24"/>
              </w:rPr>
            </w:pPr>
          </w:p>
        </w:tc>
        <w:tc>
          <w:tcPr>
            <w:tcW w:w="992" w:type="dxa"/>
            <w:vAlign w:val="center"/>
          </w:tcPr>
          <w:p>
            <w:pPr>
              <w:jc w:val="center"/>
              <w:rPr>
                <w:rFonts w:ascii="宋体" w:hAnsi="宋体"/>
                <w:sz w:val="24"/>
              </w:rPr>
            </w:pPr>
          </w:p>
        </w:tc>
        <w:tc>
          <w:tcPr>
            <w:tcW w:w="1276"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trPr>
        <w:tc>
          <w:tcPr>
            <w:tcW w:w="709" w:type="dxa"/>
            <w:vAlign w:val="center"/>
          </w:tcPr>
          <w:p>
            <w:pPr>
              <w:jc w:val="center"/>
              <w:rPr>
                <w:rFonts w:ascii="宋体" w:hAnsi="宋体"/>
                <w:sz w:val="24"/>
              </w:rPr>
            </w:pPr>
            <w:r>
              <w:rPr>
                <w:rFonts w:hint="eastAsia" w:ascii="宋体" w:hAnsi="宋体"/>
                <w:sz w:val="24"/>
              </w:rPr>
              <w:t>2</w:t>
            </w:r>
          </w:p>
        </w:tc>
        <w:tc>
          <w:tcPr>
            <w:tcW w:w="3969" w:type="dxa"/>
            <w:vAlign w:val="center"/>
          </w:tcPr>
          <w:p>
            <w:pPr>
              <w:jc w:val="center"/>
              <w:rPr>
                <w:rFonts w:ascii="宋体" w:hAnsi="宋体"/>
                <w:sz w:val="24"/>
              </w:rPr>
            </w:pPr>
          </w:p>
        </w:tc>
        <w:tc>
          <w:tcPr>
            <w:tcW w:w="851" w:type="dxa"/>
            <w:vAlign w:val="center"/>
          </w:tcPr>
          <w:p>
            <w:pPr>
              <w:jc w:val="center"/>
              <w:rPr>
                <w:rFonts w:ascii="宋体" w:hAnsi="宋体"/>
                <w:sz w:val="24"/>
              </w:rPr>
            </w:pPr>
          </w:p>
        </w:tc>
        <w:tc>
          <w:tcPr>
            <w:tcW w:w="992" w:type="dxa"/>
            <w:vAlign w:val="center"/>
          </w:tcPr>
          <w:p>
            <w:pPr>
              <w:jc w:val="center"/>
              <w:rPr>
                <w:rFonts w:ascii="宋体" w:hAnsi="宋体"/>
                <w:sz w:val="24"/>
              </w:rPr>
            </w:pPr>
          </w:p>
        </w:tc>
        <w:tc>
          <w:tcPr>
            <w:tcW w:w="1276"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709" w:type="dxa"/>
            <w:vAlign w:val="center"/>
          </w:tcPr>
          <w:p>
            <w:pPr>
              <w:jc w:val="center"/>
              <w:rPr>
                <w:rFonts w:ascii="宋体" w:hAnsi="宋体"/>
                <w:sz w:val="24"/>
              </w:rPr>
            </w:pPr>
            <w:r>
              <w:rPr>
                <w:rFonts w:hint="eastAsia" w:ascii="宋体" w:hAnsi="宋体"/>
                <w:sz w:val="24"/>
              </w:rPr>
              <w:t>...</w:t>
            </w:r>
          </w:p>
        </w:tc>
        <w:tc>
          <w:tcPr>
            <w:tcW w:w="3969" w:type="dxa"/>
            <w:vAlign w:val="center"/>
          </w:tcPr>
          <w:p>
            <w:pPr>
              <w:jc w:val="center"/>
              <w:rPr>
                <w:rFonts w:ascii="宋体" w:hAnsi="宋体"/>
                <w:sz w:val="24"/>
              </w:rPr>
            </w:pPr>
          </w:p>
        </w:tc>
        <w:tc>
          <w:tcPr>
            <w:tcW w:w="851" w:type="dxa"/>
            <w:vAlign w:val="center"/>
          </w:tcPr>
          <w:p>
            <w:pPr>
              <w:jc w:val="center"/>
              <w:rPr>
                <w:rFonts w:ascii="宋体" w:hAnsi="宋体"/>
                <w:sz w:val="24"/>
              </w:rPr>
            </w:pPr>
          </w:p>
        </w:tc>
        <w:tc>
          <w:tcPr>
            <w:tcW w:w="992" w:type="dxa"/>
            <w:vAlign w:val="center"/>
          </w:tcPr>
          <w:p>
            <w:pPr>
              <w:jc w:val="center"/>
              <w:rPr>
                <w:rFonts w:ascii="宋体" w:hAnsi="宋体"/>
                <w:sz w:val="24"/>
              </w:rPr>
            </w:pPr>
          </w:p>
        </w:tc>
        <w:tc>
          <w:tcPr>
            <w:tcW w:w="1276" w:type="dxa"/>
            <w:vAlign w:val="center"/>
          </w:tcPr>
          <w:p>
            <w:pPr>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8" w:hRule="atLeast"/>
        </w:trPr>
        <w:tc>
          <w:tcPr>
            <w:tcW w:w="709" w:type="dxa"/>
            <w:vAlign w:val="center"/>
          </w:tcPr>
          <w:p>
            <w:pPr>
              <w:jc w:val="center"/>
              <w:rPr>
                <w:rFonts w:ascii="宋体" w:hAnsi="宋体"/>
                <w:sz w:val="24"/>
              </w:rPr>
            </w:pPr>
            <w:r>
              <w:rPr>
                <w:rFonts w:hint="eastAsia" w:ascii="宋体" w:hAnsi="宋体"/>
                <w:sz w:val="24"/>
              </w:rPr>
              <w:t>合计</w:t>
            </w:r>
          </w:p>
        </w:tc>
        <w:tc>
          <w:tcPr>
            <w:tcW w:w="7088" w:type="dxa"/>
            <w:gridSpan w:val="4"/>
            <w:vAlign w:val="center"/>
          </w:tcPr>
          <w:p>
            <w:pPr>
              <w:jc w:val="left"/>
              <w:rPr>
                <w:rFonts w:ascii="宋体" w:hAnsi="宋体"/>
                <w:b/>
                <w:bCs/>
                <w:sz w:val="24"/>
              </w:rPr>
            </w:pPr>
            <w:r>
              <w:rPr>
                <w:rFonts w:hint="eastAsia" w:ascii="宋体" w:hAnsi="宋体"/>
                <w:b/>
                <w:bCs/>
                <w:sz w:val="24"/>
                <w:u w:val="single"/>
              </w:rPr>
              <w:t>人民币：              元整（</w:t>
            </w:r>
            <w:r>
              <w:rPr>
                <w:rFonts w:ascii="宋体" w:hAnsi="宋体" w:cs="Calibri"/>
                <w:b/>
                <w:bCs/>
                <w:sz w:val="24"/>
                <w:u w:val="single"/>
              </w:rPr>
              <w:t>¥</w:t>
            </w:r>
            <w:r>
              <w:rPr>
                <w:rFonts w:hint="eastAsia" w:ascii="宋体" w:hAnsi="宋体" w:cs="Calibri"/>
                <w:b/>
                <w:bCs/>
                <w:sz w:val="24"/>
                <w:u w:val="single"/>
              </w:rPr>
              <w:t xml:space="preserve">          </w:t>
            </w:r>
            <w:r>
              <w:rPr>
                <w:rFonts w:hint="eastAsia" w:ascii="宋体" w:hAnsi="宋体"/>
                <w:b/>
                <w:bCs/>
                <w:sz w:val="24"/>
                <w:u w:val="single"/>
              </w:rPr>
              <w:t>）</w:t>
            </w:r>
          </w:p>
        </w:tc>
      </w:tr>
    </w:tbl>
    <w:p>
      <w:pPr>
        <w:snapToGrid w:val="0"/>
        <w:spacing w:before="120" w:after="120" w:line="540" w:lineRule="exact"/>
        <w:rPr>
          <w:rFonts w:ascii="宋体" w:hAnsi="宋体" w:cs="Courier New"/>
          <w:color w:val="000000"/>
          <w:sz w:val="28"/>
          <w:szCs w:val="28"/>
        </w:rPr>
      </w:pPr>
    </w:p>
    <w:p>
      <w:pPr>
        <w:snapToGrid w:val="0"/>
        <w:spacing w:before="120" w:after="120" w:line="540" w:lineRule="exact"/>
        <w:rPr>
          <w:rFonts w:ascii="宋体" w:hAnsi="宋体" w:cs="Courier New"/>
          <w:color w:val="000000"/>
          <w:sz w:val="28"/>
          <w:szCs w:val="28"/>
        </w:rPr>
      </w:pPr>
    </w:p>
    <w:p>
      <w:pPr>
        <w:snapToGrid w:val="0"/>
        <w:spacing w:before="120" w:after="120" w:line="540" w:lineRule="exact"/>
        <w:rPr>
          <w:rFonts w:ascii="宋体" w:hAnsi="宋体" w:cs="Courier New"/>
          <w:color w:val="000000"/>
          <w:sz w:val="28"/>
          <w:szCs w:val="28"/>
        </w:rPr>
      </w:pPr>
    </w:p>
    <w:p>
      <w:pPr>
        <w:snapToGrid w:val="0"/>
        <w:spacing w:before="120" w:after="120" w:line="540" w:lineRule="exact"/>
        <w:rPr>
          <w:rFonts w:ascii="宋体" w:hAnsi="宋体" w:cs="Courier New"/>
          <w:color w:val="000000"/>
          <w:sz w:val="28"/>
          <w:szCs w:val="28"/>
        </w:rPr>
      </w:pPr>
    </w:p>
    <w:p>
      <w:pPr>
        <w:snapToGrid w:val="0"/>
        <w:spacing w:before="120" w:after="120" w:line="540" w:lineRule="exact"/>
        <w:rPr>
          <w:rFonts w:ascii="宋体" w:hAnsi="宋体" w:cs="Courier New"/>
          <w:color w:val="000000"/>
          <w:sz w:val="28"/>
          <w:szCs w:val="28"/>
        </w:rPr>
      </w:pPr>
    </w:p>
    <w:p>
      <w:pPr>
        <w:snapToGrid w:val="0"/>
        <w:spacing w:before="120" w:after="120" w:line="540" w:lineRule="exact"/>
        <w:rPr>
          <w:rFonts w:ascii="宋体" w:hAnsi="宋体" w:cs="Courier New"/>
          <w:color w:val="000000"/>
          <w:sz w:val="28"/>
          <w:szCs w:val="28"/>
        </w:rPr>
      </w:pPr>
    </w:p>
    <w:p>
      <w:pPr>
        <w:snapToGrid w:val="0"/>
        <w:spacing w:before="120" w:after="120" w:line="540" w:lineRule="exact"/>
        <w:rPr>
          <w:rFonts w:ascii="宋体" w:hAnsi="宋体" w:cs="Courier New"/>
          <w:color w:val="000000"/>
          <w:sz w:val="28"/>
          <w:szCs w:val="28"/>
        </w:rPr>
      </w:pPr>
    </w:p>
    <w:p>
      <w:pPr>
        <w:snapToGrid w:val="0"/>
        <w:spacing w:before="120" w:after="120" w:line="540" w:lineRule="exact"/>
        <w:rPr>
          <w:rFonts w:ascii="宋体" w:hAnsi="宋体" w:cs="Courier New"/>
          <w:color w:val="000000"/>
          <w:sz w:val="28"/>
          <w:szCs w:val="28"/>
        </w:rPr>
      </w:pPr>
      <w:r>
        <w:rPr>
          <w:rFonts w:hint="eastAsia" w:ascii="宋体" w:hAnsi="宋体" w:cs="Courier New"/>
          <w:color w:val="000000"/>
          <w:sz w:val="28"/>
          <w:szCs w:val="28"/>
        </w:rPr>
        <w:t>1.2 履行时间（期限）：</w:t>
      </w:r>
    </w:p>
    <w:p>
      <w:pPr>
        <w:snapToGrid w:val="0"/>
        <w:spacing w:before="120" w:after="120" w:line="540" w:lineRule="exact"/>
        <w:rPr>
          <w:rFonts w:ascii="宋体" w:hAnsi="宋体" w:cs="Courier New"/>
          <w:color w:val="000000"/>
          <w:sz w:val="28"/>
          <w:szCs w:val="28"/>
        </w:rPr>
      </w:pPr>
      <w:r>
        <w:rPr>
          <w:rFonts w:hint="eastAsia" w:ascii="宋体" w:hAnsi="宋体" w:cs="Courier New"/>
          <w:color w:val="000000"/>
          <w:sz w:val="28"/>
          <w:szCs w:val="28"/>
        </w:rPr>
        <w:t>1.3 履行地点：</w:t>
      </w:r>
    </w:p>
    <w:p>
      <w:pPr>
        <w:snapToGrid w:val="0"/>
        <w:spacing w:before="120" w:after="120" w:line="540" w:lineRule="exact"/>
        <w:rPr>
          <w:rFonts w:ascii="宋体" w:hAnsi="宋体" w:cs="Courier New"/>
          <w:b/>
          <w:color w:val="000000"/>
          <w:sz w:val="28"/>
          <w:szCs w:val="28"/>
        </w:rPr>
      </w:pPr>
      <w:r>
        <w:rPr>
          <w:rFonts w:ascii="宋体" w:hAnsi="宋体" w:cs="Courier New"/>
          <w:b/>
          <w:color w:val="000000"/>
          <w:sz w:val="28"/>
          <w:szCs w:val="28"/>
        </w:rPr>
        <w:t>二、合同金额</w:t>
      </w:r>
    </w:p>
    <w:p>
      <w:pPr>
        <w:snapToGrid w:val="0"/>
        <w:spacing w:before="120" w:after="120" w:line="540" w:lineRule="exact"/>
        <w:ind w:left="479" w:hanging="478" w:hangingChars="171"/>
        <w:rPr>
          <w:rFonts w:ascii="宋体" w:hAnsi="宋体" w:cs="Courier New"/>
          <w:color w:val="000000"/>
          <w:sz w:val="28"/>
          <w:szCs w:val="28"/>
        </w:rPr>
      </w:pPr>
      <w:r>
        <w:rPr>
          <w:rFonts w:ascii="宋体" w:hAnsi="宋体" w:cs="Courier New"/>
          <w:color w:val="000000"/>
          <w:sz w:val="28"/>
          <w:szCs w:val="28"/>
        </w:rPr>
        <w:t>2.1 本合同金额为（大写）：_______</w:t>
      </w:r>
      <w:r>
        <w:rPr>
          <w:rFonts w:hint="eastAsia" w:ascii="宋体" w:hAnsi="宋体" w:cs="Courier New"/>
          <w:color w:val="000000"/>
          <w:sz w:val="28"/>
          <w:szCs w:val="28"/>
        </w:rPr>
        <w:t>圆</w:t>
      </w:r>
      <w:r>
        <w:rPr>
          <w:rFonts w:ascii="宋体" w:hAnsi="宋体" w:cs="Courier New"/>
          <w:color w:val="000000"/>
          <w:sz w:val="28"/>
          <w:szCs w:val="28"/>
        </w:rPr>
        <w:t>（___元）人民币</w:t>
      </w:r>
      <w:r>
        <w:rPr>
          <w:rFonts w:hint="eastAsia" w:ascii="宋体" w:hAnsi="宋体" w:cs="Courier New"/>
          <w:color w:val="000000"/>
          <w:sz w:val="28"/>
          <w:szCs w:val="28"/>
        </w:rPr>
        <w:t>或其他币种</w:t>
      </w:r>
      <w:r>
        <w:rPr>
          <w:rFonts w:ascii="宋体" w:hAnsi="宋体" w:cs="Courier New"/>
          <w:color w:val="000000"/>
          <w:sz w:val="28"/>
          <w:szCs w:val="28"/>
        </w:rPr>
        <w:t>。</w:t>
      </w:r>
    </w:p>
    <w:p>
      <w:pPr>
        <w:snapToGrid w:val="0"/>
        <w:spacing w:before="120" w:after="120" w:line="540" w:lineRule="exact"/>
        <w:rPr>
          <w:rFonts w:ascii="宋体" w:hAnsi="宋体" w:cs="Courier New"/>
          <w:b/>
          <w:color w:val="000000"/>
          <w:sz w:val="28"/>
          <w:szCs w:val="28"/>
        </w:rPr>
      </w:pPr>
      <w:r>
        <w:rPr>
          <w:rFonts w:ascii="宋体" w:hAnsi="宋体" w:cs="Courier New"/>
          <w:b/>
          <w:color w:val="000000"/>
          <w:sz w:val="28"/>
          <w:szCs w:val="28"/>
        </w:rPr>
        <w:t>三、技术资料</w:t>
      </w:r>
    </w:p>
    <w:p>
      <w:pPr>
        <w:snapToGrid w:val="0"/>
        <w:spacing w:before="120" w:after="120" w:line="540" w:lineRule="exact"/>
        <w:ind w:left="479" w:hanging="478" w:hangingChars="171"/>
        <w:rPr>
          <w:rFonts w:ascii="宋体" w:hAnsi="宋体" w:cs="Courier New"/>
          <w:color w:val="000000"/>
          <w:sz w:val="28"/>
          <w:szCs w:val="28"/>
        </w:rPr>
      </w:pPr>
      <w:r>
        <w:rPr>
          <w:rFonts w:ascii="宋体" w:hAnsi="宋体" w:cs="Courier New"/>
          <w:color w:val="000000"/>
          <w:sz w:val="28"/>
          <w:szCs w:val="28"/>
        </w:rPr>
        <w:t>3.1乙方应按招标文件规定的时间向甲方提供使用货物</w:t>
      </w:r>
      <w:r>
        <w:rPr>
          <w:rFonts w:hint="eastAsia" w:ascii="宋体" w:hAnsi="宋体" w:cs="Courier New"/>
          <w:color w:val="000000"/>
          <w:sz w:val="28"/>
          <w:szCs w:val="28"/>
        </w:rPr>
        <w:t>(包含与货物相关的服务)</w:t>
      </w:r>
      <w:r>
        <w:rPr>
          <w:rFonts w:ascii="宋体" w:hAnsi="宋体" w:cs="Courier New"/>
          <w:color w:val="000000"/>
          <w:sz w:val="28"/>
          <w:szCs w:val="28"/>
        </w:rPr>
        <w:t>的有关技术资料。</w:t>
      </w:r>
    </w:p>
    <w:p>
      <w:pPr>
        <w:snapToGrid w:val="0"/>
        <w:spacing w:before="120" w:after="120" w:line="540" w:lineRule="exact"/>
        <w:ind w:left="479" w:hanging="478" w:hangingChars="171"/>
        <w:rPr>
          <w:rFonts w:ascii="宋体" w:hAnsi="宋体" w:cs="Courier New"/>
          <w:color w:val="000000"/>
          <w:sz w:val="28"/>
          <w:szCs w:val="28"/>
        </w:rPr>
      </w:pPr>
      <w:r>
        <w:rPr>
          <w:rFonts w:ascii="宋体" w:hAnsi="宋体" w:cs="Courier New"/>
          <w:color w:val="000000"/>
          <w:sz w:val="28"/>
          <w:szCs w:val="28"/>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before="120" w:after="120" w:line="540" w:lineRule="exact"/>
        <w:ind w:left="481" w:hanging="481" w:hangingChars="171"/>
        <w:rPr>
          <w:rFonts w:ascii="宋体" w:hAnsi="宋体" w:cs="Courier New"/>
          <w:b/>
          <w:color w:val="000000"/>
          <w:sz w:val="28"/>
          <w:szCs w:val="28"/>
        </w:rPr>
      </w:pPr>
      <w:r>
        <w:rPr>
          <w:rFonts w:ascii="宋体" w:hAnsi="宋体" w:cs="Courier New"/>
          <w:b/>
          <w:color w:val="000000"/>
          <w:sz w:val="28"/>
          <w:szCs w:val="28"/>
        </w:rPr>
        <w:t>四、知识产权</w:t>
      </w:r>
    </w:p>
    <w:p>
      <w:pPr>
        <w:snapToGrid w:val="0"/>
        <w:spacing w:line="540" w:lineRule="exact"/>
        <w:rPr>
          <w:rFonts w:ascii="宋体" w:hAnsi="宋体"/>
          <w:color w:val="000000"/>
          <w:sz w:val="28"/>
          <w:szCs w:val="28"/>
        </w:rPr>
      </w:pPr>
      <w:r>
        <w:rPr>
          <w:rFonts w:ascii="宋体" w:hAnsi="宋体"/>
          <w:color w:val="000000"/>
          <w:sz w:val="28"/>
          <w:szCs w:val="28"/>
        </w:rPr>
        <w:t>4.1乙</w:t>
      </w:r>
      <w:r>
        <w:rPr>
          <w:rFonts w:hint="eastAsia" w:ascii="宋体" w:hAnsi="宋体"/>
          <w:color w:val="000000"/>
          <w:sz w:val="28"/>
          <w:szCs w:val="28"/>
        </w:rPr>
        <w:t>方应保证甲方在使用、接受本合同货物（包含与货物相关的服务）或其任何一部分时不受第三方提出侵犯其专利权、版权、商标权和工业设计权等知识产权的起诉。一旦出现侵权，由乙方负全部责任。</w:t>
      </w:r>
    </w:p>
    <w:p>
      <w:pPr>
        <w:snapToGrid w:val="0"/>
        <w:spacing w:before="120" w:after="120" w:line="540" w:lineRule="exact"/>
        <w:rPr>
          <w:rFonts w:ascii="宋体" w:hAnsi="宋体" w:cs="Courier New"/>
          <w:color w:val="000000"/>
          <w:sz w:val="28"/>
          <w:szCs w:val="28"/>
          <w:u w:val="single"/>
        </w:rPr>
      </w:pPr>
      <w:r>
        <w:rPr>
          <w:rFonts w:ascii="宋体" w:hAnsi="宋体" w:cs="Courier New"/>
          <w:b/>
          <w:color w:val="000000"/>
          <w:sz w:val="28"/>
          <w:szCs w:val="28"/>
        </w:rPr>
        <w:t>五、产权担保</w:t>
      </w:r>
    </w:p>
    <w:p>
      <w:pPr>
        <w:snapToGrid w:val="0"/>
        <w:spacing w:before="120" w:after="120" w:line="540" w:lineRule="exact"/>
        <w:ind w:left="476" w:hanging="476" w:hangingChars="170"/>
        <w:rPr>
          <w:rFonts w:ascii="宋体" w:hAnsi="宋体" w:cs="Courier New"/>
          <w:color w:val="000000"/>
          <w:sz w:val="28"/>
          <w:szCs w:val="28"/>
          <w:u w:val="single"/>
        </w:rPr>
      </w:pPr>
      <w:r>
        <w:rPr>
          <w:rFonts w:ascii="宋体" w:hAnsi="宋体" w:cs="Courier New"/>
          <w:color w:val="000000"/>
          <w:sz w:val="28"/>
          <w:szCs w:val="28"/>
        </w:rPr>
        <w:t>5.1 乙方保证所交付的货物</w:t>
      </w:r>
      <w:r>
        <w:rPr>
          <w:rFonts w:hint="eastAsia" w:ascii="宋体" w:hAnsi="宋体" w:cs="Courier New"/>
          <w:color w:val="000000"/>
          <w:sz w:val="28"/>
          <w:szCs w:val="28"/>
        </w:rPr>
        <w:t>（包含与货物相关的服务）</w:t>
      </w:r>
      <w:r>
        <w:rPr>
          <w:rFonts w:ascii="宋体" w:hAnsi="宋体" w:cs="Courier New"/>
          <w:color w:val="000000"/>
          <w:sz w:val="28"/>
          <w:szCs w:val="28"/>
        </w:rPr>
        <w:t>的所有权完全属于乙方且无任何抵押、查封等产权瑕疵。</w:t>
      </w:r>
    </w:p>
    <w:p>
      <w:pPr>
        <w:snapToGrid w:val="0"/>
        <w:spacing w:before="120" w:after="120" w:line="540" w:lineRule="exact"/>
        <w:ind w:left="478" w:hanging="478" w:hangingChars="170"/>
        <w:rPr>
          <w:rFonts w:ascii="宋体" w:hAnsi="宋体" w:cs="Courier New"/>
          <w:b/>
          <w:color w:val="000000"/>
          <w:sz w:val="28"/>
          <w:szCs w:val="28"/>
        </w:rPr>
      </w:pPr>
      <w:r>
        <w:rPr>
          <w:rFonts w:ascii="宋体" w:hAnsi="宋体" w:cs="Courier New"/>
          <w:b/>
          <w:color w:val="000000"/>
          <w:sz w:val="28"/>
          <w:szCs w:val="28"/>
        </w:rPr>
        <w:t>六、履约保证金</w:t>
      </w:r>
    </w:p>
    <w:p>
      <w:pPr>
        <w:snapToGrid w:val="0"/>
        <w:spacing w:before="120" w:after="120" w:line="540" w:lineRule="exact"/>
        <w:ind w:left="476" w:hanging="476" w:hangingChars="170"/>
        <w:rPr>
          <w:rFonts w:ascii="宋体" w:hAnsi="宋体" w:cs="Courier New"/>
          <w:color w:val="000000"/>
          <w:sz w:val="28"/>
          <w:szCs w:val="28"/>
        </w:rPr>
      </w:pPr>
      <w:r>
        <w:rPr>
          <w:rFonts w:ascii="宋体" w:hAnsi="宋体" w:cs="Courier New"/>
          <w:color w:val="000000"/>
          <w:sz w:val="28"/>
          <w:szCs w:val="28"/>
        </w:rPr>
        <w:t>6.1 乙方交纳人民币_________元作为本合同的履约保证金。</w:t>
      </w:r>
      <w:r>
        <w:rPr>
          <w:rFonts w:hint="eastAsia" w:ascii="宋体" w:hAnsi="宋体" w:cs="Courier New"/>
          <w:color w:val="000000"/>
          <w:sz w:val="28"/>
          <w:szCs w:val="28"/>
        </w:rPr>
        <w:t>（不得超过合同金额的10%）</w:t>
      </w:r>
    </w:p>
    <w:p>
      <w:pPr>
        <w:snapToGrid w:val="0"/>
        <w:spacing w:before="120" w:after="120" w:line="540" w:lineRule="exact"/>
        <w:ind w:left="476" w:hanging="476" w:hangingChars="170"/>
        <w:rPr>
          <w:rFonts w:ascii="宋体" w:hAnsi="宋体" w:cs="Courier New"/>
          <w:color w:val="000000"/>
          <w:sz w:val="28"/>
          <w:szCs w:val="28"/>
        </w:rPr>
      </w:pPr>
      <w:r>
        <w:rPr>
          <w:rFonts w:hint="eastAsia" w:ascii="宋体" w:hAnsi="宋体" w:cs="Courier New"/>
          <w:color w:val="000000"/>
          <w:sz w:val="28"/>
          <w:szCs w:val="28"/>
        </w:rPr>
        <w:t>6.2合同履行结束后，甲方应及时退还交纳的履约保证金。</w:t>
      </w:r>
    </w:p>
    <w:p>
      <w:pPr>
        <w:snapToGrid w:val="0"/>
        <w:spacing w:before="120" w:after="120" w:line="540" w:lineRule="exact"/>
        <w:ind w:left="476" w:hanging="476" w:hangingChars="170"/>
        <w:rPr>
          <w:rFonts w:ascii="宋体" w:hAnsi="宋体" w:cs="Courier New"/>
          <w:color w:val="000000"/>
          <w:sz w:val="28"/>
          <w:szCs w:val="28"/>
        </w:rPr>
      </w:pPr>
      <w:r>
        <w:rPr>
          <w:rFonts w:hint="eastAsia" w:ascii="宋体" w:hAnsi="宋体" w:cs="Courier New"/>
          <w:color w:val="000000"/>
          <w:sz w:val="28"/>
          <w:szCs w:val="28"/>
        </w:rPr>
        <w:t>6.2.1履约保证金退还时间：项目验收合格后15个工作日内。</w:t>
      </w:r>
    </w:p>
    <w:p>
      <w:pPr>
        <w:snapToGrid w:val="0"/>
        <w:spacing w:before="120" w:after="120" w:line="540" w:lineRule="exact"/>
        <w:ind w:left="476" w:hanging="476" w:hangingChars="170"/>
        <w:rPr>
          <w:rFonts w:ascii="宋体" w:hAnsi="宋体" w:cs="Courier New"/>
          <w:color w:val="000000"/>
          <w:sz w:val="28"/>
          <w:szCs w:val="28"/>
        </w:rPr>
      </w:pPr>
      <w:r>
        <w:rPr>
          <w:rFonts w:hint="eastAsia" w:ascii="宋体" w:hAnsi="宋体" w:cs="Courier New"/>
          <w:color w:val="000000"/>
          <w:sz w:val="28"/>
          <w:szCs w:val="28"/>
        </w:rPr>
        <w:t>6.2.2履约保证金不予退还的情形：乙方拒不履行合同。</w:t>
      </w:r>
    </w:p>
    <w:p>
      <w:pPr>
        <w:adjustRightInd w:val="0"/>
        <w:snapToGrid w:val="0"/>
        <w:spacing w:line="540" w:lineRule="exact"/>
        <w:rPr>
          <w:rFonts w:ascii="宋体" w:hAnsi="宋体"/>
          <w:sz w:val="28"/>
          <w:szCs w:val="28"/>
        </w:rPr>
      </w:pPr>
      <w:r>
        <w:rPr>
          <w:rFonts w:hint="eastAsia" w:ascii="宋体" w:hAnsi="宋体"/>
          <w:sz w:val="28"/>
          <w:szCs w:val="28"/>
        </w:rPr>
        <w:t>6.3根据《南通市财政局关于进一步加大政府采购支持中小企业力度的通知》（通财购〔2022〕23号）精神，对政府采购信用档案中无不良记录的中小企业免收履约保证金。确需收取履约保证金的，按照《关于在政府采购领域开展履约保证保险网上办理试行工作的通知》（通财购〔2022〕8号），直接在网上办理履约保证保险替代实质性的履约保证金缴纳，进一步减轻企业现金流压力。</w:t>
      </w:r>
    </w:p>
    <w:p>
      <w:pPr>
        <w:snapToGrid w:val="0"/>
        <w:spacing w:before="120" w:after="120" w:line="540" w:lineRule="exact"/>
        <w:rPr>
          <w:rFonts w:ascii="宋体" w:hAnsi="宋体" w:cs="Courier New"/>
          <w:b/>
          <w:color w:val="000000"/>
          <w:sz w:val="28"/>
          <w:szCs w:val="28"/>
        </w:rPr>
      </w:pPr>
      <w:r>
        <w:rPr>
          <w:rFonts w:hint="eastAsia" w:ascii="宋体" w:hAnsi="宋体" w:cs="Courier New"/>
          <w:b/>
          <w:color w:val="000000"/>
          <w:sz w:val="28"/>
          <w:szCs w:val="28"/>
        </w:rPr>
        <w:t>七</w:t>
      </w:r>
      <w:r>
        <w:rPr>
          <w:rFonts w:ascii="宋体" w:hAnsi="宋体" w:cs="Courier New"/>
          <w:b/>
          <w:color w:val="000000"/>
          <w:sz w:val="28"/>
          <w:szCs w:val="28"/>
        </w:rPr>
        <w:t>、</w:t>
      </w:r>
      <w:r>
        <w:rPr>
          <w:rFonts w:hint="eastAsia" w:ascii="宋体" w:hAnsi="宋体" w:cs="Courier New"/>
          <w:b/>
          <w:color w:val="000000"/>
          <w:sz w:val="28"/>
          <w:szCs w:val="28"/>
        </w:rPr>
        <w:t>合同款项</w:t>
      </w:r>
      <w:r>
        <w:rPr>
          <w:rFonts w:ascii="宋体" w:hAnsi="宋体" w:cs="Courier New"/>
          <w:b/>
          <w:color w:val="000000"/>
          <w:sz w:val="28"/>
          <w:szCs w:val="28"/>
        </w:rPr>
        <w:t>支付</w:t>
      </w:r>
    </w:p>
    <w:p>
      <w:pPr>
        <w:snapToGrid w:val="0"/>
        <w:spacing w:before="120" w:after="120" w:line="540" w:lineRule="exact"/>
        <w:rPr>
          <w:rFonts w:ascii="宋体" w:hAnsi="宋体" w:cs="Courier New"/>
          <w:bCs/>
          <w:color w:val="000000"/>
          <w:sz w:val="28"/>
          <w:szCs w:val="28"/>
        </w:rPr>
      </w:pPr>
      <w:r>
        <w:rPr>
          <w:rFonts w:hint="eastAsia" w:ascii="宋体" w:hAnsi="宋体" w:cs="Courier New"/>
          <w:bCs/>
          <w:color w:val="000000"/>
          <w:sz w:val="28"/>
          <w:szCs w:val="28"/>
        </w:rPr>
        <w:t>7</w:t>
      </w:r>
      <w:r>
        <w:rPr>
          <w:rFonts w:ascii="宋体" w:hAnsi="宋体" w:cs="Courier New"/>
          <w:bCs/>
          <w:color w:val="000000"/>
          <w:sz w:val="28"/>
          <w:szCs w:val="28"/>
        </w:rPr>
        <w:t>.1</w:t>
      </w:r>
      <w:r>
        <w:rPr>
          <w:rFonts w:hint="eastAsia" w:ascii="宋体" w:hAnsi="宋体" w:cs="Courier New"/>
          <w:bCs/>
          <w:color w:val="000000"/>
          <w:sz w:val="28"/>
          <w:szCs w:val="28"/>
        </w:rPr>
        <w:t>合同款项的支付方式及进度安排</w:t>
      </w:r>
    </w:p>
    <w:p>
      <w:pPr>
        <w:pStyle w:val="9"/>
        <w:shd w:val="clear" w:color="auto" w:fill="FFFFFF"/>
        <w:spacing w:before="0" w:beforeAutospacing="0" w:after="0" w:afterAutospacing="0" w:line="420" w:lineRule="exact"/>
        <w:ind w:firstLine="560" w:firstLineChars="200"/>
        <w:rPr>
          <w:rFonts w:cs="Courier New"/>
          <w:bCs/>
          <w:color w:val="000000"/>
          <w:sz w:val="28"/>
          <w:szCs w:val="28"/>
        </w:rPr>
      </w:pPr>
      <w:r>
        <w:rPr>
          <w:rFonts w:hint="eastAsia" w:cs="Courier New"/>
          <w:bCs/>
          <w:color w:val="000000"/>
          <w:sz w:val="28"/>
          <w:szCs w:val="28"/>
        </w:rPr>
        <w:t>安装调试结束，验收合格后一个月内，付合同金额的100%。</w:t>
      </w:r>
    </w:p>
    <w:p>
      <w:pPr>
        <w:snapToGrid w:val="0"/>
        <w:spacing w:before="156" w:beforeLines="50" w:after="156" w:afterLines="50" w:line="540" w:lineRule="exact"/>
        <w:rPr>
          <w:rFonts w:ascii="宋体" w:hAnsi="宋体"/>
          <w:b/>
          <w:color w:val="000000"/>
          <w:sz w:val="28"/>
          <w:szCs w:val="28"/>
        </w:rPr>
      </w:pPr>
      <w:r>
        <w:rPr>
          <w:rFonts w:hint="eastAsia" w:ascii="宋体" w:hAnsi="宋体"/>
          <w:b/>
          <w:color w:val="000000"/>
          <w:sz w:val="28"/>
          <w:szCs w:val="28"/>
        </w:rPr>
        <w:t>八、税费</w:t>
      </w:r>
    </w:p>
    <w:p>
      <w:pPr>
        <w:snapToGrid w:val="0"/>
        <w:spacing w:before="156" w:beforeLines="50" w:after="156" w:afterLines="50" w:line="540" w:lineRule="exact"/>
        <w:rPr>
          <w:rFonts w:ascii="宋体" w:hAnsi="宋体"/>
          <w:color w:val="000000"/>
          <w:sz w:val="28"/>
          <w:szCs w:val="28"/>
        </w:rPr>
      </w:pPr>
      <w:r>
        <w:rPr>
          <w:rFonts w:hint="eastAsia" w:ascii="宋体" w:hAnsi="宋体"/>
          <w:color w:val="000000"/>
          <w:sz w:val="28"/>
          <w:szCs w:val="28"/>
        </w:rPr>
        <w:t>8</w:t>
      </w:r>
      <w:r>
        <w:rPr>
          <w:rFonts w:ascii="宋体" w:hAnsi="宋体"/>
          <w:color w:val="000000"/>
          <w:sz w:val="28"/>
          <w:szCs w:val="28"/>
        </w:rPr>
        <w:t>.1</w:t>
      </w:r>
      <w:r>
        <w:rPr>
          <w:rFonts w:hint="eastAsia" w:ascii="宋体" w:hAnsi="宋体"/>
          <w:color w:val="000000"/>
          <w:sz w:val="28"/>
          <w:szCs w:val="28"/>
        </w:rPr>
        <w:t>本合同执行中相关的一切税费均由乙方负担。</w:t>
      </w:r>
    </w:p>
    <w:p>
      <w:pPr>
        <w:snapToGrid w:val="0"/>
        <w:spacing w:before="120" w:after="120" w:line="540" w:lineRule="exact"/>
        <w:ind w:left="481" w:hanging="481" w:hangingChars="171"/>
        <w:rPr>
          <w:rFonts w:ascii="宋体" w:hAnsi="宋体" w:cs="Courier New"/>
          <w:color w:val="000000"/>
          <w:sz w:val="28"/>
          <w:szCs w:val="28"/>
        </w:rPr>
      </w:pPr>
      <w:r>
        <w:rPr>
          <w:rFonts w:hint="eastAsia" w:ascii="宋体" w:hAnsi="宋体" w:cs="Courier New"/>
          <w:b/>
          <w:color w:val="000000"/>
          <w:sz w:val="28"/>
          <w:szCs w:val="28"/>
        </w:rPr>
        <w:t>九</w:t>
      </w:r>
      <w:r>
        <w:rPr>
          <w:rFonts w:ascii="宋体" w:hAnsi="宋体" w:cs="Courier New"/>
          <w:b/>
          <w:color w:val="000000"/>
          <w:sz w:val="28"/>
          <w:szCs w:val="28"/>
        </w:rPr>
        <w:t>、质量</w:t>
      </w:r>
      <w:r>
        <w:rPr>
          <w:rFonts w:hint="eastAsia" w:ascii="宋体" w:hAnsi="宋体" w:cs="Courier New"/>
          <w:b/>
          <w:color w:val="000000"/>
          <w:sz w:val="28"/>
          <w:szCs w:val="28"/>
        </w:rPr>
        <w:t>保修范围和保修期</w:t>
      </w:r>
      <w:r>
        <w:rPr>
          <w:rFonts w:ascii="宋体" w:hAnsi="宋体" w:cs="Courier New"/>
          <w:b/>
          <w:color w:val="000000"/>
          <w:sz w:val="28"/>
          <w:szCs w:val="28"/>
        </w:rPr>
        <w:t>及售后服务</w:t>
      </w:r>
    </w:p>
    <w:p>
      <w:pPr>
        <w:snapToGrid w:val="0"/>
        <w:spacing w:before="120" w:after="120" w:line="540" w:lineRule="exact"/>
        <w:ind w:left="479" w:hanging="478" w:hangingChars="171"/>
        <w:rPr>
          <w:rFonts w:ascii="宋体" w:hAnsi="宋体" w:cs="Courier New"/>
          <w:color w:val="000000"/>
          <w:sz w:val="28"/>
          <w:szCs w:val="28"/>
        </w:rPr>
      </w:pPr>
      <w:r>
        <w:rPr>
          <w:rFonts w:hint="eastAsia" w:ascii="宋体" w:hAnsi="宋体" w:cs="Courier New"/>
          <w:color w:val="000000"/>
          <w:sz w:val="28"/>
          <w:szCs w:val="28"/>
        </w:rPr>
        <w:t>9</w:t>
      </w:r>
      <w:r>
        <w:rPr>
          <w:rFonts w:ascii="宋体" w:hAnsi="宋体" w:cs="Courier New"/>
          <w:color w:val="000000"/>
          <w:sz w:val="28"/>
          <w:szCs w:val="28"/>
        </w:rPr>
        <w:t>.1 乙方应按招标文件规定的货物性能、技术要求、质量标准向甲方提供未经使用的全新产品。</w:t>
      </w:r>
    </w:p>
    <w:p>
      <w:pPr>
        <w:snapToGrid w:val="0"/>
        <w:spacing w:before="120" w:after="120" w:line="540" w:lineRule="exact"/>
        <w:rPr>
          <w:rFonts w:ascii="宋体" w:hAnsi="宋体" w:cs="Courier New"/>
          <w:color w:val="000000"/>
          <w:sz w:val="28"/>
          <w:szCs w:val="28"/>
        </w:rPr>
      </w:pPr>
      <w:r>
        <w:rPr>
          <w:rFonts w:hint="eastAsia" w:ascii="宋体" w:hAnsi="宋体" w:cs="Courier New"/>
          <w:color w:val="000000"/>
          <w:sz w:val="28"/>
          <w:szCs w:val="28"/>
        </w:rPr>
        <w:t>9</w:t>
      </w:r>
      <w:r>
        <w:rPr>
          <w:rFonts w:ascii="宋体" w:hAnsi="宋体" w:cs="Courier New"/>
          <w:color w:val="000000"/>
          <w:sz w:val="28"/>
          <w:szCs w:val="28"/>
        </w:rPr>
        <w:t>.</w:t>
      </w:r>
      <w:r>
        <w:rPr>
          <w:rFonts w:hint="eastAsia" w:ascii="宋体" w:hAnsi="宋体" w:cs="Courier New"/>
          <w:color w:val="000000"/>
          <w:sz w:val="28"/>
          <w:szCs w:val="28"/>
        </w:rPr>
        <w:t>2</w:t>
      </w:r>
      <w:r>
        <w:rPr>
          <w:rFonts w:ascii="宋体" w:hAnsi="宋体" w:cs="Courier New"/>
          <w:color w:val="000000"/>
          <w:sz w:val="28"/>
          <w:szCs w:val="28"/>
        </w:rPr>
        <w:t xml:space="preserve"> 在质保期内，乙方应对货物出现的质量及安全问题负责处理解决并承担一切费用。</w:t>
      </w:r>
    </w:p>
    <w:p>
      <w:pPr>
        <w:snapToGrid w:val="0"/>
        <w:spacing w:before="120" w:after="120" w:line="540" w:lineRule="exact"/>
        <w:ind w:left="560" w:hanging="560" w:hangingChars="200"/>
        <w:rPr>
          <w:rFonts w:ascii="宋体" w:hAnsi="宋体" w:cs="Courier New"/>
          <w:color w:val="000000"/>
          <w:sz w:val="28"/>
          <w:szCs w:val="28"/>
        </w:rPr>
      </w:pPr>
      <w:r>
        <w:rPr>
          <w:rFonts w:hint="eastAsia" w:ascii="宋体" w:hAnsi="宋体" w:cs="Courier New"/>
          <w:color w:val="000000"/>
          <w:sz w:val="28"/>
          <w:szCs w:val="28"/>
        </w:rPr>
        <w:t>9</w:t>
      </w:r>
      <w:r>
        <w:rPr>
          <w:rFonts w:ascii="宋体" w:hAnsi="宋体" w:cs="Courier New"/>
          <w:color w:val="000000"/>
          <w:sz w:val="28"/>
          <w:szCs w:val="28"/>
        </w:rPr>
        <w:t>.</w:t>
      </w:r>
      <w:r>
        <w:rPr>
          <w:rFonts w:hint="eastAsia" w:ascii="宋体" w:hAnsi="宋体" w:cs="Courier New"/>
          <w:color w:val="000000"/>
          <w:sz w:val="28"/>
          <w:szCs w:val="28"/>
        </w:rPr>
        <w:t>3</w:t>
      </w:r>
      <w:r>
        <w:rPr>
          <w:rFonts w:ascii="宋体" w:hAnsi="宋体" w:cs="Courier New"/>
          <w:color w:val="000000"/>
          <w:sz w:val="28"/>
          <w:szCs w:val="28"/>
        </w:rPr>
        <w:t>上述的货物免费保修期为________年（自交货验收合格之日起计），因人为因素出现的故障不在免费保修范围内。超过保修期的机器设备，终生维修，维修时只收部件成本费。</w:t>
      </w:r>
    </w:p>
    <w:p>
      <w:pPr>
        <w:snapToGrid w:val="0"/>
        <w:spacing w:before="120" w:after="120" w:line="540" w:lineRule="exact"/>
        <w:rPr>
          <w:rFonts w:ascii="宋体" w:hAnsi="宋体" w:cs="Courier New"/>
          <w:b/>
          <w:color w:val="000000"/>
          <w:sz w:val="28"/>
          <w:szCs w:val="28"/>
        </w:rPr>
      </w:pPr>
      <w:r>
        <w:rPr>
          <w:rFonts w:ascii="宋体" w:hAnsi="宋体" w:cs="Courier New"/>
          <w:b/>
          <w:color w:val="000000"/>
          <w:sz w:val="28"/>
          <w:szCs w:val="28"/>
        </w:rPr>
        <w:t>十、</w:t>
      </w:r>
      <w:r>
        <w:rPr>
          <w:rFonts w:hint="eastAsia" w:ascii="宋体" w:hAnsi="宋体" w:cs="Courier New"/>
          <w:b/>
          <w:color w:val="000000"/>
          <w:sz w:val="28"/>
          <w:szCs w:val="28"/>
        </w:rPr>
        <w:t>项目</w:t>
      </w:r>
      <w:r>
        <w:rPr>
          <w:rFonts w:ascii="宋体" w:hAnsi="宋体" w:cs="Courier New"/>
          <w:b/>
          <w:color w:val="000000"/>
          <w:sz w:val="28"/>
          <w:szCs w:val="28"/>
        </w:rPr>
        <w:t>验收</w:t>
      </w:r>
    </w:p>
    <w:p>
      <w:pPr>
        <w:snapToGrid w:val="0"/>
        <w:spacing w:before="120" w:after="120" w:line="540" w:lineRule="exact"/>
        <w:rPr>
          <w:rFonts w:ascii="宋体" w:hAnsi="宋体" w:cs="Courier New"/>
          <w:color w:val="000000"/>
          <w:sz w:val="28"/>
          <w:szCs w:val="28"/>
        </w:rPr>
      </w:pPr>
      <w:r>
        <w:rPr>
          <w:rFonts w:hint="eastAsia" w:ascii="宋体" w:hAnsi="宋体" w:cs="Courier New"/>
          <w:color w:val="000000"/>
          <w:sz w:val="28"/>
          <w:szCs w:val="28"/>
        </w:rPr>
        <w:t>10.1 甲方依法组织履约验收工作。</w:t>
      </w:r>
    </w:p>
    <w:p>
      <w:pPr>
        <w:snapToGrid w:val="0"/>
        <w:spacing w:before="120" w:after="120" w:line="540" w:lineRule="exact"/>
        <w:rPr>
          <w:rFonts w:ascii="宋体" w:hAnsi="宋体" w:cs="Courier New"/>
          <w:color w:val="000000"/>
          <w:sz w:val="28"/>
          <w:szCs w:val="28"/>
        </w:rPr>
      </w:pPr>
      <w:r>
        <w:rPr>
          <w:rFonts w:hint="eastAsia" w:ascii="宋体" w:hAnsi="宋体" w:cs="Courier New"/>
          <w:color w:val="000000"/>
          <w:sz w:val="28"/>
          <w:szCs w:val="28"/>
        </w:rPr>
        <w:t>10.2 甲方在组织履约验收前，将根据项目特点制定验收方案，明确履约验收的方式、程序等内容，乙方应根据验收方案内容做好相应配合工作。</w:t>
      </w:r>
    </w:p>
    <w:p>
      <w:pPr>
        <w:snapToGrid w:val="0"/>
        <w:spacing w:before="120" w:after="120" w:line="540" w:lineRule="exact"/>
        <w:rPr>
          <w:rFonts w:ascii="宋体" w:hAnsi="宋体" w:cs="Courier New"/>
          <w:color w:val="000000"/>
          <w:sz w:val="28"/>
          <w:szCs w:val="28"/>
        </w:rPr>
      </w:pPr>
      <w:r>
        <w:rPr>
          <w:rFonts w:hint="eastAsia" w:ascii="宋体" w:hAnsi="宋体" w:cs="Courier New"/>
          <w:color w:val="000000"/>
          <w:sz w:val="28"/>
          <w:szCs w:val="28"/>
        </w:rPr>
        <w:t>10.3 甲方成立验收小组，按照采购合同的约定对乙方的履约情况进行验收。验收时,甲方按照采购合同的约定对每一项技术、商务要求的履约情况进行确认。验收结束后,验收小组出具验收报告。履约验收的各项资料存档备查。</w:t>
      </w:r>
    </w:p>
    <w:p>
      <w:pPr>
        <w:snapToGrid w:val="0"/>
        <w:spacing w:before="120" w:after="120" w:line="540" w:lineRule="exact"/>
        <w:rPr>
          <w:rFonts w:ascii="宋体" w:hAnsi="宋体" w:cs="Courier New"/>
          <w:color w:val="000000"/>
          <w:sz w:val="28"/>
          <w:szCs w:val="28"/>
        </w:rPr>
      </w:pPr>
      <w:r>
        <w:rPr>
          <w:rFonts w:hint="eastAsia" w:ascii="宋体" w:hAnsi="宋体" w:cs="Courier New"/>
          <w:color w:val="000000"/>
          <w:sz w:val="28"/>
          <w:szCs w:val="28"/>
        </w:rPr>
        <w:t>10.4 验收合格的项目,甲方根据采购合同的约定及时向乙方支付合同款项、退还履约保证金。验收不合格的项目，甲方依法及时处理。采购合同的履行、违约责任和解决争议的方式等适用《民法典》。乙方在履约过程中有政府采购法律法规规定的违法违规情形的,甲方将及时报告本级财政部门。</w:t>
      </w:r>
    </w:p>
    <w:p>
      <w:pPr>
        <w:snapToGrid w:val="0"/>
        <w:spacing w:before="120" w:after="120" w:line="540" w:lineRule="exact"/>
        <w:rPr>
          <w:rFonts w:ascii="宋体" w:hAnsi="宋体" w:cs="Courier New"/>
          <w:b/>
          <w:color w:val="000000"/>
          <w:sz w:val="28"/>
          <w:szCs w:val="28"/>
        </w:rPr>
      </w:pPr>
      <w:r>
        <w:rPr>
          <w:rFonts w:ascii="宋体" w:hAnsi="宋体" w:cs="Courier New"/>
          <w:b/>
          <w:color w:val="000000"/>
          <w:sz w:val="28"/>
          <w:szCs w:val="28"/>
        </w:rPr>
        <w:t>十</w:t>
      </w:r>
      <w:r>
        <w:rPr>
          <w:rFonts w:hint="eastAsia" w:ascii="宋体" w:hAnsi="宋体" w:cs="Courier New"/>
          <w:b/>
          <w:color w:val="000000"/>
          <w:sz w:val="28"/>
          <w:szCs w:val="28"/>
        </w:rPr>
        <w:t>一</w:t>
      </w:r>
      <w:r>
        <w:rPr>
          <w:rFonts w:ascii="宋体" w:hAnsi="宋体" w:cs="Courier New"/>
          <w:b/>
          <w:color w:val="000000"/>
          <w:sz w:val="28"/>
          <w:szCs w:val="28"/>
        </w:rPr>
        <w:t>、货物</w:t>
      </w:r>
      <w:r>
        <w:rPr>
          <w:rFonts w:hint="eastAsia" w:ascii="宋体" w:hAnsi="宋体" w:cs="Courier New"/>
          <w:b/>
          <w:color w:val="000000"/>
          <w:sz w:val="28"/>
          <w:szCs w:val="28"/>
        </w:rPr>
        <w:t>的</w:t>
      </w:r>
      <w:r>
        <w:rPr>
          <w:rFonts w:ascii="宋体" w:hAnsi="宋体" w:cs="Courier New"/>
          <w:b/>
          <w:color w:val="000000"/>
          <w:sz w:val="28"/>
          <w:szCs w:val="28"/>
        </w:rPr>
        <w:t>包装、发运及运输</w:t>
      </w:r>
    </w:p>
    <w:p>
      <w:pPr>
        <w:snapToGrid w:val="0"/>
        <w:spacing w:before="120" w:after="120" w:line="540" w:lineRule="exact"/>
        <w:ind w:left="560" w:hanging="560" w:hangingChars="200"/>
        <w:rPr>
          <w:rFonts w:ascii="宋体" w:hAnsi="宋体" w:cs="Courier New"/>
          <w:sz w:val="28"/>
          <w:szCs w:val="28"/>
        </w:rPr>
      </w:pPr>
      <w:r>
        <w:rPr>
          <w:rFonts w:ascii="宋体" w:hAnsi="宋体" w:cs="Courier New"/>
          <w:sz w:val="28"/>
          <w:szCs w:val="28"/>
        </w:rPr>
        <w:t>1</w:t>
      </w:r>
      <w:r>
        <w:rPr>
          <w:rFonts w:hint="eastAsia" w:ascii="宋体" w:hAnsi="宋体" w:cs="Courier New"/>
          <w:sz w:val="28"/>
          <w:szCs w:val="28"/>
        </w:rPr>
        <w:t>1</w:t>
      </w:r>
      <w:r>
        <w:rPr>
          <w:rFonts w:ascii="宋体" w:hAnsi="宋体" w:cs="Courier New"/>
          <w:sz w:val="28"/>
          <w:szCs w:val="28"/>
        </w:rPr>
        <w:t>.1 乙方应在货物发运前对其进行满足运输距离、防潮、防震、防锈和防破损装卸等要求包装，以保证货物安全运达甲方指定地点。</w:t>
      </w:r>
      <w:r>
        <w:rPr>
          <w:rFonts w:hint="eastAsia" w:ascii="宋体" w:hAnsi="宋体"/>
          <w:sz w:val="28"/>
          <w:szCs w:val="28"/>
        </w:rPr>
        <w:t>乙方对货物的包装应符合《商品包装政府采购需求标准（试行）》、《快递包装政府采购需求标准（试行）》的规定。</w:t>
      </w:r>
    </w:p>
    <w:p>
      <w:pPr>
        <w:snapToGrid w:val="0"/>
        <w:spacing w:before="120" w:after="120" w:line="540" w:lineRule="exact"/>
        <w:ind w:left="560" w:hanging="560" w:hangingChars="200"/>
        <w:rPr>
          <w:rFonts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1</w:t>
      </w:r>
      <w:r>
        <w:rPr>
          <w:rFonts w:ascii="宋体" w:hAnsi="宋体" w:cs="Courier New"/>
          <w:color w:val="000000"/>
          <w:sz w:val="28"/>
          <w:szCs w:val="28"/>
        </w:rPr>
        <w:t>.2 使用说明书、质量检验证明书、随配附件和工具以及清单一并附于货物内。</w:t>
      </w:r>
    </w:p>
    <w:p>
      <w:pPr>
        <w:snapToGrid w:val="0"/>
        <w:spacing w:before="120" w:after="120" w:line="540" w:lineRule="exact"/>
        <w:ind w:left="560" w:hanging="560" w:hangingChars="200"/>
        <w:rPr>
          <w:rFonts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1</w:t>
      </w:r>
      <w:r>
        <w:rPr>
          <w:rFonts w:ascii="宋体" w:hAnsi="宋体" w:cs="Courier New"/>
          <w:color w:val="000000"/>
          <w:sz w:val="28"/>
          <w:szCs w:val="28"/>
        </w:rPr>
        <w:t>.</w:t>
      </w:r>
      <w:r>
        <w:rPr>
          <w:rFonts w:hint="eastAsia" w:ascii="宋体" w:hAnsi="宋体" w:cs="Courier New"/>
          <w:color w:val="000000"/>
          <w:sz w:val="28"/>
          <w:szCs w:val="28"/>
        </w:rPr>
        <w:t>3</w:t>
      </w:r>
      <w:r>
        <w:rPr>
          <w:rFonts w:ascii="宋体" w:hAnsi="宋体" w:cs="Courier New"/>
          <w:color w:val="000000"/>
          <w:sz w:val="28"/>
          <w:szCs w:val="28"/>
        </w:rPr>
        <w:t xml:space="preserve"> 货物在交付甲方前发生的风险均由乙方负责。</w:t>
      </w:r>
    </w:p>
    <w:p>
      <w:pPr>
        <w:snapToGrid w:val="0"/>
        <w:spacing w:before="120" w:after="120" w:line="540" w:lineRule="exact"/>
        <w:rPr>
          <w:rFonts w:ascii="宋体" w:hAnsi="宋体" w:cs="Courier New"/>
          <w:b/>
          <w:color w:val="000000"/>
          <w:sz w:val="28"/>
          <w:szCs w:val="28"/>
        </w:rPr>
      </w:pPr>
      <w:r>
        <w:rPr>
          <w:rFonts w:ascii="宋体" w:hAnsi="宋体" w:cs="Courier New"/>
          <w:b/>
          <w:color w:val="000000"/>
          <w:sz w:val="28"/>
          <w:szCs w:val="28"/>
        </w:rPr>
        <w:t>十</w:t>
      </w:r>
      <w:r>
        <w:rPr>
          <w:rFonts w:hint="eastAsia" w:ascii="宋体" w:hAnsi="宋体" w:cs="Courier New"/>
          <w:b/>
          <w:color w:val="000000"/>
          <w:sz w:val="28"/>
          <w:szCs w:val="28"/>
        </w:rPr>
        <w:t>二</w:t>
      </w:r>
      <w:r>
        <w:rPr>
          <w:rFonts w:ascii="宋体" w:hAnsi="宋体" w:cs="Courier New"/>
          <w:b/>
          <w:color w:val="000000"/>
          <w:sz w:val="28"/>
          <w:szCs w:val="28"/>
        </w:rPr>
        <w:t>、违约责任</w:t>
      </w:r>
    </w:p>
    <w:p>
      <w:pPr>
        <w:snapToGrid w:val="0"/>
        <w:spacing w:before="120" w:after="120" w:line="540" w:lineRule="exact"/>
        <w:ind w:left="479" w:hanging="478" w:hangingChars="171"/>
        <w:rPr>
          <w:rFonts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2</w:t>
      </w:r>
      <w:r>
        <w:rPr>
          <w:rFonts w:ascii="宋体" w:hAnsi="宋体" w:cs="Courier New"/>
          <w:color w:val="000000"/>
          <w:sz w:val="28"/>
          <w:szCs w:val="28"/>
        </w:rPr>
        <w:t>.</w:t>
      </w:r>
      <w:r>
        <w:rPr>
          <w:rFonts w:hint="eastAsia" w:ascii="宋体" w:hAnsi="宋体" w:cs="Courier New"/>
          <w:color w:val="000000"/>
          <w:sz w:val="28"/>
          <w:szCs w:val="28"/>
        </w:rPr>
        <w:t>1</w:t>
      </w:r>
      <w:r>
        <w:rPr>
          <w:rFonts w:ascii="宋体" w:hAnsi="宋体" w:cs="Courier New"/>
          <w:color w:val="000000"/>
          <w:sz w:val="28"/>
          <w:szCs w:val="28"/>
        </w:rPr>
        <w:t xml:space="preserve"> 乙方逾期交付货物的，乙方应按逾期交货总额每日千分之六向甲方支付违约金，由甲方从待付货款中扣除。逾期超过约定日期10个工作日不能交货的，甲方可解除本合同。 </w:t>
      </w:r>
    </w:p>
    <w:p>
      <w:pPr>
        <w:snapToGrid w:val="0"/>
        <w:spacing w:before="120" w:after="120" w:line="540" w:lineRule="exact"/>
        <w:ind w:left="479" w:hanging="478" w:hangingChars="171"/>
        <w:rPr>
          <w:rFonts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2</w:t>
      </w:r>
      <w:r>
        <w:rPr>
          <w:rFonts w:ascii="宋体" w:hAnsi="宋体" w:cs="Courier New"/>
          <w:color w:val="000000"/>
          <w:sz w:val="28"/>
          <w:szCs w:val="28"/>
        </w:rPr>
        <w:t>.</w:t>
      </w:r>
      <w:r>
        <w:rPr>
          <w:rFonts w:hint="eastAsia" w:ascii="宋体" w:hAnsi="宋体" w:cs="Courier New"/>
          <w:color w:val="000000"/>
          <w:sz w:val="28"/>
          <w:szCs w:val="28"/>
        </w:rPr>
        <w:t>2</w:t>
      </w:r>
      <w:r>
        <w:rPr>
          <w:rFonts w:ascii="宋体" w:hAnsi="宋体" w:cs="Courier New"/>
          <w:color w:val="000000"/>
          <w:sz w:val="28"/>
          <w:szCs w:val="28"/>
        </w:rPr>
        <w:t xml:space="preserve">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snapToGrid w:val="0"/>
        <w:spacing w:before="120" w:after="120" w:line="540" w:lineRule="exact"/>
        <w:rPr>
          <w:rFonts w:ascii="宋体" w:hAnsi="宋体" w:cs="Courier New"/>
          <w:b/>
          <w:color w:val="000000"/>
          <w:sz w:val="28"/>
          <w:szCs w:val="28"/>
        </w:rPr>
      </w:pPr>
      <w:r>
        <w:rPr>
          <w:rFonts w:ascii="宋体" w:hAnsi="宋体" w:cs="Courier New"/>
          <w:b/>
          <w:color w:val="000000"/>
          <w:sz w:val="28"/>
          <w:szCs w:val="28"/>
        </w:rPr>
        <w:t>十</w:t>
      </w:r>
      <w:r>
        <w:rPr>
          <w:rFonts w:hint="eastAsia" w:ascii="宋体" w:hAnsi="宋体" w:cs="Courier New"/>
          <w:b/>
          <w:color w:val="000000"/>
          <w:sz w:val="28"/>
          <w:szCs w:val="28"/>
        </w:rPr>
        <w:t>三</w:t>
      </w:r>
      <w:r>
        <w:rPr>
          <w:rFonts w:ascii="宋体" w:hAnsi="宋体" w:cs="Courier New"/>
          <w:b/>
          <w:color w:val="000000"/>
          <w:sz w:val="28"/>
          <w:szCs w:val="28"/>
        </w:rPr>
        <w:t>、不可抗力事件处理</w:t>
      </w:r>
    </w:p>
    <w:p>
      <w:pPr>
        <w:snapToGrid w:val="0"/>
        <w:spacing w:before="120" w:after="120" w:line="540" w:lineRule="exact"/>
        <w:ind w:left="560" w:hanging="560" w:hangingChars="200"/>
        <w:rPr>
          <w:rFonts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3</w:t>
      </w:r>
      <w:r>
        <w:rPr>
          <w:rFonts w:ascii="宋体" w:hAnsi="宋体" w:cs="Courier New"/>
          <w:color w:val="000000"/>
          <w:sz w:val="28"/>
          <w:szCs w:val="28"/>
        </w:rPr>
        <w:t>.1 在合同有效期内，任何一方因不可抗力事件导致不能履行合同，则合同履行期可延长，其延长期与不可抗力影响期相同。</w:t>
      </w:r>
    </w:p>
    <w:p>
      <w:pPr>
        <w:snapToGrid w:val="0"/>
        <w:spacing w:before="120" w:after="120" w:line="540" w:lineRule="exact"/>
        <w:rPr>
          <w:rFonts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3</w:t>
      </w:r>
      <w:r>
        <w:rPr>
          <w:rFonts w:ascii="宋体" w:hAnsi="宋体" w:cs="Courier New"/>
          <w:color w:val="000000"/>
          <w:sz w:val="28"/>
          <w:szCs w:val="28"/>
        </w:rPr>
        <w:t>.2 不可抗力事件发生后，应立即通知对方。</w:t>
      </w:r>
    </w:p>
    <w:p>
      <w:pPr>
        <w:snapToGrid w:val="0"/>
        <w:spacing w:before="120" w:after="120" w:line="540" w:lineRule="exact"/>
        <w:rPr>
          <w:rFonts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3</w:t>
      </w:r>
      <w:r>
        <w:rPr>
          <w:rFonts w:ascii="宋体" w:hAnsi="宋体" w:cs="Courier New"/>
          <w:color w:val="000000"/>
          <w:sz w:val="28"/>
          <w:szCs w:val="28"/>
        </w:rPr>
        <w:t>.3 不可抗力事件延续120天以上，双方应通过友好协商，确定是否继续履行合同。</w:t>
      </w:r>
    </w:p>
    <w:p>
      <w:pPr>
        <w:snapToGrid w:val="0"/>
        <w:spacing w:before="120" w:after="120" w:line="540" w:lineRule="exact"/>
        <w:rPr>
          <w:rFonts w:ascii="宋体" w:hAnsi="宋体" w:cs="Courier New"/>
          <w:b/>
          <w:color w:val="000000"/>
          <w:sz w:val="28"/>
          <w:szCs w:val="28"/>
        </w:rPr>
      </w:pPr>
      <w:r>
        <w:rPr>
          <w:rFonts w:ascii="宋体" w:hAnsi="宋体" w:cs="Courier New"/>
          <w:b/>
          <w:color w:val="000000"/>
          <w:sz w:val="28"/>
          <w:szCs w:val="28"/>
        </w:rPr>
        <w:t>十</w:t>
      </w:r>
      <w:r>
        <w:rPr>
          <w:rFonts w:hint="eastAsia" w:ascii="宋体" w:hAnsi="宋体" w:cs="Courier New"/>
          <w:b/>
          <w:color w:val="000000"/>
          <w:sz w:val="28"/>
          <w:szCs w:val="28"/>
        </w:rPr>
        <w:t>四</w:t>
      </w:r>
      <w:r>
        <w:rPr>
          <w:rFonts w:ascii="宋体" w:hAnsi="宋体" w:cs="Courier New"/>
          <w:b/>
          <w:color w:val="000000"/>
          <w:sz w:val="28"/>
          <w:szCs w:val="28"/>
        </w:rPr>
        <w:t>、</w:t>
      </w:r>
      <w:r>
        <w:rPr>
          <w:rFonts w:hint="eastAsia" w:ascii="宋体" w:hAnsi="宋体" w:cs="Courier New"/>
          <w:b/>
          <w:color w:val="000000"/>
          <w:sz w:val="28"/>
          <w:szCs w:val="28"/>
        </w:rPr>
        <w:t>解决争议的方法</w:t>
      </w:r>
    </w:p>
    <w:p>
      <w:pPr>
        <w:snapToGrid w:val="0"/>
        <w:spacing w:before="120" w:after="120" w:line="540" w:lineRule="exact"/>
        <w:ind w:left="560" w:hanging="560" w:hangingChars="200"/>
        <w:rPr>
          <w:rFonts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4</w:t>
      </w:r>
      <w:r>
        <w:rPr>
          <w:rFonts w:ascii="宋体" w:hAnsi="宋体" w:cs="Courier New"/>
          <w:color w:val="000000"/>
          <w:sz w:val="28"/>
          <w:szCs w:val="28"/>
        </w:rPr>
        <w:t>.1</w:t>
      </w:r>
      <w:r>
        <w:rPr>
          <w:rFonts w:hint="eastAsia" w:ascii="宋体" w:hAnsi="宋体" w:cs="Courier New"/>
          <w:color w:val="000000"/>
          <w:sz w:val="28"/>
          <w:szCs w:val="28"/>
        </w:rPr>
        <w:t>甲乙</w:t>
      </w:r>
      <w:r>
        <w:rPr>
          <w:rFonts w:ascii="宋体" w:hAnsi="宋体" w:cs="Courier New"/>
          <w:color w:val="000000"/>
          <w:sz w:val="28"/>
          <w:szCs w:val="28"/>
        </w:rPr>
        <w:t>双方</w:t>
      </w:r>
      <w:r>
        <w:rPr>
          <w:rFonts w:hint="eastAsia" w:ascii="宋体" w:hAnsi="宋体" w:cs="Courier New"/>
          <w:color w:val="000000"/>
          <w:sz w:val="28"/>
          <w:szCs w:val="28"/>
        </w:rPr>
        <w:t>因</w:t>
      </w:r>
      <w:r>
        <w:rPr>
          <w:rFonts w:ascii="宋体" w:hAnsi="宋体" w:cs="Courier New"/>
          <w:color w:val="000000"/>
          <w:sz w:val="28"/>
          <w:szCs w:val="28"/>
        </w:rPr>
        <w:t>合同</w:t>
      </w:r>
      <w:r>
        <w:rPr>
          <w:rFonts w:hint="eastAsia" w:ascii="宋体" w:hAnsi="宋体" w:cs="Courier New"/>
          <w:color w:val="000000"/>
          <w:sz w:val="28"/>
          <w:szCs w:val="28"/>
        </w:rPr>
        <w:t>签订、履行而</w:t>
      </w:r>
      <w:r>
        <w:rPr>
          <w:rFonts w:ascii="宋体" w:hAnsi="宋体" w:cs="Courier New"/>
          <w:color w:val="000000"/>
          <w:sz w:val="28"/>
          <w:szCs w:val="28"/>
        </w:rPr>
        <w:t>发生的一切争议，应通过</w:t>
      </w:r>
      <w:r>
        <w:rPr>
          <w:rFonts w:hint="eastAsia" w:ascii="宋体" w:hAnsi="宋体" w:cs="Courier New"/>
          <w:color w:val="000000"/>
          <w:sz w:val="28"/>
          <w:szCs w:val="28"/>
        </w:rPr>
        <w:t>友好</w:t>
      </w:r>
      <w:r>
        <w:rPr>
          <w:rFonts w:ascii="宋体" w:hAnsi="宋体" w:cs="Courier New"/>
          <w:color w:val="000000"/>
          <w:sz w:val="28"/>
          <w:szCs w:val="28"/>
        </w:rPr>
        <w:t>协商解决。如协商不成</w:t>
      </w:r>
      <w:r>
        <w:rPr>
          <w:rFonts w:hint="eastAsia" w:ascii="宋体" w:hAnsi="宋体" w:cs="Courier New"/>
          <w:color w:val="000000"/>
          <w:sz w:val="28"/>
          <w:szCs w:val="28"/>
        </w:rPr>
        <w:t>由甲方住所地人民</w:t>
      </w:r>
      <w:r>
        <w:rPr>
          <w:rFonts w:ascii="宋体" w:hAnsi="宋体" w:cs="Courier New"/>
          <w:color w:val="000000"/>
          <w:sz w:val="28"/>
          <w:szCs w:val="28"/>
        </w:rPr>
        <w:t>法院</w:t>
      </w:r>
      <w:r>
        <w:rPr>
          <w:rFonts w:hint="eastAsia" w:ascii="宋体" w:hAnsi="宋体" w:cs="Courier New"/>
          <w:color w:val="000000"/>
          <w:sz w:val="28"/>
          <w:szCs w:val="28"/>
        </w:rPr>
        <w:t>管辖。</w:t>
      </w:r>
    </w:p>
    <w:p>
      <w:pPr>
        <w:snapToGrid w:val="0"/>
        <w:spacing w:before="120" w:after="120" w:line="540" w:lineRule="exact"/>
        <w:rPr>
          <w:rFonts w:ascii="宋体" w:hAnsi="宋体" w:cs="Courier New"/>
          <w:b/>
          <w:color w:val="000000"/>
          <w:sz w:val="28"/>
          <w:szCs w:val="28"/>
        </w:rPr>
      </w:pPr>
      <w:r>
        <w:rPr>
          <w:rFonts w:ascii="宋体" w:hAnsi="宋体" w:cs="Courier New"/>
          <w:b/>
          <w:color w:val="000000"/>
          <w:sz w:val="28"/>
          <w:szCs w:val="28"/>
        </w:rPr>
        <w:t>十</w:t>
      </w:r>
      <w:r>
        <w:rPr>
          <w:rFonts w:hint="eastAsia" w:ascii="宋体" w:hAnsi="宋体" w:cs="Courier New"/>
          <w:b/>
          <w:color w:val="000000"/>
          <w:sz w:val="28"/>
          <w:szCs w:val="28"/>
        </w:rPr>
        <w:t>五</w:t>
      </w:r>
      <w:r>
        <w:rPr>
          <w:rFonts w:ascii="宋体" w:hAnsi="宋体" w:cs="Courier New"/>
          <w:b/>
          <w:color w:val="000000"/>
          <w:sz w:val="28"/>
          <w:szCs w:val="28"/>
        </w:rPr>
        <w:t>、合同生效及其它</w:t>
      </w:r>
    </w:p>
    <w:p>
      <w:pPr>
        <w:snapToGrid w:val="0"/>
        <w:spacing w:before="120" w:after="120" w:line="540" w:lineRule="exact"/>
        <w:rPr>
          <w:rFonts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5</w:t>
      </w:r>
      <w:r>
        <w:rPr>
          <w:rFonts w:ascii="宋体" w:hAnsi="宋体" w:cs="Courier New"/>
          <w:color w:val="000000"/>
          <w:sz w:val="28"/>
          <w:szCs w:val="28"/>
        </w:rPr>
        <w:t>.1 合同经双方法定代表人或授权委托代</w:t>
      </w:r>
      <w:r>
        <w:rPr>
          <w:rFonts w:hint="eastAsia" w:ascii="宋体" w:hAnsi="宋体" w:cs="Courier New"/>
          <w:color w:val="000000"/>
          <w:sz w:val="28"/>
          <w:szCs w:val="28"/>
        </w:rPr>
        <w:t>表</w:t>
      </w:r>
      <w:r>
        <w:rPr>
          <w:rFonts w:ascii="宋体" w:hAnsi="宋体" w:cs="Courier New"/>
          <w:color w:val="000000"/>
          <w:sz w:val="28"/>
          <w:szCs w:val="28"/>
        </w:rPr>
        <w:t>人签字并加盖单位公章后生效。</w:t>
      </w:r>
    </w:p>
    <w:p>
      <w:pPr>
        <w:snapToGrid w:val="0"/>
        <w:spacing w:before="120" w:after="120" w:line="540" w:lineRule="exact"/>
        <w:rPr>
          <w:rFonts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5</w:t>
      </w:r>
      <w:r>
        <w:rPr>
          <w:rFonts w:ascii="宋体" w:hAnsi="宋体" w:cs="Courier New"/>
          <w:color w:val="000000"/>
          <w:sz w:val="28"/>
          <w:szCs w:val="28"/>
        </w:rPr>
        <w:t>.2本合同未尽事宜遵照</w:t>
      </w:r>
      <w:r>
        <w:rPr>
          <w:rFonts w:hint="eastAsia" w:ascii="宋体" w:hAnsi="宋体" w:cs="Courier New"/>
          <w:color w:val="000000"/>
          <w:sz w:val="28"/>
          <w:szCs w:val="28"/>
        </w:rPr>
        <w:t>《民法典》、《政府采购法》</w:t>
      </w:r>
      <w:r>
        <w:rPr>
          <w:rFonts w:ascii="宋体" w:hAnsi="宋体" w:cs="Courier New"/>
          <w:color w:val="000000"/>
          <w:sz w:val="28"/>
          <w:szCs w:val="28"/>
        </w:rPr>
        <w:t>有关条文执行。</w:t>
      </w:r>
    </w:p>
    <w:p>
      <w:pPr>
        <w:snapToGrid w:val="0"/>
        <w:spacing w:before="120" w:after="120" w:line="540" w:lineRule="exact"/>
        <w:ind w:left="560" w:hanging="560" w:hangingChars="200"/>
        <w:rPr>
          <w:rFonts w:ascii="宋体" w:hAnsi="宋体" w:cs="Courier New"/>
          <w:color w:val="000000"/>
          <w:sz w:val="28"/>
          <w:szCs w:val="28"/>
        </w:rPr>
      </w:pPr>
      <w:r>
        <w:rPr>
          <w:rFonts w:ascii="宋体" w:hAnsi="宋体" w:cs="Courier New"/>
          <w:color w:val="000000"/>
          <w:sz w:val="28"/>
          <w:szCs w:val="28"/>
        </w:rPr>
        <w:t>1</w:t>
      </w:r>
      <w:r>
        <w:rPr>
          <w:rFonts w:hint="eastAsia" w:ascii="宋体" w:hAnsi="宋体" w:cs="Courier New"/>
          <w:color w:val="000000"/>
          <w:sz w:val="28"/>
          <w:szCs w:val="28"/>
        </w:rPr>
        <w:t>5</w:t>
      </w:r>
      <w:r>
        <w:rPr>
          <w:rFonts w:ascii="宋体" w:hAnsi="宋体" w:cs="Courier New"/>
          <w:color w:val="000000"/>
          <w:sz w:val="28"/>
          <w:szCs w:val="28"/>
        </w:rPr>
        <w:t>.</w:t>
      </w:r>
      <w:r>
        <w:rPr>
          <w:rFonts w:hint="eastAsia" w:ascii="宋体" w:hAnsi="宋体" w:cs="Courier New"/>
          <w:color w:val="000000"/>
          <w:sz w:val="28"/>
          <w:szCs w:val="28"/>
        </w:rPr>
        <w:t>3</w:t>
      </w:r>
      <w:r>
        <w:rPr>
          <w:rFonts w:ascii="宋体" w:hAnsi="宋体" w:cs="Courier New"/>
          <w:color w:val="000000"/>
          <w:sz w:val="28"/>
          <w:szCs w:val="28"/>
        </w:rPr>
        <w:t xml:space="preserve"> 本合同正本一式</w:t>
      </w:r>
      <w:r>
        <w:rPr>
          <w:rFonts w:hint="eastAsia" w:ascii="宋体" w:hAnsi="宋体" w:cs="Courier New"/>
          <w:color w:val="000000"/>
          <w:sz w:val="28"/>
          <w:szCs w:val="28"/>
        </w:rPr>
        <w:t>肆</w:t>
      </w:r>
      <w:r>
        <w:rPr>
          <w:rFonts w:ascii="宋体" w:hAnsi="宋体" w:cs="Courier New"/>
          <w:color w:val="000000"/>
          <w:sz w:val="28"/>
          <w:szCs w:val="28"/>
        </w:rPr>
        <w:t>份，具有同等法律效力，甲</w:t>
      </w:r>
      <w:r>
        <w:rPr>
          <w:rFonts w:hint="eastAsia" w:ascii="宋体" w:hAnsi="宋体" w:cs="Courier New"/>
          <w:color w:val="000000"/>
          <w:sz w:val="28"/>
          <w:szCs w:val="28"/>
        </w:rPr>
        <w:t>方执叁份、</w:t>
      </w:r>
      <w:r>
        <w:rPr>
          <w:rFonts w:ascii="宋体" w:hAnsi="宋体" w:cs="Courier New"/>
          <w:color w:val="000000"/>
          <w:sz w:val="28"/>
          <w:szCs w:val="28"/>
        </w:rPr>
        <w:t>乙方执</w:t>
      </w:r>
      <w:r>
        <w:rPr>
          <w:rFonts w:hint="eastAsia" w:ascii="宋体" w:hAnsi="宋体" w:cs="Courier New"/>
          <w:color w:val="000000"/>
          <w:sz w:val="28"/>
          <w:szCs w:val="28"/>
        </w:rPr>
        <w:t>壹</w:t>
      </w:r>
      <w:r>
        <w:rPr>
          <w:rFonts w:ascii="宋体" w:hAnsi="宋体" w:cs="Courier New"/>
          <w:color w:val="000000"/>
          <w:sz w:val="28"/>
          <w:szCs w:val="28"/>
        </w:rPr>
        <w:t>份。</w:t>
      </w:r>
    </w:p>
    <w:p>
      <w:pPr>
        <w:snapToGrid w:val="0"/>
        <w:spacing w:before="120" w:after="120" w:line="540" w:lineRule="exact"/>
        <w:ind w:left="560" w:hanging="560" w:hangingChars="200"/>
        <w:rPr>
          <w:rFonts w:ascii="宋体" w:hAnsi="宋体" w:cs="Courier New"/>
          <w:color w:val="000000"/>
          <w:sz w:val="28"/>
          <w:szCs w:val="28"/>
        </w:rPr>
      </w:pPr>
      <w:r>
        <w:rPr>
          <w:rFonts w:ascii="宋体" w:hAnsi="宋体" w:cs="Courier New"/>
          <w:color w:val="000000"/>
          <w:sz w:val="28"/>
          <w:szCs w:val="28"/>
        </w:rPr>
        <w:t xml:space="preserve">  甲方：                        乙方： </w:t>
      </w:r>
    </w:p>
    <w:p>
      <w:pPr>
        <w:snapToGrid w:val="0"/>
        <w:spacing w:before="120" w:after="120" w:line="540" w:lineRule="exact"/>
        <w:rPr>
          <w:rFonts w:ascii="宋体" w:hAnsi="宋体" w:cs="Courier New"/>
          <w:color w:val="000000"/>
          <w:sz w:val="28"/>
          <w:szCs w:val="28"/>
        </w:rPr>
      </w:pPr>
      <w:r>
        <w:rPr>
          <w:rFonts w:ascii="宋体" w:hAnsi="宋体" w:cs="Courier New"/>
          <w:color w:val="000000"/>
          <w:sz w:val="28"/>
          <w:szCs w:val="28"/>
        </w:rPr>
        <w:t xml:space="preserve">  地址：                       地址： </w:t>
      </w:r>
    </w:p>
    <w:p>
      <w:pPr>
        <w:snapToGrid w:val="0"/>
        <w:spacing w:before="120" w:after="120" w:line="540" w:lineRule="exact"/>
        <w:rPr>
          <w:rFonts w:ascii="宋体" w:hAnsi="宋体" w:cs="Courier New"/>
          <w:color w:val="000000"/>
          <w:sz w:val="28"/>
          <w:szCs w:val="28"/>
        </w:rPr>
      </w:pPr>
      <w:r>
        <w:rPr>
          <w:rFonts w:ascii="宋体" w:hAnsi="宋体" w:cs="Courier New"/>
          <w:color w:val="000000"/>
          <w:sz w:val="28"/>
          <w:szCs w:val="28"/>
        </w:rPr>
        <w:t xml:space="preserve">  法定代表人</w:t>
      </w:r>
      <w:r>
        <w:rPr>
          <w:rFonts w:hint="eastAsia" w:ascii="宋体" w:hAnsi="宋体" w:cs="Courier New"/>
          <w:color w:val="000000"/>
          <w:sz w:val="28"/>
          <w:szCs w:val="28"/>
        </w:rPr>
        <w:t>或授权代表</w:t>
      </w:r>
      <w:r>
        <w:rPr>
          <w:rFonts w:ascii="宋体" w:hAnsi="宋体" w:cs="Courier New"/>
          <w:color w:val="000000"/>
          <w:sz w:val="28"/>
          <w:szCs w:val="28"/>
        </w:rPr>
        <w:t>：        法定代表人</w:t>
      </w:r>
      <w:r>
        <w:rPr>
          <w:rFonts w:hint="eastAsia" w:ascii="宋体" w:hAnsi="宋体" w:cs="Courier New"/>
          <w:color w:val="000000"/>
          <w:sz w:val="28"/>
          <w:szCs w:val="28"/>
        </w:rPr>
        <w:t>或授权代表</w:t>
      </w:r>
      <w:r>
        <w:rPr>
          <w:rFonts w:ascii="宋体" w:hAnsi="宋体" w:cs="Courier New"/>
          <w:color w:val="000000"/>
          <w:sz w:val="28"/>
          <w:szCs w:val="28"/>
        </w:rPr>
        <w:t>：</w:t>
      </w:r>
    </w:p>
    <w:p>
      <w:pPr>
        <w:snapToGrid w:val="0"/>
        <w:spacing w:before="120" w:after="120" w:line="540" w:lineRule="exact"/>
        <w:ind w:firstLine="280" w:firstLineChars="100"/>
        <w:rPr>
          <w:rFonts w:ascii="宋体" w:hAnsi="宋体" w:cs="Courier New"/>
          <w:color w:val="000000"/>
          <w:sz w:val="28"/>
          <w:szCs w:val="28"/>
        </w:rPr>
      </w:pPr>
      <w:r>
        <w:rPr>
          <w:rFonts w:hint="eastAsia" w:ascii="宋体" w:hAnsi="宋体" w:cs="Courier New"/>
          <w:color w:val="000000"/>
          <w:sz w:val="28"/>
          <w:szCs w:val="28"/>
        </w:rPr>
        <w:t xml:space="preserve">联系电话：                    联系电话： </w:t>
      </w:r>
    </w:p>
    <w:p>
      <w:pPr>
        <w:snapToGrid w:val="0"/>
        <w:spacing w:before="120" w:after="120" w:line="540" w:lineRule="exact"/>
        <w:ind w:firstLine="280" w:firstLineChars="100"/>
        <w:jc w:val="right"/>
        <w:rPr>
          <w:lang w:val="en-GB"/>
        </w:rPr>
      </w:pPr>
      <w:r>
        <w:rPr>
          <w:rFonts w:hint="eastAsia" w:ascii="宋体" w:hAnsi="宋体" w:cs="Courier New"/>
          <w:color w:val="000000"/>
          <w:sz w:val="28"/>
          <w:szCs w:val="28"/>
        </w:rPr>
        <w:t>签</w:t>
      </w:r>
      <w:r>
        <w:rPr>
          <w:rFonts w:ascii="宋体" w:hAnsi="宋体" w:cs="Courier New"/>
          <w:color w:val="000000"/>
          <w:sz w:val="28"/>
          <w:szCs w:val="28"/>
        </w:rPr>
        <w:t xml:space="preserve">订日期：      年 </w:t>
      </w:r>
      <w:r>
        <w:rPr>
          <w:rFonts w:hint="eastAsia" w:ascii="宋体" w:hAnsi="宋体" w:cs="Courier New"/>
          <w:color w:val="000000"/>
          <w:sz w:val="28"/>
          <w:szCs w:val="28"/>
        </w:rPr>
        <w:t xml:space="preserve">  </w:t>
      </w:r>
      <w:r>
        <w:rPr>
          <w:rFonts w:ascii="宋体" w:hAnsi="宋体" w:cs="Courier New"/>
          <w:color w:val="000000"/>
          <w:sz w:val="28"/>
          <w:szCs w:val="28"/>
        </w:rPr>
        <w:t xml:space="preserve"> 月  </w:t>
      </w:r>
      <w:r>
        <w:rPr>
          <w:rFonts w:hint="eastAsia" w:ascii="宋体" w:hAnsi="宋体" w:cs="Courier New"/>
          <w:color w:val="000000"/>
          <w:sz w:val="28"/>
          <w:szCs w:val="28"/>
        </w:rPr>
        <w:t xml:space="preserve"> </w:t>
      </w:r>
      <w:r>
        <w:rPr>
          <w:rFonts w:ascii="宋体" w:hAnsi="宋体" w:cs="Courier New"/>
          <w:color w:val="000000"/>
          <w:sz w:val="28"/>
          <w:szCs w:val="28"/>
        </w:rPr>
        <w:t>日</w:t>
      </w:r>
      <w:bookmarkEnd w:id="5"/>
      <w:bookmarkEnd w:id="6"/>
      <w:bookmarkEnd w:id="7"/>
    </w:p>
    <w:sectPr>
      <w:pgSz w:w="11907" w:h="16839"/>
      <w:pgMar w:top="1440" w:right="1800" w:bottom="1440" w:left="1800" w:header="624" w:footer="851"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5</w:t>
    </w:r>
    <w:r>
      <w:rPr>
        <w:lang w:val="zh-CN"/>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6</w:t>
    </w:r>
    <w:r>
      <w:rPr>
        <w:lang w:val="zh-CN"/>
      </w:rPr>
      <w:fldChar w:fldCharType="end"/>
    </w: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2EF24"/>
    <w:multiLevelType w:val="singleLevel"/>
    <w:tmpl w:val="BB42EF24"/>
    <w:lvl w:ilvl="0" w:tentative="0">
      <w:start w:val="4"/>
      <w:numFmt w:val="chineseCounting"/>
      <w:suff w:val="nothing"/>
      <w:lvlText w:val="%1、"/>
      <w:lvlJc w:val="left"/>
      <w:rPr>
        <w:rFonts w:hint="eastAsia"/>
      </w:rPr>
    </w:lvl>
  </w:abstractNum>
  <w:abstractNum w:abstractNumId="1">
    <w:nsid w:val="2670D211"/>
    <w:multiLevelType w:val="singleLevel"/>
    <w:tmpl w:val="2670D211"/>
    <w:lvl w:ilvl="0" w:tentative="0">
      <w:start w:val="1"/>
      <w:numFmt w:val="decimal"/>
      <w:suff w:val="nothing"/>
      <w:lvlText w:val="（%1）"/>
      <w:lvlJc w:val="left"/>
    </w:lvl>
  </w:abstractNum>
  <w:abstractNum w:abstractNumId="2">
    <w:nsid w:val="57A69CBB"/>
    <w:multiLevelType w:val="singleLevel"/>
    <w:tmpl w:val="57A69CBB"/>
    <w:lvl w:ilvl="0" w:tentative="0">
      <w:start w:val="1"/>
      <w:numFmt w:val="chineseCounting"/>
      <w:suff w:val="nothing"/>
      <w:lvlText w:val="%1、"/>
      <w:lvlJc w:val="left"/>
      <w:rPr>
        <w:rFonts w:hint="eastAsia"/>
      </w:rPr>
    </w:lvl>
  </w:abstractNum>
  <w:abstractNum w:abstractNumId="3">
    <w:nsid w:val="70BB2858"/>
    <w:multiLevelType w:val="singleLevel"/>
    <w:tmpl w:val="70BB2858"/>
    <w:lvl w:ilvl="0" w:tentative="0">
      <w:start w:val="7"/>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4NDdmZWNiMzdkYTRiYTFlMWI1Y2UyN2VjMDcyNTQifQ=="/>
    <w:docVar w:name="KSO_WPS_MARK_KEY" w:val="d8247604-a89b-4c02-b1f5-53eb6227e40d"/>
  </w:docVars>
  <w:rsids>
    <w:rsidRoot w:val="00E04A23"/>
    <w:rsid w:val="00000250"/>
    <w:rsid w:val="000010A2"/>
    <w:rsid w:val="000011BD"/>
    <w:rsid w:val="000012F4"/>
    <w:rsid w:val="00001377"/>
    <w:rsid w:val="0000137D"/>
    <w:rsid w:val="000018B0"/>
    <w:rsid w:val="00002339"/>
    <w:rsid w:val="000024E3"/>
    <w:rsid w:val="000026A4"/>
    <w:rsid w:val="00003E70"/>
    <w:rsid w:val="00004341"/>
    <w:rsid w:val="00004ACA"/>
    <w:rsid w:val="0000549F"/>
    <w:rsid w:val="0000562C"/>
    <w:rsid w:val="00006962"/>
    <w:rsid w:val="00006D55"/>
    <w:rsid w:val="00007001"/>
    <w:rsid w:val="0000705E"/>
    <w:rsid w:val="0000738B"/>
    <w:rsid w:val="0000743A"/>
    <w:rsid w:val="0000757B"/>
    <w:rsid w:val="000075FA"/>
    <w:rsid w:val="00007F02"/>
    <w:rsid w:val="0001029C"/>
    <w:rsid w:val="00010B53"/>
    <w:rsid w:val="000113DE"/>
    <w:rsid w:val="000114F5"/>
    <w:rsid w:val="0001151B"/>
    <w:rsid w:val="000115D4"/>
    <w:rsid w:val="00012184"/>
    <w:rsid w:val="00012305"/>
    <w:rsid w:val="00012417"/>
    <w:rsid w:val="00012933"/>
    <w:rsid w:val="00012A87"/>
    <w:rsid w:val="00013A03"/>
    <w:rsid w:val="00013A7E"/>
    <w:rsid w:val="00014107"/>
    <w:rsid w:val="00014835"/>
    <w:rsid w:val="0001543F"/>
    <w:rsid w:val="000154BC"/>
    <w:rsid w:val="0001559C"/>
    <w:rsid w:val="0001631C"/>
    <w:rsid w:val="00017053"/>
    <w:rsid w:val="00017CB2"/>
    <w:rsid w:val="00017FF1"/>
    <w:rsid w:val="000203E7"/>
    <w:rsid w:val="00020B1E"/>
    <w:rsid w:val="00020F22"/>
    <w:rsid w:val="00023011"/>
    <w:rsid w:val="0002378E"/>
    <w:rsid w:val="00024791"/>
    <w:rsid w:val="00024EBB"/>
    <w:rsid w:val="0002555F"/>
    <w:rsid w:val="00025681"/>
    <w:rsid w:val="00025FE7"/>
    <w:rsid w:val="00026E77"/>
    <w:rsid w:val="00026E82"/>
    <w:rsid w:val="00026F32"/>
    <w:rsid w:val="00027379"/>
    <w:rsid w:val="000274E7"/>
    <w:rsid w:val="00027876"/>
    <w:rsid w:val="00027AE6"/>
    <w:rsid w:val="00030A45"/>
    <w:rsid w:val="00030B40"/>
    <w:rsid w:val="00030CB8"/>
    <w:rsid w:val="00032C2E"/>
    <w:rsid w:val="00032D04"/>
    <w:rsid w:val="00033A63"/>
    <w:rsid w:val="00033D78"/>
    <w:rsid w:val="00033F83"/>
    <w:rsid w:val="000342B5"/>
    <w:rsid w:val="00034DD7"/>
    <w:rsid w:val="00035214"/>
    <w:rsid w:val="000352F1"/>
    <w:rsid w:val="000356DA"/>
    <w:rsid w:val="00035913"/>
    <w:rsid w:val="00037156"/>
    <w:rsid w:val="000373F4"/>
    <w:rsid w:val="00037646"/>
    <w:rsid w:val="000376DB"/>
    <w:rsid w:val="000414CE"/>
    <w:rsid w:val="00042DC3"/>
    <w:rsid w:val="00042F7E"/>
    <w:rsid w:val="00043268"/>
    <w:rsid w:val="0004378C"/>
    <w:rsid w:val="00043A8F"/>
    <w:rsid w:val="00043E74"/>
    <w:rsid w:val="00044CB7"/>
    <w:rsid w:val="00045645"/>
    <w:rsid w:val="00046148"/>
    <w:rsid w:val="00046DBC"/>
    <w:rsid w:val="000477CB"/>
    <w:rsid w:val="0004782F"/>
    <w:rsid w:val="0005007E"/>
    <w:rsid w:val="00050221"/>
    <w:rsid w:val="00051B49"/>
    <w:rsid w:val="00053607"/>
    <w:rsid w:val="000536E0"/>
    <w:rsid w:val="00054B99"/>
    <w:rsid w:val="0005525D"/>
    <w:rsid w:val="00055D25"/>
    <w:rsid w:val="00055ED8"/>
    <w:rsid w:val="00056552"/>
    <w:rsid w:val="000565C0"/>
    <w:rsid w:val="000576A0"/>
    <w:rsid w:val="00057D05"/>
    <w:rsid w:val="00057DE5"/>
    <w:rsid w:val="00060772"/>
    <w:rsid w:val="00060CC5"/>
    <w:rsid w:val="000612AC"/>
    <w:rsid w:val="000617C9"/>
    <w:rsid w:val="00061E59"/>
    <w:rsid w:val="0006243C"/>
    <w:rsid w:val="00062566"/>
    <w:rsid w:val="0006264F"/>
    <w:rsid w:val="000640EA"/>
    <w:rsid w:val="00064192"/>
    <w:rsid w:val="00064778"/>
    <w:rsid w:val="00064F5D"/>
    <w:rsid w:val="0006604A"/>
    <w:rsid w:val="000660C9"/>
    <w:rsid w:val="000664CA"/>
    <w:rsid w:val="00066BAC"/>
    <w:rsid w:val="0006750D"/>
    <w:rsid w:val="0006780C"/>
    <w:rsid w:val="00070818"/>
    <w:rsid w:val="00070AA5"/>
    <w:rsid w:val="000712C9"/>
    <w:rsid w:val="0007163E"/>
    <w:rsid w:val="00071829"/>
    <w:rsid w:val="00072418"/>
    <w:rsid w:val="000725B4"/>
    <w:rsid w:val="00072F22"/>
    <w:rsid w:val="000739FC"/>
    <w:rsid w:val="00074111"/>
    <w:rsid w:val="000760DF"/>
    <w:rsid w:val="000767C5"/>
    <w:rsid w:val="000769EB"/>
    <w:rsid w:val="0007795E"/>
    <w:rsid w:val="00077EB8"/>
    <w:rsid w:val="00082280"/>
    <w:rsid w:val="00082B38"/>
    <w:rsid w:val="0008324F"/>
    <w:rsid w:val="000836D5"/>
    <w:rsid w:val="000846FD"/>
    <w:rsid w:val="00084C5D"/>
    <w:rsid w:val="00084E2D"/>
    <w:rsid w:val="0008502D"/>
    <w:rsid w:val="00086170"/>
    <w:rsid w:val="00086979"/>
    <w:rsid w:val="00086A56"/>
    <w:rsid w:val="0008703E"/>
    <w:rsid w:val="00087058"/>
    <w:rsid w:val="00087369"/>
    <w:rsid w:val="00087770"/>
    <w:rsid w:val="00087F49"/>
    <w:rsid w:val="000900E1"/>
    <w:rsid w:val="00090655"/>
    <w:rsid w:val="00090CFC"/>
    <w:rsid w:val="0009103F"/>
    <w:rsid w:val="000917F0"/>
    <w:rsid w:val="00092133"/>
    <w:rsid w:val="00092641"/>
    <w:rsid w:val="00092758"/>
    <w:rsid w:val="000944BD"/>
    <w:rsid w:val="00095134"/>
    <w:rsid w:val="000954E1"/>
    <w:rsid w:val="0009550C"/>
    <w:rsid w:val="0009559E"/>
    <w:rsid w:val="000960CD"/>
    <w:rsid w:val="000972CF"/>
    <w:rsid w:val="000974C7"/>
    <w:rsid w:val="000A0C1C"/>
    <w:rsid w:val="000A0C3F"/>
    <w:rsid w:val="000A1D6A"/>
    <w:rsid w:val="000A2092"/>
    <w:rsid w:val="000A2866"/>
    <w:rsid w:val="000A2B66"/>
    <w:rsid w:val="000A2CB0"/>
    <w:rsid w:val="000A35CF"/>
    <w:rsid w:val="000A386C"/>
    <w:rsid w:val="000A4921"/>
    <w:rsid w:val="000A49DE"/>
    <w:rsid w:val="000A4ADC"/>
    <w:rsid w:val="000A5CF8"/>
    <w:rsid w:val="000A6264"/>
    <w:rsid w:val="000A64B9"/>
    <w:rsid w:val="000A66B6"/>
    <w:rsid w:val="000A6CEB"/>
    <w:rsid w:val="000A7AF4"/>
    <w:rsid w:val="000A7C0D"/>
    <w:rsid w:val="000B2EBF"/>
    <w:rsid w:val="000B34AB"/>
    <w:rsid w:val="000B3E4A"/>
    <w:rsid w:val="000B4002"/>
    <w:rsid w:val="000B4AAB"/>
    <w:rsid w:val="000B50C9"/>
    <w:rsid w:val="000B5596"/>
    <w:rsid w:val="000B5BC4"/>
    <w:rsid w:val="000B5ECF"/>
    <w:rsid w:val="000B6224"/>
    <w:rsid w:val="000B6EF9"/>
    <w:rsid w:val="000C0112"/>
    <w:rsid w:val="000C0723"/>
    <w:rsid w:val="000C12FF"/>
    <w:rsid w:val="000C1750"/>
    <w:rsid w:val="000C2A13"/>
    <w:rsid w:val="000C30F0"/>
    <w:rsid w:val="000C3602"/>
    <w:rsid w:val="000C3BD8"/>
    <w:rsid w:val="000C3D83"/>
    <w:rsid w:val="000C401D"/>
    <w:rsid w:val="000C42FA"/>
    <w:rsid w:val="000C47E0"/>
    <w:rsid w:val="000C4BE0"/>
    <w:rsid w:val="000C5D35"/>
    <w:rsid w:val="000C6619"/>
    <w:rsid w:val="000C7479"/>
    <w:rsid w:val="000C7C29"/>
    <w:rsid w:val="000C7F32"/>
    <w:rsid w:val="000D07C6"/>
    <w:rsid w:val="000D14CB"/>
    <w:rsid w:val="000D19E8"/>
    <w:rsid w:val="000D1DA1"/>
    <w:rsid w:val="000D2550"/>
    <w:rsid w:val="000D2934"/>
    <w:rsid w:val="000D318C"/>
    <w:rsid w:val="000D344D"/>
    <w:rsid w:val="000D3836"/>
    <w:rsid w:val="000D4794"/>
    <w:rsid w:val="000D640B"/>
    <w:rsid w:val="000D7070"/>
    <w:rsid w:val="000D7551"/>
    <w:rsid w:val="000D7765"/>
    <w:rsid w:val="000D791F"/>
    <w:rsid w:val="000D7BE6"/>
    <w:rsid w:val="000D7F40"/>
    <w:rsid w:val="000E0360"/>
    <w:rsid w:val="000E107D"/>
    <w:rsid w:val="000E18A6"/>
    <w:rsid w:val="000E19DB"/>
    <w:rsid w:val="000E1CF6"/>
    <w:rsid w:val="000E2399"/>
    <w:rsid w:val="000E363F"/>
    <w:rsid w:val="000E3A97"/>
    <w:rsid w:val="000E45FC"/>
    <w:rsid w:val="000E46AB"/>
    <w:rsid w:val="000E4D35"/>
    <w:rsid w:val="000E520A"/>
    <w:rsid w:val="000E5FF2"/>
    <w:rsid w:val="000E6635"/>
    <w:rsid w:val="000E6840"/>
    <w:rsid w:val="000E72A0"/>
    <w:rsid w:val="000F0345"/>
    <w:rsid w:val="000F0F7D"/>
    <w:rsid w:val="000F1BB1"/>
    <w:rsid w:val="000F1F72"/>
    <w:rsid w:val="000F24D6"/>
    <w:rsid w:val="000F2E6B"/>
    <w:rsid w:val="000F3444"/>
    <w:rsid w:val="000F3B58"/>
    <w:rsid w:val="000F430C"/>
    <w:rsid w:val="000F510E"/>
    <w:rsid w:val="000F5BF9"/>
    <w:rsid w:val="000F6C0A"/>
    <w:rsid w:val="000F6C60"/>
    <w:rsid w:val="000F6E0B"/>
    <w:rsid w:val="000F7482"/>
    <w:rsid w:val="000F7D77"/>
    <w:rsid w:val="001000FB"/>
    <w:rsid w:val="001003DE"/>
    <w:rsid w:val="00100577"/>
    <w:rsid w:val="00100F29"/>
    <w:rsid w:val="00101371"/>
    <w:rsid w:val="001015FD"/>
    <w:rsid w:val="0010190E"/>
    <w:rsid w:val="00101911"/>
    <w:rsid w:val="00101D1A"/>
    <w:rsid w:val="0010247B"/>
    <w:rsid w:val="00102531"/>
    <w:rsid w:val="0010298D"/>
    <w:rsid w:val="0010331B"/>
    <w:rsid w:val="0010347E"/>
    <w:rsid w:val="001041D4"/>
    <w:rsid w:val="00104C06"/>
    <w:rsid w:val="00105BBD"/>
    <w:rsid w:val="00106053"/>
    <w:rsid w:val="00106459"/>
    <w:rsid w:val="00106B7C"/>
    <w:rsid w:val="00106D62"/>
    <w:rsid w:val="00107BDB"/>
    <w:rsid w:val="00110A94"/>
    <w:rsid w:val="00111AE1"/>
    <w:rsid w:val="00112CCC"/>
    <w:rsid w:val="001135E3"/>
    <w:rsid w:val="001145E2"/>
    <w:rsid w:val="00114AC1"/>
    <w:rsid w:val="00114B68"/>
    <w:rsid w:val="00114C35"/>
    <w:rsid w:val="00114D0B"/>
    <w:rsid w:val="0011513E"/>
    <w:rsid w:val="00115927"/>
    <w:rsid w:val="00115F0D"/>
    <w:rsid w:val="00116639"/>
    <w:rsid w:val="001168C0"/>
    <w:rsid w:val="00116C15"/>
    <w:rsid w:val="001174DE"/>
    <w:rsid w:val="00117F2F"/>
    <w:rsid w:val="00120412"/>
    <w:rsid w:val="001208F7"/>
    <w:rsid w:val="001213CF"/>
    <w:rsid w:val="00121657"/>
    <w:rsid w:val="001216F6"/>
    <w:rsid w:val="001218D0"/>
    <w:rsid w:val="00122EE3"/>
    <w:rsid w:val="001239FB"/>
    <w:rsid w:val="00123AA3"/>
    <w:rsid w:val="001241D1"/>
    <w:rsid w:val="001247ED"/>
    <w:rsid w:val="00125071"/>
    <w:rsid w:val="00126221"/>
    <w:rsid w:val="001270C7"/>
    <w:rsid w:val="0012760B"/>
    <w:rsid w:val="001301BA"/>
    <w:rsid w:val="00130CC5"/>
    <w:rsid w:val="00131BE8"/>
    <w:rsid w:val="001327E7"/>
    <w:rsid w:val="001342D0"/>
    <w:rsid w:val="00134B94"/>
    <w:rsid w:val="001350F4"/>
    <w:rsid w:val="001354F8"/>
    <w:rsid w:val="00136240"/>
    <w:rsid w:val="001363F0"/>
    <w:rsid w:val="00136511"/>
    <w:rsid w:val="0013751A"/>
    <w:rsid w:val="001375F2"/>
    <w:rsid w:val="00137A28"/>
    <w:rsid w:val="001406E7"/>
    <w:rsid w:val="00140EC4"/>
    <w:rsid w:val="001413E8"/>
    <w:rsid w:val="00142843"/>
    <w:rsid w:val="00143303"/>
    <w:rsid w:val="00145077"/>
    <w:rsid w:val="00145604"/>
    <w:rsid w:val="0014561E"/>
    <w:rsid w:val="00145D4B"/>
    <w:rsid w:val="00146115"/>
    <w:rsid w:val="00146B2E"/>
    <w:rsid w:val="00146BB2"/>
    <w:rsid w:val="00146EBE"/>
    <w:rsid w:val="00147C1B"/>
    <w:rsid w:val="00147E9E"/>
    <w:rsid w:val="00150B8B"/>
    <w:rsid w:val="00150C2D"/>
    <w:rsid w:val="00152FEB"/>
    <w:rsid w:val="001538F9"/>
    <w:rsid w:val="00153A69"/>
    <w:rsid w:val="0015497D"/>
    <w:rsid w:val="00154F0B"/>
    <w:rsid w:val="00154F3D"/>
    <w:rsid w:val="00155FB0"/>
    <w:rsid w:val="00156081"/>
    <w:rsid w:val="0015631B"/>
    <w:rsid w:val="001569E5"/>
    <w:rsid w:val="00156AA2"/>
    <w:rsid w:val="00157835"/>
    <w:rsid w:val="001578E0"/>
    <w:rsid w:val="001600C7"/>
    <w:rsid w:val="00160205"/>
    <w:rsid w:val="001602D3"/>
    <w:rsid w:val="001606B1"/>
    <w:rsid w:val="00160F01"/>
    <w:rsid w:val="00161617"/>
    <w:rsid w:val="001619C6"/>
    <w:rsid w:val="00161C0F"/>
    <w:rsid w:val="001636A9"/>
    <w:rsid w:val="00163A64"/>
    <w:rsid w:val="00164402"/>
    <w:rsid w:val="00164E21"/>
    <w:rsid w:val="00165A7D"/>
    <w:rsid w:val="00165D20"/>
    <w:rsid w:val="0016672E"/>
    <w:rsid w:val="00166A04"/>
    <w:rsid w:val="00167E3E"/>
    <w:rsid w:val="001700F0"/>
    <w:rsid w:val="001704FC"/>
    <w:rsid w:val="00170A37"/>
    <w:rsid w:val="00171FC1"/>
    <w:rsid w:val="001721BA"/>
    <w:rsid w:val="00172D16"/>
    <w:rsid w:val="00172E87"/>
    <w:rsid w:val="00173DA6"/>
    <w:rsid w:val="00174382"/>
    <w:rsid w:val="00174805"/>
    <w:rsid w:val="00174CFC"/>
    <w:rsid w:val="00174FD5"/>
    <w:rsid w:val="00175657"/>
    <w:rsid w:val="00175C9A"/>
    <w:rsid w:val="00175E2B"/>
    <w:rsid w:val="00176146"/>
    <w:rsid w:val="0017655C"/>
    <w:rsid w:val="00176D94"/>
    <w:rsid w:val="00177EC1"/>
    <w:rsid w:val="001802C9"/>
    <w:rsid w:val="001805FE"/>
    <w:rsid w:val="00180665"/>
    <w:rsid w:val="001807B3"/>
    <w:rsid w:val="001807F7"/>
    <w:rsid w:val="00180D6C"/>
    <w:rsid w:val="0018127F"/>
    <w:rsid w:val="001820EA"/>
    <w:rsid w:val="00183A99"/>
    <w:rsid w:val="001841E6"/>
    <w:rsid w:val="00184208"/>
    <w:rsid w:val="00184227"/>
    <w:rsid w:val="00185393"/>
    <w:rsid w:val="00185747"/>
    <w:rsid w:val="001858BA"/>
    <w:rsid w:val="00186025"/>
    <w:rsid w:val="00186191"/>
    <w:rsid w:val="001862E6"/>
    <w:rsid w:val="00186707"/>
    <w:rsid w:val="00187B3C"/>
    <w:rsid w:val="00187E5A"/>
    <w:rsid w:val="001907B3"/>
    <w:rsid w:val="001908D4"/>
    <w:rsid w:val="001909A9"/>
    <w:rsid w:val="00190E64"/>
    <w:rsid w:val="00191777"/>
    <w:rsid w:val="00192020"/>
    <w:rsid w:val="00192458"/>
    <w:rsid w:val="001924A5"/>
    <w:rsid w:val="001925C8"/>
    <w:rsid w:val="001925F6"/>
    <w:rsid w:val="0019597C"/>
    <w:rsid w:val="00195EAB"/>
    <w:rsid w:val="00196084"/>
    <w:rsid w:val="001A046C"/>
    <w:rsid w:val="001A14E4"/>
    <w:rsid w:val="001A2D33"/>
    <w:rsid w:val="001A2DD0"/>
    <w:rsid w:val="001A3222"/>
    <w:rsid w:val="001A323A"/>
    <w:rsid w:val="001A3853"/>
    <w:rsid w:val="001A5940"/>
    <w:rsid w:val="001A5CD7"/>
    <w:rsid w:val="001A5E81"/>
    <w:rsid w:val="001A6A29"/>
    <w:rsid w:val="001B00EC"/>
    <w:rsid w:val="001B042B"/>
    <w:rsid w:val="001B0719"/>
    <w:rsid w:val="001B07A6"/>
    <w:rsid w:val="001B08E6"/>
    <w:rsid w:val="001B2308"/>
    <w:rsid w:val="001B254A"/>
    <w:rsid w:val="001B2DDA"/>
    <w:rsid w:val="001B4F60"/>
    <w:rsid w:val="001B7A8E"/>
    <w:rsid w:val="001C0847"/>
    <w:rsid w:val="001C0FCF"/>
    <w:rsid w:val="001C1B34"/>
    <w:rsid w:val="001C277F"/>
    <w:rsid w:val="001C27BC"/>
    <w:rsid w:val="001C2D27"/>
    <w:rsid w:val="001C2D99"/>
    <w:rsid w:val="001C399E"/>
    <w:rsid w:val="001C61BA"/>
    <w:rsid w:val="001C6437"/>
    <w:rsid w:val="001C648C"/>
    <w:rsid w:val="001C6A7E"/>
    <w:rsid w:val="001C712E"/>
    <w:rsid w:val="001C78F7"/>
    <w:rsid w:val="001C7A23"/>
    <w:rsid w:val="001D0628"/>
    <w:rsid w:val="001D0C26"/>
    <w:rsid w:val="001D18B5"/>
    <w:rsid w:val="001D1B47"/>
    <w:rsid w:val="001D2072"/>
    <w:rsid w:val="001D3508"/>
    <w:rsid w:val="001D3EA0"/>
    <w:rsid w:val="001D3F6B"/>
    <w:rsid w:val="001D41E2"/>
    <w:rsid w:val="001D5506"/>
    <w:rsid w:val="001D5D48"/>
    <w:rsid w:val="001D6A0C"/>
    <w:rsid w:val="001D6DFC"/>
    <w:rsid w:val="001D6FE8"/>
    <w:rsid w:val="001D77CE"/>
    <w:rsid w:val="001D795D"/>
    <w:rsid w:val="001E02EA"/>
    <w:rsid w:val="001E06F4"/>
    <w:rsid w:val="001E1A2C"/>
    <w:rsid w:val="001E1D95"/>
    <w:rsid w:val="001E2669"/>
    <w:rsid w:val="001E2741"/>
    <w:rsid w:val="001E27C8"/>
    <w:rsid w:val="001E30F6"/>
    <w:rsid w:val="001E3603"/>
    <w:rsid w:val="001E3769"/>
    <w:rsid w:val="001E46DE"/>
    <w:rsid w:val="001E470B"/>
    <w:rsid w:val="001E5039"/>
    <w:rsid w:val="001E5650"/>
    <w:rsid w:val="001E661D"/>
    <w:rsid w:val="001E6BEE"/>
    <w:rsid w:val="001E6D73"/>
    <w:rsid w:val="001E6DF7"/>
    <w:rsid w:val="001E6EB2"/>
    <w:rsid w:val="001F016A"/>
    <w:rsid w:val="001F0303"/>
    <w:rsid w:val="001F0ECB"/>
    <w:rsid w:val="001F3342"/>
    <w:rsid w:val="001F3BB1"/>
    <w:rsid w:val="001F42BB"/>
    <w:rsid w:val="001F4566"/>
    <w:rsid w:val="001F4921"/>
    <w:rsid w:val="001F4998"/>
    <w:rsid w:val="001F4D50"/>
    <w:rsid w:val="001F4D99"/>
    <w:rsid w:val="001F51F7"/>
    <w:rsid w:val="001F5628"/>
    <w:rsid w:val="001F60D6"/>
    <w:rsid w:val="001F6D92"/>
    <w:rsid w:val="001F757E"/>
    <w:rsid w:val="001F7901"/>
    <w:rsid w:val="001F7B87"/>
    <w:rsid w:val="001F7F4F"/>
    <w:rsid w:val="00200683"/>
    <w:rsid w:val="002007F2"/>
    <w:rsid w:val="002010AD"/>
    <w:rsid w:val="00201411"/>
    <w:rsid w:val="0020149D"/>
    <w:rsid w:val="0020159D"/>
    <w:rsid w:val="00201DBA"/>
    <w:rsid w:val="00201EC4"/>
    <w:rsid w:val="002021FA"/>
    <w:rsid w:val="002024E1"/>
    <w:rsid w:val="0020333E"/>
    <w:rsid w:val="002034B2"/>
    <w:rsid w:val="002038F3"/>
    <w:rsid w:val="00203969"/>
    <w:rsid w:val="00204412"/>
    <w:rsid w:val="00204888"/>
    <w:rsid w:val="00204927"/>
    <w:rsid w:val="00204E25"/>
    <w:rsid w:val="002051EA"/>
    <w:rsid w:val="00205226"/>
    <w:rsid w:val="00205B86"/>
    <w:rsid w:val="00206BEE"/>
    <w:rsid w:val="002076F5"/>
    <w:rsid w:val="0020799C"/>
    <w:rsid w:val="00207A04"/>
    <w:rsid w:val="00210B8E"/>
    <w:rsid w:val="00211BE2"/>
    <w:rsid w:val="00212353"/>
    <w:rsid w:val="002125F1"/>
    <w:rsid w:val="0021277B"/>
    <w:rsid w:val="00212991"/>
    <w:rsid w:val="00212E0A"/>
    <w:rsid w:val="00212EC8"/>
    <w:rsid w:val="00214B00"/>
    <w:rsid w:val="00215194"/>
    <w:rsid w:val="00215D91"/>
    <w:rsid w:val="00216315"/>
    <w:rsid w:val="00216676"/>
    <w:rsid w:val="00216A4A"/>
    <w:rsid w:val="0021763B"/>
    <w:rsid w:val="00217F3F"/>
    <w:rsid w:val="00220877"/>
    <w:rsid w:val="002211EA"/>
    <w:rsid w:val="00221B52"/>
    <w:rsid w:val="00221D74"/>
    <w:rsid w:val="002227C3"/>
    <w:rsid w:val="00222A80"/>
    <w:rsid w:val="00223556"/>
    <w:rsid w:val="002237A3"/>
    <w:rsid w:val="002237FD"/>
    <w:rsid w:val="00224720"/>
    <w:rsid w:val="002249C1"/>
    <w:rsid w:val="00224B82"/>
    <w:rsid w:val="00224BB9"/>
    <w:rsid w:val="00224D19"/>
    <w:rsid w:val="002250D0"/>
    <w:rsid w:val="00225832"/>
    <w:rsid w:val="00226CA3"/>
    <w:rsid w:val="002271D6"/>
    <w:rsid w:val="00227316"/>
    <w:rsid w:val="0022731E"/>
    <w:rsid w:val="0023008D"/>
    <w:rsid w:val="0023110F"/>
    <w:rsid w:val="00231213"/>
    <w:rsid w:val="00231429"/>
    <w:rsid w:val="0023203E"/>
    <w:rsid w:val="00232E29"/>
    <w:rsid w:val="00232ECA"/>
    <w:rsid w:val="00233633"/>
    <w:rsid w:val="00233D69"/>
    <w:rsid w:val="0023443D"/>
    <w:rsid w:val="0023449F"/>
    <w:rsid w:val="00234A45"/>
    <w:rsid w:val="00234AF1"/>
    <w:rsid w:val="00234BBC"/>
    <w:rsid w:val="00235D9F"/>
    <w:rsid w:val="00235FD1"/>
    <w:rsid w:val="002370BB"/>
    <w:rsid w:val="002371CE"/>
    <w:rsid w:val="00237708"/>
    <w:rsid w:val="00237E49"/>
    <w:rsid w:val="00237EAE"/>
    <w:rsid w:val="002401EC"/>
    <w:rsid w:val="00240283"/>
    <w:rsid w:val="002411D3"/>
    <w:rsid w:val="00241785"/>
    <w:rsid w:val="00241A02"/>
    <w:rsid w:val="00242677"/>
    <w:rsid w:val="00242C1A"/>
    <w:rsid w:val="00243ED4"/>
    <w:rsid w:val="00243FC6"/>
    <w:rsid w:val="002441BA"/>
    <w:rsid w:val="002441BD"/>
    <w:rsid w:val="002451B4"/>
    <w:rsid w:val="002455CC"/>
    <w:rsid w:val="00245B51"/>
    <w:rsid w:val="002470BD"/>
    <w:rsid w:val="00247835"/>
    <w:rsid w:val="00247BFE"/>
    <w:rsid w:val="00250CDC"/>
    <w:rsid w:val="00250D92"/>
    <w:rsid w:val="00252294"/>
    <w:rsid w:val="002524A9"/>
    <w:rsid w:val="002528AC"/>
    <w:rsid w:val="00254908"/>
    <w:rsid w:val="00255049"/>
    <w:rsid w:val="00256404"/>
    <w:rsid w:val="002565DE"/>
    <w:rsid w:val="00256A82"/>
    <w:rsid w:val="00256D72"/>
    <w:rsid w:val="0025705A"/>
    <w:rsid w:val="00260985"/>
    <w:rsid w:val="0026132F"/>
    <w:rsid w:val="00261346"/>
    <w:rsid w:val="00262360"/>
    <w:rsid w:val="00262503"/>
    <w:rsid w:val="0026269C"/>
    <w:rsid w:val="00262DBC"/>
    <w:rsid w:val="0026313B"/>
    <w:rsid w:val="00263212"/>
    <w:rsid w:val="00263432"/>
    <w:rsid w:val="0026346F"/>
    <w:rsid w:val="002634BF"/>
    <w:rsid w:val="00263933"/>
    <w:rsid w:val="00263C80"/>
    <w:rsid w:val="00264116"/>
    <w:rsid w:val="0026423A"/>
    <w:rsid w:val="002646A0"/>
    <w:rsid w:val="00264B69"/>
    <w:rsid w:val="002654FB"/>
    <w:rsid w:val="00265C70"/>
    <w:rsid w:val="0026694F"/>
    <w:rsid w:val="00266F3B"/>
    <w:rsid w:val="00267AB5"/>
    <w:rsid w:val="00271B2D"/>
    <w:rsid w:val="0027255D"/>
    <w:rsid w:val="00272A42"/>
    <w:rsid w:val="0027378E"/>
    <w:rsid w:val="00273979"/>
    <w:rsid w:val="00274BA3"/>
    <w:rsid w:val="00275611"/>
    <w:rsid w:val="00276A9B"/>
    <w:rsid w:val="00277C7B"/>
    <w:rsid w:val="0028050A"/>
    <w:rsid w:val="00280BB8"/>
    <w:rsid w:val="00282A5A"/>
    <w:rsid w:val="0028470E"/>
    <w:rsid w:val="00284A97"/>
    <w:rsid w:val="00284F71"/>
    <w:rsid w:val="00285162"/>
    <w:rsid w:val="00286434"/>
    <w:rsid w:val="0028697A"/>
    <w:rsid w:val="0028710F"/>
    <w:rsid w:val="002873B3"/>
    <w:rsid w:val="00290D22"/>
    <w:rsid w:val="00290E13"/>
    <w:rsid w:val="0029176D"/>
    <w:rsid w:val="00291C9E"/>
    <w:rsid w:val="00292416"/>
    <w:rsid w:val="00292A37"/>
    <w:rsid w:val="00292DDF"/>
    <w:rsid w:val="00293759"/>
    <w:rsid w:val="00294D98"/>
    <w:rsid w:val="00295143"/>
    <w:rsid w:val="002956C7"/>
    <w:rsid w:val="00296AD2"/>
    <w:rsid w:val="00296E77"/>
    <w:rsid w:val="00296FA1"/>
    <w:rsid w:val="00297534"/>
    <w:rsid w:val="00297A4F"/>
    <w:rsid w:val="00297B37"/>
    <w:rsid w:val="00297F05"/>
    <w:rsid w:val="002A063E"/>
    <w:rsid w:val="002A0727"/>
    <w:rsid w:val="002A152A"/>
    <w:rsid w:val="002A1B01"/>
    <w:rsid w:val="002A1EE0"/>
    <w:rsid w:val="002A20A7"/>
    <w:rsid w:val="002A2242"/>
    <w:rsid w:val="002A2B9C"/>
    <w:rsid w:val="002A3853"/>
    <w:rsid w:val="002A3CF1"/>
    <w:rsid w:val="002A4F76"/>
    <w:rsid w:val="002A54C5"/>
    <w:rsid w:val="002A5657"/>
    <w:rsid w:val="002A5DB8"/>
    <w:rsid w:val="002A6260"/>
    <w:rsid w:val="002A64A1"/>
    <w:rsid w:val="002A659F"/>
    <w:rsid w:val="002A6654"/>
    <w:rsid w:val="002A6CA2"/>
    <w:rsid w:val="002A6FD4"/>
    <w:rsid w:val="002B0372"/>
    <w:rsid w:val="002B0A4B"/>
    <w:rsid w:val="002B111D"/>
    <w:rsid w:val="002B12C4"/>
    <w:rsid w:val="002B13D4"/>
    <w:rsid w:val="002B1407"/>
    <w:rsid w:val="002B169E"/>
    <w:rsid w:val="002B1896"/>
    <w:rsid w:val="002B2794"/>
    <w:rsid w:val="002B2A8B"/>
    <w:rsid w:val="002B46FB"/>
    <w:rsid w:val="002B47E3"/>
    <w:rsid w:val="002B50D7"/>
    <w:rsid w:val="002B54C5"/>
    <w:rsid w:val="002B5890"/>
    <w:rsid w:val="002B6B93"/>
    <w:rsid w:val="002C02F1"/>
    <w:rsid w:val="002C093A"/>
    <w:rsid w:val="002C0B25"/>
    <w:rsid w:val="002C11F7"/>
    <w:rsid w:val="002C134E"/>
    <w:rsid w:val="002C1D3F"/>
    <w:rsid w:val="002C2591"/>
    <w:rsid w:val="002C2807"/>
    <w:rsid w:val="002C33A0"/>
    <w:rsid w:val="002C3896"/>
    <w:rsid w:val="002C3FD5"/>
    <w:rsid w:val="002C45AD"/>
    <w:rsid w:val="002C4CD5"/>
    <w:rsid w:val="002C4F53"/>
    <w:rsid w:val="002C5E16"/>
    <w:rsid w:val="002C61B3"/>
    <w:rsid w:val="002C637D"/>
    <w:rsid w:val="002C6409"/>
    <w:rsid w:val="002C6F72"/>
    <w:rsid w:val="002C7EF2"/>
    <w:rsid w:val="002D111E"/>
    <w:rsid w:val="002D1243"/>
    <w:rsid w:val="002D1648"/>
    <w:rsid w:val="002D1FE4"/>
    <w:rsid w:val="002D2683"/>
    <w:rsid w:val="002D270E"/>
    <w:rsid w:val="002D3EB3"/>
    <w:rsid w:val="002D414C"/>
    <w:rsid w:val="002D4A53"/>
    <w:rsid w:val="002D4FA6"/>
    <w:rsid w:val="002D5228"/>
    <w:rsid w:val="002D64F2"/>
    <w:rsid w:val="002D6FE4"/>
    <w:rsid w:val="002E02DE"/>
    <w:rsid w:val="002E0607"/>
    <w:rsid w:val="002E0EF6"/>
    <w:rsid w:val="002E1608"/>
    <w:rsid w:val="002E1626"/>
    <w:rsid w:val="002E1648"/>
    <w:rsid w:val="002E1E4F"/>
    <w:rsid w:val="002E1EBF"/>
    <w:rsid w:val="002E2857"/>
    <w:rsid w:val="002E2A84"/>
    <w:rsid w:val="002E2DBE"/>
    <w:rsid w:val="002E38FD"/>
    <w:rsid w:val="002E3A09"/>
    <w:rsid w:val="002E5D8C"/>
    <w:rsid w:val="002E60C2"/>
    <w:rsid w:val="002E63E1"/>
    <w:rsid w:val="002E647B"/>
    <w:rsid w:val="002E7B14"/>
    <w:rsid w:val="002F074D"/>
    <w:rsid w:val="002F082F"/>
    <w:rsid w:val="002F0BC8"/>
    <w:rsid w:val="002F2073"/>
    <w:rsid w:val="002F2C25"/>
    <w:rsid w:val="002F2EF4"/>
    <w:rsid w:val="002F36A9"/>
    <w:rsid w:val="002F3BCD"/>
    <w:rsid w:val="002F3F15"/>
    <w:rsid w:val="002F408E"/>
    <w:rsid w:val="002F415D"/>
    <w:rsid w:val="002F48B6"/>
    <w:rsid w:val="002F4BBE"/>
    <w:rsid w:val="002F5961"/>
    <w:rsid w:val="002F64A6"/>
    <w:rsid w:val="002F69BE"/>
    <w:rsid w:val="002F75CB"/>
    <w:rsid w:val="002F7AA8"/>
    <w:rsid w:val="003016E0"/>
    <w:rsid w:val="00301E1E"/>
    <w:rsid w:val="00302D41"/>
    <w:rsid w:val="00302DC1"/>
    <w:rsid w:val="00302EC2"/>
    <w:rsid w:val="003031DB"/>
    <w:rsid w:val="00303EA5"/>
    <w:rsid w:val="00304A61"/>
    <w:rsid w:val="003050AC"/>
    <w:rsid w:val="00305300"/>
    <w:rsid w:val="0030585F"/>
    <w:rsid w:val="003060D4"/>
    <w:rsid w:val="00306B4D"/>
    <w:rsid w:val="003073D3"/>
    <w:rsid w:val="00307808"/>
    <w:rsid w:val="00307914"/>
    <w:rsid w:val="00312175"/>
    <w:rsid w:val="003128C4"/>
    <w:rsid w:val="00313E0C"/>
    <w:rsid w:val="003145D2"/>
    <w:rsid w:val="00314D02"/>
    <w:rsid w:val="00317566"/>
    <w:rsid w:val="003175D5"/>
    <w:rsid w:val="00317941"/>
    <w:rsid w:val="00317C01"/>
    <w:rsid w:val="003209E9"/>
    <w:rsid w:val="00320A12"/>
    <w:rsid w:val="00320AFB"/>
    <w:rsid w:val="00320CBA"/>
    <w:rsid w:val="00320E76"/>
    <w:rsid w:val="00321179"/>
    <w:rsid w:val="003211A7"/>
    <w:rsid w:val="00321B4D"/>
    <w:rsid w:val="00321CC5"/>
    <w:rsid w:val="00323326"/>
    <w:rsid w:val="00323A6B"/>
    <w:rsid w:val="00323AD3"/>
    <w:rsid w:val="003241DB"/>
    <w:rsid w:val="00324723"/>
    <w:rsid w:val="003265EB"/>
    <w:rsid w:val="00327390"/>
    <w:rsid w:val="00327982"/>
    <w:rsid w:val="003279F2"/>
    <w:rsid w:val="003310EA"/>
    <w:rsid w:val="00331EF7"/>
    <w:rsid w:val="00332187"/>
    <w:rsid w:val="003323D0"/>
    <w:rsid w:val="00332BA1"/>
    <w:rsid w:val="00333B4D"/>
    <w:rsid w:val="00334202"/>
    <w:rsid w:val="0033522B"/>
    <w:rsid w:val="00335357"/>
    <w:rsid w:val="003363BD"/>
    <w:rsid w:val="003370C6"/>
    <w:rsid w:val="00337137"/>
    <w:rsid w:val="00337446"/>
    <w:rsid w:val="0033750E"/>
    <w:rsid w:val="00337776"/>
    <w:rsid w:val="00341CA8"/>
    <w:rsid w:val="00342AAF"/>
    <w:rsid w:val="00343F8D"/>
    <w:rsid w:val="003447E9"/>
    <w:rsid w:val="00344A61"/>
    <w:rsid w:val="00345202"/>
    <w:rsid w:val="00345AEB"/>
    <w:rsid w:val="00345E3C"/>
    <w:rsid w:val="00346BCD"/>
    <w:rsid w:val="00347686"/>
    <w:rsid w:val="003514CC"/>
    <w:rsid w:val="00351738"/>
    <w:rsid w:val="00351E67"/>
    <w:rsid w:val="00351F4E"/>
    <w:rsid w:val="00351FA0"/>
    <w:rsid w:val="003523C3"/>
    <w:rsid w:val="003531AE"/>
    <w:rsid w:val="00353409"/>
    <w:rsid w:val="003546B9"/>
    <w:rsid w:val="00356DA8"/>
    <w:rsid w:val="00357E2E"/>
    <w:rsid w:val="0036026F"/>
    <w:rsid w:val="003602C7"/>
    <w:rsid w:val="00360658"/>
    <w:rsid w:val="00360ADE"/>
    <w:rsid w:val="00361DC5"/>
    <w:rsid w:val="003625BA"/>
    <w:rsid w:val="00362B7B"/>
    <w:rsid w:val="0036473C"/>
    <w:rsid w:val="003647AB"/>
    <w:rsid w:val="00365469"/>
    <w:rsid w:val="00365705"/>
    <w:rsid w:val="00365D35"/>
    <w:rsid w:val="00366C15"/>
    <w:rsid w:val="00367054"/>
    <w:rsid w:val="00367431"/>
    <w:rsid w:val="00367443"/>
    <w:rsid w:val="00367A83"/>
    <w:rsid w:val="00367B43"/>
    <w:rsid w:val="00367C29"/>
    <w:rsid w:val="00370411"/>
    <w:rsid w:val="003705BB"/>
    <w:rsid w:val="003707E0"/>
    <w:rsid w:val="00370879"/>
    <w:rsid w:val="003709EE"/>
    <w:rsid w:val="00372356"/>
    <w:rsid w:val="00372C5C"/>
    <w:rsid w:val="003730D2"/>
    <w:rsid w:val="00374201"/>
    <w:rsid w:val="003743A8"/>
    <w:rsid w:val="00374876"/>
    <w:rsid w:val="00374DFF"/>
    <w:rsid w:val="003753CC"/>
    <w:rsid w:val="00380513"/>
    <w:rsid w:val="00380C0C"/>
    <w:rsid w:val="00380C79"/>
    <w:rsid w:val="0038111A"/>
    <w:rsid w:val="00381B09"/>
    <w:rsid w:val="00382E9C"/>
    <w:rsid w:val="003841F5"/>
    <w:rsid w:val="0038584B"/>
    <w:rsid w:val="00386016"/>
    <w:rsid w:val="003869B8"/>
    <w:rsid w:val="00386AEE"/>
    <w:rsid w:val="00386F44"/>
    <w:rsid w:val="00386FB4"/>
    <w:rsid w:val="0038716B"/>
    <w:rsid w:val="003874B8"/>
    <w:rsid w:val="0038751C"/>
    <w:rsid w:val="0038759D"/>
    <w:rsid w:val="00387EF8"/>
    <w:rsid w:val="00387F6E"/>
    <w:rsid w:val="0039012C"/>
    <w:rsid w:val="00390656"/>
    <w:rsid w:val="00390DD6"/>
    <w:rsid w:val="00391B05"/>
    <w:rsid w:val="0039204D"/>
    <w:rsid w:val="003920F9"/>
    <w:rsid w:val="0039219C"/>
    <w:rsid w:val="003924F3"/>
    <w:rsid w:val="0039278D"/>
    <w:rsid w:val="00393AEA"/>
    <w:rsid w:val="00393B4F"/>
    <w:rsid w:val="0039468E"/>
    <w:rsid w:val="00394E13"/>
    <w:rsid w:val="0039521D"/>
    <w:rsid w:val="00395A52"/>
    <w:rsid w:val="003968DB"/>
    <w:rsid w:val="00397EC0"/>
    <w:rsid w:val="003A0F8F"/>
    <w:rsid w:val="003A1331"/>
    <w:rsid w:val="003A1646"/>
    <w:rsid w:val="003A1982"/>
    <w:rsid w:val="003A20AF"/>
    <w:rsid w:val="003A2641"/>
    <w:rsid w:val="003A2939"/>
    <w:rsid w:val="003A2D77"/>
    <w:rsid w:val="003A3410"/>
    <w:rsid w:val="003A392F"/>
    <w:rsid w:val="003A4EE3"/>
    <w:rsid w:val="003A63B0"/>
    <w:rsid w:val="003A667A"/>
    <w:rsid w:val="003A78F9"/>
    <w:rsid w:val="003B048C"/>
    <w:rsid w:val="003B0726"/>
    <w:rsid w:val="003B0829"/>
    <w:rsid w:val="003B12B2"/>
    <w:rsid w:val="003B1B9C"/>
    <w:rsid w:val="003B32C5"/>
    <w:rsid w:val="003B39E8"/>
    <w:rsid w:val="003B3C7A"/>
    <w:rsid w:val="003B3F9E"/>
    <w:rsid w:val="003B49E9"/>
    <w:rsid w:val="003B6510"/>
    <w:rsid w:val="003B661E"/>
    <w:rsid w:val="003B7530"/>
    <w:rsid w:val="003C0870"/>
    <w:rsid w:val="003C17EC"/>
    <w:rsid w:val="003C185F"/>
    <w:rsid w:val="003C1C80"/>
    <w:rsid w:val="003C2D9A"/>
    <w:rsid w:val="003C2E88"/>
    <w:rsid w:val="003C2ED6"/>
    <w:rsid w:val="003C33E9"/>
    <w:rsid w:val="003C34B8"/>
    <w:rsid w:val="003C34D8"/>
    <w:rsid w:val="003C34FC"/>
    <w:rsid w:val="003C47FF"/>
    <w:rsid w:val="003C4BEB"/>
    <w:rsid w:val="003C4BF7"/>
    <w:rsid w:val="003C5522"/>
    <w:rsid w:val="003C5819"/>
    <w:rsid w:val="003C5BC8"/>
    <w:rsid w:val="003C6ACD"/>
    <w:rsid w:val="003D00BE"/>
    <w:rsid w:val="003D1169"/>
    <w:rsid w:val="003D12D7"/>
    <w:rsid w:val="003D15D0"/>
    <w:rsid w:val="003D1C19"/>
    <w:rsid w:val="003D2051"/>
    <w:rsid w:val="003D266C"/>
    <w:rsid w:val="003D3771"/>
    <w:rsid w:val="003D41BB"/>
    <w:rsid w:val="003D41EE"/>
    <w:rsid w:val="003D4CA8"/>
    <w:rsid w:val="003D56F7"/>
    <w:rsid w:val="003D61A2"/>
    <w:rsid w:val="003D61A9"/>
    <w:rsid w:val="003D643E"/>
    <w:rsid w:val="003D6709"/>
    <w:rsid w:val="003D6771"/>
    <w:rsid w:val="003D6C70"/>
    <w:rsid w:val="003E016C"/>
    <w:rsid w:val="003E04BF"/>
    <w:rsid w:val="003E0C53"/>
    <w:rsid w:val="003E0F16"/>
    <w:rsid w:val="003E0FF6"/>
    <w:rsid w:val="003E1F20"/>
    <w:rsid w:val="003E529D"/>
    <w:rsid w:val="003E5460"/>
    <w:rsid w:val="003E5887"/>
    <w:rsid w:val="003E6131"/>
    <w:rsid w:val="003E64CD"/>
    <w:rsid w:val="003E67BC"/>
    <w:rsid w:val="003E682F"/>
    <w:rsid w:val="003E6E18"/>
    <w:rsid w:val="003E7408"/>
    <w:rsid w:val="003F07D5"/>
    <w:rsid w:val="003F19FC"/>
    <w:rsid w:val="003F1F16"/>
    <w:rsid w:val="003F340C"/>
    <w:rsid w:val="003F49CE"/>
    <w:rsid w:val="003F5396"/>
    <w:rsid w:val="003F6A1E"/>
    <w:rsid w:val="003F6DD2"/>
    <w:rsid w:val="003F6EDA"/>
    <w:rsid w:val="003F7650"/>
    <w:rsid w:val="003F7B56"/>
    <w:rsid w:val="003F7D52"/>
    <w:rsid w:val="00400270"/>
    <w:rsid w:val="0040071E"/>
    <w:rsid w:val="00400748"/>
    <w:rsid w:val="004011FC"/>
    <w:rsid w:val="00401DCD"/>
    <w:rsid w:val="004033C6"/>
    <w:rsid w:val="00404078"/>
    <w:rsid w:val="004043E2"/>
    <w:rsid w:val="0040572C"/>
    <w:rsid w:val="004061EE"/>
    <w:rsid w:val="004076B6"/>
    <w:rsid w:val="00410376"/>
    <w:rsid w:val="004118FB"/>
    <w:rsid w:val="00411C1C"/>
    <w:rsid w:val="00411CC9"/>
    <w:rsid w:val="004122AA"/>
    <w:rsid w:val="0041259C"/>
    <w:rsid w:val="004139AE"/>
    <w:rsid w:val="00413FB6"/>
    <w:rsid w:val="0041412C"/>
    <w:rsid w:val="00414371"/>
    <w:rsid w:val="00414D9C"/>
    <w:rsid w:val="00414DC5"/>
    <w:rsid w:val="00415118"/>
    <w:rsid w:val="00416122"/>
    <w:rsid w:val="00416301"/>
    <w:rsid w:val="00416889"/>
    <w:rsid w:val="00416DAB"/>
    <w:rsid w:val="00420C3B"/>
    <w:rsid w:val="00421E2E"/>
    <w:rsid w:val="004226DE"/>
    <w:rsid w:val="004233D5"/>
    <w:rsid w:val="004245B5"/>
    <w:rsid w:val="00425E17"/>
    <w:rsid w:val="004264D6"/>
    <w:rsid w:val="0042662A"/>
    <w:rsid w:val="004268DD"/>
    <w:rsid w:val="00426F32"/>
    <w:rsid w:val="0042786A"/>
    <w:rsid w:val="00427F6C"/>
    <w:rsid w:val="00430A01"/>
    <w:rsid w:val="00430B85"/>
    <w:rsid w:val="00430FFD"/>
    <w:rsid w:val="0043131E"/>
    <w:rsid w:val="0043205B"/>
    <w:rsid w:val="00432496"/>
    <w:rsid w:val="004330A7"/>
    <w:rsid w:val="004350A5"/>
    <w:rsid w:val="00435F6C"/>
    <w:rsid w:val="0043676C"/>
    <w:rsid w:val="00436B7A"/>
    <w:rsid w:val="00436D07"/>
    <w:rsid w:val="00436D75"/>
    <w:rsid w:val="0044012E"/>
    <w:rsid w:val="00440D45"/>
    <w:rsid w:val="00441CEA"/>
    <w:rsid w:val="00442A5C"/>
    <w:rsid w:val="00443050"/>
    <w:rsid w:val="00443BA2"/>
    <w:rsid w:val="00443FAA"/>
    <w:rsid w:val="004443AF"/>
    <w:rsid w:val="00444DBF"/>
    <w:rsid w:val="00445151"/>
    <w:rsid w:val="004453E2"/>
    <w:rsid w:val="004457D3"/>
    <w:rsid w:val="00445F6A"/>
    <w:rsid w:val="00446400"/>
    <w:rsid w:val="00447069"/>
    <w:rsid w:val="00447B5D"/>
    <w:rsid w:val="00450970"/>
    <w:rsid w:val="00450C95"/>
    <w:rsid w:val="00451947"/>
    <w:rsid w:val="0045232D"/>
    <w:rsid w:val="0045276F"/>
    <w:rsid w:val="0045310A"/>
    <w:rsid w:val="004531D7"/>
    <w:rsid w:val="0045375B"/>
    <w:rsid w:val="004538CA"/>
    <w:rsid w:val="00454A7D"/>
    <w:rsid w:val="004555A2"/>
    <w:rsid w:val="00455994"/>
    <w:rsid w:val="00456119"/>
    <w:rsid w:val="00456576"/>
    <w:rsid w:val="00457EE4"/>
    <w:rsid w:val="00457F1F"/>
    <w:rsid w:val="004601E5"/>
    <w:rsid w:val="00460B7F"/>
    <w:rsid w:val="00461790"/>
    <w:rsid w:val="0046230D"/>
    <w:rsid w:val="00462677"/>
    <w:rsid w:val="00463405"/>
    <w:rsid w:val="0046365D"/>
    <w:rsid w:val="004639C0"/>
    <w:rsid w:val="004645F3"/>
    <w:rsid w:val="00464A15"/>
    <w:rsid w:val="00467030"/>
    <w:rsid w:val="0046783E"/>
    <w:rsid w:val="00467E70"/>
    <w:rsid w:val="00467F0D"/>
    <w:rsid w:val="0047045C"/>
    <w:rsid w:val="0047117B"/>
    <w:rsid w:val="0047196F"/>
    <w:rsid w:val="00471A91"/>
    <w:rsid w:val="0047235B"/>
    <w:rsid w:val="00472587"/>
    <w:rsid w:val="0047270C"/>
    <w:rsid w:val="004729A4"/>
    <w:rsid w:val="004731E3"/>
    <w:rsid w:val="004738D7"/>
    <w:rsid w:val="00474719"/>
    <w:rsid w:val="004752CF"/>
    <w:rsid w:val="004758A4"/>
    <w:rsid w:val="0047590F"/>
    <w:rsid w:val="00475BE0"/>
    <w:rsid w:val="00476274"/>
    <w:rsid w:val="00476586"/>
    <w:rsid w:val="00476EFE"/>
    <w:rsid w:val="004770DD"/>
    <w:rsid w:val="004778B2"/>
    <w:rsid w:val="00477E96"/>
    <w:rsid w:val="00480602"/>
    <w:rsid w:val="004813BB"/>
    <w:rsid w:val="00481892"/>
    <w:rsid w:val="00481C83"/>
    <w:rsid w:val="004822F6"/>
    <w:rsid w:val="004828AE"/>
    <w:rsid w:val="00482B89"/>
    <w:rsid w:val="00482CC8"/>
    <w:rsid w:val="004834EF"/>
    <w:rsid w:val="0048396C"/>
    <w:rsid w:val="004841A8"/>
    <w:rsid w:val="00485528"/>
    <w:rsid w:val="0048576F"/>
    <w:rsid w:val="00485790"/>
    <w:rsid w:val="004864E6"/>
    <w:rsid w:val="0048759D"/>
    <w:rsid w:val="00487DAC"/>
    <w:rsid w:val="00492983"/>
    <w:rsid w:val="00492B28"/>
    <w:rsid w:val="00493152"/>
    <w:rsid w:val="0049344A"/>
    <w:rsid w:val="00493FC3"/>
    <w:rsid w:val="00494054"/>
    <w:rsid w:val="00495C8D"/>
    <w:rsid w:val="00495E9E"/>
    <w:rsid w:val="004960FD"/>
    <w:rsid w:val="0049757D"/>
    <w:rsid w:val="0049774F"/>
    <w:rsid w:val="0049776D"/>
    <w:rsid w:val="004A0903"/>
    <w:rsid w:val="004A1130"/>
    <w:rsid w:val="004A1D86"/>
    <w:rsid w:val="004A2855"/>
    <w:rsid w:val="004A48FA"/>
    <w:rsid w:val="004A4BDB"/>
    <w:rsid w:val="004A5580"/>
    <w:rsid w:val="004A590F"/>
    <w:rsid w:val="004A5E66"/>
    <w:rsid w:val="004A6275"/>
    <w:rsid w:val="004A6B39"/>
    <w:rsid w:val="004A6C6F"/>
    <w:rsid w:val="004A7717"/>
    <w:rsid w:val="004B074B"/>
    <w:rsid w:val="004B0A66"/>
    <w:rsid w:val="004B1198"/>
    <w:rsid w:val="004B1C04"/>
    <w:rsid w:val="004B2399"/>
    <w:rsid w:val="004B27FD"/>
    <w:rsid w:val="004B33D9"/>
    <w:rsid w:val="004B3B66"/>
    <w:rsid w:val="004B3C59"/>
    <w:rsid w:val="004B3C7D"/>
    <w:rsid w:val="004B3E1E"/>
    <w:rsid w:val="004B3F86"/>
    <w:rsid w:val="004B5EA9"/>
    <w:rsid w:val="004B61DB"/>
    <w:rsid w:val="004B62F2"/>
    <w:rsid w:val="004B6C7B"/>
    <w:rsid w:val="004B7611"/>
    <w:rsid w:val="004B79D8"/>
    <w:rsid w:val="004C0BF7"/>
    <w:rsid w:val="004C0DCA"/>
    <w:rsid w:val="004C1E73"/>
    <w:rsid w:val="004C1F57"/>
    <w:rsid w:val="004C28B8"/>
    <w:rsid w:val="004C324B"/>
    <w:rsid w:val="004C357C"/>
    <w:rsid w:val="004C36DF"/>
    <w:rsid w:val="004C4572"/>
    <w:rsid w:val="004C51FF"/>
    <w:rsid w:val="004C5598"/>
    <w:rsid w:val="004C5E77"/>
    <w:rsid w:val="004C6E93"/>
    <w:rsid w:val="004C6FFC"/>
    <w:rsid w:val="004D0821"/>
    <w:rsid w:val="004D086A"/>
    <w:rsid w:val="004D0EC2"/>
    <w:rsid w:val="004D18BB"/>
    <w:rsid w:val="004D1F8F"/>
    <w:rsid w:val="004D2A91"/>
    <w:rsid w:val="004D30A8"/>
    <w:rsid w:val="004D34B9"/>
    <w:rsid w:val="004D36CE"/>
    <w:rsid w:val="004D4C85"/>
    <w:rsid w:val="004D5CF6"/>
    <w:rsid w:val="004D6720"/>
    <w:rsid w:val="004D6A58"/>
    <w:rsid w:val="004D6F82"/>
    <w:rsid w:val="004D73FC"/>
    <w:rsid w:val="004D7E34"/>
    <w:rsid w:val="004E0686"/>
    <w:rsid w:val="004E06F8"/>
    <w:rsid w:val="004E08A7"/>
    <w:rsid w:val="004E2369"/>
    <w:rsid w:val="004E26A4"/>
    <w:rsid w:val="004E273B"/>
    <w:rsid w:val="004E2907"/>
    <w:rsid w:val="004E2B06"/>
    <w:rsid w:val="004E31CA"/>
    <w:rsid w:val="004E3770"/>
    <w:rsid w:val="004E426A"/>
    <w:rsid w:val="004E5DD6"/>
    <w:rsid w:val="004E5E32"/>
    <w:rsid w:val="004E618E"/>
    <w:rsid w:val="004E67D9"/>
    <w:rsid w:val="004E7043"/>
    <w:rsid w:val="004E70BE"/>
    <w:rsid w:val="004E75BD"/>
    <w:rsid w:val="004F1C1C"/>
    <w:rsid w:val="004F2773"/>
    <w:rsid w:val="004F3063"/>
    <w:rsid w:val="004F3BD4"/>
    <w:rsid w:val="004F3E78"/>
    <w:rsid w:val="004F3FA0"/>
    <w:rsid w:val="004F48A5"/>
    <w:rsid w:val="004F4BD7"/>
    <w:rsid w:val="004F61BB"/>
    <w:rsid w:val="004F642C"/>
    <w:rsid w:val="004F6644"/>
    <w:rsid w:val="004F6701"/>
    <w:rsid w:val="004F6C55"/>
    <w:rsid w:val="004F7BF5"/>
    <w:rsid w:val="0050058B"/>
    <w:rsid w:val="005022B7"/>
    <w:rsid w:val="00502678"/>
    <w:rsid w:val="0050421D"/>
    <w:rsid w:val="00504AD1"/>
    <w:rsid w:val="005056F7"/>
    <w:rsid w:val="00505C97"/>
    <w:rsid w:val="00505E12"/>
    <w:rsid w:val="00506549"/>
    <w:rsid w:val="005065BF"/>
    <w:rsid w:val="00506A66"/>
    <w:rsid w:val="005070BB"/>
    <w:rsid w:val="00507EFD"/>
    <w:rsid w:val="00510573"/>
    <w:rsid w:val="0051057F"/>
    <w:rsid w:val="00510A50"/>
    <w:rsid w:val="00510F11"/>
    <w:rsid w:val="00511D5F"/>
    <w:rsid w:val="00512EC3"/>
    <w:rsid w:val="005131B6"/>
    <w:rsid w:val="0051333E"/>
    <w:rsid w:val="00513F1E"/>
    <w:rsid w:val="0051452D"/>
    <w:rsid w:val="005149DB"/>
    <w:rsid w:val="00515836"/>
    <w:rsid w:val="00515D71"/>
    <w:rsid w:val="0051600D"/>
    <w:rsid w:val="0051659B"/>
    <w:rsid w:val="0051676C"/>
    <w:rsid w:val="00516AD4"/>
    <w:rsid w:val="0051700E"/>
    <w:rsid w:val="00517273"/>
    <w:rsid w:val="005177E2"/>
    <w:rsid w:val="00517925"/>
    <w:rsid w:val="005202B7"/>
    <w:rsid w:val="005208EB"/>
    <w:rsid w:val="005213BA"/>
    <w:rsid w:val="005214A7"/>
    <w:rsid w:val="00521AF8"/>
    <w:rsid w:val="00522B4A"/>
    <w:rsid w:val="005232A8"/>
    <w:rsid w:val="0052382D"/>
    <w:rsid w:val="005247D5"/>
    <w:rsid w:val="0052538B"/>
    <w:rsid w:val="005253C0"/>
    <w:rsid w:val="005255BA"/>
    <w:rsid w:val="00525706"/>
    <w:rsid w:val="00525CEF"/>
    <w:rsid w:val="00525DE8"/>
    <w:rsid w:val="00527880"/>
    <w:rsid w:val="00527BB5"/>
    <w:rsid w:val="0053126B"/>
    <w:rsid w:val="005320C4"/>
    <w:rsid w:val="00533D59"/>
    <w:rsid w:val="0053486E"/>
    <w:rsid w:val="00534B1A"/>
    <w:rsid w:val="00534DC6"/>
    <w:rsid w:val="0053598A"/>
    <w:rsid w:val="00535C05"/>
    <w:rsid w:val="00536DE7"/>
    <w:rsid w:val="00537047"/>
    <w:rsid w:val="00537C2A"/>
    <w:rsid w:val="005406C2"/>
    <w:rsid w:val="00540A7E"/>
    <w:rsid w:val="0054199A"/>
    <w:rsid w:val="00541AAC"/>
    <w:rsid w:val="00541CF8"/>
    <w:rsid w:val="005423CC"/>
    <w:rsid w:val="00545161"/>
    <w:rsid w:val="00545475"/>
    <w:rsid w:val="00545A55"/>
    <w:rsid w:val="00545DF3"/>
    <w:rsid w:val="00545FFA"/>
    <w:rsid w:val="00546EAD"/>
    <w:rsid w:val="00546F5E"/>
    <w:rsid w:val="00547838"/>
    <w:rsid w:val="00547972"/>
    <w:rsid w:val="00551014"/>
    <w:rsid w:val="005511DC"/>
    <w:rsid w:val="00552E1D"/>
    <w:rsid w:val="00552E90"/>
    <w:rsid w:val="005530E5"/>
    <w:rsid w:val="00553663"/>
    <w:rsid w:val="005554E4"/>
    <w:rsid w:val="005569C8"/>
    <w:rsid w:val="00557070"/>
    <w:rsid w:val="0055721C"/>
    <w:rsid w:val="0056087E"/>
    <w:rsid w:val="00560AE2"/>
    <w:rsid w:val="00560FCA"/>
    <w:rsid w:val="005620D3"/>
    <w:rsid w:val="0056233D"/>
    <w:rsid w:val="00562B91"/>
    <w:rsid w:val="0056396C"/>
    <w:rsid w:val="00563A93"/>
    <w:rsid w:val="00563EFC"/>
    <w:rsid w:val="005648E3"/>
    <w:rsid w:val="00564E3B"/>
    <w:rsid w:val="0056588C"/>
    <w:rsid w:val="00565B34"/>
    <w:rsid w:val="005671EA"/>
    <w:rsid w:val="00567862"/>
    <w:rsid w:val="005701E4"/>
    <w:rsid w:val="005705E2"/>
    <w:rsid w:val="005715E3"/>
    <w:rsid w:val="00571885"/>
    <w:rsid w:val="00573643"/>
    <w:rsid w:val="0057392F"/>
    <w:rsid w:val="00573F07"/>
    <w:rsid w:val="00573F57"/>
    <w:rsid w:val="00574319"/>
    <w:rsid w:val="005746C0"/>
    <w:rsid w:val="005750CD"/>
    <w:rsid w:val="00575AE7"/>
    <w:rsid w:val="00575D0A"/>
    <w:rsid w:val="005764AC"/>
    <w:rsid w:val="005766FC"/>
    <w:rsid w:val="00576EAC"/>
    <w:rsid w:val="00577DA8"/>
    <w:rsid w:val="00580426"/>
    <w:rsid w:val="005805D5"/>
    <w:rsid w:val="0058093D"/>
    <w:rsid w:val="00580FBD"/>
    <w:rsid w:val="00581EE6"/>
    <w:rsid w:val="005824F2"/>
    <w:rsid w:val="005836A5"/>
    <w:rsid w:val="005840BA"/>
    <w:rsid w:val="005843A3"/>
    <w:rsid w:val="005850D0"/>
    <w:rsid w:val="00585B9C"/>
    <w:rsid w:val="00586163"/>
    <w:rsid w:val="00586C82"/>
    <w:rsid w:val="00587795"/>
    <w:rsid w:val="00587D94"/>
    <w:rsid w:val="005908F0"/>
    <w:rsid w:val="00591057"/>
    <w:rsid w:val="00591172"/>
    <w:rsid w:val="005918BC"/>
    <w:rsid w:val="00591F9F"/>
    <w:rsid w:val="005927BE"/>
    <w:rsid w:val="00592B66"/>
    <w:rsid w:val="005930F7"/>
    <w:rsid w:val="0059336F"/>
    <w:rsid w:val="005933D7"/>
    <w:rsid w:val="00593C6D"/>
    <w:rsid w:val="00594966"/>
    <w:rsid w:val="00594EA6"/>
    <w:rsid w:val="00595DAF"/>
    <w:rsid w:val="00596475"/>
    <w:rsid w:val="00596F51"/>
    <w:rsid w:val="00597239"/>
    <w:rsid w:val="005979B5"/>
    <w:rsid w:val="005A05F9"/>
    <w:rsid w:val="005A14F1"/>
    <w:rsid w:val="005A1B63"/>
    <w:rsid w:val="005A1F21"/>
    <w:rsid w:val="005A2950"/>
    <w:rsid w:val="005A3109"/>
    <w:rsid w:val="005A3A0D"/>
    <w:rsid w:val="005A4172"/>
    <w:rsid w:val="005A495F"/>
    <w:rsid w:val="005A55C2"/>
    <w:rsid w:val="005A5E57"/>
    <w:rsid w:val="005A5F13"/>
    <w:rsid w:val="005A6157"/>
    <w:rsid w:val="005A73FA"/>
    <w:rsid w:val="005A7679"/>
    <w:rsid w:val="005B06D7"/>
    <w:rsid w:val="005B09B8"/>
    <w:rsid w:val="005B0A22"/>
    <w:rsid w:val="005B1A11"/>
    <w:rsid w:val="005B1F28"/>
    <w:rsid w:val="005B1F2C"/>
    <w:rsid w:val="005B231E"/>
    <w:rsid w:val="005B27F5"/>
    <w:rsid w:val="005B3332"/>
    <w:rsid w:val="005B4065"/>
    <w:rsid w:val="005B6DAE"/>
    <w:rsid w:val="005B7265"/>
    <w:rsid w:val="005B77F2"/>
    <w:rsid w:val="005C08DB"/>
    <w:rsid w:val="005C0DFE"/>
    <w:rsid w:val="005C0E1A"/>
    <w:rsid w:val="005C1D8A"/>
    <w:rsid w:val="005C2898"/>
    <w:rsid w:val="005C305C"/>
    <w:rsid w:val="005C3484"/>
    <w:rsid w:val="005C37C9"/>
    <w:rsid w:val="005C39A0"/>
    <w:rsid w:val="005C64BA"/>
    <w:rsid w:val="005C6A19"/>
    <w:rsid w:val="005C7333"/>
    <w:rsid w:val="005C73F9"/>
    <w:rsid w:val="005C75ED"/>
    <w:rsid w:val="005C786E"/>
    <w:rsid w:val="005C7CDA"/>
    <w:rsid w:val="005D0178"/>
    <w:rsid w:val="005D150C"/>
    <w:rsid w:val="005D1631"/>
    <w:rsid w:val="005D1DDD"/>
    <w:rsid w:val="005D3987"/>
    <w:rsid w:val="005D46A8"/>
    <w:rsid w:val="005D54F5"/>
    <w:rsid w:val="005D5A4F"/>
    <w:rsid w:val="005D5BFF"/>
    <w:rsid w:val="005D5DF5"/>
    <w:rsid w:val="005D627E"/>
    <w:rsid w:val="005D75D2"/>
    <w:rsid w:val="005D77E8"/>
    <w:rsid w:val="005D7A8D"/>
    <w:rsid w:val="005D7DC3"/>
    <w:rsid w:val="005E07CD"/>
    <w:rsid w:val="005E16C4"/>
    <w:rsid w:val="005E1ED7"/>
    <w:rsid w:val="005E23F2"/>
    <w:rsid w:val="005E317C"/>
    <w:rsid w:val="005E3B81"/>
    <w:rsid w:val="005E4773"/>
    <w:rsid w:val="005E4B3A"/>
    <w:rsid w:val="005E4BCF"/>
    <w:rsid w:val="005E4DC1"/>
    <w:rsid w:val="005E5B4D"/>
    <w:rsid w:val="005E5C88"/>
    <w:rsid w:val="005E69E5"/>
    <w:rsid w:val="005E700C"/>
    <w:rsid w:val="005E71BE"/>
    <w:rsid w:val="005E764E"/>
    <w:rsid w:val="005E7E10"/>
    <w:rsid w:val="005F055E"/>
    <w:rsid w:val="005F0D54"/>
    <w:rsid w:val="005F0ECF"/>
    <w:rsid w:val="005F1904"/>
    <w:rsid w:val="005F218E"/>
    <w:rsid w:val="005F2267"/>
    <w:rsid w:val="005F29EE"/>
    <w:rsid w:val="005F2DD8"/>
    <w:rsid w:val="005F2E70"/>
    <w:rsid w:val="005F39A1"/>
    <w:rsid w:val="005F4455"/>
    <w:rsid w:val="005F485F"/>
    <w:rsid w:val="005F4DCF"/>
    <w:rsid w:val="005F4F38"/>
    <w:rsid w:val="005F6077"/>
    <w:rsid w:val="005F6099"/>
    <w:rsid w:val="005F6793"/>
    <w:rsid w:val="005F6DF2"/>
    <w:rsid w:val="005F71C9"/>
    <w:rsid w:val="005F769C"/>
    <w:rsid w:val="005F7E5C"/>
    <w:rsid w:val="00600031"/>
    <w:rsid w:val="00600A33"/>
    <w:rsid w:val="00600EC4"/>
    <w:rsid w:val="00601316"/>
    <w:rsid w:val="006015FB"/>
    <w:rsid w:val="006017AC"/>
    <w:rsid w:val="0060188A"/>
    <w:rsid w:val="00602704"/>
    <w:rsid w:val="0060279D"/>
    <w:rsid w:val="00602C52"/>
    <w:rsid w:val="00603272"/>
    <w:rsid w:val="0060333D"/>
    <w:rsid w:val="00604215"/>
    <w:rsid w:val="006043BA"/>
    <w:rsid w:val="006045B8"/>
    <w:rsid w:val="00604B8A"/>
    <w:rsid w:val="00604E7E"/>
    <w:rsid w:val="00605220"/>
    <w:rsid w:val="0060576E"/>
    <w:rsid w:val="006059D1"/>
    <w:rsid w:val="00606472"/>
    <w:rsid w:val="00606A19"/>
    <w:rsid w:val="006105A1"/>
    <w:rsid w:val="00610D72"/>
    <w:rsid w:val="00610FD2"/>
    <w:rsid w:val="00611026"/>
    <w:rsid w:val="0061146C"/>
    <w:rsid w:val="0061169A"/>
    <w:rsid w:val="00611D6B"/>
    <w:rsid w:val="0061203C"/>
    <w:rsid w:val="00613614"/>
    <w:rsid w:val="006150A4"/>
    <w:rsid w:val="006150CB"/>
    <w:rsid w:val="00615546"/>
    <w:rsid w:val="006155E0"/>
    <w:rsid w:val="00615796"/>
    <w:rsid w:val="00615825"/>
    <w:rsid w:val="00615AA3"/>
    <w:rsid w:val="00616C0D"/>
    <w:rsid w:val="0061728E"/>
    <w:rsid w:val="0061750F"/>
    <w:rsid w:val="00617949"/>
    <w:rsid w:val="00617C4E"/>
    <w:rsid w:val="006203CF"/>
    <w:rsid w:val="00620DBF"/>
    <w:rsid w:val="00622118"/>
    <w:rsid w:val="00622202"/>
    <w:rsid w:val="0062304F"/>
    <w:rsid w:val="00624AAF"/>
    <w:rsid w:val="00624D1B"/>
    <w:rsid w:val="006269B6"/>
    <w:rsid w:val="006270DD"/>
    <w:rsid w:val="0062760F"/>
    <w:rsid w:val="0062764E"/>
    <w:rsid w:val="00627B1E"/>
    <w:rsid w:val="00630C6E"/>
    <w:rsid w:val="00631700"/>
    <w:rsid w:val="0063221D"/>
    <w:rsid w:val="00633140"/>
    <w:rsid w:val="006338EE"/>
    <w:rsid w:val="00633B95"/>
    <w:rsid w:val="00633BAE"/>
    <w:rsid w:val="00633CC4"/>
    <w:rsid w:val="00633ED7"/>
    <w:rsid w:val="00635695"/>
    <w:rsid w:val="006356D5"/>
    <w:rsid w:val="006356F4"/>
    <w:rsid w:val="00636ADF"/>
    <w:rsid w:val="00636B63"/>
    <w:rsid w:val="00637B8A"/>
    <w:rsid w:val="00637C0D"/>
    <w:rsid w:val="00637F50"/>
    <w:rsid w:val="0064003F"/>
    <w:rsid w:val="006407A1"/>
    <w:rsid w:val="006409C9"/>
    <w:rsid w:val="0064174E"/>
    <w:rsid w:val="00642B2F"/>
    <w:rsid w:val="00643AFC"/>
    <w:rsid w:val="0064425C"/>
    <w:rsid w:val="00644703"/>
    <w:rsid w:val="00644DC8"/>
    <w:rsid w:val="006455D6"/>
    <w:rsid w:val="00645C95"/>
    <w:rsid w:val="00647018"/>
    <w:rsid w:val="006471B3"/>
    <w:rsid w:val="00647722"/>
    <w:rsid w:val="0064785C"/>
    <w:rsid w:val="00650CE1"/>
    <w:rsid w:val="00650E1B"/>
    <w:rsid w:val="006520A6"/>
    <w:rsid w:val="006525C8"/>
    <w:rsid w:val="00652DF5"/>
    <w:rsid w:val="00652FF1"/>
    <w:rsid w:val="00653776"/>
    <w:rsid w:val="006552C4"/>
    <w:rsid w:val="006554E9"/>
    <w:rsid w:val="006556CE"/>
    <w:rsid w:val="00655B3F"/>
    <w:rsid w:val="006602A4"/>
    <w:rsid w:val="00660BB1"/>
    <w:rsid w:val="00660FCC"/>
    <w:rsid w:val="0066158B"/>
    <w:rsid w:val="00661CB3"/>
    <w:rsid w:val="00661D5E"/>
    <w:rsid w:val="00661E65"/>
    <w:rsid w:val="00661F6E"/>
    <w:rsid w:val="00662129"/>
    <w:rsid w:val="00663200"/>
    <w:rsid w:val="00663A9B"/>
    <w:rsid w:val="006643B4"/>
    <w:rsid w:val="006665B3"/>
    <w:rsid w:val="00666B81"/>
    <w:rsid w:val="006679C1"/>
    <w:rsid w:val="00667D07"/>
    <w:rsid w:val="006700CE"/>
    <w:rsid w:val="00670499"/>
    <w:rsid w:val="006704A9"/>
    <w:rsid w:val="00670B7B"/>
    <w:rsid w:val="006712FF"/>
    <w:rsid w:val="00671A09"/>
    <w:rsid w:val="00672148"/>
    <w:rsid w:val="00672271"/>
    <w:rsid w:val="00672AC4"/>
    <w:rsid w:val="00673107"/>
    <w:rsid w:val="006731E6"/>
    <w:rsid w:val="006737A8"/>
    <w:rsid w:val="00673B44"/>
    <w:rsid w:val="0067466F"/>
    <w:rsid w:val="00674A7D"/>
    <w:rsid w:val="00674E6A"/>
    <w:rsid w:val="0067583D"/>
    <w:rsid w:val="00676241"/>
    <w:rsid w:val="00676BEE"/>
    <w:rsid w:val="00676ED9"/>
    <w:rsid w:val="00677377"/>
    <w:rsid w:val="00677832"/>
    <w:rsid w:val="00677853"/>
    <w:rsid w:val="00680557"/>
    <w:rsid w:val="006806F5"/>
    <w:rsid w:val="006826D6"/>
    <w:rsid w:val="006829BF"/>
    <w:rsid w:val="0068334E"/>
    <w:rsid w:val="0068451C"/>
    <w:rsid w:val="006847FA"/>
    <w:rsid w:val="00684A7C"/>
    <w:rsid w:val="006858CA"/>
    <w:rsid w:val="00685F9F"/>
    <w:rsid w:val="0068612E"/>
    <w:rsid w:val="00686A7C"/>
    <w:rsid w:val="00686C88"/>
    <w:rsid w:val="00687099"/>
    <w:rsid w:val="0068780D"/>
    <w:rsid w:val="00687DAA"/>
    <w:rsid w:val="00691443"/>
    <w:rsid w:val="00691C08"/>
    <w:rsid w:val="0069225E"/>
    <w:rsid w:val="006925F4"/>
    <w:rsid w:val="00692A3B"/>
    <w:rsid w:val="00692FBA"/>
    <w:rsid w:val="00693735"/>
    <w:rsid w:val="00693878"/>
    <w:rsid w:val="00693DCA"/>
    <w:rsid w:val="00694554"/>
    <w:rsid w:val="00695534"/>
    <w:rsid w:val="006964FE"/>
    <w:rsid w:val="006968AE"/>
    <w:rsid w:val="006A0CD9"/>
    <w:rsid w:val="006A0DD9"/>
    <w:rsid w:val="006A16B5"/>
    <w:rsid w:val="006A1917"/>
    <w:rsid w:val="006A2435"/>
    <w:rsid w:val="006A2D3D"/>
    <w:rsid w:val="006A306B"/>
    <w:rsid w:val="006A39B1"/>
    <w:rsid w:val="006A3F71"/>
    <w:rsid w:val="006A43B4"/>
    <w:rsid w:val="006A48DF"/>
    <w:rsid w:val="006A4AEE"/>
    <w:rsid w:val="006A663A"/>
    <w:rsid w:val="006A79CD"/>
    <w:rsid w:val="006B0229"/>
    <w:rsid w:val="006B0707"/>
    <w:rsid w:val="006B074D"/>
    <w:rsid w:val="006B1945"/>
    <w:rsid w:val="006B2344"/>
    <w:rsid w:val="006B2C5E"/>
    <w:rsid w:val="006B2C8C"/>
    <w:rsid w:val="006B35B7"/>
    <w:rsid w:val="006B3B27"/>
    <w:rsid w:val="006B4747"/>
    <w:rsid w:val="006B4A15"/>
    <w:rsid w:val="006B5318"/>
    <w:rsid w:val="006B5659"/>
    <w:rsid w:val="006B5DBC"/>
    <w:rsid w:val="006B76A8"/>
    <w:rsid w:val="006B785D"/>
    <w:rsid w:val="006B7C51"/>
    <w:rsid w:val="006B7CAE"/>
    <w:rsid w:val="006B7F05"/>
    <w:rsid w:val="006C028E"/>
    <w:rsid w:val="006C1D64"/>
    <w:rsid w:val="006C27EE"/>
    <w:rsid w:val="006C38C7"/>
    <w:rsid w:val="006C3A3C"/>
    <w:rsid w:val="006C3A6F"/>
    <w:rsid w:val="006C45D8"/>
    <w:rsid w:val="006C47DD"/>
    <w:rsid w:val="006C4A10"/>
    <w:rsid w:val="006C51AB"/>
    <w:rsid w:val="006C5796"/>
    <w:rsid w:val="006C72BF"/>
    <w:rsid w:val="006C75B4"/>
    <w:rsid w:val="006C76F0"/>
    <w:rsid w:val="006C7707"/>
    <w:rsid w:val="006C7EE4"/>
    <w:rsid w:val="006D0958"/>
    <w:rsid w:val="006D1440"/>
    <w:rsid w:val="006D1C16"/>
    <w:rsid w:val="006D3D87"/>
    <w:rsid w:val="006D44C2"/>
    <w:rsid w:val="006D517D"/>
    <w:rsid w:val="006D6DCC"/>
    <w:rsid w:val="006D73AA"/>
    <w:rsid w:val="006E016B"/>
    <w:rsid w:val="006E0571"/>
    <w:rsid w:val="006E05CC"/>
    <w:rsid w:val="006E09EE"/>
    <w:rsid w:val="006E0B6C"/>
    <w:rsid w:val="006E114B"/>
    <w:rsid w:val="006E19EB"/>
    <w:rsid w:val="006E2D13"/>
    <w:rsid w:val="006E2D40"/>
    <w:rsid w:val="006E3510"/>
    <w:rsid w:val="006E372C"/>
    <w:rsid w:val="006E3AFE"/>
    <w:rsid w:val="006E4517"/>
    <w:rsid w:val="006E4777"/>
    <w:rsid w:val="006E489D"/>
    <w:rsid w:val="006E62DF"/>
    <w:rsid w:val="006E661D"/>
    <w:rsid w:val="006E6C3A"/>
    <w:rsid w:val="006F03DC"/>
    <w:rsid w:val="006F093A"/>
    <w:rsid w:val="006F190A"/>
    <w:rsid w:val="006F1994"/>
    <w:rsid w:val="006F1C41"/>
    <w:rsid w:val="006F1E65"/>
    <w:rsid w:val="006F2084"/>
    <w:rsid w:val="006F2283"/>
    <w:rsid w:val="006F2AC6"/>
    <w:rsid w:val="006F2D01"/>
    <w:rsid w:val="006F32FB"/>
    <w:rsid w:val="006F35AA"/>
    <w:rsid w:val="006F3BCC"/>
    <w:rsid w:val="006F3C3B"/>
    <w:rsid w:val="006F3CF4"/>
    <w:rsid w:val="006F3FC2"/>
    <w:rsid w:val="006F49BC"/>
    <w:rsid w:val="006F4D34"/>
    <w:rsid w:val="006F4F97"/>
    <w:rsid w:val="006F4FA7"/>
    <w:rsid w:val="006F5557"/>
    <w:rsid w:val="006F6151"/>
    <w:rsid w:val="006F639F"/>
    <w:rsid w:val="006F63FB"/>
    <w:rsid w:val="006F674F"/>
    <w:rsid w:val="006F6E7F"/>
    <w:rsid w:val="006F6EE1"/>
    <w:rsid w:val="0070046B"/>
    <w:rsid w:val="00700C16"/>
    <w:rsid w:val="00701566"/>
    <w:rsid w:val="007020B4"/>
    <w:rsid w:val="00702B0A"/>
    <w:rsid w:val="00702ED9"/>
    <w:rsid w:val="00703365"/>
    <w:rsid w:val="007034C4"/>
    <w:rsid w:val="00703AED"/>
    <w:rsid w:val="00705474"/>
    <w:rsid w:val="007055B8"/>
    <w:rsid w:val="00705BBB"/>
    <w:rsid w:val="0070615D"/>
    <w:rsid w:val="00707690"/>
    <w:rsid w:val="0070769A"/>
    <w:rsid w:val="0070786D"/>
    <w:rsid w:val="0070796F"/>
    <w:rsid w:val="00710AC1"/>
    <w:rsid w:val="00710E61"/>
    <w:rsid w:val="007114CE"/>
    <w:rsid w:val="00711827"/>
    <w:rsid w:val="007129BF"/>
    <w:rsid w:val="0071360E"/>
    <w:rsid w:val="00714CCF"/>
    <w:rsid w:val="00714FFA"/>
    <w:rsid w:val="00715ED4"/>
    <w:rsid w:val="00716FA0"/>
    <w:rsid w:val="00717589"/>
    <w:rsid w:val="007175A6"/>
    <w:rsid w:val="0071760D"/>
    <w:rsid w:val="00720AD7"/>
    <w:rsid w:val="00721777"/>
    <w:rsid w:val="00721A7E"/>
    <w:rsid w:val="00722EB4"/>
    <w:rsid w:val="00723006"/>
    <w:rsid w:val="0072361C"/>
    <w:rsid w:val="00724513"/>
    <w:rsid w:val="007251DA"/>
    <w:rsid w:val="007264BE"/>
    <w:rsid w:val="00727938"/>
    <w:rsid w:val="00727AD1"/>
    <w:rsid w:val="00727B90"/>
    <w:rsid w:val="00730038"/>
    <w:rsid w:val="00730255"/>
    <w:rsid w:val="007310F6"/>
    <w:rsid w:val="0073118F"/>
    <w:rsid w:val="00731D3D"/>
    <w:rsid w:val="007327FB"/>
    <w:rsid w:val="0073334D"/>
    <w:rsid w:val="0073352A"/>
    <w:rsid w:val="0073479F"/>
    <w:rsid w:val="0073598F"/>
    <w:rsid w:val="00735F58"/>
    <w:rsid w:val="00736CDD"/>
    <w:rsid w:val="0073797F"/>
    <w:rsid w:val="00737A0F"/>
    <w:rsid w:val="00737A56"/>
    <w:rsid w:val="00737B93"/>
    <w:rsid w:val="00737CBC"/>
    <w:rsid w:val="007401CC"/>
    <w:rsid w:val="00740C8A"/>
    <w:rsid w:val="007410F5"/>
    <w:rsid w:val="00741DAB"/>
    <w:rsid w:val="007431EB"/>
    <w:rsid w:val="00743AB8"/>
    <w:rsid w:val="0074435B"/>
    <w:rsid w:val="00744F7A"/>
    <w:rsid w:val="00745CEF"/>
    <w:rsid w:val="0074621F"/>
    <w:rsid w:val="00746710"/>
    <w:rsid w:val="00746CDA"/>
    <w:rsid w:val="00746E10"/>
    <w:rsid w:val="00746FA3"/>
    <w:rsid w:val="00747774"/>
    <w:rsid w:val="00747E90"/>
    <w:rsid w:val="00750347"/>
    <w:rsid w:val="0075048B"/>
    <w:rsid w:val="00750F1D"/>
    <w:rsid w:val="0075103A"/>
    <w:rsid w:val="00751175"/>
    <w:rsid w:val="00751436"/>
    <w:rsid w:val="0075157E"/>
    <w:rsid w:val="007521BD"/>
    <w:rsid w:val="007529E9"/>
    <w:rsid w:val="00752A13"/>
    <w:rsid w:val="007557CD"/>
    <w:rsid w:val="0075657D"/>
    <w:rsid w:val="00756EFE"/>
    <w:rsid w:val="00756FD6"/>
    <w:rsid w:val="007575CA"/>
    <w:rsid w:val="00757E44"/>
    <w:rsid w:val="00757FFA"/>
    <w:rsid w:val="00760912"/>
    <w:rsid w:val="00760F48"/>
    <w:rsid w:val="007622C2"/>
    <w:rsid w:val="007632E2"/>
    <w:rsid w:val="007633BB"/>
    <w:rsid w:val="00763491"/>
    <w:rsid w:val="00764615"/>
    <w:rsid w:val="007649F0"/>
    <w:rsid w:val="00764EDC"/>
    <w:rsid w:val="00765D42"/>
    <w:rsid w:val="00765E56"/>
    <w:rsid w:val="00765EDF"/>
    <w:rsid w:val="0076617F"/>
    <w:rsid w:val="00767122"/>
    <w:rsid w:val="00767C96"/>
    <w:rsid w:val="0077037F"/>
    <w:rsid w:val="00770F31"/>
    <w:rsid w:val="00771927"/>
    <w:rsid w:val="007719DE"/>
    <w:rsid w:val="00771D96"/>
    <w:rsid w:val="00771F67"/>
    <w:rsid w:val="00772602"/>
    <w:rsid w:val="00772D3E"/>
    <w:rsid w:val="00773139"/>
    <w:rsid w:val="00773D7A"/>
    <w:rsid w:val="00773EEC"/>
    <w:rsid w:val="007745C3"/>
    <w:rsid w:val="00774819"/>
    <w:rsid w:val="00774A0A"/>
    <w:rsid w:val="007752DD"/>
    <w:rsid w:val="007752E2"/>
    <w:rsid w:val="00775ED5"/>
    <w:rsid w:val="00776E86"/>
    <w:rsid w:val="007770C9"/>
    <w:rsid w:val="007779CA"/>
    <w:rsid w:val="00777E7B"/>
    <w:rsid w:val="00777EE4"/>
    <w:rsid w:val="00780908"/>
    <w:rsid w:val="00780BBF"/>
    <w:rsid w:val="00780C8E"/>
    <w:rsid w:val="00780DFC"/>
    <w:rsid w:val="00781224"/>
    <w:rsid w:val="0078148B"/>
    <w:rsid w:val="00781778"/>
    <w:rsid w:val="007825F8"/>
    <w:rsid w:val="00782DDC"/>
    <w:rsid w:val="00783C20"/>
    <w:rsid w:val="007848BA"/>
    <w:rsid w:val="00784A30"/>
    <w:rsid w:val="00784C39"/>
    <w:rsid w:val="00784D03"/>
    <w:rsid w:val="00785A5B"/>
    <w:rsid w:val="007864E1"/>
    <w:rsid w:val="0078753C"/>
    <w:rsid w:val="0078781E"/>
    <w:rsid w:val="00787BAE"/>
    <w:rsid w:val="00790068"/>
    <w:rsid w:val="00790468"/>
    <w:rsid w:val="0079087C"/>
    <w:rsid w:val="007912AF"/>
    <w:rsid w:val="007915F3"/>
    <w:rsid w:val="007917A7"/>
    <w:rsid w:val="0079199E"/>
    <w:rsid w:val="00792CC8"/>
    <w:rsid w:val="00793587"/>
    <w:rsid w:val="00793591"/>
    <w:rsid w:val="0079365F"/>
    <w:rsid w:val="00793E86"/>
    <w:rsid w:val="007949EF"/>
    <w:rsid w:val="00794DEE"/>
    <w:rsid w:val="0079573A"/>
    <w:rsid w:val="00795F14"/>
    <w:rsid w:val="00795F55"/>
    <w:rsid w:val="00796453"/>
    <w:rsid w:val="00796806"/>
    <w:rsid w:val="00797DF0"/>
    <w:rsid w:val="00797F46"/>
    <w:rsid w:val="007A06B9"/>
    <w:rsid w:val="007A1420"/>
    <w:rsid w:val="007A1700"/>
    <w:rsid w:val="007A1C0D"/>
    <w:rsid w:val="007A2422"/>
    <w:rsid w:val="007A30E3"/>
    <w:rsid w:val="007A3A09"/>
    <w:rsid w:val="007A3AF8"/>
    <w:rsid w:val="007A4182"/>
    <w:rsid w:val="007A485F"/>
    <w:rsid w:val="007A536C"/>
    <w:rsid w:val="007A6673"/>
    <w:rsid w:val="007A6867"/>
    <w:rsid w:val="007A68CE"/>
    <w:rsid w:val="007A69B6"/>
    <w:rsid w:val="007A6CD4"/>
    <w:rsid w:val="007B123C"/>
    <w:rsid w:val="007B1262"/>
    <w:rsid w:val="007B1F14"/>
    <w:rsid w:val="007B23B4"/>
    <w:rsid w:val="007B3D7F"/>
    <w:rsid w:val="007B42AA"/>
    <w:rsid w:val="007B444A"/>
    <w:rsid w:val="007B4B24"/>
    <w:rsid w:val="007B5480"/>
    <w:rsid w:val="007B54DE"/>
    <w:rsid w:val="007B5703"/>
    <w:rsid w:val="007B6F75"/>
    <w:rsid w:val="007B7412"/>
    <w:rsid w:val="007B74D1"/>
    <w:rsid w:val="007B7DE0"/>
    <w:rsid w:val="007B7FDD"/>
    <w:rsid w:val="007C03B9"/>
    <w:rsid w:val="007C056F"/>
    <w:rsid w:val="007C05BF"/>
    <w:rsid w:val="007C0FA6"/>
    <w:rsid w:val="007C16AA"/>
    <w:rsid w:val="007C327C"/>
    <w:rsid w:val="007C3514"/>
    <w:rsid w:val="007C3EC1"/>
    <w:rsid w:val="007C3F8E"/>
    <w:rsid w:val="007C409C"/>
    <w:rsid w:val="007C4931"/>
    <w:rsid w:val="007C599E"/>
    <w:rsid w:val="007C68EE"/>
    <w:rsid w:val="007C72EF"/>
    <w:rsid w:val="007C79EC"/>
    <w:rsid w:val="007D0511"/>
    <w:rsid w:val="007D0689"/>
    <w:rsid w:val="007D07C4"/>
    <w:rsid w:val="007D11C7"/>
    <w:rsid w:val="007D1802"/>
    <w:rsid w:val="007D27D5"/>
    <w:rsid w:val="007D31FA"/>
    <w:rsid w:val="007D38F8"/>
    <w:rsid w:val="007D4865"/>
    <w:rsid w:val="007D623F"/>
    <w:rsid w:val="007D66FD"/>
    <w:rsid w:val="007D6D72"/>
    <w:rsid w:val="007D6E12"/>
    <w:rsid w:val="007D6F4D"/>
    <w:rsid w:val="007D7CB6"/>
    <w:rsid w:val="007D7E8F"/>
    <w:rsid w:val="007E018E"/>
    <w:rsid w:val="007E2906"/>
    <w:rsid w:val="007E3C39"/>
    <w:rsid w:val="007E3D18"/>
    <w:rsid w:val="007E3E87"/>
    <w:rsid w:val="007E3F67"/>
    <w:rsid w:val="007E422F"/>
    <w:rsid w:val="007E43E0"/>
    <w:rsid w:val="007E57B5"/>
    <w:rsid w:val="007E6D9D"/>
    <w:rsid w:val="007E6F53"/>
    <w:rsid w:val="007E6F54"/>
    <w:rsid w:val="007E7C26"/>
    <w:rsid w:val="007E7F40"/>
    <w:rsid w:val="007F045D"/>
    <w:rsid w:val="007F0CA1"/>
    <w:rsid w:val="007F0EF6"/>
    <w:rsid w:val="007F1D85"/>
    <w:rsid w:val="007F3670"/>
    <w:rsid w:val="007F40EB"/>
    <w:rsid w:val="007F5F86"/>
    <w:rsid w:val="007F62BA"/>
    <w:rsid w:val="007F62E8"/>
    <w:rsid w:val="007F63C0"/>
    <w:rsid w:val="007F6F43"/>
    <w:rsid w:val="007F7210"/>
    <w:rsid w:val="007F7FA0"/>
    <w:rsid w:val="00800CF9"/>
    <w:rsid w:val="00801C2F"/>
    <w:rsid w:val="00802E96"/>
    <w:rsid w:val="00804501"/>
    <w:rsid w:val="0080563B"/>
    <w:rsid w:val="0080604A"/>
    <w:rsid w:val="00806435"/>
    <w:rsid w:val="00806BD8"/>
    <w:rsid w:val="00807007"/>
    <w:rsid w:val="008070EB"/>
    <w:rsid w:val="00810DCC"/>
    <w:rsid w:val="008110B2"/>
    <w:rsid w:val="008110E5"/>
    <w:rsid w:val="00811802"/>
    <w:rsid w:val="008120F1"/>
    <w:rsid w:val="0081219C"/>
    <w:rsid w:val="008126BE"/>
    <w:rsid w:val="00813E01"/>
    <w:rsid w:val="00814E9D"/>
    <w:rsid w:val="00814FA8"/>
    <w:rsid w:val="00815395"/>
    <w:rsid w:val="0081639F"/>
    <w:rsid w:val="0081670A"/>
    <w:rsid w:val="008168B7"/>
    <w:rsid w:val="00816A6B"/>
    <w:rsid w:val="0082026C"/>
    <w:rsid w:val="00820288"/>
    <w:rsid w:val="00820323"/>
    <w:rsid w:val="0082067B"/>
    <w:rsid w:val="00820A47"/>
    <w:rsid w:val="00820F1D"/>
    <w:rsid w:val="00821149"/>
    <w:rsid w:val="00821E40"/>
    <w:rsid w:val="00822DB0"/>
    <w:rsid w:val="00822FCA"/>
    <w:rsid w:val="008231CF"/>
    <w:rsid w:val="00823C7F"/>
    <w:rsid w:val="00825B22"/>
    <w:rsid w:val="00825DB7"/>
    <w:rsid w:val="00826021"/>
    <w:rsid w:val="0082620C"/>
    <w:rsid w:val="00826646"/>
    <w:rsid w:val="008268E1"/>
    <w:rsid w:val="00827319"/>
    <w:rsid w:val="008275BA"/>
    <w:rsid w:val="008277E0"/>
    <w:rsid w:val="00827A59"/>
    <w:rsid w:val="008305AD"/>
    <w:rsid w:val="00830A6B"/>
    <w:rsid w:val="008314FE"/>
    <w:rsid w:val="00833651"/>
    <w:rsid w:val="00833C53"/>
    <w:rsid w:val="00834269"/>
    <w:rsid w:val="0083431A"/>
    <w:rsid w:val="008345C2"/>
    <w:rsid w:val="00834937"/>
    <w:rsid w:val="00834BCF"/>
    <w:rsid w:val="00834BD9"/>
    <w:rsid w:val="00834C1A"/>
    <w:rsid w:val="00834F98"/>
    <w:rsid w:val="0083507F"/>
    <w:rsid w:val="00835F18"/>
    <w:rsid w:val="00836351"/>
    <w:rsid w:val="00836EF2"/>
    <w:rsid w:val="008414EB"/>
    <w:rsid w:val="0084164A"/>
    <w:rsid w:val="00841FF7"/>
    <w:rsid w:val="008445E4"/>
    <w:rsid w:val="008446FC"/>
    <w:rsid w:val="008448DB"/>
    <w:rsid w:val="00844B8D"/>
    <w:rsid w:val="008456B9"/>
    <w:rsid w:val="0084572F"/>
    <w:rsid w:val="00845C48"/>
    <w:rsid w:val="00846445"/>
    <w:rsid w:val="00846480"/>
    <w:rsid w:val="00846805"/>
    <w:rsid w:val="00846A6E"/>
    <w:rsid w:val="00846C5B"/>
    <w:rsid w:val="00846DBF"/>
    <w:rsid w:val="008505A3"/>
    <w:rsid w:val="00850866"/>
    <w:rsid w:val="00850CC0"/>
    <w:rsid w:val="00850DFA"/>
    <w:rsid w:val="00850EB8"/>
    <w:rsid w:val="0085153E"/>
    <w:rsid w:val="00851C2C"/>
    <w:rsid w:val="008520BA"/>
    <w:rsid w:val="008530FD"/>
    <w:rsid w:val="00853577"/>
    <w:rsid w:val="00853AB7"/>
    <w:rsid w:val="00854E2C"/>
    <w:rsid w:val="00855194"/>
    <w:rsid w:val="00855EC7"/>
    <w:rsid w:val="00856A27"/>
    <w:rsid w:val="00857961"/>
    <w:rsid w:val="00857EBE"/>
    <w:rsid w:val="00857FDF"/>
    <w:rsid w:val="00857FE8"/>
    <w:rsid w:val="008606C5"/>
    <w:rsid w:val="008607FB"/>
    <w:rsid w:val="00860C4E"/>
    <w:rsid w:val="00861023"/>
    <w:rsid w:val="008625FD"/>
    <w:rsid w:val="0086355B"/>
    <w:rsid w:val="0086492F"/>
    <w:rsid w:val="00864D80"/>
    <w:rsid w:val="00864DAE"/>
    <w:rsid w:val="00865CC0"/>
    <w:rsid w:val="008667DB"/>
    <w:rsid w:val="008670C3"/>
    <w:rsid w:val="00867B8F"/>
    <w:rsid w:val="00870741"/>
    <w:rsid w:val="00870970"/>
    <w:rsid w:val="00870ED1"/>
    <w:rsid w:val="00871088"/>
    <w:rsid w:val="00872351"/>
    <w:rsid w:val="00872376"/>
    <w:rsid w:val="00872819"/>
    <w:rsid w:val="00872C4D"/>
    <w:rsid w:val="008732FE"/>
    <w:rsid w:val="008749E8"/>
    <w:rsid w:val="0087520E"/>
    <w:rsid w:val="008752D8"/>
    <w:rsid w:val="00875465"/>
    <w:rsid w:val="00875736"/>
    <w:rsid w:val="00875CC7"/>
    <w:rsid w:val="00876659"/>
    <w:rsid w:val="008767CF"/>
    <w:rsid w:val="0087685E"/>
    <w:rsid w:val="008773A7"/>
    <w:rsid w:val="00880CD2"/>
    <w:rsid w:val="00880E18"/>
    <w:rsid w:val="0088182F"/>
    <w:rsid w:val="00881CF9"/>
    <w:rsid w:val="008829BD"/>
    <w:rsid w:val="00882A3D"/>
    <w:rsid w:val="008832F2"/>
    <w:rsid w:val="00883645"/>
    <w:rsid w:val="00884077"/>
    <w:rsid w:val="0088487B"/>
    <w:rsid w:val="00885198"/>
    <w:rsid w:val="0088594F"/>
    <w:rsid w:val="00885A60"/>
    <w:rsid w:val="00885FBD"/>
    <w:rsid w:val="0088635D"/>
    <w:rsid w:val="008867B5"/>
    <w:rsid w:val="00886A78"/>
    <w:rsid w:val="00886C6F"/>
    <w:rsid w:val="0088790B"/>
    <w:rsid w:val="00887E5A"/>
    <w:rsid w:val="00890238"/>
    <w:rsid w:val="00891102"/>
    <w:rsid w:val="00891D4F"/>
    <w:rsid w:val="00893942"/>
    <w:rsid w:val="00894B90"/>
    <w:rsid w:val="00894D6F"/>
    <w:rsid w:val="00894EAC"/>
    <w:rsid w:val="00895EE9"/>
    <w:rsid w:val="00896797"/>
    <w:rsid w:val="00896B4C"/>
    <w:rsid w:val="00896DA2"/>
    <w:rsid w:val="008A0C58"/>
    <w:rsid w:val="008A0D17"/>
    <w:rsid w:val="008A1370"/>
    <w:rsid w:val="008A1502"/>
    <w:rsid w:val="008A1D03"/>
    <w:rsid w:val="008A21B5"/>
    <w:rsid w:val="008A2543"/>
    <w:rsid w:val="008A290E"/>
    <w:rsid w:val="008A29D2"/>
    <w:rsid w:val="008A412B"/>
    <w:rsid w:val="008A4558"/>
    <w:rsid w:val="008A4BB6"/>
    <w:rsid w:val="008A4CD8"/>
    <w:rsid w:val="008A59C5"/>
    <w:rsid w:val="008A5C56"/>
    <w:rsid w:val="008A5D6E"/>
    <w:rsid w:val="008A6A70"/>
    <w:rsid w:val="008A79D5"/>
    <w:rsid w:val="008A7B4D"/>
    <w:rsid w:val="008B05D9"/>
    <w:rsid w:val="008B08E2"/>
    <w:rsid w:val="008B0976"/>
    <w:rsid w:val="008B1A32"/>
    <w:rsid w:val="008B2222"/>
    <w:rsid w:val="008B28B5"/>
    <w:rsid w:val="008B3D32"/>
    <w:rsid w:val="008B4242"/>
    <w:rsid w:val="008B4657"/>
    <w:rsid w:val="008B5413"/>
    <w:rsid w:val="008B6E88"/>
    <w:rsid w:val="008B741F"/>
    <w:rsid w:val="008C00CC"/>
    <w:rsid w:val="008C0284"/>
    <w:rsid w:val="008C085E"/>
    <w:rsid w:val="008C2207"/>
    <w:rsid w:val="008C4833"/>
    <w:rsid w:val="008C5137"/>
    <w:rsid w:val="008C5A03"/>
    <w:rsid w:val="008C6FBC"/>
    <w:rsid w:val="008C74A7"/>
    <w:rsid w:val="008C7E6B"/>
    <w:rsid w:val="008C7E6E"/>
    <w:rsid w:val="008D00B2"/>
    <w:rsid w:val="008D0220"/>
    <w:rsid w:val="008D0222"/>
    <w:rsid w:val="008D095B"/>
    <w:rsid w:val="008D0BA3"/>
    <w:rsid w:val="008D0D43"/>
    <w:rsid w:val="008D1001"/>
    <w:rsid w:val="008D17A0"/>
    <w:rsid w:val="008D1B8F"/>
    <w:rsid w:val="008D1F7E"/>
    <w:rsid w:val="008D25A9"/>
    <w:rsid w:val="008D2AE9"/>
    <w:rsid w:val="008D2B53"/>
    <w:rsid w:val="008D2BE5"/>
    <w:rsid w:val="008D302A"/>
    <w:rsid w:val="008D34D8"/>
    <w:rsid w:val="008D45E1"/>
    <w:rsid w:val="008D5B5C"/>
    <w:rsid w:val="008D5CD7"/>
    <w:rsid w:val="008D6132"/>
    <w:rsid w:val="008D61DC"/>
    <w:rsid w:val="008D65D2"/>
    <w:rsid w:val="008D68DB"/>
    <w:rsid w:val="008D6CA2"/>
    <w:rsid w:val="008D7746"/>
    <w:rsid w:val="008D78B9"/>
    <w:rsid w:val="008E03CA"/>
    <w:rsid w:val="008E0628"/>
    <w:rsid w:val="008E31C7"/>
    <w:rsid w:val="008E33A4"/>
    <w:rsid w:val="008E34D4"/>
    <w:rsid w:val="008E367D"/>
    <w:rsid w:val="008E378B"/>
    <w:rsid w:val="008E3AAB"/>
    <w:rsid w:val="008E51A6"/>
    <w:rsid w:val="008E610F"/>
    <w:rsid w:val="008E7E4D"/>
    <w:rsid w:val="008E7FEF"/>
    <w:rsid w:val="008F0381"/>
    <w:rsid w:val="008F0F62"/>
    <w:rsid w:val="008F14B6"/>
    <w:rsid w:val="008F1563"/>
    <w:rsid w:val="008F190C"/>
    <w:rsid w:val="008F1C0D"/>
    <w:rsid w:val="008F25A2"/>
    <w:rsid w:val="008F280D"/>
    <w:rsid w:val="008F2E91"/>
    <w:rsid w:val="008F306E"/>
    <w:rsid w:val="008F36B1"/>
    <w:rsid w:val="008F3A51"/>
    <w:rsid w:val="008F3FF4"/>
    <w:rsid w:val="008F44B3"/>
    <w:rsid w:val="008F4676"/>
    <w:rsid w:val="008F4763"/>
    <w:rsid w:val="008F4996"/>
    <w:rsid w:val="008F5C70"/>
    <w:rsid w:val="008F5DA8"/>
    <w:rsid w:val="008F6732"/>
    <w:rsid w:val="008F677E"/>
    <w:rsid w:val="008F6F17"/>
    <w:rsid w:val="008F7998"/>
    <w:rsid w:val="008F7C4F"/>
    <w:rsid w:val="009000BD"/>
    <w:rsid w:val="009002C5"/>
    <w:rsid w:val="00900A88"/>
    <w:rsid w:val="00900B95"/>
    <w:rsid w:val="00900BDF"/>
    <w:rsid w:val="00900D3F"/>
    <w:rsid w:val="009013A0"/>
    <w:rsid w:val="00901AF9"/>
    <w:rsid w:val="009021F1"/>
    <w:rsid w:val="00902DB1"/>
    <w:rsid w:val="0090316A"/>
    <w:rsid w:val="009034D6"/>
    <w:rsid w:val="00903744"/>
    <w:rsid w:val="009037AC"/>
    <w:rsid w:val="009039AE"/>
    <w:rsid w:val="00904031"/>
    <w:rsid w:val="0090447D"/>
    <w:rsid w:val="00904AC1"/>
    <w:rsid w:val="009058D8"/>
    <w:rsid w:val="00905A1C"/>
    <w:rsid w:val="00905BD2"/>
    <w:rsid w:val="00905FCD"/>
    <w:rsid w:val="00906F02"/>
    <w:rsid w:val="0090733A"/>
    <w:rsid w:val="00907B17"/>
    <w:rsid w:val="009107E7"/>
    <w:rsid w:val="00911319"/>
    <w:rsid w:val="00911DA3"/>
    <w:rsid w:val="00912BAD"/>
    <w:rsid w:val="00913045"/>
    <w:rsid w:val="00913BF1"/>
    <w:rsid w:val="00913CC5"/>
    <w:rsid w:val="00914294"/>
    <w:rsid w:val="00914EE6"/>
    <w:rsid w:val="00915AE2"/>
    <w:rsid w:val="00915DDE"/>
    <w:rsid w:val="00916213"/>
    <w:rsid w:val="00916E41"/>
    <w:rsid w:val="00917C7A"/>
    <w:rsid w:val="00920002"/>
    <w:rsid w:val="0092167C"/>
    <w:rsid w:val="0092197F"/>
    <w:rsid w:val="00921BA2"/>
    <w:rsid w:val="00922F93"/>
    <w:rsid w:val="00924028"/>
    <w:rsid w:val="009245BC"/>
    <w:rsid w:val="00924B89"/>
    <w:rsid w:val="00925EF8"/>
    <w:rsid w:val="0092634C"/>
    <w:rsid w:val="00926C24"/>
    <w:rsid w:val="0092750F"/>
    <w:rsid w:val="00927921"/>
    <w:rsid w:val="009300E6"/>
    <w:rsid w:val="0093045D"/>
    <w:rsid w:val="00930473"/>
    <w:rsid w:val="009307AC"/>
    <w:rsid w:val="009309E0"/>
    <w:rsid w:val="00932328"/>
    <w:rsid w:val="0093281F"/>
    <w:rsid w:val="0093305F"/>
    <w:rsid w:val="00933721"/>
    <w:rsid w:val="009338F7"/>
    <w:rsid w:val="00934221"/>
    <w:rsid w:val="0093513C"/>
    <w:rsid w:val="009351E0"/>
    <w:rsid w:val="00935350"/>
    <w:rsid w:val="00935AFE"/>
    <w:rsid w:val="00936329"/>
    <w:rsid w:val="009368BF"/>
    <w:rsid w:val="00936CDD"/>
    <w:rsid w:val="0093775B"/>
    <w:rsid w:val="00937ADC"/>
    <w:rsid w:val="009404C7"/>
    <w:rsid w:val="009407FE"/>
    <w:rsid w:val="00940D32"/>
    <w:rsid w:val="00941369"/>
    <w:rsid w:val="009419AA"/>
    <w:rsid w:val="00941AAC"/>
    <w:rsid w:val="009428C0"/>
    <w:rsid w:val="0094295C"/>
    <w:rsid w:val="00942A67"/>
    <w:rsid w:val="00942B71"/>
    <w:rsid w:val="00942C58"/>
    <w:rsid w:val="009432CC"/>
    <w:rsid w:val="00943795"/>
    <w:rsid w:val="00943859"/>
    <w:rsid w:val="00943E7F"/>
    <w:rsid w:val="009444F7"/>
    <w:rsid w:val="00944FA6"/>
    <w:rsid w:val="0094546A"/>
    <w:rsid w:val="00945E3A"/>
    <w:rsid w:val="00946207"/>
    <w:rsid w:val="00946216"/>
    <w:rsid w:val="009464F6"/>
    <w:rsid w:val="00946830"/>
    <w:rsid w:val="00947D87"/>
    <w:rsid w:val="00950098"/>
    <w:rsid w:val="009506EF"/>
    <w:rsid w:val="009510C4"/>
    <w:rsid w:val="00951C07"/>
    <w:rsid w:val="00951EBC"/>
    <w:rsid w:val="00951FBC"/>
    <w:rsid w:val="00953459"/>
    <w:rsid w:val="00953DC3"/>
    <w:rsid w:val="00954329"/>
    <w:rsid w:val="00954816"/>
    <w:rsid w:val="00955609"/>
    <w:rsid w:val="00955B58"/>
    <w:rsid w:val="00955E17"/>
    <w:rsid w:val="00955E51"/>
    <w:rsid w:val="00956270"/>
    <w:rsid w:val="00956493"/>
    <w:rsid w:val="00956796"/>
    <w:rsid w:val="00956E11"/>
    <w:rsid w:val="009579C8"/>
    <w:rsid w:val="00957D29"/>
    <w:rsid w:val="00957E5F"/>
    <w:rsid w:val="00957EE3"/>
    <w:rsid w:val="00960D96"/>
    <w:rsid w:val="009619AE"/>
    <w:rsid w:val="00962231"/>
    <w:rsid w:val="00962615"/>
    <w:rsid w:val="00963622"/>
    <w:rsid w:val="009638C6"/>
    <w:rsid w:val="00963D6A"/>
    <w:rsid w:val="009640BF"/>
    <w:rsid w:val="0096421B"/>
    <w:rsid w:val="00964350"/>
    <w:rsid w:val="00964388"/>
    <w:rsid w:val="00964B42"/>
    <w:rsid w:val="00964E93"/>
    <w:rsid w:val="00964EDE"/>
    <w:rsid w:val="00964FDC"/>
    <w:rsid w:val="0096569E"/>
    <w:rsid w:val="0096762C"/>
    <w:rsid w:val="00967824"/>
    <w:rsid w:val="0097032C"/>
    <w:rsid w:val="00970A1C"/>
    <w:rsid w:val="00970DAB"/>
    <w:rsid w:val="00970DDA"/>
    <w:rsid w:val="009711C2"/>
    <w:rsid w:val="00971426"/>
    <w:rsid w:val="00971A53"/>
    <w:rsid w:val="00973C2E"/>
    <w:rsid w:val="00974CD3"/>
    <w:rsid w:val="00975611"/>
    <w:rsid w:val="009758AB"/>
    <w:rsid w:val="0097598B"/>
    <w:rsid w:val="0097674A"/>
    <w:rsid w:val="00976CCF"/>
    <w:rsid w:val="00977C81"/>
    <w:rsid w:val="00980787"/>
    <w:rsid w:val="00981240"/>
    <w:rsid w:val="00981551"/>
    <w:rsid w:val="0098238F"/>
    <w:rsid w:val="009845BF"/>
    <w:rsid w:val="00985A29"/>
    <w:rsid w:val="00986136"/>
    <w:rsid w:val="00987141"/>
    <w:rsid w:val="009879FF"/>
    <w:rsid w:val="00990A7B"/>
    <w:rsid w:val="009914C4"/>
    <w:rsid w:val="009914F1"/>
    <w:rsid w:val="00991D65"/>
    <w:rsid w:val="00992A26"/>
    <w:rsid w:val="009936FA"/>
    <w:rsid w:val="00993846"/>
    <w:rsid w:val="00993D2E"/>
    <w:rsid w:val="00994291"/>
    <w:rsid w:val="00994DDA"/>
    <w:rsid w:val="009962D0"/>
    <w:rsid w:val="009966F5"/>
    <w:rsid w:val="00997C81"/>
    <w:rsid w:val="00997C82"/>
    <w:rsid w:val="009A005B"/>
    <w:rsid w:val="009A0784"/>
    <w:rsid w:val="009A0DD4"/>
    <w:rsid w:val="009A1191"/>
    <w:rsid w:val="009A1335"/>
    <w:rsid w:val="009A2ABB"/>
    <w:rsid w:val="009A2B7D"/>
    <w:rsid w:val="009A3AFE"/>
    <w:rsid w:val="009A5834"/>
    <w:rsid w:val="009A5F72"/>
    <w:rsid w:val="009A6C0C"/>
    <w:rsid w:val="009A6F3B"/>
    <w:rsid w:val="009A75FA"/>
    <w:rsid w:val="009A7E3C"/>
    <w:rsid w:val="009B0580"/>
    <w:rsid w:val="009B0687"/>
    <w:rsid w:val="009B087D"/>
    <w:rsid w:val="009B0F4B"/>
    <w:rsid w:val="009B0FCF"/>
    <w:rsid w:val="009B1008"/>
    <w:rsid w:val="009B218D"/>
    <w:rsid w:val="009B24FD"/>
    <w:rsid w:val="009B2691"/>
    <w:rsid w:val="009B3997"/>
    <w:rsid w:val="009B3BD9"/>
    <w:rsid w:val="009B41B7"/>
    <w:rsid w:val="009B4711"/>
    <w:rsid w:val="009B5DDA"/>
    <w:rsid w:val="009B60FC"/>
    <w:rsid w:val="009B63FB"/>
    <w:rsid w:val="009B65E4"/>
    <w:rsid w:val="009B6B5F"/>
    <w:rsid w:val="009B7099"/>
    <w:rsid w:val="009B78BC"/>
    <w:rsid w:val="009C07FB"/>
    <w:rsid w:val="009C090A"/>
    <w:rsid w:val="009C0FE1"/>
    <w:rsid w:val="009C1280"/>
    <w:rsid w:val="009C1834"/>
    <w:rsid w:val="009C1CD4"/>
    <w:rsid w:val="009C2EE4"/>
    <w:rsid w:val="009C3020"/>
    <w:rsid w:val="009C32CB"/>
    <w:rsid w:val="009C3689"/>
    <w:rsid w:val="009C3C06"/>
    <w:rsid w:val="009C3CEF"/>
    <w:rsid w:val="009C416F"/>
    <w:rsid w:val="009C483F"/>
    <w:rsid w:val="009C496C"/>
    <w:rsid w:val="009C5DF0"/>
    <w:rsid w:val="009C6DF6"/>
    <w:rsid w:val="009C76F9"/>
    <w:rsid w:val="009C7790"/>
    <w:rsid w:val="009C7A51"/>
    <w:rsid w:val="009C7F5E"/>
    <w:rsid w:val="009D10BE"/>
    <w:rsid w:val="009D159B"/>
    <w:rsid w:val="009D168E"/>
    <w:rsid w:val="009D2650"/>
    <w:rsid w:val="009D27C7"/>
    <w:rsid w:val="009D2C0C"/>
    <w:rsid w:val="009D355B"/>
    <w:rsid w:val="009D39DE"/>
    <w:rsid w:val="009D3DD2"/>
    <w:rsid w:val="009D495F"/>
    <w:rsid w:val="009D5396"/>
    <w:rsid w:val="009D543A"/>
    <w:rsid w:val="009D56A8"/>
    <w:rsid w:val="009D7276"/>
    <w:rsid w:val="009D7460"/>
    <w:rsid w:val="009D7856"/>
    <w:rsid w:val="009D7F83"/>
    <w:rsid w:val="009E1394"/>
    <w:rsid w:val="009E14BB"/>
    <w:rsid w:val="009E1C8A"/>
    <w:rsid w:val="009E21D5"/>
    <w:rsid w:val="009E224D"/>
    <w:rsid w:val="009E2DAE"/>
    <w:rsid w:val="009E3D44"/>
    <w:rsid w:val="009E3D9E"/>
    <w:rsid w:val="009E616B"/>
    <w:rsid w:val="009E6FE2"/>
    <w:rsid w:val="009E7073"/>
    <w:rsid w:val="009F01DD"/>
    <w:rsid w:val="009F0619"/>
    <w:rsid w:val="009F14E7"/>
    <w:rsid w:val="009F289F"/>
    <w:rsid w:val="009F370A"/>
    <w:rsid w:val="009F3788"/>
    <w:rsid w:val="009F3B35"/>
    <w:rsid w:val="009F45A8"/>
    <w:rsid w:val="009F4ACD"/>
    <w:rsid w:val="009F5C70"/>
    <w:rsid w:val="009F6453"/>
    <w:rsid w:val="009F65D5"/>
    <w:rsid w:val="009F69BD"/>
    <w:rsid w:val="009F6D13"/>
    <w:rsid w:val="009F7ADA"/>
    <w:rsid w:val="00A00E7F"/>
    <w:rsid w:val="00A01050"/>
    <w:rsid w:val="00A02C51"/>
    <w:rsid w:val="00A03062"/>
    <w:rsid w:val="00A0311C"/>
    <w:rsid w:val="00A03594"/>
    <w:rsid w:val="00A04250"/>
    <w:rsid w:val="00A05040"/>
    <w:rsid w:val="00A059BC"/>
    <w:rsid w:val="00A059BF"/>
    <w:rsid w:val="00A064F0"/>
    <w:rsid w:val="00A0655A"/>
    <w:rsid w:val="00A066C1"/>
    <w:rsid w:val="00A06EB2"/>
    <w:rsid w:val="00A07850"/>
    <w:rsid w:val="00A07F53"/>
    <w:rsid w:val="00A10B2E"/>
    <w:rsid w:val="00A1147F"/>
    <w:rsid w:val="00A11CC5"/>
    <w:rsid w:val="00A11D1D"/>
    <w:rsid w:val="00A12064"/>
    <w:rsid w:val="00A1221F"/>
    <w:rsid w:val="00A12333"/>
    <w:rsid w:val="00A12ED7"/>
    <w:rsid w:val="00A13A6E"/>
    <w:rsid w:val="00A13FEA"/>
    <w:rsid w:val="00A14209"/>
    <w:rsid w:val="00A14782"/>
    <w:rsid w:val="00A15B25"/>
    <w:rsid w:val="00A16D6B"/>
    <w:rsid w:val="00A170B0"/>
    <w:rsid w:val="00A17187"/>
    <w:rsid w:val="00A171C3"/>
    <w:rsid w:val="00A17237"/>
    <w:rsid w:val="00A172AB"/>
    <w:rsid w:val="00A1759F"/>
    <w:rsid w:val="00A17B8C"/>
    <w:rsid w:val="00A17B92"/>
    <w:rsid w:val="00A17FC4"/>
    <w:rsid w:val="00A216DB"/>
    <w:rsid w:val="00A21730"/>
    <w:rsid w:val="00A219AC"/>
    <w:rsid w:val="00A22404"/>
    <w:rsid w:val="00A225A9"/>
    <w:rsid w:val="00A24611"/>
    <w:rsid w:val="00A248EE"/>
    <w:rsid w:val="00A24E64"/>
    <w:rsid w:val="00A25007"/>
    <w:rsid w:val="00A267F9"/>
    <w:rsid w:val="00A2730B"/>
    <w:rsid w:val="00A27741"/>
    <w:rsid w:val="00A27BCE"/>
    <w:rsid w:val="00A27F6F"/>
    <w:rsid w:val="00A3082A"/>
    <w:rsid w:val="00A30D1E"/>
    <w:rsid w:val="00A30EAA"/>
    <w:rsid w:val="00A3179D"/>
    <w:rsid w:val="00A31ADB"/>
    <w:rsid w:val="00A31D49"/>
    <w:rsid w:val="00A320BC"/>
    <w:rsid w:val="00A3250D"/>
    <w:rsid w:val="00A32746"/>
    <w:rsid w:val="00A329B1"/>
    <w:rsid w:val="00A33385"/>
    <w:rsid w:val="00A33695"/>
    <w:rsid w:val="00A337C2"/>
    <w:rsid w:val="00A3435A"/>
    <w:rsid w:val="00A355DA"/>
    <w:rsid w:val="00A360B8"/>
    <w:rsid w:val="00A361EE"/>
    <w:rsid w:val="00A36490"/>
    <w:rsid w:val="00A36E47"/>
    <w:rsid w:val="00A36FAA"/>
    <w:rsid w:val="00A37438"/>
    <w:rsid w:val="00A37E82"/>
    <w:rsid w:val="00A40636"/>
    <w:rsid w:val="00A40C25"/>
    <w:rsid w:val="00A40EA2"/>
    <w:rsid w:val="00A411D2"/>
    <w:rsid w:val="00A41C07"/>
    <w:rsid w:val="00A426C7"/>
    <w:rsid w:val="00A427CB"/>
    <w:rsid w:val="00A43896"/>
    <w:rsid w:val="00A4475D"/>
    <w:rsid w:val="00A4588B"/>
    <w:rsid w:val="00A4617F"/>
    <w:rsid w:val="00A4633E"/>
    <w:rsid w:val="00A465BD"/>
    <w:rsid w:val="00A46C08"/>
    <w:rsid w:val="00A46ED2"/>
    <w:rsid w:val="00A47B67"/>
    <w:rsid w:val="00A47D72"/>
    <w:rsid w:val="00A47DB3"/>
    <w:rsid w:val="00A47DD1"/>
    <w:rsid w:val="00A47DF5"/>
    <w:rsid w:val="00A503F7"/>
    <w:rsid w:val="00A52B46"/>
    <w:rsid w:val="00A5314C"/>
    <w:rsid w:val="00A5373D"/>
    <w:rsid w:val="00A54BBF"/>
    <w:rsid w:val="00A558C0"/>
    <w:rsid w:val="00A560B4"/>
    <w:rsid w:val="00A56406"/>
    <w:rsid w:val="00A56705"/>
    <w:rsid w:val="00A56741"/>
    <w:rsid w:val="00A56D43"/>
    <w:rsid w:val="00A5716A"/>
    <w:rsid w:val="00A57BDF"/>
    <w:rsid w:val="00A601E4"/>
    <w:rsid w:val="00A61418"/>
    <w:rsid w:val="00A61573"/>
    <w:rsid w:val="00A623EF"/>
    <w:rsid w:val="00A626BC"/>
    <w:rsid w:val="00A6373D"/>
    <w:rsid w:val="00A6397C"/>
    <w:rsid w:val="00A64307"/>
    <w:rsid w:val="00A643D1"/>
    <w:rsid w:val="00A65220"/>
    <w:rsid w:val="00A65A37"/>
    <w:rsid w:val="00A65EB5"/>
    <w:rsid w:val="00A663B1"/>
    <w:rsid w:val="00A66B95"/>
    <w:rsid w:val="00A66F46"/>
    <w:rsid w:val="00A67176"/>
    <w:rsid w:val="00A67630"/>
    <w:rsid w:val="00A70048"/>
    <w:rsid w:val="00A705C2"/>
    <w:rsid w:val="00A7077C"/>
    <w:rsid w:val="00A7173E"/>
    <w:rsid w:val="00A71849"/>
    <w:rsid w:val="00A719D2"/>
    <w:rsid w:val="00A71A32"/>
    <w:rsid w:val="00A71E34"/>
    <w:rsid w:val="00A7204E"/>
    <w:rsid w:val="00A720AD"/>
    <w:rsid w:val="00A73D27"/>
    <w:rsid w:val="00A74566"/>
    <w:rsid w:val="00A74578"/>
    <w:rsid w:val="00A74BA2"/>
    <w:rsid w:val="00A751A6"/>
    <w:rsid w:val="00A75352"/>
    <w:rsid w:val="00A767C5"/>
    <w:rsid w:val="00A767FA"/>
    <w:rsid w:val="00A77867"/>
    <w:rsid w:val="00A77A27"/>
    <w:rsid w:val="00A77D7D"/>
    <w:rsid w:val="00A802FE"/>
    <w:rsid w:val="00A804DE"/>
    <w:rsid w:val="00A8075E"/>
    <w:rsid w:val="00A81E22"/>
    <w:rsid w:val="00A8212C"/>
    <w:rsid w:val="00A8297D"/>
    <w:rsid w:val="00A82F42"/>
    <w:rsid w:val="00A840A3"/>
    <w:rsid w:val="00A840A8"/>
    <w:rsid w:val="00A86C85"/>
    <w:rsid w:val="00A86D8F"/>
    <w:rsid w:val="00A87EA9"/>
    <w:rsid w:val="00A90A11"/>
    <w:rsid w:val="00A90CC5"/>
    <w:rsid w:val="00A90E82"/>
    <w:rsid w:val="00A91091"/>
    <w:rsid w:val="00A91517"/>
    <w:rsid w:val="00A91C82"/>
    <w:rsid w:val="00A92934"/>
    <w:rsid w:val="00A92A1B"/>
    <w:rsid w:val="00A9499B"/>
    <w:rsid w:val="00A94F80"/>
    <w:rsid w:val="00A94FFA"/>
    <w:rsid w:val="00A950EF"/>
    <w:rsid w:val="00A9599E"/>
    <w:rsid w:val="00A96460"/>
    <w:rsid w:val="00A965B9"/>
    <w:rsid w:val="00A9697C"/>
    <w:rsid w:val="00A96E2C"/>
    <w:rsid w:val="00A96EF5"/>
    <w:rsid w:val="00A971BA"/>
    <w:rsid w:val="00A977DE"/>
    <w:rsid w:val="00A97A7A"/>
    <w:rsid w:val="00AA00E5"/>
    <w:rsid w:val="00AA0213"/>
    <w:rsid w:val="00AA03EF"/>
    <w:rsid w:val="00AA25DC"/>
    <w:rsid w:val="00AA2D28"/>
    <w:rsid w:val="00AA3401"/>
    <w:rsid w:val="00AA3FF9"/>
    <w:rsid w:val="00AA4A8B"/>
    <w:rsid w:val="00AA5721"/>
    <w:rsid w:val="00AA628F"/>
    <w:rsid w:val="00AA6AA0"/>
    <w:rsid w:val="00AA7A46"/>
    <w:rsid w:val="00AB0110"/>
    <w:rsid w:val="00AB1986"/>
    <w:rsid w:val="00AB2017"/>
    <w:rsid w:val="00AB3207"/>
    <w:rsid w:val="00AB3EDC"/>
    <w:rsid w:val="00AB447D"/>
    <w:rsid w:val="00AB4C26"/>
    <w:rsid w:val="00AB511B"/>
    <w:rsid w:val="00AB53F4"/>
    <w:rsid w:val="00AB5EEA"/>
    <w:rsid w:val="00AB6A7A"/>
    <w:rsid w:val="00AC0822"/>
    <w:rsid w:val="00AC0D1D"/>
    <w:rsid w:val="00AC0F16"/>
    <w:rsid w:val="00AC1714"/>
    <w:rsid w:val="00AC188F"/>
    <w:rsid w:val="00AC19E9"/>
    <w:rsid w:val="00AC1A92"/>
    <w:rsid w:val="00AC1E61"/>
    <w:rsid w:val="00AC212E"/>
    <w:rsid w:val="00AC336A"/>
    <w:rsid w:val="00AC387C"/>
    <w:rsid w:val="00AC3A19"/>
    <w:rsid w:val="00AC3CCC"/>
    <w:rsid w:val="00AC3EAF"/>
    <w:rsid w:val="00AC4270"/>
    <w:rsid w:val="00AC4D10"/>
    <w:rsid w:val="00AC5EB3"/>
    <w:rsid w:val="00AC6080"/>
    <w:rsid w:val="00AC67A1"/>
    <w:rsid w:val="00AC7926"/>
    <w:rsid w:val="00AC7F58"/>
    <w:rsid w:val="00AD0DF7"/>
    <w:rsid w:val="00AD0FF1"/>
    <w:rsid w:val="00AD0FF7"/>
    <w:rsid w:val="00AD12A2"/>
    <w:rsid w:val="00AD140F"/>
    <w:rsid w:val="00AD153F"/>
    <w:rsid w:val="00AD1942"/>
    <w:rsid w:val="00AD2D9D"/>
    <w:rsid w:val="00AD4631"/>
    <w:rsid w:val="00AD4856"/>
    <w:rsid w:val="00AD485A"/>
    <w:rsid w:val="00AD4E44"/>
    <w:rsid w:val="00AD55AF"/>
    <w:rsid w:val="00AD5C82"/>
    <w:rsid w:val="00AD602F"/>
    <w:rsid w:val="00AD62FD"/>
    <w:rsid w:val="00AD6B69"/>
    <w:rsid w:val="00AE0075"/>
    <w:rsid w:val="00AE0A14"/>
    <w:rsid w:val="00AE0C54"/>
    <w:rsid w:val="00AE130A"/>
    <w:rsid w:val="00AE2B6C"/>
    <w:rsid w:val="00AE3016"/>
    <w:rsid w:val="00AE3406"/>
    <w:rsid w:val="00AE3E8A"/>
    <w:rsid w:val="00AE3F85"/>
    <w:rsid w:val="00AE559D"/>
    <w:rsid w:val="00AE5AC0"/>
    <w:rsid w:val="00AE610B"/>
    <w:rsid w:val="00AE6D3A"/>
    <w:rsid w:val="00AE76F1"/>
    <w:rsid w:val="00AE7740"/>
    <w:rsid w:val="00AF0CA0"/>
    <w:rsid w:val="00AF0F63"/>
    <w:rsid w:val="00AF1C7C"/>
    <w:rsid w:val="00AF1DFA"/>
    <w:rsid w:val="00AF232B"/>
    <w:rsid w:val="00AF2C86"/>
    <w:rsid w:val="00AF2FD5"/>
    <w:rsid w:val="00AF318E"/>
    <w:rsid w:val="00AF47EF"/>
    <w:rsid w:val="00AF4AB8"/>
    <w:rsid w:val="00AF6053"/>
    <w:rsid w:val="00AF6163"/>
    <w:rsid w:val="00AF73B8"/>
    <w:rsid w:val="00AF73B9"/>
    <w:rsid w:val="00B0013E"/>
    <w:rsid w:val="00B00868"/>
    <w:rsid w:val="00B00EBB"/>
    <w:rsid w:val="00B02581"/>
    <w:rsid w:val="00B02C9C"/>
    <w:rsid w:val="00B033A9"/>
    <w:rsid w:val="00B04E87"/>
    <w:rsid w:val="00B057F0"/>
    <w:rsid w:val="00B05CED"/>
    <w:rsid w:val="00B0654F"/>
    <w:rsid w:val="00B067F6"/>
    <w:rsid w:val="00B077FA"/>
    <w:rsid w:val="00B10E6F"/>
    <w:rsid w:val="00B111BB"/>
    <w:rsid w:val="00B116B0"/>
    <w:rsid w:val="00B11DF2"/>
    <w:rsid w:val="00B12670"/>
    <w:rsid w:val="00B1284E"/>
    <w:rsid w:val="00B1290F"/>
    <w:rsid w:val="00B12A87"/>
    <w:rsid w:val="00B12FD6"/>
    <w:rsid w:val="00B13D50"/>
    <w:rsid w:val="00B15D37"/>
    <w:rsid w:val="00B15F39"/>
    <w:rsid w:val="00B161BA"/>
    <w:rsid w:val="00B164B8"/>
    <w:rsid w:val="00B1672F"/>
    <w:rsid w:val="00B16B72"/>
    <w:rsid w:val="00B16DE4"/>
    <w:rsid w:val="00B177BB"/>
    <w:rsid w:val="00B17936"/>
    <w:rsid w:val="00B203F5"/>
    <w:rsid w:val="00B205D6"/>
    <w:rsid w:val="00B21574"/>
    <w:rsid w:val="00B21B0D"/>
    <w:rsid w:val="00B22622"/>
    <w:rsid w:val="00B22845"/>
    <w:rsid w:val="00B23412"/>
    <w:rsid w:val="00B239E9"/>
    <w:rsid w:val="00B25B5D"/>
    <w:rsid w:val="00B25DFC"/>
    <w:rsid w:val="00B25E85"/>
    <w:rsid w:val="00B26133"/>
    <w:rsid w:val="00B265D6"/>
    <w:rsid w:val="00B26D0F"/>
    <w:rsid w:val="00B27587"/>
    <w:rsid w:val="00B279D7"/>
    <w:rsid w:val="00B27DD4"/>
    <w:rsid w:val="00B30073"/>
    <w:rsid w:val="00B30D89"/>
    <w:rsid w:val="00B3191F"/>
    <w:rsid w:val="00B31F4B"/>
    <w:rsid w:val="00B3321E"/>
    <w:rsid w:val="00B33843"/>
    <w:rsid w:val="00B339FE"/>
    <w:rsid w:val="00B34CF2"/>
    <w:rsid w:val="00B35069"/>
    <w:rsid w:val="00B367B0"/>
    <w:rsid w:val="00B36C01"/>
    <w:rsid w:val="00B373C1"/>
    <w:rsid w:val="00B37AFE"/>
    <w:rsid w:val="00B400B2"/>
    <w:rsid w:val="00B401DC"/>
    <w:rsid w:val="00B40530"/>
    <w:rsid w:val="00B40DD7"/>
    <w:rsid w:val="00B419AF"/>
    <w:rsid w:val="00B41E78"/>
    <w:rsid w:val="00B4299B"/>
    <w:rsid w:val="00B42B27"/>
    <w:rsid w:val="00B431F3"/>
    <w:rsid w:val="00B434B8"/>
    <w:rsid w:val="00B43E83"/>
    <w:rsid w:val="00B44A0C"/>
    <w:rsid w:val="00B44ED9"/>
    <w:rsid w:val="00B4582D"/>
    <w:rsid w:val="00B45A59"/>
    <w:rsid w:val="00B45B33"/>
    <w:rsid w:val="00B45B92"/>
    <w:rsid w:val="00B46A8E"/>
    <w:rsid w:val="00B46FA3"/>
    <w:rsid w:val="00B470FC"/>
    <w:rsid w:val="00B47968"/>
    <w:rsid w:val="00B502B3"/>
    <w:rsid w:val="00B5055A"/>
    <w:rsid w:val="00B50B01"/>
    <w:rsid w:val="00B51156"/>
    <w:rsid w:val="00B5273C"/>
    <w:rsid w:val="00B53252"/>
    <w:rsid w:val="00B5395C"/>
    <w:rsid w:val="00B53B40"/>
    <w:rsid w:val="00B5514E"/>
    <w:rsid w:val="00B551B8"/>
    <w:rsid w:val="00B55D27"/>
    <w:rsid w:val="00B561E8"/>
    <w:rsid w:val="00B5632F"/>
    <w:rsid w:val="00B5689C"/>
    <w:rsid w:val="00B569F2"/>
    <w:rsid w:val="00B56D94"/>
    <w:rsid w:val="00B6114C"/>
    <w:rsid w:val="00B614B4"/>
    <w:rsid w:val="00B61775"/>
    <w:rsid w:val="00B61C95"/>
    <w:rsid w:val="00B623AF"/>
    <w:rsid w:val="00B628A0"/>
    <w:rsid w:val="00B62BA1"/>
    <w:rsid w:val="00B62D64"/>
    <w:rsid w:val="00B62EBE"/>
    <w:rsid w:val="00B6310E"/>
    <w:rsid w:val="00B63141"/>
    <w:rsid w:val="00B6461D"/>
    <w:rsid w:val="00B64A9C"/>
    <w:rsid w:val="00B64C0B"/>
    <w:rsid w:val="00B64CBD"/>
    <w:rsid w:val="00B64F06"/>
    <w:rsid w:val="00B64F6E"/>
    <w:rsid w:val="00B65083"/>
    <w:rsid w:val="00B65AD5"/>
    <w:rsid w:val="00B65C8C"/>
    <w:rsid w:val="00B65D50"/>
    <w:rsid w:val="00B65D66"/>
    <w:rsid w:val="00B65D69"/>
    <w:rsid w:val="00B67CD0"/>
    <w:rsid w:val="00B7178D"/>
    <w:rsid w:val="00B71F82"/>
    <w:rsid w:val="00B72216"/>
    <w:rsid w:val="00B725A4"/>
    <w:rsid w:val="00B72D46"/>
    <w:rsid w:val="00B73005"/>
    <w:rsid w:val="00B73E09"/>
    <w:rsid w:val="00B73EF1"/>
    <w:rsid w:val="00B73FA1"/>
    <w:rsid w:val="00B74232"/>
    <w:rsid w:val="00B74442"/>
    <w:rsid w:val="00B76322"/>
    <w:rsid w:val="00B763C6"/>
    <w:rsid w:val="00B7659C"/>
    <w:rsid w:val="00B77A18"/>
    <w:rsid w:val="00B80239"/>
    <w:rsid w:val="00B80246"/>
    <w:rsid w:val="00B80869"/>
    <w:rsid w:val="00B80F59"/>
    <w:rsid w:val="00B81099"/>
    <w:rsid w:val="00B814E5"/>
    <w:rsid w:val="00B82023"/>
    <w:rsid w:val="00B822F1"/>
    <w:rsid w:val="00B8266E"/>
    <w:rsid w:val="00B82754"/>
    <w:rsid w:val="00B8319E"/>
    <w:rsid w:val="00B835F1"/>
    <w:rsid w:val="00B83E46"/>
    <w:rsid w:val="00B848DE"/>
    <w:rsid w:val="00B84D7E"/>
    <w:rsid w:val="00B856D8"/>
    <w:rsid w:val="00B860E3"/>
    <w:rsid w:val="00B8635D"/>
    <w:rsid w:val="00B868AC"/>
    <w:rsid w:val="00B86B54"/>
    <w:rsid w:val="00B908F2"/>
    <w:rsid w:val="00B90D22"/>
    <w:rsid w:val="00B914C2"/>
    <w:rsid w:val="00B91A42"/>
    <w:rsid w:val="00B91DAE"/>
    <w:rsid w:val="00B92D0D"/>
    <w:rsid w:val="00B9324B"/>
    <w:rsid w:val="00B932F0"/>
    <w:rsid w:val="00B93660"/>
    <w:rsid w:val="00B94053"/>
    <w:rsid w:val="00B9442A"/>
    <w:rsid w:val="00B95949"/>
    <w:rsid w:val="00B95BE2"/>
    <w:rsid w:val="00B96374"/>
    <w:rsid w:val="00B96C7F"/>
    <w:rsid w:val="00B96F5B"/>
    <w:rsid w:val="00B97683"/>
    <w:rsid w:val="00BA05D8"/>
    <w:rsid w:val="00BA0B84"/>
    <w:rsid w:val="00BA0FF8"/>
    <w:rsid w:val="00BA12A4"/>
    <w:rsid w:val="00BA1951"/>
    <w:rsid w:val="00BA2838"/>
    <w:rsid w:val="00BA30A1"/>
    <w:rsid w:val="00BA3653"/>
    <w:rsid w:val="00BA4168"/>
    <w:rsid w:val="00BA420A"/>
    <w:rsid w:val="00BA42E6"/>
    <w:rsid w:val="00BA507C"/>
    <w:rsid w:val="00BA5511"/>
    <w:rsid w:val="00BA5587"/>
    <w:rsid w:val="00BA6399"/>
    <w:rsid w:val="00BA6AC9"/>
    <w:rsid w:val="00BA727C"/>
    <w:rsid w:val="00BB079C"/>
    <w:rsid w:val="00BB0F76"/>
    <w:rsid w:val="00BB1C10"/>
    <w:rsid w:val="00BB2C47"/>
    <w:rsid w:val="00BB3254"/>
    <w:rsid w:val="00BB37DC"/>
    <w:rsid w:val="00BB3B21"/>
    <w:rsid w:val="00BB548A"/>
    <w:rsid w:val="00BB5552"/>
    <w:rsid w:val="00BB6039"/>
    <w:rsid w:val="00BB6319"/>
    <w:rsid w:val="00BB63BE"/>
    <w:rsid w:val="00BB6B05"/>
    <w:rsid w:val="00BB755C"/>
    <w:rsid w:val="00BC0AD1"/>
    <w:rsid w:val="00BC1700"/>
    <w:rsid w:val="00BC1BC2"/>
    <w:rsid w:val="00BC3346"/>
    <w:rsid w:val="00BC3B7D"/>
    <w:rsid w:val="00BC5C71"/>
    <w:rsid w:val="00BC5E3E"/>
    <w:rsid w:val="00BC605A"/>
    <w:rsid w:val="00BC68CC"/>
    <w:rsid w:val="00BC69F1"/>
    <w:rsid w:val="00BC6BD2"/>
    <w:rsid w:val="00BC716E"/>
    <w:rsid w:val="00BC71B7"/>
    <w:rsid w:val="00BD0176"/>
    <w:rsid w:val="00BD09C9"/>
    <w:rsid w:val="00BD1FB3"/>
    <w:rsid w:val="00BD2CC9"/>
    <w:rsid w:val="00BD2CDC"/>
    <w:rsid w:val="00BD30A5"/>
    <w:rsid w:val="00BD3E96"/>
    <w:rsid w:val="00BD4169"/>
    <w:rsid w:val="00BD48CD"/>
    <w:rsid w:val="00BD4E8F"/>
    <w:rsid w:val="00BD5BD4"/>
    <w:rsid w:val="00BD6860"/>
    <w:rsid w:val="00BD6B4C"/>
    <w:rsid w:val="00BD6C3A"/>
    <w:rsid w:val="00BD6E70"/>
    <w:rsid w:val="00BD752F"/>
    <w:rsid w:val="00BD786F"/>
    <w:rsid w:val="00BD7B95"/>
    <w:rsid w:val="00BE04D6"/>
    <w:rsid w:val="00BE0D74"/>
    <w:rsid w:val="00BE10A7"/>
    <w:rsid w:val="00BE1361"/>
    <w:rsid w:val="00BE1A37"/>
    <w:rsid w:val="00BE1AB1"/>
    <w:rsid w:val="00BE25A9"/>
    <w:rsid w:val="00BE28B7"/>
    <w:rsid w:val="00BE2E06"/>
    <w:rsid w:val="00BE3C90"/>
    <w:rsid w:val="00BE4118"/>
    <w:rsid w:val="00BE4304"/>
    <w:rsid w:val="00BE4A5F"/>
    <w:rsid w:val="00BE4AE7"/>
    <w:rsid w:val="00BE59BE"/>
    <w:rsid w:val="00BE628C"/>
    <w:rsid w:val="00BE6C75"/>
    <w:rsid w:val="00BE6DD1"/>
    <w:rsid w:val="00BF0136"/>
    <w:rsid w:val="00BF036D"/>
    <w:rsid w:val="00BF0566"/>
    <w:rsid w:val="00BF103B"/>
    <w:rsid w:val="00BF1ADD"/>
    <w:rsid w:val="00BF3314"/>
    <w:rsid w:val="00BF379D"/>
    <w:rsid w:val="00BF38DA"/>
    <w:rsid w:val="00BF4867"/>
    <w:rsid w:val="00BF56FB"/>
    <w:rsid w:val="00BF5774"/>
    <w:rsid w:val="00BF58D2"/>
    <w:rsid w:val="00BF6D13"/>
    <w:rsid w:val="00BF763A"/>
    <w:rsid w:val="00BF7832"/>
    <w:rsid w:val="00C00686"/>
    <w:rsid w:val="00C006DA"/>
    <w:rsid w:val="00C0102B"/>
    <w:rsid w:val="00C0139F"/>
    <w:rsid w:val="00C02224"/>
    <w:rsid w:val="00C02AF8"/>
    <w:rsid w:val="00C03650"/>
    <w:rsid w:val="00C0391E"/>
    <w:rsid w:val="00C05056"/>
    <w:rsid w:val="00C053E3"/>
    <w:rsid w:val="00C05B99"/>
    <w:rsid w:val="00C06911"/>
    <w:rsid w:val="00C06929"/>
    <w:rsid w:val="00C06C60"/>
    <w:rsid w:val="00C07489"/>
    <w:rsid w:val="00C10130"/>
    <w:rsid w:val="00C13599"/>
    <w:rsid w:val="00C13A4B"/>
    <w:rsid w:val="00C14456"/>
    <w:rsid w:val="00C14573"/>
    <w:rsid w:val="00C14F03"/>
    <w:rsid w:val="00C1505F"/>
    <w:rsid w:val="00C152D1"/>
    <w:rsid w:val="00C16101"/>
    <w:rsid w:val="00C1610A"/>
    <w:rsid w:val="00C163B5"/>
    <w:rsid w:val="00C176D7"/>
    <w:rsid w:val="00C17BA1"/>
    <w:rsid w:val="00C2086B"/>
    <w:rsid w:val="00C2095F"/>
    <w:rsid w:val="00C21315"/>
    <w:rsid w:val="00C21C49"/>
    <w:rsid w:val="00C22452"/>
    <w:rsid w:val="00C22632"/>
    <w:rsid w:val="00C22748"/>
    <w:rsid w:val="00C22BA9"/>
    <w:rsid w:val="00C2401C"/>
    <w:rsid w:val="00C24A2C"/>
    <w:rsid w:val="00C2577A"/>
    <w:rsid w:val="00C25DD2"/>
    <w:rsid w:val="00C26A58"/>
    <w:rsid w:val="00C304BF"/>
    <w:rsid w:val="00C305CB"/>
    <w:rsid w:val="00C30D21"/>
    <w:rsid w:val="00C32A34"/>
    <w:rsid w:val="00C34CB7"/>
    <w:rsid w:val="00C352D3"/>
    <w:rsid w:val="00C355EC"/>
    <w:rsid w:val="00C35A80"/>
    <w:rsid w:val="00C3622A"/>
    <w:rsid w:val="00C36977"/>
    <w:rsid w:val="00C37695"/>
    <w:rsid w:val="00C37776"/>
    <w:rsid w:val="00C37C97"/>
    <w:rsid w:val="00C408FA"/>
    <w:rsid w:val="00C40BCD"/>
    <w:rsid w:val="00C40BD2"/>
    <w:rsid w:val="00C40F0B"/>
    <w:rsid w:val="00C40FCA"/>
    <w:rsid w:val="00C41049"/>
    <w:rsid w:val="00C41DD2"/>
    <w:rsid w:val="00C41E28"/>
    <w:rsid w:val="00C41E4C"/>
    <w:rsid w:val="00C41F9A"/>
    <w:rsid w:val="00C41FEE"/>
    <w:rsid w:val="00C42187"/>
    <w:rsid w:val="00C42A6E"/>
    <w:rsid w:val="00C445B4"/>
    <w:rsid w:val="00C445FC"/>
    <w:rsid w:val="00C44AAE"/>
    <w:rsid w:val="00C450E4"/>
    <w:rsid w:val="00C45C95"/>
    <w:rsid w:val="00C45FFD"/>
    <w:rsid w:val="00C4677E"/>
    <w:rsid w:val="00C51779"/>
    <w:rsid w:val="00C5219D"/>
    <w:rsid w:val="00C52518"/>
    <w:rsid w:val="00C5255A"/>
    <w:rsid w:val="00C52BDA"/>
    <w:rsid w:val="00C52F80"/>
    <w:rsid w:val="00C53322"/>
    <w:rsid w:val="00C541DE"/>
    <w:rsid w:val="00C542BC"/>
    <w:rsid w:val="00C553EF"/>
    <w:rsid w:val="00C55B59"/>
    <w:rsid w:val="00C55CD1"/>
    <w:rsid w:val="00C55D22"/>
    <w:rsid w:val="00C560F0"/>
    <w:rsid w:val="00C56D66"/>
    <w:rsid w:val="00C5763C"/>
    <w:rsid w:val="00C5770D"/>
    <w:rsid w:val="00C60B54"/>
    <w:rsid w:val="00C60D84"/>
    <w:rsid w:val="00C61043"/>
    <w:rsid w:val="00C611D8"/>
    <w:rsid w:val="00C6170E"/>
    <w:rsid w:val="00C6174E"/>
    <w:rsid w:val="00C61EF2"/>
    <w:rsid w:val="00C620D0"/>
    <w:rsid w:val="00C623D2"/>
    <w:rsid w:val="00C6262A"/>
    <w:rsid w:val="00C6265F"/>
    <w:rsid w:val="00C62D53"/>
    <w:rsid w:val="00C62D7F"/>
    <w:rsid w:val="00C643CD"/>
    <w:rsid w:val="00C64461"/>
    <w:rsid w:val="00C650B7"/>
    <w:rsid w:val="00C6583E"/>
    <w:rsid w:val="00C6659D"/>
    <w:rsid w:val="00C66D84"/>
    <w:rsid w:val="00C66DF7"/>
    <w:rsid w:val="00C71216"/>
    <w:rsid w:val="00C713CB"/>
    <w:rsid w:val="00C7155C"/>
    <w:rsid w:val="00C71849"/>
    <w:rsid w:val="00C71EA6"/>
    <w:rsid w:val="00C72FDE"/>
    <w:rsid w:val="00C73821"/>
    <w:rsid w:val="00C73DB1"/>
    <w:rsid w:val="00C741E1"/>
    <w:rsid w:val="00C74FC5"/>
    <w:rsid w:val="00C7511F"/>
    <w:rsid w:val="00C75EEC"/>
    <w:rsid w:val="00C7617F"/>
    <w:rsid w:val="00C76485"/>
    <w:rsid w:val="00C7650D"/>
    <w:rsid w:val="00C7676B"/>
    <w:rsid w:val="00C774B7"/>
    <w:rsid w:val="00C80047"/>
    <w:rsid w:val="00C80734"/>
    <w:rsid w:val="00C80F39"/>
    <w:rsid w:val="00C80FF3"/>
    <w:rsid w:val="00C810B3"/>
    <w:rsid w:val="00C8130F"/>
    <w:rsid w:val="00C8145B"/>
    <w:rsid w:val="00C81F61"/>
    <w:rsid w:val="00C82A40"/>
    <w:rsid w:val="00C82C6C"/>
    <w:rsid w:val="00C83012"/>
    <w:rsid w:val="00C8319D"/>
    <w:rsid w:val="00C83C48"/>
    <w:rsid w:val="00C84A56"/>
    <w:rsid w:val="00C8539D"/>
    <w:rsid w:val="00C86F49"/>
    <w:rsid w:val="00C87577"/>
    <w:rsid w:val="00C87C9E"/>
    <w:rsid w:val="00C87E82"/>
    <w:rsid w:val="00C87FE6"/>
    <w:rsid w:val="00C90990"/>
    <w:rsid w:val="00C91417"/>
    <w:rsid w:val="00C9144D"/>
    <w:rsid w:val="00C915BC"/>
    <w:rsid w:val="00C91B6D"/>
    <w:rsid w:val="00C9252D"/>
    <w:rsid w:val="00C93621"/>
    <w:rsid w:val="00C9485A"/>
    <w:rsid w:val="00C94F34"/>
    <w:rsid w:val="00C95312"/>
    <w:rsid w:val="00C95992"/>
    <w:rsid w:val="00C96F12"/>
    <w:rsid w:val="00CA0330"/>
    <w:rsid w:val="00CA2C05"/>
    <w:rsid w:val="00CA38D5"/>
    <w:rsid w:val="00CA3B3B"/>
    <w:rsid w:val="00CA3F6E"/>
    <w:rsid w:val="00CA4132"/>
    <w:rsid w:val="00CA4B16"/>
    <w:rsid w:val="00CA4BD7"/>
    <w:rsid w:val="00CA5197"/>
    <w:rsid w:val="00CA5A9B"/>
    <w:rsid w:val="00CA5B20"/>
    <w:rsid w:val="00CA5E91"/>
    <w:rsid w:val="00CA63B8"/>
    <w:rsid w:val="00CA6819"/>
    <w:rsid w:val="00CA689B"/>
    <w:rsid w:val="00CA6918"/>
    <w:rsid w:val="00CA7636"/>
    <w:rsid w:val="00CA7A34"/>
    <w:rsid w:val="00CB008F"/>
    <w:rsid w:val="00CB0177"/>
    <w:rsid w:val="00CB0451"/>
    <w:rsid w:val="00CB11F6"/>
    <w:rsid w:val="00CB12E0"/>
    <w:rsid w:val="00CB2889"/>
    <w:rsid w:val="00CB28D1"/>
    <w:rsid w:val="00CB2A09"/>
    <w:rsid w:val="00CB2C55"/>
    <w:rsid w:val="00CB3500"/>
    <w:rsid w:val="00CB4508"/>
    <w:rsid w:val="00CB45B0"/>
    <w:rsid w:val="00CB5365"/>
    <w:rsid w:val="00CB5C96"/>
    <w:rsid w:val="00CB6384"/>
    <w:rsid w:val="00CB647B"/>
    <w:rsid w:val="00CB661B"/>
    <w:rsid w:val="00CB7396"/>
    <w:rsid w:val="00CB73E1"/>
    <w:rsid w:val="00CB764B"/>
    <w:rsid w:val="00CB7C7C"/>
    <w:rsid w:val="00CC03A9"/>
    <w:rsid w:val="00CC0441"/>
    <w:rsid w:val="00CC177E"/>
    <w:rsid w:val="00CC18C9"/>
    <w:rsid w:val="00CC1C0E"/>
    <w:rsid w:val="00CC1C4C"/>
    <w:rsid w:val="00CC1D97"/>
    <w:rsid w:val="00CC1E8F"/>
    <w:rsid w:val="00CC28D6"/>
    <w:rsid w:val="00CC2999"/>
    <w:rsid w:val="00CC2B57"/>
    <w:rsid w:val="00CC30F3"/>
    <w:rsid w:val="00CC52FD"/>
    <w:rsid w:val="00CC58D2"/>
    <w:rsid w:val="00CC6483"/>
    <w:rsid w:val="00CC7282"/>
    <w:rsid w:val="00CC79E2"/>
    <w:rsid w:val="00CD14AB"/>
    <w:rsid w:val="00CD1CE9"/>
    <w:rsid w:val="00CD289C"/>
    <w:rsid w:val="00CD2925"/>
    <w:rsid w:val="00CD304A"/>
    <w:rsid w:val="00CD34AB"/>
    <w:rsid w:val="00CD3849"/>
    <w:rsid w:val="00CD3986"/>
    <w:rsid w:val="00CD4C07"/>
    <w:rsid w:val="00CD5749"/>
    <w:rsid w:val="00CD585A"/>
    <w:rsid w:val="00CD6033"/>
    <w:rsid w:val="00CD6776"/>
    <w:rsid w:val="00CD6F36"/>
    <w:rsid w:val="00CD7362"/>
    <w:rsid w:val="00CD75CC"/>
    <w:rsid w:val="00CD7D6E"/>
    <w:rsid w:val="00CE00EB"/>
    <w:rsid w:val="00CE024A"/>
    <w:rsid w:val="00CE10B9"/>
    <w:rsid w:val="00CE1132"/>
    <w:rsid w:val="00CE15C9"/>
    <w:rsid w:val="00CE1BBC"/>
    <w:rsid w:val="00CE1DA7"/>
    <w:rsid w:val="00CE217F"/>
    <w:rsid w:val="00CE26B2"/>
    <w:rsid w:val="00CE27D1"/>
    <w:rsid w:val="00CE3917"/>
    <w:rsid w:val="00CE3F60"/>
    <w:rsid w:val="00CE3F70"/>
    <w:rsid w:val="00CE4BA6"/>
    <w:rsid w:val="00CE5475"/>
    <w:rsid w:val="00CE7226"/>
    <w:rsid w:val="00CE7250"/>
    <w:rsid w:val="00CE7259"/>
    <w:rsid w:val="00CE763C"/>
    <w:rsid w:val="00CE7FA1"/>
    <w:rsid w:val="00CF092B"/>
    <w:rsid w:val="00CF0B45"/>
    <w:rsid w:val="00CF0E2A"/>
    <w:rsid w:val="00CF0E2E"/>
    <w:rsid w:val="00CF16F3"/>
    <w:rsid w:val="00CF1854"/>
    <w:rsid w:val="00CF19F3"/>
    <w:rsid w:val="00CF2493"/>
    <w:rsid w:val="00CF2691"/>
    <w:rsid w:val="00CF2DC6"/>
    <w:rsid w:val="00CF40A3"/>
    <w:rsid w:val="00CF4256"/>
    <w:rsid w:val="00CF54AC"/>
    <w:rsid w:val="00CF6FFC"/>
    <w:rsid w:val="00CF7752"/>
    <w:rsid w:val="00CF7894"/>
    <w:rsid w:val="00D00065"/>
    <w:rsid w:val="00D002AB"/>
    <w:rsid w:val="00D0055F"/>
    <w:rsid w:val="00D00A76"/>
    <w:rsid w:val="00D011E2"/>
    <w:rsid w:val="00D01645"/>
    <w:rsid w:val="00D01D95"/>
    <w:rsid w:val="00D01F31"/>
    <w:rsid w:val="00D02519"/>
    <w:rsid w:val="00D03852"/>
    <w:rsid w:val="00D03859"/>
    <w:rsid w:val="00D04735"/>
    <w:rsid w:val="00D0569B"/>
    <w:rsid w:val="00D059E1"/>
    <w:rsid w:val="00D060D7"/>
    <w:rsid w:val="00D07C95"/>
    <w:rsid w:val="00D10861"/>
    <w:rsid w:val="00D10E84"/>
    <w:rsid w:val="00D116F4"/>
    <w:rsid w:val="00D11F12"/>
    <w:rsid w:val="00D11F76"/>
    <w:rsid w:val="00D13211"/>
    <w:rsid w:val="00D13944"/>
    <w:rsid w:val="00D13FEF"/>
    <w:rsid w:val="00D14550"/>
    <w:rsid w:val="00D1498C"/>
    <w:rsid w:val="00D14C04"/>
    <w:rsid w:val="00D14E6E"/>
    <w:rsid w:val="00D14F4C"/>
    <w:rsid w:val="00D14FC8"/>
    <w:rsid w:val="00D1599D"/>
    <w:rsid w:val="00D1656D"/>
    <w:rsid w:val="00D166C7"/>
    <w:rsid w:val="00D16E27"/>
    <w:rsid w:val="00D17AEA"/>
    <w:rsid w:val="00D17B87"/>
    <w:rsid w:val="00D17E83"/>
    <w:rsid w:val="00D17FD5"/>
    <w:rsid w:val="00D2084B"/>
    <w:rsid w:val="00D211F5"/>
    <w:rsid w:val="00D21448"/>
    <w:rsid w:val="00D21982"/>
    <w:rsid w:val="00D22FC9"/>
    <w:rsid w:val="00D23404"/>
    <w:rsid w:val="00D23A57"/>
    <w:rsid w:val="00D24D41"/>
    <w:rsid w:val="00D25719"/>
    <w:rsid w:val="00D25C39"/>
    <w:rsid w:val="00D26805"/>
    <w:rsid w:val="00D27226"/>
    <w:rsid w:val="00D27383"/>
    <w:rsid w:val="00D27446"/>
    <w:rsid w:val="00D305C7"/>
    <w:rsid w:val="00D30DA9"/>
    <w:rsid w:val="00D30E1F"/>
    <w:rsid w:val="00D310DD"/>
    <w:rsid w:val="00D318D1"/>
    <w:rsid w:val="00D32C40"/>
    <w:rsid w:val="00D341D0"/>
    <w:rsid w:val="00D354B6"/>
    <w:rsid w:val="00D35BB7"/>
    <w:rsid w:val="00D35FAE"/>
    <w:rsid w:val="00D361D1"/>
    <w:rsid w:val="00D37297"/>
    <w:rsid w:val="00D37EBA"/>
    <w:rsid w:val="00D411FA"/>
    <w:rsid w:val="00D412CD"/>
    <w:rsid w:val="00D41417"/>
    <w:rsid w:val="00D42232"/>
    <w:rsid w:val="00D431DA"/>
    <w:rsid w:val="00D44547"/>
    <w:rsid w:val="00D446DD"/>
    <w:rsid w:val="00D45888"/>
    <w:rsid w:val="00D45B6F"/>
    <w:rsid w:val="00D50B7C"/>
    <w:rsid w:val="00D50CBB"/>
    <w:rsid w:val="00D50D6D"/>
    <w:rsid w:val="00D513ED"/>
    <w:rsid w:val="00D5218C"/>
    <w:rsid w:val="00D52601"/>
    <w:rsid w:val="00D52997"/>
    <w:rsid w:val="00D5308B"/>
    <w:rsid w:val="00D53EC0"/>
    <w:rsid w:val="00D53F4C"/>
    <w:rsid w:val="00D5439B"/>
    <w:rsid w:val="00D550C2"/>
    <w:rsid w:val="00D55E08"/>
    <w:rsid w:val="00D56164"/>
    <w:rsid w:val="00D56EC1"/>
    <w:rsid w:val="00D57AB9"/>
    <w:rsid w:val="00D60750"/>
    <w:rsid w:val="00D60F45"/>
    <w:rsid w:val="00D611D6"/>
    <w:rsid w:val="00D6265F"/>
    <w:rsid w:val="00D62AC3"/>
    <w:rsid w:val="00D63887"/>
    <w:rsid w:val="00D65382"/>
    <w:rsid w:val="00D65607"/>
    <w:rsid w:val="00D657B3"/>
    <w:rsid w:val="00D658C8"/>
    <w:rsid w:val="00D65E05"/>
    <w:rsid w:val="00D65EEB"/>
    <w:rsid w:val="00D66C35"/>
    <w:rsid w:val="00D6778A"/>
    <w:rsid w:val="00D67F5C"/>
    <w:rsid w:val="00D67F80"/>
    <w:rsid w:val="00D70C7C"/>
    <w:rsid w:val="00D70EA7"/>
    <w:rsid w:val="00D71A39"/>
    <w:rsid w:val="00D71C2E"/>
    <w:rsid w:val="00D71E28"/>
    <w:rsid w:val="00D72B0A"/>
    <w:rsid w:val="00D73DB7"/>
    <w:rsid w:val="00D7436C"/>
    <w:rsid w:val="00D74CD3"/>
    <w:rsid w:val="00D74F41"/>
    <w:rsid w:val="00D751A2"/>
    <w:rsid w:val="00D77CCE"/>
    <w:rsid w:val="00D80162"/>
    <w:rsid w:val="00D815FE"/>
    <w:rsid w:val="00D81A8B"/>
    <w:rsid w:val="00D82120"/>
    <w:rsid w:val="00D8248B"/>
    <w:rsid w:val="00D82AF2"/>
    <w:rsid w:val="00D831E0"/>
    <w:rsid w:val="00D83739"/>
    <w:rsid w:val="00D84927"/>
    <w:rsid w:val="00D84D98"/>
    <w:rsid w:val="00D84F12"/>
    <w:rsid w:val="00D86492"/>
    <w:rsid w:val="00D873D1"/>
    <w:rsid w:val="00D90679"/>
    <w:rsid w:val="00D91E3D"/>
    <w:rsid w:val="00D9260B"/>
    <w:rsid w:val="00D92A9F"/>
    <w:rsid w:val="00D9382F"/>
    <w:rsid w:val="00D941DA"/>
    <w:rsid w:val="00D9639C"/>
    <w:rsid w:val="00D96F15"/>
    <w:rsid w:val="00D979F5"/>
    <w:rsid w:val="00DA0634"/>
    <w:rsid w:val="00DA0F68"/>
    <w:rsid w:val="00DA167C"/>
    <w:rsid w:val="00DA3337"/>
    <w:rsid w:val="00DA36F8"/>
    <w:rsid w:val="00DA43B9"/>
    <w:rsid w:val="00DA4D50"/>
    <w:rsid w:val="00DA5BFF"/>
    <w:rsid w:val="00DA6542"/>
    <w:rsid w:val="00DA6917"/>
    <w:rsid w:val="00DA6E60"/>
    <w:rsid w:val="00DA7B32"/>
    <w:rsid w:val="00DB049E"/>
    <w:rsid w:val="00DB05C5"/>
    <w:rsid w:val="00DB07CC"/>
    <w:rsid w:val="00DB0C52"/>
    <w:rsid w:val="00DB1798"/>
    <w:rsid w:val="00DB17CA"/>
    <w:rsid w:val="00DB181D"/>
    <w:rsid w:val="00DB1CC9"/>
    <w:rsid w:val="00DB2279"/>
    <w:rsid w:val="00DB2BE9"/>
    <w:rsid w:val="00DB55B8"/>
    <w:rsid w:val="00DB5AF3"/>
    <w:rsid w:val="00DB5B2C"/>
    <w:rsid w:val="00DB6940"/>
    <w:rsid w:val="00DB778E"/>
    <w:rsid w:val="00DC0424"/>
    <w:rsid w:val="00DC046E"/>
    <w:rsid w:val="00DC103B"/>
    <w:rsid w:val="00DC26AF"/>
    <w:rsid w:val="00DC275D"/>
    <w:rsid w:val="00DC288B"/>
    <w:rsid w:val="00DC2BAF"/>
    <w:rsid w:val="00DC2F74"/>
    <w:rsid w:val="00DC3560"/>
    <w:rsid w:val="00DC38B7"/>
    <w:rsid w:val="00DC549E"/>
    <w:rsid w:val="00DC61A1"/>
    <w:rsid w:val="00DC63C9"/>
    <w:rsid w:val="00DC6F79"/>
    <w:rsid w:val="00DC702D"/>
    <w:rsid w:val="00DD011D"/>
    <w:rsid w:val="00DD049B"/>
    <w:rsid w:val="00DD0DEE"/>
    <w:rsid w:val="00DD142C"/>
    <w:rsid w:val="00DD1594"/>
    <w:rsid w:val="00DD1998"/>
    <w:rsid w:val="00DD1F00"/>
    <w:rsid w:val="00DD29C2"/>
    <w:rsid w:val="00DD2F32"/>
    <w:rsid w:val="00DD30F4"/>
    <w:rsid w:val="00DD36E3"/>
    <w:rsid w:val="00DD37BC"/>
    <w:rsid w:val="00DD4459"/>
    <w:rsid w:val="00DD452E"/>
    <w:rsid w:val="00DD48B2"/>
    <w:rsid w:val="00DD4E2F"/>
    <w:rsid w:val="00DD4E87"/>
    <w:rsid w:val="00DD60EB"/>
    <w:rsid w:val="00DD6F84"/>
    <w:rsid w:val="00DD783E"/>
    <w:rsid w:val="00DE00E6"/>
    <w:rsid w:val="00DE02D7"/>
    <w:rsid w:val="00DE0A24"/>
    <w:rsid w:val="00DE0C49"/>
    <w:rsid w:val="00DE107C"/>
    <w:rsid w:val="00DE1444"/>
    <w:rsid w:val="00DE156F"/>
    <w:rsid w:val="00DE160A"/>
    <w:rsid w:val="00DE206E"/>
    <w:rsid w:val="00DE21BB"/>
    <w:rsid w:val="00DE2955"/>
    <w:rsid w:val="00DE2BA6"/>
    <w:rsid w:val="00DE301D"/>
    <w:rsid w:val="00DE3457"/>
    <w:rsid w:val="00DE38CB"/>
    <w:rsid w:val="00DE563F"/>
    <w:rsid w:val="00DE72AF"/>
    <w:rsid w:val="00DE75A3"/>
    <w:rsid w:val="00DF0408"/>
    <w:rsid w:val="00DF06BF"/>
    <w:rsid w:val="00DF2624"/>
    <w:rsid w:val="00DF2AB0"/>
    <w:rsid w:val="00DF33DD"/>
    <w:rsid w:val="00DF3972"/>
    <w:rsid w:val="00DF4C72"/>
    <w:rsid w:val="00DF4D0B"/>
    <w:rsid w:val="00DF520D"/>
    <w:rsid w:val="00DF5B21"/>
    <w:rsid w:val="00DF5E7D"/>
    <w:rsid w:val="00DF6935"/>
    <w:rsid w:val="00DF6966"/>
    <w:rsid w:val="00DF6DF2"/>
    <w:rsid w:val="00DF77F8"/>
    <w:rsid w:val="00DF7F52"/>
    <w:rsid w:val="00E00900"/>
    <w:rsid w:val="00E00D56"/>
    <w:rsid w:val="00E010BC"/>
    <w:rsid w:val="00E01E28"/>
    <w:rsid w:val="00E01E7A"/>
    <w:rsid w:val="00E035E0"/>
    <w:rsid w:val="00E0452A"/>
    <w:rsid w:val="00E047ED"/>
    <w:rsid w:val="00E04A23"/>
    <w:rsid w:val="00E053F4"/>
    <w:rsid w:val="00E05444"/>
    <w:rsid w:val="00E05D17"/>
    <w:rsid w:val="00E05FDB"/>
    <w:rsid w:val="00E07CE4"/>
    <w:rsid w:val="00E111AE"/>
    <w:rsid w:val="00E11D20"/>
    <w:rsid w:val="00E125C1"/>
    <w:rsid w:val="00E12693"/>
    <w:rsid w:val="00E131E9"/>
    <w:rsid w:val="00E143CC"/>
    <w:rsid w:val="00E14BDF"/>
    <w:rsid w:val="00E1528A"/>
    <w:rsid w:val="00E16EAB"/>
    <w:rsid w:val="00E1739F"/>
    <w:rsid w:val="00E2085D"/>
    <w:rsid w:val="00E20BD6"/>
    <w:rsid w:val="00E20DE6"/>
    <w:rsid w:val="00E20E8A"/>
    <w:rsid w:val="00E211C2"/>
    <w:rsid w:val="00E2302B"/>
    <w:rsid w:val="00E24783"/>
    <w:rsid w:val="00E25009"/>
    <w:rsid w:val="00E25B2A"/>
    <w:rsid w:val="00E261B8"/>
    <w:rsid w:val="00E26BB5"/>
    <w:rsid w:val="00E277F8"/>
    <w:rsid w:val="00E278A5"/>
    <w:rsid w:val="00E30BBE"/>
    <w:rsid w:val="00E30C9F"/>
    <w:rsid w:val="00E31CC8"/>
    <w:rsid w:val="00E31F24"/>
    <w:rsid w:val="00E325FC"/>
    <w:rsid w:val="00E32BF8"/>
    <w:rsid w:val="00E32FFF"/>
    <w:rsid w:val="00E330AB"/>
    <w:rsid w:val="00E33283"/>
    <w:rsid w:val="00E33CB7"/>
    <w:rsid w:val="00E34AA1"/>
    <w:rsid w:val="00E353C2"/>
    <w:rsid w:val="00E356DB"/>
    <w:rsid w:val="00E36A28"/>
    <w:rsid w:val="00E36A80"/>
    <w:rsid w:val="00E378D2"/>
    <w:rsid w:val="00E37B71"/>
    <w:rsid w:val="00E4002D"/>
    <w:rsid w:val="00E40564"/>
    <w:rsid w:val="00E40C50"/>
    <w:rsid w:val="00E412FF"/>
    <w:rsid w:val="00E416AB"/>
    <w:rsid w:val="00E41DFE"/>
    <w:rsid w:val="00E41F02"/>
    <w:rsid w:val="00E42815"/>
    <w:rsid w:val="00E43470"/>
    <w:rsid w:val="00E43671"/>
    <w:rsid w:val="00E43D2C"/>
    <w:rsid w:val="00E443BF"/>
    <w:rsid w:val="00E449DB"/>
    <w:rsid w:val="00E458BD"/>
    <w:rsid w:val="00E45AA0"/>
    <w:rsid w:val="00E4647C"/>
    <w:rsid w:val="00E469AC"/>
    <w:rsid w:val="00E47D7E"/>
    <w:rsid w:val="00E50B0C"/>
    <w:rsid w:val="00E529D1"/>
    <w:rsid w:val="00E541E7"/>
    <w:rsid w:val="00E54DD9"/>
    <w:rsid w:val="00E556FD"/>
    <w:rsid w:val="00E55BF5"/>
    <w:rsid w:val="00E56C2D"/>
    <w:rsid w:val="00E576F4"/>
    <w:rsid w:val="00E57901"/>
    <w:rsid w:val="00E57A13"/>
    <w:rsid w:val="00E611F5"/>
    <w:rsid w:val="00E6137C"/>
    <w:rsid w:val="00E61692"/>
    <w:rsid w:val="00E61E72"/>
    <w:rsid w:val="00E625CA"/>
    <w:rsid w:val="00E62E54"/>
    <w:rsid w:val="00E63B72"/>
    <w:rsid w:val="00E64A6D"/>
    <w:rsid w:val="00E64E70"/>
    <w:rsid w:val="00E6535A"/>
    <w:rsid w:val="00E65BDE"/>
    <w:rsid w:val="00E65CF8"/>
    <w:rsid w:val="00E65E42"/>
    <w:rsid w:val="00E677C4"/>
    <w:rsid w:val="00E6799B"/>
    <w:rsid w:val="00E7026B"/>
    <w:rsid w:val="00E71CEF"/>
    <w:rsid w:val="00E72714"/>
    <w:rsid w:val="00E72750"/>
    <w:rsid w:val="00E72AF1"/>
    <w:rsid w:val="00E72C2E"/>
    <w:rsid w:val="00E73AE7"/>
    <w:rsid w:val="00E74449"/>
    <w:rsid w:val="00E74C4D"/>
    <w:rsid w:val="00E76FDC"/>
    <w:rsid w:val="00E77592"/>
    <w:rsid w:val="00E77ADE"/>
    <w:rsid w:val="00E81975"/>
    <w:rsid w:val="00E8218E"/>
    <w:rsid w:val="00E82D0B"/>
    <w:rsid w:val="00E8340F"/>
    <w:rsid w:val="00E83539"/>
    <w:rsid w:val="00E84688"/>
    <w:rsid w:val="00E84B60"/>
    <w:rsid w:val="00E851DA"/>
    <w:rsid w:val="00E85BDA"/>
    <w:rsid w:val="00E85C6B"/>
    <w:rsid w:val="00E86281"/>
    <w:rsid w:val="00E86355"/>
    <w:rsid w:val="00E86395"/>
    <w:rsid w:val="00E8652F"/>
    <w:rsid w:val="00E86A23"/>
    <w:rsid w:val="00E8794E"/>
    <w:rsid w:val="00E87AB8"/>
    <w:rsid w:val="00E87F52"/>
    <w:rsid w:val="00E906D3"/>
    <w:rsid w:val="00E90EF8"/>
    <w:rsid w:val="00E9150C"/>
    <w:rsid w:val="00E919F8"/>
    <w:rsid w:val="00E92830"/>
    <w:rsid w:val="00E92E34"/>
    <w:rsid w:val="00E9311D"/>
    <w:rsid w:val="00E93F67"/>
    <w:rsid w:val="00E94180"/>
    <w:rsid w:val="00E941C8"/>
    <w:rsid w:val="00E94B12"/>
    <w:rsid w:val="00E94CD0"/>
    <w:rsid w:val="00E956C2"/>
    <w:rsid w:val="00E95926"/>
    <w:rsid w:val="00E95BB0"/>
    <w:rsid w:val="00E96469"/>
    <w:rsid w:val="00E9771E"/>
    <w:rsid w:val="00EA0BE4"/>
    <w:rsid w:val="00EA1A4D"/>
    <w:rsid w:val="00EA1C99"/>
    <w:rsid w:val="00EA2E95"/>
    <w:rsid w:val="00EA37AF"/>
    <w:rsid w:val="00EA4813"/>
    <w:rsid w:val="00EA487A"/>
    <w:rsid w:val="00EA4AC0"/>
    <w:rsid w:val="00EA4B02"/>
    <w:rsid w:val="00EA5405"/>
    <w:rsid w:val="00EA56E8"/>
    <w:rsid w:val="00EA584F"/>
    <w:rsid w:val="00EA5A81"/>
    <w:rsid w:val="00EA69AB"/>
    <w:rsid w:val="00EA7437"/>
    <w:rsid w:val="00EA7570"/>
    <w:rsid w:val="00EA7F6D"/>
    <w:rsid w:val="00EB1B8C"/>
    <w:rsid w:val="00EB23FE"/>
    <w:rsid w:val="00EB33AC"/>
    <w:rsid w:val="00EB4797"/>
    <w:rsid w:val="00EB49D7"/>
    <w:rsid w:val="00EB50C4"/>
    <w:rsid w:val="00EB660E"/>
    <w:rsid w:val="00EB6B28"/>
    <w:rsid w:val="00EB703B"/>
    <w:rsid w:val="00EB7638"/>
    <w:rsid w:val="00EB7EB5"/>
    <w:rsid w:val="00EB7FCB"/>
    <w:rsid w:val="00EC2B92"/>
    <w:rsid w:val="00EC3607"/>
    <w:rsid w:val="00EC3838"/>
    <w:rsid w:val="00EC51A4"/>
    <w:rsid w:val="00EC57ED"/>
    <w:rsid w:val="00EC6318"/>
    <w:rsid w:val="00EC6841"/>
    <w:rsid w:val="00EC6C9F"/>
    <w:rsid w:val="00EC704D"/>
    <w:rsid w:val="00EC70E6"/>
    <w:rsid w:val="00EC73DC"/>
    <w:rsid w:val="00ED05C4"/>
    <w:rsid w:val="00ED0680"/>
    <w:rsid w:val="00ED072C"/>
    <w:rsid w:val="00ED0DEA"/>
    <w:rsid w:val="00ED14AA"/>
    <w:rsid w:val="00ED1620"/>
    <w:rsid w:val="00ED166D"/>
    <w:rsid w:val="00ED1991"/>
    <w:rsid w:val="00ED2414"/>
    <w:rsid w:val="00ED24B0"/>
    <w:rsid w:val="00ED268B"/>
    <w:rsid w:val="00ED2915"/>
    <w:rsid w:val="00ED29B4"/>
    <w:rsid w:val="00ED3237"/>
    <w:rsid w:val="00ED460C"/>
    <w:rsid w:val="00ED4871"/>
    <w:rsid w:val="00ED4E7A"/>
    <w:rsid w:val="00ED5F49"/>
    <w:rsid w:val="00ED756B"/>
    <w:rsid w:val="00ED7835"/>
    <w:rsid w:val="00EE0F4D"/>
    <w:rsid w:val="00EE162A"/>
    <w:rsid w:val="00EE20AF"/>
    <w:rsid w:val="00EE23DF"/>
    <w:rsid w:val="00EE2516"/>
    <w:rsid w:val="00EE39A6"/>
    <w:rsid w:val="00EE3A5C"/>
    <w:rsid w:val="00EE3F74"/>
    <w:rsid w:val="00EE4B38"/>
    <w:rsid w:val="00EE4E53"/>
    <w:rsid w:val="00EE4E78"/>
    <w:rsid w:val="00EE5285"/>
    <w:rsid w:val="00EE53A2"/>
    <w:rsid w:val="00EE570D"/>
    <w:rsid w:val="00EE5DEA"/>
    <w:rsid w:val="00EE5E29"/>
    <w:rsid w:val="00EE5E46"/>
    <w:rsid w:val="00EE6516"/>
    <w:rsid w:val="00EE65D9"/>
    <w:rsid w:val="00EE6BE0"/>
    <w:rsid w:val="00EE708C"/>
    <w:rsid w:val="00EE70B8"/>
    <w:rsid w:val="00EE7362"/>
    <w:rsid w:val="00EE75F0"/>
    <w:rsid w:val="00EE7616"/>
    <w:rsid w:val="00EE7CED"/>
    <w:rsid w:val="00EF085C"/>
    <w:rsid w:val="00EF0D75"/>
    <w:rsid w:val="00EF14A8"/>
    <w:rsid w:val="00EF21BF"/>
    <w:rsid w:val="00EF2729"/>
    <w:rsid w:val="00EF29F6"/>
    <w:rsid w:val="00EF2C75"/>
    <w:rsid w:val="00EF359C"/>
    <w:rsid w:val="00EF48D0"/>
    <w:rsid w:val="00EF4990"/>
    <w:rsid w:val="00EF4ED9"/>
    <w:rsid w:val="00EF562A"/>
    <w:rsid w:val="00EF5C00"/>
    <w:rsid w:val="00EF5C32"/>
    <w:rsid w:val="00EF6BDF"/>
    <w:rsid w:val="00EF7878"/>
    <w:rsid w:val="00EF796D"/>
    <w:rsid w:val="00F0015E"/>
    <w:rsid w:val="00F004CE"/>
    <w:rsid w:val="00F00724"/>
    <w:rsid w:val="00F0117E"/>
    <w:rsid w:val="00F01E6B"/>
    <w:rsid w:val="00F02D00"/>
    <w:rsid w:val="00F02D38"/>
    <w:rsid w:val="00F02E37"/>
    <w:rsid w:val="00F030C7"/>
    <w:rsid w:val="00F03957"/>
    <w:rsid w:val="00F0406F"/>
    <w:rsid w:val="00F04519"/>
    <w:rsid w:val="00F051EE"/>
    <w:rsid w:val="00F054BF"/>
    <w:rsid w:val="00F05812"/>
    <w:rsid w:val="00F05D82"/>
    <w:rsid w:val="00F05EBA"/>
    <w:rsid w:val="00F06203"/>
    <w:rsid w:val="00F06FCB"/>
    <w:rsid w:val="00F07234"/>
    <w:rsid w:val="00F0757C"/>
    <w:rsid w:val="00F10E18"/>
    <w:rsid w:val="00F10EC5"/>
    <w:rsid w:val="00F1145C"/>
    <w:rsid w:val="00F119F3"/>
    <w:rsid w:val="00F12795"/>
    <w:rsid w:val="00F12FF4"/>
    <w:rsid w:val="00F130CA"/>
    <w:rsid w:val="00F13B88"/>
    <w:rsid w:val="00F13C26"/>
    <w:rsid w:val="00F14138"/>
    <w:rsid w:val="00F148BE"/>
    <w:rsid w:val="00F1661D"/>
    <w:rsid w:val="00F169D6"/>
    <w:rsid w:val="00F17322"/>
    <w:rsid w:val="00F21FED"/>
    <w:rsid w:val="00F22804"/>
    <w:rsid w:val="00F234D8"/>
    <w:rsid w:val="00F239A4"/>
    <w:rsid w:val="00F239B1"/>
    <w:rsid w:val="00F23A79"/>
    <w:rsid w:val="00F24076"/>
    <w:rsid w:val="00F24DF8"/>
    <w:rsid w:val="00F25871"/>
    <w:rsid w:val="00F25DD8"/>
    <w:rsid w:val="00F25EDF"/>
    <w:rsid w:val="00F26787"/>
    <w:rsid w:val="00F270A8"/>
    <w:rsid w:val="00F2723D"/>
    <w:rsid w:val="00F2731D"/>
    <w:rsid w:val="00F27881"/>
    <w:rsid w:val="00F27E82"/>
    <w:rsid w:val="00F30782"/>
    <w:rsid w:val="00F31AA1"/>
    <w:rsid w:val="00F31E3A"/>
    <w:rsid w:val="00F31FEB"/>
    <w:rsid w:val="00F3418C"/>
    <w:rsid w:val="00F35D97"/>
    <w:rsid w:val="00F36510"/>
    <w:rsid w:val="00F36717"/>
    <w:rsid w:val="00F37839"/>
    <w:rsid w:val="00F37F63"/>
    <w:rsid w:val="00F40300"/>
    <w:rsid w:val="00F40DD0"/>
    <w:rsid w:val="00F4104D"/>
    <w:rsid w:val="00F42B4A"/>
    <w:rsid w:val="00F42F72"/>
    <w:rsid w:val="00F43C5E"/>
    <w:rsid w:val="00F43D3B"/>
    <w:rsid w:val="00F44958"/>
    <w:rsid w:val="00F449A6"/>
    <w:rsid w:val="00F45673"/>
    <w:rsid w:val="00F46294"/>
    <w:rsid w:val="00F466AC"/>
    <w:rsid w:val="00F4670F"/>
    <w:rsid w:val="00F47284"/>
    <w:rsid w:val="00F47BF5"/>
    <w:rsid w:val="00F47BFF"/>
    <w:rsid w:val="00F50040"/>
    <w:rsid w:val="00F5021C"/>
    <w:rsid w:val="00F51050"/>
    <w:rsid w:val="00F5187E"/>
    <w:rsid w:val="00F52134"/>
    <w:rsid w:val="00F52B99"/>
    <w:rsid w:val="00F5305A"/>
    <w:rsid w:val="00F540A7"/>
    <w:rsid w:val="00F55AEE"/>
    <w:rsid w:val="00F55CE5"/>
    <w:rsid w:val="00F57AEC"/>
    <w:rsid w:val="00F57CB0"/>
    <w:rsid w:val="00F604A3"/>
    <w:rsid w:val="00F60564"/>
    <w:rsid w:val="00F60E15"/>
    <w:rsid w:val="00F6170D"/>
    <w:rsid w:val="00F61A67"/>
    <w:rsid w:val="00F629C6"/>
    <w:rsid w:val="00F62CF1"/>
    <w:rsid w:val="00F631CD"/>
    <w:rsid w:val="00F631DF"/>
    <w:rsid w:val="00F63F3B"/>
    <w:rsid w:val="00F648B4"/>
    <w:rsid w:val="00F64C56"/>
    <w:rsid w:val="00F65192"/>
    <w:rsid w:val="00F654C2"/>
    <w:rsid w:val="00F65E25"/>
    <w:rsid w:val="00F6632F"/>
    <w:rsid w:val="00F667E5"/>
    <w:rsid w:val="00F66B82"/>
    <w:rsid w:val="00F66DBE"/>
    <w:rsid w:val="00F66E7B"/>
    <w:rsid w:val="00F6734C"/>
    <w:rsid w:val="00F673DB"/>
    <w:rsid w:val="00F67C5F"/>
    <w:rsid w:val="00F67D6F"/>
    <w:rsid w:val="00F70DC3"/>
    <w:rsid w:val="00F715B9"/>
    <w:rsid w:val="00F71785"/>
    <w:rsid w:val="00F71EE6"/>
    <w:rsid w:val="00F72524"/>
    <w:rsid w:val="00F72A88"/>
    <w:rsid w:val="00F72BE9"/>
    <w:rsid w:val="00F72C83"/>
    <w:rsid w:val="00F73DEE"/>
    <w:rsid w:val="00F743BC"/>
    <w:rsid w:val="00F74BC6"/>
    <w:rsid w:val="00F75306"/>
    <w:rsid w:val="00F75923"/>
    <w:rsid w:val="00F75C1A"/>
    <w:rsid w:val="00F76F36"/>
    <w:rsid w:val="00F77954"/>
    <w:rsid w:val="00F80A03"/>
    <w:rsid w:val="00F81474"/>
    <w:rsid w:val="00F815BD"/>
    <w:rsid w:val="00F825CB"/>
    <w:rsid w:val="00F82BE9"/>
    <w:rsid w:val="00F82DB6"/>
    <w:rsid w:val="00F835EB"/>
    <w:rsid w:val="00F83C01"/>
    <w:rsid w:val="00F84A90"/>
    <w:rsid w:val="00F85048"/>
    <w:rsid w:val="00F860D2"/>
    <w:rsid w:val="00F86A59"/>
    <w:rsid w:val="00F871B7"/>
    <w:rsid w:val="00F876DE"/>
    <w:rsid w:val="00F87984"/>
    <w:rsid w:val="00F87B46"/>
    <w:rsid w:val="00F87CD8"/>
    <w:rsid w:val="00F90112"/>
    <w:rsid w:val="00F9052A"/>
    <w:rsid w:val="00F90A64"/>
    <w:rsid w:val="00F90B6F"/>
    <w:rsid w:val="00F90F08"/>
    <w:rsid w:val="00F92A33"/>
    <w:rsid w:val="00F92DCC"/>
    <w:rsid w:val="00F93406"/>
    <w:rsid w:val="00F94EC5"/>
    <w:rsid w:val="00F96114"/>
    <w:rsid w:val="00F961F8"/>
    <w:rsid w:val="00F965E9"/>
    <w:rsid w:val="00F96614"/>
    <w:rsid w:val="00F9668C"/>
    <w:rsid w:val="00F97599"/>
    <w:rsid w:val="00FA118B"/>
    <w:rsid w:val="00FA1585"/>
    <w:rsid w:val="00FA23A4"/>
    <w:rsid w:val="00FA2BEC"/>
    <w:rsid w:val="00FA2E5C"/>
    <w:rsid w:val="00FA3130"/>
    <w:rsid w:val="00FA3E79"/>
    <w:rsid w:val="00FA575D"/>
    <w:rsid w:val="00FA7A2B"/>
    <w:rsid w:val="00FA7C32"/>
    <w:rsid w:val="00FB038A"/>
    <w:rsid w:val="00FB078D"/>
    <w:rsid w:val="00FB0D5F"/>
    <w:rsid w:val="00FB0DA7"/>
    <w:rsid w:val="00FB14A9"/>
    <w:rsid w:val="00FB2A6B"/>
    <w:rsid w:val="00FB2B14"/>
    <w:rsid w:val="00FB3243"/>
    <w:rsid w:val="00FB491C"/>
    <w:rsid w:val="00FB4DCA"/>
    <w:rsid w:val="00FB5048"/>
    <w:rsid w:val="00FB555D"/>
    <w:rsid w:val="00FB729F"/>
    <w:rsid w:val="00FB752D"/>
    <w:rsid w:val="00FB7BAF"/>
    <w:rsid w:val="00FB7CC6"/>
    <w:rsid w:val="00FC026B"/>
    <w:rsid w:val="00FC04B3"/>
    <w:rsid w:val="00FC0BFD"/>
    <w:rsid w:val="00FC19C4"/>
    <w:rsid w:val="00FC1C23"/>
    <w:rsid w:val="00FC1E2A"/>
    <w:rsid w:val="00FC2911"/>
    <w:rsid w:val="00FC29B3"/>
    <w:rsid w:val="00FC2A07"/>
    <w:rsid w:val="00FC2BE1"/>
    <w:rsid w:val="00FC32CB"/>
    <w:rsid w:val="00FC3F7B"/>
    <w:rsid w:val="00FC538D"/>
    <w:rsid w:val="00FC5A5F"/>
    <w:rsid w:val="00FC5BE0"/>
    <w:rsid w:val="00FC5D74"/>
    <w:rsid w:val="00FC5D7B"/>
    <w:rsid w:val="00FC6087"/>
    <w:rsid w:val="00FC62BD"/>
    <w:rsid w:val="00FC724C"/>
    <w:rsid w:val="00FC732B"/>
    <w:rsid w:val="00FC73C8"/>
    <w:rsid w:val="00FC7AB1"/>
    <w:rsid w:val="00FD09FC"/>
    <w:rsid w:val="00FD0BE6"/>
    <w:rsid w:val="00FD13F7"/>
    <w:rsid w:val="00FD198B"/>
    <w:rsid w:val="00FD1B7C"/>
    <w:rsid w:val="00FD2A38"/>
    <w:rsid w:val="00FD3031"/>
    <w:rsid w:val="00FD3205"/>
    <w:rsid w:val="00FD3F72"/>
    <w:rsid w:val="00FD4894"/>
    <w:rsid w:val="00FD56FA"/>
    <w:rsid w:val="00FD5835"/>
    <w:rsid w:val="00FD624C"/>
    <w:rsid w:val="00FD6379"/>
    <w:rsid w:val="00FD68FB"/>
    <w:rsid w:val="00FD6DF1"/>
    <w:rsid w:val="00FD7200"/>
    <w:rsid w:val="00FD763B"/>
    <w:rsid w:val="00FD77DB"/>
    <w:rsid w:val="00FD7E4E"/>
    <w:rsid w:val="00FE0590"/>
    <w:rsid w:val="00FE191F"/>
    <w:rsid w:val="00FE1E3C"/>
    <w:rsid w:val="00FE215F"/>
    <w:rsid w:val="00FE21AA"/>
    <w:rsid w:val="00FE3976"/>
    <w:rsid w:val="00FE3C37"/>
    <w:rsid w:val="00FE4149"/>
    <w:rsid w:val="00FE46FE"/>
    <w:rsid w:val="00FE498D"/>
    <w:rsid w:val="00FE4B94"/>
    <w:rsid w:val="00FE5F36"/>
    <w:rsid w:val="00FE61BE"/>
    <w:rsid w:val="00FE61DD"/>
    <w:rsid w:val="00FE6255"/>
    <w:rsid w:val="00FE63B3"/>
    <w:rsid w:val="00FE656D"/>
    <w:rsid w:val="00FE6831"/>
    <w:rsid w:val="00FE683C"/>
    <w:rsid w:val="00FE7501"/>
    <w:rsid w:val="00FE763D"/>
    <w:rsid w:val="00FF05A2"/>
    <w:rsid w:val="00FF09CC"/>
    <w:rsid w:val="00FF1557"/>
    <w:rsid w:val="00FF19CE"/>
    <w:rsid w:val="00FF1A70"/>
    <w:rsid w:val="00FF1ACD"/>
    <w:rsid w:val="00FF1F45"/>
    <w:rsid w:val="00FF38C0"/>
    <w:rsid w:val="00FF3D21"/>
    <w:rsid w:val="00FF40D8"/>
    <w:rsid w:val="00FF44DE"/>
    <w:rsid w:val="00FF4E84"/>
    <w:rsid w:val="00FF512E"/>
    <w:rsid w:val="00FF59E3"/>
    <w:rsid w:val="00FF60AA"/>
    <w:rsid w:val="00FF6DB8"/>
    <w:rsid w:val="00FF6F08"/>
    <w:rsid w:val="00FF7522"/>
    <w:rsid w:val="00FF7A17"/>
    <w:rsid w:val="037A375E"/>
    <w:rsid w:val="0D75742F"/>
    <w:rsid w:val="0E2F4CDD"/>
    <w:rsid w:val="1BB93ECD"/>
    <w:rsid w:val="21DB48C2"/>
    <w:rsid w:val="23671171"/>
    <w:rsid w:val="27E607AF"/>
    <w:rsid w:val="2A005E7B"/>
    <w:rsid w:val="2A5E32CD"/>
    <w:rsid w:val="2C1922E2"/>
    <w:rsid w:val="36887484"/>
    <w:rsid w:val="41AB3167"/>
    <w:rsid w:val="440C749E"/>
    <w:rsid w:val="64D23CFC"/>
    <w:rsid w:val="709541F4"/>
    <w:rsid w:val="72233A82"/>
    <w:rsid w:val="774515B4"/>
    <w:rsid w:val="77D26031"/>
    <w:rsid w:val="788334CC"/>
    <w:rsid w:val="79692435"/>
    <w:rsid w:val="79B94F3C"/>
    <w:rsid w:val="7CD05737"/>
    <w:rsid w:val="7D180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2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5"/>
    <w:basedOn w:val="1"/>
    <w:next w:val="1"/>
    <w:link w:val="19"/>
    <w:qFormat/>
    <w:uiPriority w:val="99"/>
    <w:pPr>
      <w:keepNext/>
      <w:keepLines/>
      <w:spacing w:before="280" w:after="290" w:line="376" w:lineRule="auto"/>
      <w:outlineLvl w:val="4"/>
    </w:pPr>
    <w:rPr>
      <w:rFonts w:ascii="Calibri" w:hAnsi="Calibri" w:cs="Calibri"/>
      <w:b/>
      <w:bCs/>
      <w:kern w:val="0"/>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qFormat/>
    <w:uiPriority w:val="0"/>
    <w:rPr>
      <w:rFonts w:ascii="仿宋_GB2312" w:eastAsia="仿宋_GB2312"/>
      <w:sz w:val="24"/>
      <w:szCs w:val="20"/>
    </w:rPr>
  </w:style>
  <w:style w:type="paragraph" w:styleId="5">
    <w:name w:val="Normal Indent"/>
    <w:basedOn w:val="1"/>
    <w:link w:val="22"/>
    <w:unhideWhenUsed/>
    <w:qFormat/>
    <w:uiPriority w:val="0"/>
    <w:pPr>
      <w:ind w:firstLine="420"/>
    </w:pPr>
    <w:rPr>
      <w:rFonts w:ascii="Calibri" w:hAnsi="Calibri"/>
      <w:szCs w:val="22"/>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2"/>
    <w:basedOn w:val="1"/>
    <w:next w:val="1"/>
    <w:qFormat/>
    <w:uiPriority w:val="0"/>
    <w:pPr>
      <w:ind w:left="420" w:leftChars="200"/>
    </w:pPr>
    <w:rPr>
      <w:szCs w:val="24"/>
    </w:rPr>
  </w:style>
  <w:style w:type="paragraph" w:styleId="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0">
    <w:name w:val="Body Text First Indent"/>
    <w:basedOn w:val="2"/>
    <w:qFormat/>
    <w:uiPriority w:val="0"/>
    <w:pPr>
      <w:spacing w:after="120"/>
      <w:ind w:firstLine="420" w:firstLineChars="100"/>
    </w:pPr>
    <w:rPr>
      <w:rFonts w:ascii="Times New Roman" w:eastAsia="宋体"/>
      <w:szCs w:val="24"/>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bCs/>
    </w:rPr>
  </w:style>
  <w:style w:type="character" w:styleId="15">
    <w:name w:val="Emphasis"/>
    <w:basedOn w:val="13"/>
    <w:qFormat/>
    <w:uiPriority w:val="20"/>
    <w:rPr>
      <w:i/>
      <w:iCs/>
    </w:rPr>
  </w:style>
  <w:style w:type="character" w:customStyle="1" w:styleId="16">
    <w:name w:val="页眉 字符"/>
    <w:basedOn w:val="13"/>
    <w:link w:val="7"/>
    <w:qFormat/>
    <w:uiPriority w:val="99"/>
    <w:rPr>
      <w:kern w:val="2"/>
      <w:sz w:val="18"/>
      <w:szCs w:val="18"/>
    </w:rPr>
  </w:style>
  <w:style w:type="character" w:customStyle="1" w:styleId="17">
    <w:name w:val="页脚 字符"/>
    <w:basedOn w:val="13"/>
    <w:link w:val="6"/>
    <w:qFormat/>
    <w:uiPriority w:val="99"/>
    <w:rPr>
      <w:kern w:val="2"/>
      <w:sz w:val="18"/>
      <w:szCs w:val="18"/>
    </w:rPr>
  </w:style>
  <w:style w:type="paragraph" w:customStyle="1" w:styleId="18">
    <w:name w:val="p0"/>
    <w:qFormat/>
    <w:uiPriority w:val="0"/>
    <w:pPr>
      <w:spacing w:line="500" w:lineRule="exact"/>
    </w:pPr>
    <w:rPr>
      <w:rFonts w:ascii="Times New Roman" w:hAnsi="Times New Roman" w:eastAsia="宋体" w:cs="Times New Roman"/>
      <w:szCs w:val="21"/>
      <w:lang w:val="en-US" w:eastAsia="zh-CN" w:bidi="ar-SA"/>
    </w:rPr>
  </w:style>
  <w:style w:type="character" w:customStyle="1" w:styleId="19">
    <w:name w:val="标题 5 字符"/>
    <w:basedOn w:val="13"/>
    <w:link w:val="4"/>
    <w:qFormat/>
    <w:uiPriority w:val="99"/>
    <w:rPr>
      <w:rFonts w:ascii="Calibri" w:hAnsi="Calibri" w:cs="Calibri"/>
      <w:b/>
      <w:bCs/>
      <w:sz w:val="28"/>
      <w:szCs w:val="28"/>
    </w:rPr>
  </w:style>
  <w:style w:type="character" w:customStyle="1" w:styleId="20">
    <w:name w:val="正文文本 字符"/>
    <w:basedOn w:val="13"/>
    <w:link w:val="2"/>
    <w:qFormat/>
    <w:uiPriority w:val="0"/>
    <w:rPr>
      <w:rFonts w:ascii="仿宋_GB2312" w:eastAsia="仿宋_GB2312"/>
      <w:kern w:val="2"/>
      <w:sz w:val="24"/>
    </w:rPr>
  </w:style>
  <w:style w:type="character" w:customStyle="1" w:styleId="21">
    <w:name w:val="标题 2 字符"/>
    <w:basedOn w:val="13"/>
    <w:link w:val="3"/>
    <w:qFormat/>
    <w:uiPriority w:val="0"/>
    <w:rPr>
      <w:rFonts w:asciiTheme="majorHAnsi" w:hAnsiTheme="majorHAnsi" w:eastAsiaTheme="majorEastAsia" w:cstheme="majorBidi"/>
      <w:b/>
      <w:bCs/>
      <w:kern w:val="2"/>
      <w:sz w:val="32"/>
      <w:szCs w:val="32"/>
    </w:rPr>
  </w:style>
  <w:style w:type="character" w:customStyle="1" w:styleId="22">
    <w:name w:val="正文缩进 字符"/>
    <w:link w:val="5"/>
    <w:qFormat/>
    <w:locked/>
    <w:uiPriority w:val="0"/>
    <w:rPr>
      <w:rFonts w:ascii="Calibri" w:hAnsi="Calibri"/>
      <w:kern w:val="2"/>
      <w:sz w:val="21"/>
      <w:szCs w:val="22"/>
    </w:rPr>
  </w:style>
  <w:style w:type="paragraph" w:styleId="23">
    <w:name w:val="List Paragraph"/>
    <w:basedOn w:val="1"/>
    <w:qFormat/>
    <w:uiPriority w:val="34"/>
    <w:pPr>
      <w:ind w:firstLine="420" w:firstLineChars="200"/>
    </w:pPr>
  </w:style>
  <w:style w:type="paragraph" w:customStyle="1" w:styleId="24">
    <w:name w:val="页脚1"/>
    <w:basedOn w:val="1"/>
    <w:qFormat/>
    <w:uiPriority w:val="0"/>
    <w:pPr>
      <w:tabs>
        <w:tab w:val="center" w:pos="4153"/>
        <w:tab w:val="right" w:pos="8306"/>
      </w:tabs>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F6703-E833-4680-B81B-6E2402675831}">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28</Pages>
  <Words>15481</Words>
  <Characters>15949</Characters>
  <Lines>48</Lines>
  <Paragraphs>13</Paragraphs>
  <TotalTime>1319</TotalTime>
  <ScaleCrop>false</ScaleCrop>
  <LinksUpToDate>false</LinksUpToDate>
  <CharactersWithSpaces>16982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2019-07-31T09:27:00Z</dcterms:created>
  <dc:creator>China</dc:creator>
  <cp:lastModifiedBy>WPS_1694424414</cp:lastModifiedBy>
  <dcterms:modified xsi:type="dcterms:W3CDTF">2024-10-30T02:51:56Z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1A33046C625146EFAAD09CC34A54A5DB_13</vt:lpwstr>
  </property>
</Properties>
</file>