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南通市海门区2022年省以上现代农业发展特色优势种苗中心项目申报申报指南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: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南通市海门区</w:t>
      </w:r>
      <w:r>
        <w:rPr>
          <w:rFonts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年省以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特色优势种苗中心项目</w:t>
      </w:r>
      <w:r>
        <w:rPr>
          <w:rFonts w:hint="eastAsia" w:ascii="仿宋_GB2312" w:eastAsia="仿宋_GB2312"/>
          <w:color w:val="000000"/>
          <w:sz w:val="32"/>
          <w:szCs w:val="32"/>
        </w:rPr>
        <w:t>申报指南如下：</w:t>
      </w:r>
    </w:p>
    <w:p>
      <w:pPr>
        <w:widowControl/>
        <w:spacing w:line="540" w:lineRule="exact"/>
        <w:ind w:firstLine="640" w:firstLineChars="200"/>
        <w:outlineLvl w:val="0"/>
        <w:rPr>
          <w:rStyle w:val="12"/>
          <w:rFonts w:ascii="楷体_GB2312" w:hAnsi="楷体_GB2312" w:eastAsia="楷体_GB2312" w:cs="Times New Roman"/>
          <w:b/>
          <w:bCs/>
          <w:sz w:val="32"/>
          <w:szCs w:val="32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sz w:val="32"/>
          <w:szCs w:val="32"/>
        </w:rPr>
        <w:t>（一）申报对象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海门区域内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省农业农村厅认定的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江苏特色优势种苗中心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（以省农业农村厅文件为准）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40" w:lineRule="exact"/>
        <w:ind w:firstLine="640" w:firstLineChars="200"/>
        <w:outlineLvl w:val="0"/>
        <w:rPr>
          <w:rStyle w:val="12"/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（二）申报条件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三年内未享受过同类项目财政补贴的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优势种苗中心可申报本项目。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楷体" w:hAnsi="楷体" w:eastAsia="楷体" w:cs="楷体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（三）扶持内容和环节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种植类：重点支持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特色优势种苗中心建设移动式苗床、播种等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蔬果集约化育苗设施设备。</w:t>
      </w:r>
    </w:p>
    <w:p>
      <w:pPr>
        <w:spacing w:line="540" w:lineRule="exac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养殖类：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特色优势种苗中心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建设疾病净化控制、育种追溯体系、环境控制、动物防疫生物安全等设施设备。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（四）补助标准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全区择优扶持2个，种植类和养殖类项目各1个，实行先建后补，省级财政补助资金原则上不超过项目总投资的50%，单个项目扶持总额不超过120万元。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（五）建设期限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项目立项后开工建设，原则上项目建设期不超过一年。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（六）申报提交材料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1.项目申报推荐书（附件 1）；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2.项目申报信用承诺书（附件 2）；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3.项目实施方案（附件 3）；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4.江苏特色优势种苗中心认定文件。</w:t>
      </w:r>
    </w:p>
    <w:p>
      <w:pPr>
        <w:pStyle w:val="2"/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Style w:val="12"/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Style w:val="12"/>
          <w:rFonts w:ascii="仿宋_GB2312" w:hAnsi="仿宋_GB2312" w:eastAsia="仿宋_GB2312" w:cs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Style w:val="12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：项目申报推荐书（参考格式）</w:t>
      </w:r>
    </w:p>
    <w:p>
      <w:pPr>
        <w:rPr>
          <w:rStyle w:val="12"/>
          <w:rFonts w:ascii="仿宋_GB2312" w:hAnsi="仿宋_GB2312" w:eastAsia="仿宋_GB2312" w:cs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Style w:val="12"/>
          <w:rFonts w:ascii="仿宋_GB2312" w:hAnsi="仿宋_GB2312" w:eastAsia="仿宋_GB2312" w:cs="仿宋_GB2312"/>
          <w:sz w:val="32"/>
          <w:szCs w:val="32"/>
        </w:rPr>
        <w:t>2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：项目申报信用承诺书（参考格式）</w:t>
      </w:r>
    </w:p>
    <w:p>
      <w:pPr>
        <w:rPr>
          <w:rStyle w:val="12"/>
          <w:rFonts w:ascii="仿宋_GB2312" w:hAnsi="仿宋_GB2312" w:eastAsia="仿宋_GB2312" w:cs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Style w:val="12"/>
          <w:rFonts w:ascii="仿宋_GB2312" w:hAnsi="仿宋_GB2312" w:eastAsia="仿宋_GB2312" w:cs="仿宋_GB2312"/>
          <w:sz w:val="32"/>
          <w:szCs w:val="32"/>
        </w:rPr>
        <w:t>3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：项目实施方案（参考格式）</w:t>
      </w:r>
    </w:p>
    <w:p>
      <w:pPr>
        <w:jc w:val="left"/>
        <w:rPr>
          <w:rStyle w:val="12"/>
          <w:rFonts w:ascii="仿宋_GB2312" w:hAnsi="仿宋_GB2312" w:eastAsia="仿宋_GB2312" w:cs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Style w:val="12"/>
          <w:rFonts w:ascii="仿宋_GB2312" w:hAnsi="仿宋_GB2312" w:eastAsia="仿宋_GB2312" w:cs="仿宋_GB2312"/>
          <w:sz w:val="32"/>
          <w:szCs w:val="32"/>
        </w:rPr>
        <w:t>4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：项目申报材料提交地点与联系方式</w:t>
      </w:r>
    </w:p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项目申报推荐书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（参考格式）</w:t>
      </w:r>
    </w:p>
    <w:p>
      <w:pPr>
        <w:spacing w:line="54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南通市海门区农业农村局：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根据苏财农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﹝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21﹞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号、苏农计</w:t>
      </w:r>
      <w:r>
        <w:rPr>
          <w:rFonts w:hint="eastAsia" w:ascii="仿宋_GB2312" w:hAnsi="仿宋_GB2312" w:eastAsia="仿宋_GB2312" w:cs="仿宋_GB2312"/>
          <w:sz w:val="32"/>
          <w:szCs w:val="32"/>
        </w:rPr>
        <w:t>﹝2021﹞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号、文件精神，我辖区内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（单位名称）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所申报的拟投资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万元（其中申报省级财政专项补助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万元）的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XXXXXXXXX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项目，经审核，符合申报要求，请予立项。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当地农业（农经）部门意见：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（公章）　　年　月　日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8522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当地政府（管委会）意见：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　　　　　　　　　（公章）　　年　月　日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项目申报信用承诺书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（参考格式）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22"/>
        <w:gridCol w:w="222"/>
        <w:gridCol w:w="1176"/>
        <w:gridCol w:w="1730"/>
        <w:gridCol w:w="1502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项目申报主体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项目总投资额或执行额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万元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财政资金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项目所在地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项目责任人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项目申报主体承诺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 xml:space="preserve">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本单位（本人）近三年信用状况良好，无失信行为。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2.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本单位（本人）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所有申报材料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的真实性负责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3.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本项目申报的实施内容，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未享受过财政专项资金补贴。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0" w:type="auto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4.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专项资金将按规定使用。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5.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如违背以上承诺，愿意承担相关责任。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项目申报责任人（签名）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项目主体负责人（签名）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（单位公章）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/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附件3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年省以上转移支付农业项目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实施方案（参考格式）</w:t>
      </w:r>
    </w:p>
    <w:p>
      <w:pPr>
        <w:spacing w:line="5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专项名称：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工作任务名称：</w:t>
      </w: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实施项目名称：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实施单位（盖章）：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主管部门：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南通市海门区农业农村局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（盖章）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南通市海门区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（盖章）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填报时间：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江苏省农业农村厅制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一、实施范围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明确项目实施的区域范围或地点，地点要细化到县、乡、村。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二、实施内容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分项描述项目主要实施内容。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........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三、经费预算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（一）资金来源。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项目总投资（入）资金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万元，其中：中央财政补助资金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万元，省级财政补助资金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万元，市县财政配套资金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万元，实施单位自筹资金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（二）明细预算。</w:t>
      </w:r>
    </w:p>
    <w:p>
      <w:pPr>
        <w:spacing w:line="54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单位：万元</w:t>
      </w:r>
    </w:p>
    <w:tbl>
      <w:tblPr>
        <w:tblStyle w:val="7"/>
        <w:tblpPr w:leftFromText="180" w:rightFromText="180" w:vertAnchor="text" w:horzAnchor="page" w:tblpX="1225" w:tblpY="287"/>
        <w:tblOverlap w:val="never"/>
        <w:tblW w:w="9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307"/>
        <w:gridCol w:w="1583"/>
        <w:gridCol w:w="1633"/>
        <w:gridCol w:w="1617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72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实施内容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中央财政补助资金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省级财政补助资金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市县财政补助资金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实施单位自筹资金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72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72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72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72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    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（三）支出经济科目明细表（不做硬性填写要求）。</w:t>
      </w:r>
    </w:p>
    <w:p>
      <w:pPr>
        <w:widowControl/>
        <w:spacing w:line="540" w:lineRule="exact"/>
        <w:jc w:val="right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单位：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</w:p>
    <w:tbl>
      <w:tblPr>
        <w:tblStyle w:val="6"/>
        <w:tblW w:w="10079" w:type="dxa"/>
        <w:tblInd w:w="-7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7"/>
        <w:gridCol w:w="700"/>
        <w:gridCol w:w="466"/>
        <w:gridCol w:w="567"/>
        <w:gridCol w:w="467"/>
        <w:gridCol w:w="450"/>
        <w:gridCol w:w="483"/>
        <w:gridCol w:w="483"/>
        <w:gridCol w:w="417"/>
        <w:gridCol w:w="567"/>
        <w:gridCol w:w="466"/>
        <w:gridCol w:w="500"/>
        <w:gridCol w:w="467"/>
        <w:gridCol w:w="600"/>
        <w:gridCol w:w="483"/>
        <w:gridCol w:w="800"/>
        <w:gridCol w:w="11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实施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小计</w:t>
            </w:r>
          </w:p>
        </w:tc>
        <w:tc>
          <w:tcPr>
            <w:tcW w:w="721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商品和服务支出科目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其他资本性支出科目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会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议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培训费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印刷费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咨询费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水电费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邮电费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差旅费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维修（护）费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租赁费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专用材料费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劳务费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委托业务费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……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其他商品和服务支出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专用设备购置费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79" w:type="dxa"/>
            <w:gridSpan w:val="17"/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  <w:p>
            <w:pPr>
              <w:widowControl/>
              <w:spacing w:line="5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备注：经济分类科目参见《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年政府收支分类科目》。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 xml:space="preserve"> </w:t>
            </w:r>
          </w:p>
        </w:tc>
      </w:tr>
    </w:tbl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四、实施进度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本项目实施期限为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年，时间自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月起至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月止，实施进度安排如下：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........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五、绩效目标</w:t>
      </w:r>
    </w:p>
    <w:tbl>
      <w:tblPr>
        <w:tblStyle w:val="6"/>
        <w:tblpPr w:leftFromText="180" w:rightFromText="180" w:vertAnchor="text" w:horzAnchor="page" w:tblpX="920" w:tblpY="119"/>
        <w:tblOverlap w:val="never"/>
        <w:tblW w:w="10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550"/>
        <w:gridCol w:w="2287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绩效目标类型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绩效目标名称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分为：数量指标、质量指标、效益指标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...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六、组织管理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（一）项目组成员（其中明确项目联系人及联系方式）</w:t>
      </w:r>
    </w:p>
    <w:p>
      <w:pPr>
        <w:spacing w:line="5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（二）管理责任人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cols w:space="720" w:num="1"/>
          <w:docGrid w:type="linesAndChars" w:linePitch="319" w:charSpace="0"/>
        </w:sectPr>
      </w:pPr>
    </w:p>
    <w:p>
      <w:pPr>
        <w:spacing w:line="54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6"/>
        <w:tblW w:w="14958" w:type="dxa"/>
        <w:tblInd w:w="-1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158"/>
        <w:gridCol w:w="2300"/>
        <w:gridCol w:w="1540"/>
        <w:gridCol w:w="1800"/>
        <w:gridCol w:w="2520"/>
        <w:gridCol w:w="2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附件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项目申报材料提交地点与联系方式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南通市海门区农业农村局相关业务对应科站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特色优势种苗中心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建设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科技教育科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袁媛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18260580518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instrText xml:space="preserve"> HYPERLINK "mailto:hmcyk1529@163.com" </w:instrTex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hmkjjyk@163.com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eastAsia="仿宋_GB2312"/>
                <w:szCs w:val="21"/>
              </w:rPr>
              <w:t>行政中心</w:t>
            </w:r>
            <w:r>
              <w:rPr>
                <w:rFonts w:ascii="仿宋_GB2312" w:eastAsia="仿宋_GB2312"/>
                <w:szCs w:val="21"/>
              </w:rPr>
              <w:t>15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</w:t>
            </w:r>
          </w:p>
        </w:tc>
      </w:tr>
    </w:tbl>
    <w:p>
      <w:pPr>
        <w:widowControl/>
        <w:spacing w:line="540" w:lineRule="exact"/>
        <w:jc w:val="left"/>
      </w:pPr>
    </w:p>
    <w:p>
      <w:pPr>
        <w:pStyle w:val="2"/>
      </w:pPr>
    </w:p>
    <w:sectPr>
      <w:headerReference r:id="rId5" w:type="default"/>
      <w:footerReference r:id="rId6" w:type="default"/>
      <w:pgSz w:w="16838" w:h="11906" w:orient="landscape"/>
      <w:pgMar w:top="1916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26</w:t>
    </w:r>
    <w:r>
      <w:rPr>
        <w:lang w:val="zh-CN"/>
      </w:rPr>
      <w:fldChar w:fldCharType="end"/>
    </w:r>
  </w:p>
  <w:p>
    <w:pPr>
      <w:pStyle w:val="4"/>
      <w:ind w:right="271" w:rightChars="129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26</w:t>
    </w:r>
    <w:r>
      <w:rPr>
        <w:lang w:val="zh-CN"/>
      </w:rPr>
      <w:fldChar w:fldCharType="end"/>
    </w:r>
  </w:p>
  <w:p>
    <w:pPr>
      <w:pStyle w:val="4"/>
      <w:ind w:right="271" w:rightChars="129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RlZmFkYTRhMGNkMjQzZTdkMThlNWU2NTQ1M2ZhMzYifQ=="/>
  </w:docVars>
  <w:rsids>
    <w:rsidRoot w:val="00557719"/>
    <w:rsid w:val="00365B64"/>
    <w:rsid w:val="00557719"/>
    <w:rsid w:val="00561312"/>
    <w:rsid w:val="0064574C"/>
    <w:rsid w:val="00656870"/>
    <w:rsid w:val="00E42566"/>
    <w:rsid w:val="015E7D80"/>
    <w:rsid w:val="021F73F0"/>
    <w:rsid w:val="02780B21"/>
    <w:rsid w:val="02A447A0"/>
    <w:rsid w:val="0343168D"/>
    <w:rsid w:val="065345F9"/>
    <w:rsid w:val="074958E1"/>
    <w:rsid w:val="0A2E33DD"/>
    <w:rsid w:val="0A6942CF"/>
    <w:rsid w:val="0B8E5FB8"/>
    <w:rsid w:val="0BE856C8"/>
    <w:rsid w:val="0D951880"/>
    <w:rsid w:val="0F114F36"/>
    <w:rsid w:val="13E675EB"/>
    <w:rsid w:val="14584C8D"/>
    <w:rsid w:val="14972381"/>
    <w:rsid w:val="14BA5FFE"/>
    <w:rsid w:val="15267261"/>
    <w:rsid w:val="16A82624"/>
    <w:rsid w:val="16B96EF4"/>
    <w:rsid w:val="179A63FB"/>
    <w:rsid w:val="17E53404"/>
    <w:rsid w:val="17EC02EE"/>
    <w:rsid w:val="17F84EE5"/>
    <w:rsid w:val="1AE6371B"/>
    <w:rsid w:val="1B2B737F"/>
    <w:rsid w:val="1D08797C"/>
    <w:rsid w:val="1DE026A3"/>
    <w:rsid w:val="1E674719"/>
    <w:rsid w:val="1EBB57D3"/>
    <w:rsid w:val="1ECB622A"/>
    <w:rsid w:val="1F134CFA"/>
    <w:rsid w:val="20020FF7"/>
    <w:rsid w:val="207215AC"/>
    <w:rsid w:val="2144119B"/>
    <w:rsid w:val="220646A2"/>
    <w:rsid w:val="23234F5F"/>
    <w:rsid w:val="24082954"/>
    <w:rsid w:val="240D0981"/>
    <w:rsid w:val="259124D5"/>
    <w:rsid w:val="26E5387A"/>
    <w:rsid w:val="272C4BAB"/>
    <w:rsid w:val="285F4B0C"/>
    <w:rsid w:val="288C33AA"/>
    <w:rsid w:val="29FD638B"/>
    <w:rsid w:val="2B8632DE"/>
    <w:rsid w:val="2BCF3D57"/>
    <w:rsid w:val="2C98683F"/>
    <w:rsid w:val="2F224A9D"/>
    <w:rsid w:val="2F953976"/>
    <w:rsid w:val="303C64A5"/>
    <w:rsid w:val="307B625B"/>
    <w:rsid w:val="30E83749"/>
    <w:rsid w:val="3172765E"/>
    <w:rsid w:val="319876A1"/>
    <w:rsid w:val="31D864A7"/>
    <w:rsid w:val="3265206B"/>
    <w:rsid w:val="34777DA9"/>
    <w:rsid w:val="38F140E4"/>
    <w:rsid w:val="399E18ED"/>
    <w:rsid w:val="3BF16CD6"/>
    <w:rsid w:val="3F06588A"/>
    <w:rsid w:val="40711D34"/>
    <w:rsid w:val="41AA2E44"/>
    <w:rsid w:val="41AE46E3"/>
    <w:rsid w:val="42417305"/>
    <w:rsid w:val="43C86D42"/>
    <w:rsid w:val="45B93567"/>
    <w:rsid w:val="46A00372"/>
    <w:rsid w:val="46C2653A"/>
    <w:rsid w:val="4783216D"/>
    <w:rsid w:val="483B2A48"/>
    <w:rsid w:val="48B819A3"/>
    <w:rsid w:val="48D569F9"/>
    <w:rsid w:val="48DF3EBD"/>
    <w:rsid w:val="4B0E7FA0"/>
    <w:rsid w:val="4C1260C3"/>
    <w:rsid w:val="4F2002A2"/>
    <w:rsid w:val="4FB144B3"/>
    <w:rsid w:val="508D79DB"/>
    <w:rsid w:val="53514ECE"/>
    <w:rsid w:val="5367649F"/>
    <w:rsid w:val="56431446"/>
    <w:rsid w:val="56D41D62"/>
    <w:rsid w:val="571B5F1F"/>
    <w:rsid w:val="58337298"/>
    <w:rsid w:val="594D656A"/>
    <w:rsid w:val="597D4C6F"/>
    <w:rsid w:val="5B86011A"/>
    <w:rsid w:val="5CF54B1C"/>
    <w:rsid w:val="5E090662"/>
    <w:rsid w:val="5E28102D"/>
    <w:rsid w:val="5E343D6A"/>
    <w:rsid w:val="5EC331E6"/>
    <w:rsid w:val="60EC12EE"/>
    <w:rsid w:val="62EA0E9B"/>
    <w:rsid w:val="64A07A63"/>
    <w:rsid w:val="657E2009"/>
    <w:rsid w:val="65BD63F3"/>
    <w:rsid w:val="66AD46B9"/>
    <w:rsid w:val="670562A3"/>
    <w:rsid w:val="6866063C"/>
    <w:rsid w:val="68B8685D"/>
    <w:rsid w:val="69AA3132"/>
    <w:rsid w:val="6A3F7D1E"/>
    <w:rsid w:val="6A94006A"/>
    <w:rsid w:val="6EC10D02"/>
    <w:rsid w:val="70231548"/>
    <w:rsid w:val="70CA41F7"/>
    <w:rsid w:val="730B69EF"/>
    <w:rsid w:val="73740A39"/>
    <w:rsid w:val="73C60B68"/>
    <w:rsid w:val="78B673FD"/>
    <w:rsid w:val="7A796935"/>
    <w:rsid w:val="7ABE3EAC"/>
    <w:rsid w:val="7D3414B2"/>
    <w:rsid w:val="7DD7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link w:val="11"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Body Text Indent Char"/>
    <w:basedOn w:val="8"/>
    <w:link w:val="3"/>
    <w:semiHidden/>
    <w:qFormat/>
    <w:uiPriority w:val="99"/>
    <w:rPr>
      <w:rFonts w:ascii="Times New Roman" w:hAnsi="Times New Roman"/>
      <w:szCs w:val="24"/>
    </w:rPr>
  </w:style>
  <w:style w:type="character" w:customStyle="1" w:styleId="11">
    <w:name w:val="Body Text First Indent 2 Char"/>
    <w:basedOn w:val="10"/>
    <w:link w:val="2"/>
    <w:semiHidden/>
    <w:qFormat/>
    <w:uiPriority w:val="99"/>
  </w:style>
  <w:style w:type="character" w:customStyle="1" w:styleId="12">
    <w:name w:val="NormalCharacter"/>
    <w:semiHidden/>
    <w:qFormat/>
    <w:uiPriority w:val="99"/>
  </w:style>
  <w:style w:type="character" w:customStyle="1" w:styleId="13">
    <w:name w:val="15"/>
    <w:basedOn w:val="8"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22</Pages>
  <Words>8290</Words>
  <Characters>8849</Characters>
  <Lines>0</Lines>
  <Paragraphs>0</Paragraphs>
  <TotalTime>0</TotalTime>
  <ScaleCrop>false</ScaleCrop>
  <LinksUpToDate>false</LinksUpToDate>
  <CharactersWithSpaces>9125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2021-12-15T06:57:00Z</dcterms:created>
  <dc:creator>Administrator</dc:creator>
  <cp:lastModifiedBy>随遇而安</cp:lastModifiedBy>
  <cp:lastPrinted>2021-12-21T08:30:00Z</cp:lastPrinted>
  <dcterms:modified xsi:type="dcterms:W3CDTF">2022-04-29T02:17:48Z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A5C8FC06364841B8B7D64F6A46D5797D</vt:lpwstr>
  </property>
</Properties>
</file>