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eastAsia="方正小标宋简体"/>
          <w:sz w:val="32"/>
          <w:szCs w:val="32"/>
        </w:rPr>
      </w:pPr>
      <w:r>
        <w:rPr>
          <w:rFonts w:hint="eastAsia" w:ascii="方正小标宋简体" w:eastAsia="方正小标宋简体"/>
          <w:sz w:val="44"/>
          <w:szCs w:val="44"/>
        </w:rPr>
        <w:t>政 府 工 作 报 告</w:t>
      </w:r>
    </w:p>
    <w:p>
      <w:pPr>
        <w:spacing w:line="560" w:lineRule="exact"/>
        <w:jc w:val="center"/>
        <w:rPr>
          <w:rFonts w:ascii="楷体_GB2312" w:eastAsia="楷体_GB2312"/>
          <w:sz w:val="32"/>
          <w:szCs w:val="32"/>
        </w:rPr>
      </w:pPr>
      <w:r>
        <w:rPr>
          <w:rFonts w:hint="eastAsia" w:ascii="楷体_GB2312" w:hAnsi="新宋体" w:eastAsia="楷体_GB2312" w:cstheme="majorEastAsia"/>
          <w:sz w:val="32"/>
          <w:szCs w:val="32"/>
        </w:rPr>
        <w:t>——</w:t>
      </w:r>
      <w:r>
        <w:rPr>
          <w:rFonts w:hint="eastAsia" w:ascii="楷体_GB2312" w:eastAsia="楷体_GB2312"/>
          <w:sz w:val="32"/>
          <w:szCs w:val="32"/>
        </w:rPr>
        <w:t>2023年3月1日在三厂街道</w:t>
      </w:r>
    </w:p>
    <w:p>
      <w:pPr>
        <w:spacing w:line="560" w:lineRule="exact"/>
        <w:jc w:val="center"/>
        <w:rPr>
          <w:rFonts w:ascii="楷体_GB2312" w:eastAsia="楷体_GB2312"/>
          <w:sz w:val="32"/>
          <w:szCs w:val="32"/>
        </w:rPr>
      </w:pPr>
      <w:r>
        <w:rPr>
          <w:rFonts w:hint="eastAsia" w:ascii="楷体_GB2312" w:eastAsia="楷体_GB2312"/>
          <w:sz w:val="32"/>
          <w:szCs w:val="32"/>
        </w:rPr>
        <w:t>第二届选民代表大会第三次会议上的讲话</w:t>
      </w:r>
    </w:p>
    <w:p>
      <w:pPr>
        <w:spacing w:line="560" w:lineRule="exact"/>
        <w:jc w:val="center"/>
        <w:rPr>
          <w:rFonts w:ascii="楷体_GB2312" w:eastAsia="楷体_GB2312"/>
          <w:sz w:val="32"/>
          <w:szCs w:val="32"/>
        </w:rPr>
      </w:pPr>
      <w:r>
        <w:rPr>
          <w:rFonts w:hint="eastAsia" w:ascii="楷体_GB2312" w:eastAsia="楷体_GB2312"/>
          <w:sz w:val="32"/>
          <w:szCs w:val="32"/>
        </w:rPr>
        <w:t>三厂街道办事处主任  张凯华</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各位代表：</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现在，我代表南通市海门区人民政府三厂街道办事处向大家报告工作，请予以审议，并请其他列席人员提出意见。</w:t>
      </w:r>
    </w:p>
    <w:p>
      <w:pPr>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一、2022年工作回顾</w:t>
      </w:r>
    </w:p>
    <w:p>
      <w:pPr>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年</w:t>
      </w:r>
      <w:r>
        <w:rPr>
          <w:rFonts w:hint="eastAsia" w:ascii="仿宋_GB2312" w:hAnsi="仿宋" w:eastAsia="仿宋_GB2312"/>
          <w:sz w:val="32"/>
          <w:szCs w:val="32"/>
        </w:rPr>
        <w:t>，面对世纪疫情和百年变局交织叠加的严峻形势，三厂街道办事处坚持以习近平新时代中国特色社会主义思想为指导，在区委区政府和街道党</w:t>
      </w:r>
      <w:bookmarkStart w:id="0" w:name="_GoBack"/>
      <w:bookmarkEnd w:id="0"/>
      <w:r>
        <w:rPr>
          <w:rFonts w:hint="eastAsia" w:ascii="仿宋_GB2312" w:hAnsi="仿宋" w:eastAsia="仿宋_GB2312"/>
          <w:sz w:val="32"/>
          <w:szCs w:val="32"/>
        </w:rPr>
        <w:t>工委的正确领导下，团结带领街道办事处班子成员和广大干部群众，紧紧围绕海门“全力打造社会主义现代化建设示范区”的奋斗目标，突出生态赋能、创新转型，团结拼搏、真抓实干，全面实施</w:t>
      </w:r>
      <w:r>
        <w:rPr>
          <w:rFonts w:hint="eastAsia" w:ascii="仿宋_GB2312" w:eastAsia="仿宋_GB2312"/>
          <w:sz w:val="32"/>
          <w:szCs w:val="32"/>
        </w:rPr>
        <w:t>“六大专项行动”，</w:t>
      </w:r>
      <w:r>
        <w:rPr>
          <w:rFonts w:hint="eastAsia" w:ascii="仿宋_GB2312" w:hAnsi="仿宋" w:eastAsia="仿宋_GB2312"/>
          <w:sz w:val="32"/>
          <w:szCs w:val="32"/>
        </w:rPr>
        <w:t xml:space="preserve">在全区综合考核中跻身“先进区镇”行列，较好完成全年发展主要目标任务，经济社会高质量发展取得了新的显著成果。现将主要工作汇报如下： </w:t>
      </w:r>
    </w:p>
    <w:p>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（一）质效并举推动经济平稳增长。</w:t>
      </w:r>
      <w:r>
        <w:rPr>
          <w:rFonts w:hint="eastAsia" w:ascii="仿宋_GB2312" w:hAnsi="仿宋" w:eastAsia="仿宋_GB2312"/>
          <w:sz w:val="32"/>
          <w:szCs w:val="32"/>
        </w:rPr>
        <w:t>全年高质量考核位居园区组第一。</w:t>
      </w:r>
      <w:r>
        <w:rPr>
          <w:rFonts w:hint="eastAsia" w:ascii="仿宋_GB2312" w:eastAsia="仿宋_GB2312"/>
          <w:sz w:val="32"/>
          <w:szCs w:val="32"/>
        </w:rPr>
        <w:t>全年完成工业应税销售99.8亿元，同比增长27%；实现工业入库税金4.73亿元，同比增长13.3%；完成一般公共预算收入3.42亿元，同比增长18.3%。实际到账外资2515万美元，同比增长41.6%。全年规上服务业重点行业营业收入增幅达42.3%。全年新增规模工业企业5家，服务业企业8家，批零住餐企业9家，建筑业1家，房地产业1家。</w:t>
      </w:r>
    </w:p>
    <w:p>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（二）扶优培强厚植区域竞争优势。</w:t>
      </w:r>
      <w:r>
        <w:rPr>
          <w:rFonts w:hint="eastAsia" w:ascii="仿宋_GB2312" w:eastAsia="仿宋_GB2312"/>
          <w:sz w:val="32"/>
          <w:szCs w:val="32"/>
        </w:rPr>
        <w:t>53家规模企业中，13家企业应税销售收入已超亿元。容汇锂业全年应税销售突破30亿元，入库税金达2.8亿元。百强企业保持在15家以上。企业上市板块雏形初现，容汇锂业已报会，进入证监会审批环节，慧聚药业、埃夫科纳即将报会。全年新开工重大产业项目2个。新开工“专精特新”项目2个。重大产业项目安姆普客矿机、天承光电项目达产。完成盘活土地106.83亩。</w:t>
      </w:r>
    </w:p>
    <w:p>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（三）改革创新推进产业转型升级。</w:t>
      </w:r>
      <w:r>
        <w:rPr>
          <w:rFonts w:hint="eastAsia" w:ascii="仿宋_GB2312" w:eastAsia="仿宋_GB2312"/>
          <w:sz w:val="32"/>
          <w:szCs w:val="32"/>
        </w:rPr>
        <w:t>全年新申报高新技术企业7家，完成技术合同登记额5.5亿元以上。全年完成35家科技型中小企业入库、7000万知识产权质押。4个人才项目参加东洲智荟路演。慧聚药业、容汇锂业获评国家级“专精特新”小巨人企业。慧聚药业邱小龙博士获省青年科技杰出贡献奖。瑞一医药、埃夫科纳、海发水处理成功入选省级</w:t>
      </w:r>
      <w:r>
        <w:rPr>
          <w:rFonts w:hint="eastAsia" w:ascii="仿宋_GB2312" w:eastAsia="仿宋_GB2312"/>
          <w:sz w:val="32"/>
          <w:szCs w:val="32"/>
          <w:lang w:eastAsia="zh-CN"/>
        </w:rPr>
        <w:t>专精特新“小巨人”</w:t>
      </w:r>
      <w:r>
        <w:rPr>
          <w:rFonts w:hint="eastAsia" w:ascii="仿宋_GB2312" w:eastAsia="仿宋_GB2312"/>
          <w:sz w:val="32"/>
          <w:szCs w:val="32"/>
        </w:rPr>
        <w:t>企业。容汇锂业入围江苏省首批106家绿色发展领军企业。慧聚药业入选江苏省创新型领军企业。广海检测成为中国轻工业食品安全质量服务重点实验室依托单位。常海食品、维柏思特2家企业技术中心获评省级研发平台。科技研发实力厚积薄发，国家级创新药研究院、国家先进钢铁材料研究中心、国家级山羊产业研究院、省级动物健康产业研究院等产业研究中心上轨运行。</w:t>
      </w:r>
    </w:p>
    <w:p>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（四）统筹协调提升城乡品质内涵。</w:t>
      </w:r>
      <w:r>
        <w:rPr>
          <w:rFonts w:hint="eastAsia" w:ascii="仿宋_GB2312" w:eastAsia="仿宋_GB2312"/>
          <w:sz w:val="32"/>
          <w:szCs w:val="32"/>
        </w:rPr>
        <w:t>龙江花园二、三期、珑秀花园和文苑新村安置房已竣工交付。新东花园项目已基本竣工，已在验收阶段；钟楼新村（少先弄地块）完成摇号手续，已进入选房阶段；弘謇新村项目已完成土地出让，进入设计招标环节。拆除违建26起，拆除面积783.6平方米。深入推进农村人居环境整治，完成三棚、破旧建筑整治790户。完成乡村级河道疏浚10万方，新建乡级河道生态护岸6.96千米，集中整治河道485条。</w:t>
      </w:r>
    </w:p>
    <w:p>
      <w:pPr>
        <w:overflowPunct w:val="0"/>
        <w:autoSpaceDE w:val="0"/>
        <w:autoSpaceDN w:val="0"/>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（五）用心用情提高民生服务保障。</w:t>
      </w:r>
      <w:r>
        <w:rPr>
          <w:rFonts w:hint="eastAsia" w:ascii="仿宋_GB2312" w:eastAsia="仿宋_GB2312"/>
          <w:sz w:val="32"/>
          <w:szCs w:val="32"/>
        </w:rPr>
        <w:t>全力做好重点人员、重点领域、重点环节的管控工作，进一步筑牢疫情防控的“铜墙铁壁”。完成为民服务中心提档扩容工程，全年办理便民服务件25943件，承诺事项按时办结率100%。成功打造全市“15分钟医保服务圈”示范点。大力实施乡村振兴梯度培育计划，全面推进中兴村打造乡村振兴示范村、耀忠村打造生态宜居先进村。大生三厂工业研学基地（一期）和青龙港沿江风光带成功申报2022年全区文化产业重点项目。全年开展安全执法检查167家次，发现隐患问题512个，开出限期整改单98份，行政处罚8家单位。分类推进大气污染、水污染治理项目，完成省厅考核的34个入江排污口整治工作及2021年入江排污口回头看工作。</w:t>
      </w:r>
    </w:p>
    <w:p>
      <w:pPr>
        <w:overflowPunct w:val="0"/>
        <w:autoSpaceDE w:val="0"/>
        <w:autoSpaceDN w:val="0"/>
        <w:adjustRightInd w:val="0"/>
        <w:snapToGrid w:val="0"/>
        <w:spacing w:line="560" w:lineRule="exact"/>
        <w:ind w:firstLine="640" w:firstLineChars="200"/>
        <w:rPr>
          <w:rFonts w:ascii="仿宋_GB2312" w:eastAsia="仿宋_GB2312"/>
          <w:color w:val="FF0000"/>
          <w:sz w:val="32"/>
          <w:szCs w:val="32"/>
        </w:rPr>
      </w:pPr>
      <w:r>
        <w:rPr>
          <w:rFonts w:hint="eastAsia" w:ascii="楷体_GB2312" w:eastAsia="楷体_GB2312"/>
          <w:sz w:val="32"/>
          <w:szCs w:val="32"/>
        </w:rPr>
        <w:t>（六）以民为本深化基层社会治理。</w:t>
      </w:r>
      <w:r>
        <w:rPr>
          <w:rFonts w:hint="eastAsia" w:ascii="仿宋_GB2312" w:eastAsia="仿宋_GB2312"/>
          <w:sz w:val="32"/>
          <w:szCs w:val="32"/>
        </w:rPr>
        <w:t>充分发挥现代化指挥中心指挥调度作用，通过网格化走访、智能监控终端、12345热线等方式收集信息和综合研判，将问题进行跟踪闭环办理，使指挥中心真正成为基层社会治理“最强大脑”。持续推进信访事项攻坚化解行动，确保春节、冬奥会、两会等重点时段的平安稳定。2022年，园区共接待来访144批163人次，化解治理国治件2件，化解重点信访攻坚件4件。</w:t>
      </w:r>
    </w:p>
    <w:p>
      <w:pPr>
        <w:pStyle w:val="10"/>
        <w:adjustRightInd w:val="0"/>
        <w:spacing w:line="520" w:lineRule="exact"/>
        <w:ind w:firstLine="640"/>
        <w:rPr>
          <w:rFonts w:hint="eastAsia" w:ascii="仿宋_GB2312" w:hAnsi="仿宋" w:eastAsia="仿宋_GB2312"/>
          <w:szCs w:val="32"/>
        </w:rPr>
      </w:pPr>
      <w:r>
        <w:rPr>
          <w:rFonts w:hint="eastAsia" w:ascii="楷体_GB2312" w:hAnsi="仿宋" w:eastAsia="楷体_GB2312"/>
          <w:szCs w:val="32"/>
        </w:rPr>
        <w:t>（七）驰而不息加强政府自身建设。</w:t>
      </w:r>
      <w:r>
        <w:rPr>
          <w:rFonts w:hint="eastAsia" w:ascii="仿宋_GB2312" w:hAnsi="仿宋" w:eastAsia="仿宋_GB2312"/>
          <w:szCs w:val="32"/>
        </w:rPr>
        <w:t>坚持把党的领导落实到政府工作全过程各领域，深入学习宣传贯彻党的二十大精神，深刻领会“两个确立”的决定性意义，坚定不移用新思想武装头脑、指导实践。充分发扬民主集中制原则，落实“三重一大”制度，健全科学民主决策机制。自觉接受人大依法监督、政协民主监督、社会舆论监督，办理区人大代表建议21件，街道选民代表建议11件，代表票决民生实事工程6件。深入贯彻中央八项规定精神，严格控制“三公”经费支出。</w:t>
      </w:r>
      <w:r>
        <w:rPr>
          <w:rFonts w:ascii="仿宋_GB2312" w:hAnsi="仿宋" w:eastAsia="仿宋_GB2312"/>
          <w:szCs w:val="32"/>
        </w:rPr>
        <w:t>严格落实党风廉政建设和意识形态工作责任制，</w:t>
      </w:r>
      <w:r>
        <w:rPr>
          <w:rFonts w:hint="eastAsia" w:ascii="仿宋_GB2312" w:hAnsi="仿宋" w:eastAsia="仿宋_GB2312"/>
          <w:szCs w:val="32"/>
        </w:rPr>
        <w:t>坚决纠治“四风”，高质量抓好上级巡视巡察、督查督导问题整改，保持了风清气正的良好政治生态。</w:t>
      </w:r>
    </w:p>
    <w:p>
      <w:pPr>
        <w:overflowPunct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同时，街道统战、人武、统计、群团、老干部、老科协、关工委等工作均取得新进展，民政、双拥、妇女、儿童、青少年、计生、残联等各项事业迈上了新台阶。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位代表，看似寻常最奇崛，成如容易却艰辛，以上成绩的取得，是区委区政府和街道党工委正确领导的结果，是街道人大、政协工委有力监督、大力支持的结果，也是广大人民群众团结拼搏、开拓创新的结果。在此，我谨代表三厂街道办事处，向三厂人民，向各位人大代表、政协委员和离退休老同志，向长期关心、支持、参与三厂发展的领导、朋友及社会各界人士，致以衷心的感谢和崇高的敬意！</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取得成绩的同时，我们也认识到当前工作中存在的问题和不足：经济快速增长面临较大压力，功能板块的支撑和引领作用尚需提升；项目建设特别是重特大项目推进力度不够；乡村振兴战略需要进一步深化；城市功能品质与首善之区的定位尚有距离；信访维稳形势依然严峻等等。对这些问题和不足，我们将保持警醒、勇于面对，积极努力解决。</w:t>
      </w:r>
    </w:p>
    <w:p>
      <w:pPr>
        <w:spacing w:line="560" w:lineRule="exact"/>
        <w:ind w:firstLine="2400" w:firstLineChars="750"/>
        <w:rPr>
          <w:rFonts w:hint="eastAsia" w:ascii="黑体" w:hAnsi="黑体" w:eastAsia="黑体"/>
          <w:sz w:val="32"/>
          <w:szCs w:val="32"/>
        </w:rPr>
      </w:pPr>
      <w:r>
        <w:rPr>
          <w:rFonts w:hint="eastAsia" w:ascii="黑体" w:hAnsi="黑体" w:eastAsia="黑体"/>
          <w:sz w:val="32"/>
          <w:szCs w:val="32"/>
        </w:rPr>
        <w:t>二、2023年主要工作</w:t>
      </w:r>
    </w:p>
    <w:p>
      <w:pPr>
        <w:spacing w:line="560" w:lineRule="exact"/>
        <w:ind w:firstLine="640" w:firstLineChars="200"/>
        <w:rPr>
          <w:rFonts w:ascii="仿宋_GB2312" w:hAnsi="Calibri" w:eastAsia="仿宋_GB2312"/>
          <w:sz w:val="32"/>
          <w:szCs w:val="36"/>
        </w:rPr>
      </w:pPr>
      <w:r>
        <w:rPr>
          <w:rFonts w:hint="eastAsia" w:ascii="仿宋_GB2312" w:hAnsi="Calibri" w:eastAsia="仿宋_GB2312"/>
          <w:sz w:val="32"/>
          <w:szCs w:val="36"/>
        </w:rPr>
        <w:t>2023年，是深入贯彻落实党的二十大精神的开局之年，也是经历三年疫情后经济全面复苏的起步之年、关键之年，三厂工业园区将深入贯彻落实党的二十大精神，全面贯彻区委十五届五次全会精神，紧紧围绕</w:t>
      </w:r>
      <w:r>
        <w:rPr>
          <w:rFonts w:hint="eastAsia" w:ascii="仿宋_GB2312" w:hAnsi="Calibri" w:eastAsia="仿宋_GB2312"/>
          <w:b/>
          <w:sz w:val="32"/>
          <w:szCs w:val="36"/>
        </w:rPr>
        <w:t>“一核”、“三高”</w:t>
      </w:r>
      <w:r>
        <w:rPr>
          <w:rFonts w:hint="eastAsia" w:ascii="仿宋_GB2312" w:hAnsi="Calibri" w:eastAsia="仿宋_GB2312"/>
          <w:sz w:val="32"/>
          <w:szCs w:val="36"/>
        </w:rPr>
        <w:t>、</w:t>
      </w:r>
      <w:r>
        <w:rPr>
          <w:rFonts w:hint="eastAsia" w:ascii="仿宋_GB2312" w:hAnsi="Calibri" w:eastAsia="仿宋_GB2312"/>
          <w:b/>
          <w:sz w:val="32"/>
          <w:szCs w:val="36"/>
        </w:rPr>
        <w:t>“五前列”</w:t>
      </w:r>
      <w:r>
        <w:rPr>
          <w:rFonts w:hint="eastAsia" w:ascii="仿宋_GB2312" w:hAnsi="Calibri" w:eastAsia="仿宋_GB2312"/>
          <w:sz w:val="32"/>
          <w:szCs w:val="36"/>
        </w:rPr>
        <w:t>的总体布局，踔厉奋发、勇毅前行，积极推动历史人文、自然生态与实体经济的有机融合，重点打造青龙港片区，全力建设好海门城市“东大门”，为海门打造“一示范四城市”作出新的更大贡献。主要做好以下几方面工作：</w:t>
      </w:r>
    </w:p>
    <w:p>
      <w:pPr>
        <w:spacing w:line="560" w:lineRule="exact"/>
        <w:ind w:firstLine="640" w:firstLineChars="200"/>
        <w:jc w:val="left"/>
        <w:rPr>
          <w:rFonts w:hint="eastAsia" w:ascii="楷体_GB2312" w:hAnsi="楷体_GB2312" w:eastAsia="楷体_GB2312" w:cs="楷体_GB2312"/>
          <w:bCs/>
          <w:sz w:val="32"/>
          <w:szCs w:val="32"/>
        </w:rPr>
      </w:pPr>
      <w:r>
        <w:rPr>
          <w:rFonts w:hint="eastAsia" w:ascii="楷体_GB2312" w:hAnsi="仿宋" w:eastAsia="楷体_GB2312"/>
          <w:sz w:val="32"/>
          <w:szCs w:val="32"/>
        </w:rPr>
        <w:t>一要坚持生态赋能，在绿色发展、培大育强上寻求新突破。</w:t>
      </w:r>
      <w:r>
        <w:rPr>
          <w:rFonts w:hint="eastAsia" w:ascii="仿宋_GB2312" w:hAnsi="仿宋_GB2312" w:eastAsia="仿宋_GB2312" w:cs="仿宋_GB2312"/>
          <w:sz w:val="32"/>
          <w:szCs w:val="32"/>
        </w:rPr>
        <w:t>立足实体经济，强化企业支持作用，加大招商引资力度，持续激发市场活力，确保经济运行稳中向好。</w:t>
      </w:r>
      <w:r>
        <w:rPr>
          <w:rFonts w:hint="eastAsia" w:ascii="仿宋_GB2312" w:hAnsi="仿宋_GB2312" w:eastAsia="仿宋_GB2312" w:cs="仿宋_GB2312"/>
          <w:b/>
          <w:sz w:val="32"/>
          <w:szCs w:val="32"/>
        </w:rPr>
        <w:t>实施规模经济倍增工程。</w:t>
      </w:r>
      <w:r>
        <w:rPr>
          <w:rFonts w:hint="eastAsia" w:ascii="仿宋_GB2312" w:hAnsi="仿宋_GB2312" w:eastAsia="仿宋_GB2312" w:cs="仿宋_GB2312"/>
          <w:sz w:val="32"/>
          <w:szCs w:val="32"/>
        </w:rPr>
        <w:t>研究实施大企业“领航计划”，精准制定“一企一策”支持骨干企业稳产扩产，全方位服务好容汇锂业上市运作、项目推进等工作，加快涌现三厂第一个百亿企业；推动慧聚药业、常海食品、中兴装备全年应税销售突破10亿元；推动安姆普客、依科过滤、维柏思特、海发水处理等一批具有行业话语权企业进一步做大做强。力争今年新进骨干企业5家以上，增规模企业新增10家以上，百强企业保持在15个以上。</w:t>
      </w:r>
      <w:r>
        <w:rPr>
          <w:rFonts w:hint="eastAsia" w:ascii="仿宋_GB2312" w:hAnsi="Calibri" w:eastAsia="仿宋_GB2312"/>
          <w:b/>
          <w:sz w:val="32"/>
          <w:szCs w:val="36"/>
        </w:rPr>
        <w:t>实施片区深度开发工程</w:t>
      </w:r>
      <w:r>
        <w:rPr>
          <w:rFonts w:ascii="仿宋_GB2312" w:hAnsi="Calibri" w:eastAsia="仿宋_GB2312" w:cs="Times New Roman"/>
          <w:b/>
          <w:sz w:val="32"/>
          <w:szCs w:val="36"/>
        </w:rPr>
        <w:t>。</w:t>
      </w:r>
      <w:r>
        <w:rPr>
          <w:rFonts w:hint="eastAsia" w:ascii="仿宋_GB2312" w:hAnsi="仿宋_GB2312" w:eastAsia="仿宋_GB2312" w:cs="仿宋_GB2312"/>
          <w:sz w:val="32"/>
          <w:szCs w:val="32"/>
        </w:rPr>
        <w:t>加快实施青龙港片区空间再造、产业强链计划，整体推进</w:t>
      </w:r>
      <w:r>
        <w:rPr>
          <w:rFonts w:ascii="仿宋_GB2312" w:hAnsi="仿宋_GB2312" w:eastAsia="仿宋_GB2312" w:cs="仿宋_GB2312"/>
          <w:sz w:val="32"/>
          <w:szCs w:val="32"/>
        </w:rPr>
        <w:t>青龙港南北</w:t>
      </w:r>
      <w:r>
        <w:rPr>
          <w:rFonts w:hint="eastAsia" w:ascii="仿宋_GB2312" w:hAnsi="仿宋_GB2312" w:eastAsia="仿宋_GB2312" w:cs="仿宋_GB2312"/>
          <w:sz w:val="32"/>
          <w:szCs w:val="32"/>
        </w:rPr>
        <w:t>双</w:t>
      </w:r>
      <w:r>
        <w:rPr>
          <w:rFonts w:ascii="仿宋_GB2312" w:hAnsi="仿宋_GB2312" w:eastAsia="仿宋_GB2312" w:cs="仿宋_GB2312"/>
          <w:sz w:val="32"/>
          <w:szCs w:val="32"/>
        </w:rPr>
        <w:t>区总体规</w:t>
      </w:r>
      <w:r>
        <w:rPr>
          <w:rFonts w:ascii="仿宋_GB2312" w:hAnsi="Calibri" w:eastAsia="仿宋_GB2312" w:cs="Times New Roman"/>
          <w:sz w:val="32"/>
          <w:szCs w:val="36"/>
        </w:rPr>
        <w:t>划</w:t>
      </w:r>
      <w:r>
        <w:rPr>
          <w:rFonts w:hint="eastAsia" w:ascii="仿宋_GB2312" w:hAnsi="Calibri" w:eastAsia="仿宋_GB2312" w:cs="Times New Roman"/>
          <w:sz w:val="32"/>
          <w:szCs w:val="36"/>
        </w:rPr>
        <w:t>建设</w:t>
      </w:r>
      <w:r>
        <w:rPr>
          <w:rFonts w:ascii="仿宋_GB2312" w:hAnsi="Calibri" w:eastAsia="仿宋_GB2312" w:cs="Times New Roman"/>
          <w:sz w:val="32"/>
          <w:szCs w:val="36"/>
        </w:rPr>
        <w:t>。全年力争落地重特大项目4</w:t>
      </w:r>
      <w:r>
        <w:rPr>
          <w:rFonts w:ascii="仿宋_GB2312" w:hAnsi="Calibri" w:eastAsia="仿宋_GB2312"/>
          <w:sz w:val="32"/>
          <w:szCs w:val="36"/>
        </w:rPr>
        <w:t>个以上。</w:t>
      </w:r>
      <w:r>
        <w:rPr>
          <w:rFonts w:ascii="仿宋_GB2312" w:hAnsi="Calibri" w:eastAsia="仿宋_GB2312" w:cs="Times New Roman"/>
          <w:sz w:val="32"/>
          <w:szCs w:val="36"/>
        </w:rPr>
        <w:t>加快推动容汇锂业投资30亿元</w:t>
      </w:r>
      <w:r>
        <w:rPr>
          <w:rFonts w:hint="eastAsia" w:ascii="仿宋_GB2312" w:hAnsi="Calibri" w:eastAsia="仿宋_GB2312"/>
          <w:sz w:val="32"/>
          <w:szCs w:val="36"/>
        </w:rPr>
        <w:t>的</w:t>
      </w:r>
      <w:r>
        <w:rPr>
          <w:rFonts w:ascii="仿宋_GB2312" w:hAnsi="Calibri" w:eastAsia="仿宋_GB2312" w:cs="Times New Roman"/>
          <w:sz w:val="32"/>
          <w:szCs w:val="36"/>
        </w:rPr>
        <w:t>3万吨电池级碳酸锂</w:t>
      </w:r>
      <w:r>
        <w:rPr>
          <w:rFonts w:hint="eastAsia" w:ascii="仿宋_GB2312" w:hAnsi="Calibri" w:eastAsia="仿宋_GB2312" w:cs="Times New Roman"/>
          <w:sz w:val="32"/>
          <w:szCs w:val="36"/>
        </w:rPr>
        <w:t>、</w:t>
      </w:r>
      <w:r>
        <w:rPr>
          <w:rFonts w:ascii="仿宋_GB2312" w:hAnsi="Calibri" w:eastAsia="仿宋_GB2312" w:cs="Times New Roman"/>
          <w:sz w:val="32"/>
          <w:szCs w:val="36"/>
        </w:rPr>
        <w:t>慧聚药业国家级创新药实验室</w:t>
      </w:r>
      <w:r>
        <w:rPr>
          <w:rFonts w:hint="eastAsia" w:ascii="仿宋_GB2312" w:hAnsi="Calibri" w:eastAsia="仿宋_GB2312" w:cs="Times New Roman"/>
          <w:sz w:val="32"/>
          <w:szCs w:val="36"/>
        </w:rPr>
        <w:t>、</w:t>
      </w:r>
      <w:r>
        <w:rPr>
          <w:rFonts w:ascii="仿宋_GB2312" w:hAnsi="Calibri" w:eastAsia="仿宋_GB2312" w:cs="Times New Roman"/>
          <w:sz w:val="32"/>
          <w:szCs w:val="36"/>
        </w:rPr>
        <w:t>乐轻食品土建工程</w:t>
      </w:r>
      <w:r>
        <w:rPr>
          <w:rFonts w:hint="eastAsia" w:ascii="仿宋_GB2312" w:hAnsi="Calibri" w:eastAsia="仿宋_GB2312" w:cs="Times New Roman"/>
          <w:sz w:val="32"/>
          <w:szCs w:val="36"/>
        </w:rPr>
        <w:t>、</w:t>
      </w:r>
      <w:r>
        <w:rPr>
          <w:rFonts w:ascii="仿宋_GB2312" w:hAnsi="Calibri" w:eastAsia="仿宋_GB2312" w:cs="Times New Roman"/>
          <w:sz w:val="32"/>
          <w:szCs w:val="36"/>
        </w:rPr>
        <w:t>94亩三江高科产业园（东盛之花）</w:t>
      </w:r>
      <w:r>
        <w:rPr>
          <w:rFonts w:hint="eastAsia" w:ascii="仿宋_GB2312" w:hAnsi="Calibri" w:eastAsia="仿宋_GB2312" w:cs="Times New Roman"/>
          <w:sz w:val="32"/>
          <w:szCs w:val="36"/>
        </w:rPr>
        <w:t>建设</w:t>
      </w:r>
      <w:r>
        <w:rPr>
          <w:rFonts w:hint="eastAsia" w:ascii="仿宋_GB2312" w:hAnsi="Calibri" w:eastAsia="仿宋_GB2312"/>
          <w:sz w:val="32"/>
          <w:szCs w:val="36"/>
        </w:rPr>
        <w:t>。</w:t>
      </w:r>
      <w:r>
        <w:rPr>
          <w:rFonts w:hint="eastAsia" w:ascii="仿宋_GB2312" w:hAnsi="仿宋_GB2312" w:eastAsia="仿宋_GB2312" w:cs="仿宋_GB2312"/>
          <w:b/>
          <w:sz w:val="32"/>
          <w:szCs w:val="32"/>
        </w:rPr>
        <w:t>实施总部经济集聚工程。</w:t>
      </w:r>
      <w:r>
        <w:rPr>
          <w:rFonts w:hint="eastAsia" w:ascii="仿宋_GB2312" w:hAnsi="仿宋_GB2312" w:eastAsia="仿宋_GB2312" w:cs="仿宋_GB2312"/>
          <w:sz w:val="32"/>
          <w:szCs w:val="32"/>
        </w:rPr>
        <w:t>着力协调解决埃夫科纳物料存储问题，推动埃夫科纳向“科研+总部”转型，打造长三角涂料助剂总部，筹建全球科研中心；加快瑞一医药建立研发总部经济。重点关注并支持开美化学、贝斯特化工、飞拓界面等已关停企业在外发展情况，研究出台企业回流政策，吸聚一批总部型、创新型、上市型企业在三厂落地生根。</w:t>
      </w:r>
    </w:p>
    <w:p>
      <w:pPr>
        <w:spacing w:line="560" w:lineRule="exact"/>
        <w:ind w:firstLine="640" w:firstLineChars="200"/>
        <w:jc w:val="left"/>
        <w:rPr>
          <w:rFonts w:hint="eastAsia" w:ascii="仿宋_GB2312" w:hAnsi="仿宋_GB2312" w:eastAsia="仿宋_GB2312" w:cs="仿宋_GB2312"/>
          <w:sz w:val="32"/>
          <w:szCs w:val="32"/>
        </w:rPr>
      </w:pPr>
      <w:r>
        <w:rPr>
          <w:rFonts w:hint="eastAsia" w:ascii="楷体_GB2312" w:hAnsi="仿宋" w:eastAsia="楷体_GB2312"/>
          <w:sz w:val="32"/>
          <w:szCs w:val="32"/>
        </w:rPr>
        <w:t>二要坚持创新驱动，在集链成群、转换动能上寻求新突破。</w:t>
      </w:r>
      <w:r>
        <w:rPr>
          <w:rFonts w:hint="eastAsia" w:ascii="仿宋_GB2312" w:hAnsi="Calibri" w:eastAsia="仿宋_GB2312" w:cs="Times New Roman"/>
          <w:sz w:val="32"/>
          <w:szCs w:val="36"/>
        </w:rPr>
        <w:t>以打造</w:t>
      </w:r>
      <w:r>
        <w:rPr>
          <w:rFonts w:hint="eastAsia" w:ascii="仿宋_GB2312" w:hAnsi="仿宋_GB2312" w:eastAsia="仿宋_GB2312" w:cs="仿宋_GB2312"/>
          <w:sz w:val="32"/>
          <w:szCs w:val="32"/>
        </w:rPr>
        <w:t>沿江科创带重要支点为目标，着力完善科技创新体系，增强创新发展动力。</w:t>
      </w:r>
      <w:r>
        <w:rPr>
          <w:rFonts w:hint="eastAsia" w:ascii="仿宋_GB2312" w:hAnsi="仿宋_GB2312" w:eastAsia="仿宋_GB2312" w:cs="仿宋_GB2312"/>
          <w:b/>
          <w:sz w:val="32"/>
          <w:szCs w:val="32"/>
        </w:rPr>
        <w:t>着力培育高水平科创团队。</w:t>
      </w:r>
      <w:r>
        <w:rPr>
          <w:rFonts w:hint="eastAsia" w:ascii="仿宋_GB2312" w:hAnsi="仿宋_GB2312" w:eastAsia="仿宋_GB2312" w:cs="仿宋_GB2312"/>
          <w:sz w:val="32"/>
          <w:szCs w:val="32"/>
        </w:rPr>
        <w:t>全面落实落细人才新政“35条”，努力培育一批领军人才、产业人才、行业人才、青年人才，推动以容汇锂业、中兴装备、慧聚药业等为首的领军企业建成高水平创新团队。力争培育1-2个国家级</w:t>
      </w:r>
      <w:r>
        <w:rPr>
          <w:rFonts w:hint="eastAsia" w:ascii="仿宋_GB2312" w:hAnsi="仿宋_GB2312" w:eastAsia="仿宋_GB2312" w:cs="仿宋_GB2312"/>
          <w:sz w:val="32"/>
          <w:szCs w:val="32"/>
          <w:lang w:eastAsia="zh-CN"/>
        </w:rPr>
        <w:t>专精特新“小巨人”</w:t>
      </w:r>
      <w:r>
        <w:rPr>
          <w:rFonts w:hint="eastAsia" w:ascii="仿宋_GB2312" w:hAnsi="仿宋_GB2312" w:eastAsia="仿宋_GB2312" w:cs="仿宋_GB2312"/>
          <w:sz w:val="32"/>
          <w:szCs w:val="32"/>
        </w:rPr>
        <w:t>企业，创建至少1家省级以上技术中心，实施人才项目3个，全年实施省级以上科研项目3个以上，实施产学研项目20个以上，新品研发数15个以上。</w:t>
      </w:r>
      <w:r>
        <w:rPr>
          <w:rFonts w:hint="eastAsia" w:ascii="仿宋_GB2312" w:hAnsi="仿宋_GB2312" w:eastAsia="仿宋_GB2312" w:cs="仿宋_GB2312"/>
          <w:b/>
          <w:sz w:val="32"/>
          <w:szCs w:val="32"/>
        </w:rPr>
        <w:t>加快打造上市企业“三厂板块”。</w:t>
      </w:r>
      <w:r>
        <w:rPr>
          <w:rFonts w:hint="eastAsia" w:ascii="仿宋_GB2312" w:hAnsi="仿宋_GB2312" w:eastAsia="仿宋_GB2312" w:cs="仿宋_GB2312"/>
          <w:sz w:val="32"/>
          <w:szCs w:val="32"/>
        </w:rPr>
        <w:t>积极推动上市一批、前期辅导一批、启动股改一批、储备培育一批。加大协调力度，切实帮助企业解决上市过程中遇到的困难和问题，健全三厂上市企业培育库。力争容汇锂业今年上市，确保慧聚药业、埃夫科纳今年报会，跟踪服务好海发制药、中兴装备、安姆普客、恒丰强、常海食品、瑞一医药等企业上市进展情况，争取1-2家企业实现上市入轨。</w:t>
      </w:r>
      <w:r>
        <w:rPr>
          <w:rFonts w:hint="eastAsia" w:ascii="仿宋_GB2312" w:hAnsi="仿宋_GB2312" w:eastAsia="仿宋_GB2312" w:cs="仿宋_GB2312"/>
          <w:b/>
          <w:sz w:val="32"/>
          <w:szCs w:val="32"/>
        </w:rPr>
        <w:t>加速集聚优质科创项目。</w:t>
      </w:r>
      <w:r>
        <w:rPr>
          <w:rFonts w:hint="eastAsia" w:ascii="仿宋_GB2312" w:hAnsi="仿宋_GB2312" w:eastAsia="仿宋_GB2312" w:cs="仿宋_GB2312"/>
          <w:sz w:val="32"/>
          <w:szCs w:val="32"/>
        </w:rPr>
        <w:t>深入打造沿江科创带重要节点，促进产业链和创新链双向融合，同步推进重特大项目和科创项目招引工作，推动一批初创型、高产出型、专精特新型项目入驻，力争全年完成科创项目认定10个。完善企业创新和成长体制，加速形成雏鹰型、瞪</w:t>
      </w:r>
      <w:r>
        <w:rPr>
          <w:rFonts w:hint="eastAsia" w:ascii="宋体" w:hAnsi="宋体" w:eastAsia="宋体" w:cs="宋体"/>
          <w:sz w:val="32"/>
          <w:szCs w:val="32"/>
        </w:rPr>
        <w:t>昤</w:t>
      </w:r>
      <w:r>
        <w:rPr>
          <w:rFonts w:hint="eastAsia" w:ascii="仿宋_GB2312" w:hAnsi="仿宋_GB2312" w:eastAsia="仿宋_GB2312" w:cs="仿宋_GB2312"/>
          <w:sz w:val="32"/>
          <w:szCs w:val="32"/>
        </w:rPr>
        <w:t>型、独角兽型团队。</w:t>
      </w:r>
    </w:p>
    <w:p>
      <w:pPr>
        <w:spacing w:line="560" w:lineRule="exact"/>
        <w:ind w:firstLine="640" w:firstLineChars="200"/>
        <w:jc w:val="left"/>
        <w:rPr>
          <w:rFonts w:hint="eastAsia" w:ascii="仿宋_GB2312" w:hAnsi="仿宋_GB2312" w:eastAsia="仿宋_GB2312" w:cs="仿宋_GB2312"/>
          <w:sz w:val="32"/>
          <w:szCs w:val="32"/>
        </w:rPr>
      </w:pPr>
      <w:r>
        <w:rPr>
          <w:rFonts w:hint="eastAsia" w:ascii="楷体_GB2312" w:hAnsi="仿宋" w:eastAsia="楷体_GB2312"/>
          <w:sz w:val="32"/>
          <w:szCs w:val="32"/>
        </w:rPr>
        <w:t>三要彰显东城特色，在强化功能、提升品位上寻求新突破。</w:t>
      </w:r>
      <w:r>
        <w:rPr>
          <w:rFonts w:hint="eastAsia" w:ascii="仿宋_GB2312" w:hAnsi="仿宋_GB2312" w:eastAsia="仿宋_GB2312" w:cs="仿宋_GB2312"/>
          <w:sz w:val="32"/>
          <w:szCs w:val="32"/>
        </w:rPr>
        <w:t>统筹好城乡建设功能布局，充分发挥毗邻主城区优势，全面加快城市开发建设进程，着力构建“一体两翼”城市空间格局，让三厂的发展既有“研”值，更有“颜”值。</w:t>
      </w:r>
      <w:r>
        <w:rPr>
          <w:rFonts w:hint="eastAsia" w:ascii="仿宋_GB2312" w:hAnsi="仿宋_GB2312" w:eastAsia="仿宋_GB2312" w:cs="仿宋_GB2312"/>
          <w:b/>
          <w:bCs/>
          <w:sz w:val="32"/>
          <w:szCs w:val="32"/>
        </w:rPr>
        <w:t>中部老街更新区</w:t>
      </w:r>
      <w:r>
        <w:rPr>
          <w:rFonts w:hint="eastAsia" w:ascii="仿宋_GB2312" w:hAnsi="仿宋_GB2312" w:eastAsia="仿宋_GB2312" w:cs="仿宋_GB2312"/>
          <w:sz w:val="32"/>
          <w:szCs w:val="32"/>
        </w:rPr>
        <w:t>以中华路沿线为重点，推进老小区改造升级，加快建设沿河绿廊，让工业老街区焕发新风采。紧扣大生元素，升级改造“大生三厂”历史建筑群，与青龙港生态绿地遥相呼应，充分彰显张謇历史遗存新的时代价值。</w:t>
      </w:r>
      <w:r>
        <w:rPr>
          <w:rFonts w:hint="eastAsia" w:ascii="仿宋_GB2312" w:hAnsi="仿宋_GB2312" w:eastAsia="仿宋_GB2312" w:cs="仿宋_GB2312"/>
          <w:b/>
          <w:bCs/>
          <w:sz w:val="32"/>
          <w:szCs w:val="32"/>
        </w:rPr>
        <w:t>西部商业新区</w:t>
      </w:r>
      <w:r>
        <w:rPr>
          <w:rFonts w:hint="eastAsia" w:ascii="仿宋_GB2312" w:hAnsi="仿宋_GB2312" w:eastAsia="仿宋_GB2312" w:cs="仿宋_GB2312"/>
          <w:sz w:val="32"/>
          <w:szCs w:val="32"/>
        </w:rPr>
        <w:t>对标主城区建设标准，重点开发建设厂洪路和秀山路沿线，</w:t>
      </w:r>
      <w:r>
        <w:rPr>
          <w:rFonts w:hint="eastAsia" w:ascii="仿宋_GB2312" w:hAnsi="黑体" w:eastAsia="仿宋_GB2312" w:cs="仿宋_GB2312"/>
          <w:bCs/>
          <w:sz w:val="32"/>
          <w:szCs w:val="32"/>
        </w:rPr>
        <w:t>构建“10分钟便民生活圈”</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东部产城融合发展区</w:t>
      </w:r>
      <w:r>
        <w:rPr>
          <w:rFonts w:hint="eastAsia" w:ascii="仿宋_GB2312" w:hAnsi="仿宋_GB2312" w:eastAsia="仿宋_GB2312" w:cs="仿宋_GB2312"/>
          <w:sz w:val="32"/>
          <w:szCs w:val="32"/>
        </w:rPr>
        <w:t>以望江路东侧为核心，致力于产城共建、功能共享，重点建设安置小区、人才公寓，加快落地公共服务配套，打造生态宜居、创新宜业的海门城市“东大门”。</w:t>
      </w:r>
    </w:p>
    <w:p>
      <w:pPr>
        <w:spacing w:line="560" w:lineRule="exact"/>
        <w:ind w:firstLine="640" w:firstLineChars="200"/>
        <w:rPr>
          <w:rFonts w:ascii="仿宋_GB2312" w:hAnsi="Calibri" w:eastAsia="仿宋_GB2312"/>
          <w:sz w:val="32"/>
          <w:szCs w:val="36"/>
        </w:rPr>
      </w:pPr>
      <w:r>
        <w:rPr>
          <w:rFonts w:hint="eastAsia" w:ascii="楷体_GB2312" w:hAnsi="仿宋" w:eastAsia="楷体_GB2312"/>
          <w:sz w:val="32"/>
          <w:szCs w:val="32"/>
        </w:rPr>
        <w:t>四要坚持人民至上，在共建共享、改善民生上寻求新突破。</w:t>
      </w:r>
      <w:r>
        <w:rPr>
          <w:rFonts w:hint="eastAsia" w:ascii="仿宋_GB2312" w:hAnsi="Calibri" w:eastAsia="仿宋_GB2312"/>
          <w:sz w:val="32"/>
          <w:szCs w:val="36"/>
        </w:rPr>
        <w:t>持续加大民生投入，实施普惠性工程，特别是在老小区改造、帮扶救助、创业就业、教育医疗等方面做好文章。</w:t>
      </w:r>
      <w:r>
        <w:rPr>
          <w:rFonts w:hint="eastAsia" w:ascii="仿宋_GB2312" w:hAnsi="仿宋" w:eastAsia="仿宋_GB2312"/>
          <w:sz w:val="32"/>
          <w:szCs w:val="32"/>
        </w:rPr>
        <w:t>全力争创省级“1</w:t>
      </w:r>
      <w:r>
        <w:rPr>
          <w:rFonts w:ascii="仿宋_GB2312" w:hAnsi="仿宋" w:eastAsia="仿宋_GB2312"/>
          <w:sz w:val="32"/>
          <w:szCs w:val="32"/>
        </w:rPr>
        <w:t>5</w:t>
      </w:r>
      <w:r>
        <w:rPr>
          <w:rFonts w:hint="eastAsia" w:ascii="仿宋_GB2312" w:hAnsi="仿宋" w:eastAsia="仿宋_GB2312"/>
          <w:sz w:val="32"/>
          <w:szCs w:val="32"/>
        </w:rPr>
        <w:t>分钟医保服务圈”示范点。</w:t>
      </w:r>
      <w:r>
        <w:rPr>
          <w:rFonts w:hint="eastAsia" w:ascii="仿宋_GB2312" w:hAnsi="Calibri" w:eastAsia="仿宋_GB2312"/>
          <w:sz w:val="32"/>
          <w:szCs w:val="36"/>
        </w:rPr>
        <w:t>加快培育乡村振兴示范村、先进村；进一步提升税收留成返还、物业经济在村营收入中的贡献率,不断推动村营收入整体水平再创新高。充分发挥“海门山羊产业研究院”的平台优势，加快星期七生态园省级现代农业示范园区建设，不断推动农业产业化、规模化发展。扎实推进安全生产工作，不断提升排查精准度、执法震慑力，确保园区发展形势平稳可控。全面打响污染防治攻坚战，重点做好入江河流监管、沿江生态修复、大气污染整治等工作。</w:t>
      </w:r>
    </w:p>
    <w:p>
      <w:pPr>
        <w:spacing w:line="560" w:lineRule="exact"/>
        <w:ind w:firstLine="640" w:firstLineChars="200"/>
        <w:rPr>
          <w:rFonts w:ascii="仿宋_GB2312" w:hAnsi="Calibri" w:eastAsia="仿宋_GB2312"/>
          <w:sz w:val="32"/>
          <w:szCs w:val="36"/>
        </w:rPr>
      </w:pPr>
      <w:r>
        <w:rPr>
          <w:rFonts w:hint="eastAsia" w:ascii="楷体_GB2312" w:hAnsi="仿宋" w:eastAsia="楷体_GB2312"/>
          <w:sz w:val="32"/>
          <w:szCs w:val="32"/>
        </w:rPr>
        <w:t>五要强化系统思维，在基层治理、平安建设上寻求新突破。</w:t>
      </w:r>
      <w:r>
        <w:rPr>
          <w:rFonts w:hint="eastAsia" w:ascii="仿宋_GB2312" w:hAnsi="Calibri" w:eastAsia="仿宋_GB2312"/>
          <w:sz w:val="32"/>
          <w:szCs w:val="36"/>
        </w:rPr>
        <w:t>充分发挥大数据的资源优势，不断提升区域治理现代化指挥中心智慧化水平，整合现有部门和信息化平台资源，实行部门联动，打造基层治理“智慧中枢”。</w:t>
      </w:r>
      <w:r>
        <w:rPr>
          <w:rFonts w:hint="eastAsia" w:ascii="仿宋_GB2312" w:eastAsia="仿宋_GB2312"/>
          <w:sz w:val="32"/>
          <w:szCs w:val="32"/>
        </w:rPr>
        <w:t>进一步</w:t>
      </w:r>
      <w:r>
        <w:rPr>
          <w:rFonts w:hint="eastAsia" w:ascii="仿宋_GB2312" w:hAnsi="Calibri" w:eastAsia="仿宋_GB2312"/>
          <w:sz w:val="32"/>
          <w:szCs w:val="36"/>
        </w:rPr>
        <w:t>加大社会重大风险隐患排查，不断优化信访化解机制，突出解决一批历史遗留问题。坚持以人民为中心的发展理念，全面推动基层综合执法体制机制改革，坚持依法行政，让广大群众切实感受到公平正义的阳光、执法为民的温暖。</w:t>
      </w:r>
    </w:p>
    <w:p>
      <w:pPr>
        <w:adjustRightInd w:val="0"/>
        <w:snapToGrid w:val="0"/>
        <w:spacing w:line="520" w:lineRule="exact"/>
        <w:jc w:val="center"/>
        <w:rPr>
          <w:rFonts w:ascii="Times New Roman" w:hAnsi="Times New Roman" w:eastAsia="黑体"/>
          <w:sz w:val="32"/>
          <w:szCs w:val="32"/>
        </w:rPr>
      </w:pPr>
      <w:r>
        <w:rPr>
          <w:rFonts w:hint="eastAsia" w:ascii="Times New Roman" w:hAnsi="黑体" w:eastAsia="黑体"/>
          <w:sz w:val="32"/>
          <w:szCs w:val="32"/>
        </w:rPr>
        <w:t>三、推进政府治理能力现代化</w:t>
      </w:r>
    </w:p>
    <w:p>
      <w:pPr>
        <w:pStyle w:val="5"/>
        <w:adjustRightInd w:val="0"/>
        <w:snapToGrid w:val="0"/>
        <w:spacing w:line="520" w:lineRule="exact"/>
        <w:ind w:left="0" w:leftChars="0" w:firstLine="640" w:firstLineChars="200"/>
        <w:rPr>
          <w:rFonts w:hint="eastAsia" w:ascii="仿宋_GB2312" w:hAnsi="仿宋" w:eastAsia="仿宋_GB2312" w:cstheme="minorBidi"/>
          <w:b w:val="0"/>
          <w:bCs w:val="0"/>
          <w:kern w:val="2"/>
        </w:rPr>
      </w:pPr>
      <w:r>
        <w:rPr>
          <w:rFonts w:hint="eastAsia" w:ascii="仿宋_GB2312" w:hAnsi="仿宋" w:eastAsia="仿宋_GB2312" w:cstheme="minorBidi"/>
          <w:b w:val="0"/>
          <w:bCs w:val="0"/>
          <w:kern w:val="2"/>
        </w:rPr>
        <w:t>各位代表！站在新起点，奋进新征程，发展的重任、竞争的态势、人民的期盼对政府自身建设提出了新的更高要求。街道办事处将秉持政治过硬、信念过硬、能力过硬、作风过硬，全面提升政府治理能力现代化水平，努力当好新时代的“答卷人”。</w:t>
      </w:r>
    </w:p>
    <w:p>
      <w:pPr>
        <w:shd w:val="clear" w:color="auto" w:fill="FFFFFF"/>
        <w:spacing w:line="560" w:lineRule="exact"/>
        <w:ind w:firstLine="643"/>
        <w:rPr>
          <w:rFonts w:hint="eastAsia" w:ascii="仿宋_GB2312" w:hAnsi="仿宋" w:eastAsia="仿宋_GB2312"/>
          <w:sz w:val="32"/>
          <w:szCs w:val="32"/>
        </w:rPr>
      </w:pPr>
      <w:r>
        <w:rPr>
          <w:rFonts w:hint="eastAsia" w:ascii="楷体_GB2312" w:hAnsi="仿宋" w:eastAsia="楷体_GB2312"/>
          <w:sz w:val="32"/>
          <w:szCs w:val="32"/>
        </w:rPr>
        <w:t>以学为基，创新施政。</w:t>
      </w:r>
      <w:r>
        <w:rPr>
          <w:rFonts w:hint="eastAsia" w:ascii="仿宋_GB2312" w:hAnsi="仿宋" w:eastAsia="仿宋_GB2312"/>
          <w:sz w:val="32"/>
          <w:szCs w:val="32"/>
        </w:rPr>
        <w:t>深入学习贯彻习近平新时代中国特色社会主义思想，始终在思想上政治上行动上同以习近平同志为核心的党中央保持高度一致。全面落实意识形态工作责任制，加强领导班子思想政治建设，推进党工委学习制度化、规范化，增强学习的系统性、针对性。倡导学以致用、学用相长，大兴调查研究之风，更加善于了解新事物、发现新问题、提出新办法，敢闯敢试、敢于担当，善始善终、善作善成，以务实创新的举措推动各项工作落地见效，全面增强与新时代新要求相匹配的治理能力。</w:t>
      </w:r>
    </w:p>
    <w:p>
      <w:pPr>
        <w:shd w:val="clear" w:color="auto" w:fill="FFFFFF"/>
        <w:spacing w:line="560" w:lineRule="exact"/>
        <w:ind w:firstLine="643"/>
        <w:rPr>
          <w:rFonts w:hint="eastAsia" w:ascii="仿宋_GB2312" w:hAnsi="仿宋" w:eastAsia="仿宋_GB2312"/>
          <w:sz w:val="32"/>
          <w:szCs w:val="32"/>
        </w:rPr>
      </w:pPr>
      <w:r>
        <w:rPr>
          <w:rFonts w:hint="eastAsia" w:ascii="楷体_GB2312" w:hAnsi="仿宋" w:eastAsia="楷体_GB2312"/>
          <w:sz w:val="32"/>
          <w:szCs w:val="32"/>
        </w:rPr>
        <w:t>以法为纲，阳光善政。</w:t>
      </w:r>
      <w:r>
        <w:rPr>
          <w:rFonts w:hint="eastAsia" w:ascii="仿宋_GB2312" w:hAnsi="仿宋" w:eastAsia="仿宋_GB2312"/>
          <w:sz w:val="32"/>
          <w:szCs w:val="32"/>
        </w:rPr>
        <w:t>坚决执行省市区决策部署，坚持在街道党工委领导下创造性地开展工作。自觉接受人大法律监督和工作监督、政协民主监督，健全与人大代表、政协委员的沟通联系机制，高质高效办理人大代表建议、政协委员提案。扎实推进依法行政和法治政府建设，严格按照法定权限和程序行使权力、履行职责。大力推动政务公开，重点做好财政预决算公开，让人民群众更加全面地了解政府工作，更加有效地监督政府行为。</w:t>
      </w:r>
    </w:p>
    <w:p>
      <w:pPr>
        <w:shd w:val="clear" w:color="auto" w:fill="FFFFFF"/>
        <w:spacing w:line="560" w:lineRule="exact"/>
        <w:ind w:firstLine="643"/>
        <w:rPr>
          <w:rFonts w:hint="eastAsia" w:ascii="仿宋_GB2312" w:hAnsi="仿宋" w:eastAsia="仿宋_GB2312"/>
          <w:sz w:val="32"/>
          <w:szCs w:val="32"/>
        </w:rPr>
      </w:pPr>
      <w:r>
        <w:rPr>
          <w:rFonts w:hint="eastAsia" w:ascii="楷体_GB2312" w:hAnsi="仿宋" w:eastAsia="楷体_GB2312"/>
          <w:sz w:val="32"/>
          <w:szCs w:val="32"/>
        </w:rPr>
        <w:t>以实为要，高效行政。</w:t>
      </w:r>
      <w:r>
        <w:rPr>
          <w:rFonts w:hint="eastAsia" w:ascii="仿宋_GB2312" w:hAnsi="仿宋" w:eastAsia="仿宋_GB2312"/>
          <w:sz w:val="32"/>
          <w:szCs w:val="32"/>
        </w:rPr>
        <w:t>继续深化能力作风建设，加强督查督办、问责问效，坚决杜绝“庸懒散”现象，切实做到“令必行、禁必止、行必果”。完善“12345”热线工单办理跟踪检查机制，实现响应再提速、处置再提效。深化联系基层、联系企业、联系群众等机制，及时了解社情民意，务实解决棘手难题，以政府的“辛勤指数”提升社会的“幸福指数”。严密稳妥推进机构改革，细致有序、不折不扣完成好各项任务，不断健全现代化治理体系。</w:t>
      </w:r>
    </w:p>
    <w:p>
      <w:pPr>
        <w:shd w:val="clear" w:color="auto" w:fill="FFFFFF"/>
        <w:spacing w:line="560" w:lineRule="exact"/>
        <w:ind w:firstLine="643"/>
        <w:rPr>
          <w:rFonts w:hint="eastAsia" w:ascii="仿宋_GB2312" w:hAnsi="仿宋" w:eastAsia="仿宋_GB2312"/>
          <w:sz w:val="32"/>
          <w:szCs w:val="32"/>
        </w:rPr>
      </w:pPr>
      <w:r>
        <w:rPr>
          <w:rFonts w:hint="eastAsia" w:ascii="楷体_GB2312" w:hAnsi="仿宋" w:eastAsia="楷体_GB2312"/>
          <w:sz w:val="32"/>
          <w:szCs w:val="32"/>
        </w:rPr>
        <w:t>以廉为本，从严治政。</w:t>
      </w:r>
      <w:r>
        <w:rPr>
          <w:rFonts w:hint="eastAsia" w:ascii="仿宋_GB2312" w:hAnsi="仿宋" w:eastAsia="仿宋_GB2312"/>
          <w:sz w:val="32"/>
          <w:szCs w:val="32"/>
        </w:rPr>
        <w:t>坚持将纪律和规矩挺在前面，持之以恒反对“四风”，坚决查处侵害群众切身利益的不正之风和“微腐败”行为。严格落实“一岗双责”，健全重点领域、关键岗位廉政风险防控机制，加强对工程建设、公共资金、国有资产、国有资源等领域监管。妥善化解政府性债务存量，坚决遏制债务增量，切实防范重大风险。坚持政府过紧日子，确保“三公”经费只减不增，努力以政府“清廉度”提升群众“信任度”，营造风清气正的政治生态。</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位代表！积力所举事无不成，众之所为业无不胜。让我们更加紧密团结在以习近平同志为核心的党中央周围，在省、市、区委和街道党工委的坚强领导下，进一步解放思想、守正创新、勇挑大梁、敢为善为，以新时代三厂高质量发展的崭新业绩，推动中国式现代化海门新实践转化为美好现实图景！</w:t>
      </w:r>
    </w:p>
    <w:p>
      <w:pPr>
        <w:shd w:val="clear" w:color="auto" w:fill="FFFFFF"/>
        <w:spacing w:line="560" w:lineRule="exact"/>
        <w:rPr>
          <w:rFonts w:hint="eastAsia" w:ascii="仿宋_GB2312" w:hAnsi="仿宋" w:eastAsia="仿宋_GB2312"/>
          <w:sz w:val="32"/>
          <w:szCs w:val="32"/>
        </w:rPr>
      </w:pPr>
    </w:p>
    <w:p>
      <w:pPr>
        <w:shd w:val="clear" w:color="auto" w:fill="FFFFFF"/>
        <w:spacing w:line="560" w:lineRule="exact"/>
        <w:rPr>
          <w:rFonts w:hint="eastAsia" w:ascii="黑体" w:hAnsi="黑体" w:eastAsia="黑体"/>
          <w:sz w:val="32"/>
          <w:szCs w:val="32"/>
        </w:rPr>
      </w:pPr>
      <w:r>
        <w:rPr>
          <w:rFonts w:hint="eastAsia" w:ascii="黑体" w:hAnsi="黑体" w:eastAsia="黑体"/>
          <w:sz w:val="32"/>
          <w:szCs w:val="32"/>
        </w:rPr>
        <w:t>名词解释</w:t>
      </w:r>
    </w:p>
    <w:p>
      <w:pPr>
        <w:shd w:val="clear" w:color="auto" w:fill="FFFFFF"/>
        <w:spacing w:line="560" w:lineRule="exact"/>
        <w:ind w:firstLine="643"/>
        <w:rPr>
          <w:rFonts w:hint="eastAsia" w:ascii="仿宋_GB2312" w:hAnsi="仿宋" w:eastAsia="仿宋_GB2312"/>
          <w:sz w:val="32"/>
          <w:szCs w:val="32"/>
        </w:rPr>
      </w:pPr>
      <w:r>
        <w:rPr>
          <w:rFonts w:hint="eastAsia" w:ascii="黑体" w:hAnsi="黑体" w:eastAsia="黑体"/>
          <w:sz w:val="32"/>
          <w:szCs w:val="32"/>
        </w:rPr>
        <w:t>一核：</w:t>
      </w:r>
      <w:r>
        <w:rPr>
          <w:rFonts w:hint="eastAsia" w:ascii="仿宋_GB2312" w:hAnsi="仿宋" w:eastAsia="仿宋_GB2312"/>
          <w:sz w:val="32"/>
          <w:szCs w:val="32"/>
        </w:rPr>
        <w:t>坚持党的全面领导，深入推进新时代党的建设伟大工程，全面推动党的二十大精神在三厂落地生根，切实以党建引领高质量发展）</w:t>
      </w:r>
    </w:p>
    <w:p>
      <w:pPr>
        <w:shd w:val="clear" w:color="auto" w:fill="FFFFFF"/>
        <w:spacing w:line="560" w:lineRule="exact"/>
        <w:ind w:firstLine="643"/>
        <w:rPr>
          <w:rFonts w:hint="eastAsia" w:ascii="仿宋_GB2312" w:hAnsi="仿宋" w:eastAsia="仿宋_GB2312"/>
          <w:sz w:val="32"/>
          <w:szCs w:val="32"/>
        </w:rPr>
      </w:pPr>
      <w:r>
        <w:rPr>
          <w:rFonts w:hint="eastAsia" w:ascii="黑体" w:hAnsi="黑体" w:eastAsia="黑体"/>
          <w:sz w:val="32"/>
          <w:szCs w:val="32"/>
        </w:rPr>
        <w:t>三高：</w:t>
      </w:r>
      <w:r>
        <w:rPr>
          <w:rFonts w:hint="eastAsia" w:ascii="仿宋_GB2312" w:hAnsi="仿宋" w:eastAsia="仿宋_GB2312"/>
          <w:sz w:val="32"/>
          <w:szCs w:val="32"/>
        </w:rPr>
        <w:t>高品质实体经济样板区、高品位人文生态示范区、高水平跨江融合先行区</w:t>
      </w:r>
    </w:p>
    <w:p>
      <w:pPr>
        <w:shd w:val="clear" w:color="auto" w:fill="FFFFFF"/>
        <w:spacing w:line="560" w:lineRule="exact"/>
        <w:ind w:firstLine="643"/>
        <w:rPr>
          <w:rFonts w:hint="eastAsia" w:ascii="仿宋_GB2312" w:hAnsi="仿宋" w:eastAsia="仿宋_GB2312"/>
          <w:sz w:val="32"/>
          <w:szCs w:val="32"/>
        </w:rPr>
      </w:pPr>
      <w:r>
        <w:rPr>
          <w:rFonts w:hint="eastAsia" w:ascii="黑体" w:hAnsi="黑体" w:eastAsia="黑体"/>
          <w:sz w:val="32"/>
          <w:szCs w:val="32"/>
        </w:rPr>
        <w:t>五前列：</w:t>
      </w:r>
      <w:r>
        <w:rPr>
          <w:rFonts w:hint="eastAsia" w:ascii="仿宋_GB2312" w:hAnsi="仿宋" w:eastAsia="仿宋_GB2312"/>
          <w:sz w:val="32"/>
          <w:szCs w:val="32"/>
        </w:rPr>
        <w:t>科技创新赋 能走在全区前列、转型升级强链走在全区前列、城乡一体发展走在全区前列、民生福祉普惠走在全区前列、基层社会治理走在全区前列</w:t>
      </w:r>
    </w:p>
    <w:p>
      <w:pPr>
        <w:spacing w:line="560" w:lineRule="exact"/>
        <w:ind w:firstLine="640" w:firstLineChars="200"/>
        <w:rPr>
          <w:rFonts w:ascii="仿宋_GB2312" w:hAnsi="Calibri" w:eastAsia="仿宋_GB2312"/>
          <w:sz w:val="32"/>
          <w:szCs w:val="36"/>
        </w:rPr>
      </w:pP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7055070"/>
      <w:docPartObj>
        <w:docPartGallery w:val="AutoText"/>
      </w:docPartObj>
    </w:sdtPr>
    <w:sdtEndPr>
      <w:rPr>
        <w:rFonts w:asciiTheme="minorEastAsia" w:hAnsiTheme="minorEastAsia"/>
        <w:sz w:val="28"/>
        <w:szCs w:val="28"/>
      </w:rPr>
    </w:sdtEndPr>
    <w:sdtContent>
      <w:p>
        <w:pPr>
          <w:pStyle w:val="3"/>
          <w:jc w:val="center"/>
          <w:rPr>
            <w:rFonts w:hint="eastAsia"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0BE1"/>
    <w:rsid w:val="00023AC9"/>
    <w:rsid w:val="000B528F"/>
    <w:rsid w:val="000F55A9"/>
    <w:rsid w:val="00142201"/>
    <w:rsid w:val="00151F0E"/>
    <w:rsid w:val="001A7494"/>
    <w:rsid w:val="001B62A9"/>
    <w:rsid w:val="001E0344"/>
    <w:rsid w:val="00247ABE"/>
    <w:rsid w:val="0025225F"/>
    <w:rsid w:val="00365A9E"/>
    <w:rsid w:val="00385F97"/>
    <w:rsid w:val="00416BF6"/>
    <w:rsid w:val="0042016F"/>
    <w:rsid w:val="00430FB2"/>
    <w:rsid w:val="00473ED7"/>
    <w:rsid w:val="004B0BE1"/>
    <w:rsid w:val="004B47E2"/>
    <w:rsid w:val="00545712"/>
    <w:rsid w:val="00556FCE"/>
    <w:rsid w:val="005A4B90"/>
    <w:rsid w:val="00634346"/>
    <w:rsid w:val="00655A81"/>
    <w:rsid w:val="00680AFA"/>
    <w:rsid w:val="006D2ED0"/>
    <w:rsid w:val="006E1613"/>
    <w:rsid w:val="00701E6D"/>
    <w:rsid w:val="007310E2"/>
    <w:rsid w:val="00776C7F"/>
    <w:rsid w:val="007A5179"/>
    <w:rsid w:val="008765DD"/>
    <w:rsid w:val="008F4539"/>
    <w:rsid w:val="00905928"/>
    <w:rsid w:val="00930B62"/>
    <w:rsid w:val="009312A4"/>
    <w:rsid w:val="0096342E"/>
    <w:rsid w:val="00A01F15"/>
    <w:rsid w:val="00A61557"/>
    <w:rsid w:val="00A85D8F"/>
    <w:rsid w:val="00AE7DED"/>
    <w:rsid w:val="00B65F4F"/>
    <w:rsid w:val="00D20AD3"/>
    <w:rsid w:val="00D21596"/>
    <w:rsid w:val="00D763BA"/>
    <w:rsid w:val="00DE6AB0"/>
    <w:rsid w:val="00E43F90"/>
    <w:rsid w:val="12432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semiHidden/>
    <w:unhideWhenUsed/>
    <w:uiPriority w:val="99"/>
    <w:pPr>
      <w:spacing w:after="120"/>
      <w:ind w:left="420" w:leftChars="2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ind w:left="640" w:leftChars="200"/>
      <w:outlineLvl w:val="0"/>
    </w:pPr>
    <w:rPr>
      <w:rFonts w:ascii="Cambria" w:hAnsi="Cambria" w:eastAsia="黑体" w:cs="Times New Roman"/>
      <w:b/>
      <w:bCs/>
      <w:kern w:val="0"/>
      <w:sz w:val="32"/>
      <w:szCs w:val="32"/>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paragraph" w:customStyle="1" w:styleId="10">
    <w:name w:val="样式 行距: 固定值 28.9 磅"/>
    <w:basedOn w:val="1"/>
    <w:qFormat/>
    <w:uiPriority w:val="0"/>
    <w:pPr>
      <w:snapToGrid w:val="0"/>
      <w:spacing w:line="578" w:lineRule="exact"/>
      <w:ind w:firstLine="722" w:firstLineChars="200"/>
    </w:pPr>
    <w:rPr>
      <w:rFonts w:ascii="Times New Roman" w:hAnsi="Times New Roman" w:eastAsia="宋体" w:cs="宋体"/>
      <w:sz w:val="32"/>
      <w:szCs w:val="20"/>
    </w:rPr>
  </w:style>
  <w:style w:type="character" w:customStyle="1" w:styleId="11">
    <w:name w:val="标题 字符"/>
    <w:basedOn w:val="7"/>
    <w:link w:val="5"/>
    <w:qFormat/>
    <w:uiPriority w:val="0"/>
    <w:rPr>
      <w:rFonts w:ascii="Cambria" w:hAnsi="Cambria" w:eastAsia="黑体" w:cs="Times New Roman"/>
      <w:b/>
      <w:bCs/>
      <w:kern w:val="0"/>
      <w:sz w:val="32"/>
      <w:szCs w:val="32"/>
    </w:rPr>
  </w:style>
  <w:style w:type="character" w:customStyle="1" w:styleId="12">
    <w:name w:val="正文文本缩进 字符"/>
    <w:basedOn w:val="7"/>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873</Words>
  <Characters>4981</Characters>
  <Lines>41</Lines>
  <Paragraphs>11</Paragraphs>
  <TotalTime>34</TotalTime>
  <ScaleCrop>false</ScaleCrop>
  <LinksUpToDate>false</LinksUpToDate>
  <CharactersWithSpaces>5843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2023-02-24T04:35:00Z</dcterms:created>
  <dc:creator>PC</dc:creator>
  <cp:lastModifiedBy>Administrator</cp:lastModifiedBy>
  <cp:lastPrinted>2023-02-27T02:31:00Z</cp:lastPrinted>
  <dcterms:modified xsi:type="dcterms:W3CDTF">2025-04-21T00:51:13Z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6E77F00B84784F0380B8A54A173BC021</vt:lpwstr>
  </property>
</Properties>
</file>