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CDA" w:rsidRPr="00940FD0" w:rsidRDefault="00A05CDA" w:rsidP="00940FD0">
      <w:pPr>
        <w:tabs>
          <w:tab w:val="left" w:pos="6663"/>
        </w:tabs>
        <w:autoSpaceDE w:val="0"/>
        <w:autoSpaceDN w:val="0"/>
        <w:snapToGrid w:val="0"/>
        <w:spacing w:before="600" w:after="600" w:line="1520" w:lineRule="atLeast"/>
        <w:jc w:val="distribute"/>
        <w:rPr>
          <w:rFonts w:ascii="Times New Roman" w:eastAsia="方正小标宋_GBK"/>
          <w:b/>
          <w:snapToGrid w:val="0"/>
          <w:color w:val="FF0000"/>
          <w:w w:val="62"/>
          <w:kern w:val="0"/>
          <w:sz w:val="130"/>
          <w:szCs w:val="20"/>
        </w:rPr>
      </w:pPr>
      <w:r w:rsidRPr="00940FD0">
        <w:rPr>
          <w:rFonts w:ascii="Times New Roman" w:eastAsia="方正小标宋_GBK" w:hint="eastAsia"/>
          <w:b/>
          <w:snapToGrid w:val="0"/>
          <w:color w:val="FF0000"/>
          <w:w w:val="62"/>
          <w:kern w:val="0"/>
          <w:sz w:val="130"/>
          <w:szCs w:val="20"/>
        </w:rPr>
        <w:t>海门市商务局文件</w:t>
      </w:r>
    </w:p>
    <w:p w:rsidR="00A05CDA" w:rsidRPr="00940FD0" w:rsidRDefault="00A05CDA" w:rsidP="00940FD0">
      <w:pPr>
        <w:tabs>
          <w:tab w:val="left" w:pos="1298"/>
          <w:tab w:val="center" w:pos="4422"/>
          <w:tab w:val="left" w:pos="8364"/>
        </w:tabs>
        <w:autoSpaceDE w:val="0"/>
        <w:autoSpaceDN w:val="0"/>
        <w:snapToGrid w:val="0"/>
        <w:spacing w:line="590" w:lineRule="exact"/>
        <w:ind w:firstLineChars="50" w:firstLine="31680"/>
        <w:jc w:val="center"/>
        <w:rPr>
          <w:rFonts w:ascii="楷体_GB2312" w:eastAsia="楷体_GB2312"/>
          <w:snapToGrid w:val="0"/>
          <w:kern w:val="0"/>
          <w:sz w:val="32"/>
          <w:szCs w:val="32"/>
        </w:rPr>
      </w:pPr>
      <w:r w:rsidRPr="00940FD0">
        <w:rPr>
          <w:rFonts w:ascii="仿宋_GB2312" w:eastAsia="方正仿宋_GBK" w:hint="eastAsia"/>
          <w:snapToGrid w:val="0"/>
          <w:kern w:val="0"/>
          <w:sz w:val="32"/>
          <w:szCs w:val="32"/>
        </w:rPr>
        <w:t>海商务发〔</w:t>
      </w:r>
      <w:r w:rsidRPr="00940FD0">
        <w:rPr>
          <w:rFonts w:ascii="仿宋_GB2312" w:eastAsia="方正仿宋_GBK"/>
          <w:snapToGrid w:val="0"/>
          <w:kern w:val="0"/>
          <w:sz w:val="32"/>
          <w:szCs w:val="32"/>
        </w:rPr>
        <w:t>2019</w:t>
      </w:r>
      <w:r w:rsidRPr="00940FD0">
        <w:rPr>
          <w:rFonts w:ascii="仿宋_GB2312" w:eastAsia="方正仿宋_GBK" w:hint="eastAsia"/>
          <w:snapToGrid w:val="0"/>
          <w:kern w:val="0"/>
          <w:sz w:val="32"/>
          <w:szCs w:val="32"/>
        </w:rPr>
        <w:t>〕</w:t>
      </w:r>
      <w:r>
        <w:rPr>
          <w:rFonts w:ascii="仿宋_GB2312" w:eastAsia="方正仿宋_GBK"/>
          <w:snapToGrid w:val="0"/>
          <w:kern w:val="0"/>
          <w:sz w:val="32"/>
          <w:szCs w:val="32"/>
        </w:rPr>
        <w:t>145</w:t>
      </w:r>
      <w:r w:rsidRPr="00940FD0">
        <w:rPr>
          <w:rFonts w:ascii="仿宋_GB2312" w:eastAsia="方正仿宋_GBK" w:hint="eastAsia"/>
          <w:snapToGrid w:val="0"/>
          <w:kern w:val="0"/>
          <w:sz w:val="32"/>
          <w:szCs w:val="32"/>
        </w:rPr>
        <w:t>号</w:t>
      </w:r>
    </w:p>
    <w:p w:rsidR="00A05CDA" w:rsidRPr="00940FD0" w:rsidRDefault="00A05CDA" w:rsidP="00940FD0">
      <w:pPr>
        <w:autoSpaceDE w:val="0"/>
        <w:autoSpaceDN w:val="0"/>
        <w:snapToGrid w:val="0"/>
        <w:spacing w:line="560" w:lineRule="exact"/>
        <w:ind w:firstLineChars="196" w:firstLine="31680"/>
        <w:rPr>
          <w:rFonts w:ascii="Tahoma"/>
          <w:snapToGrid w:val="0"/>
          <w:kern w:val="0"/>
          <w:sz w:val="22"/>
        </w:rPr>
      </w:pPr>
      <w:r w:rsidRPr="00940FD0">
        <w:rPr>
          <w:rFonts w:ascii="Tahoma" w:hAnsi="Tahoma"/>
          <w:snapToGrid w:val="0"/>
          <w:sz w:val="22"/>
        </w:rPr>
        <w:object w:dxaOrig="7926" w:dyaOrig="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6pt" o:ole="" fillcolor="window">
            <v:imagedata r:id="rId6" o:title=""/>
          </v:shape>
          <o:OLEObject Type="Embed" ProgID="Word.Picture.8" ShapeID="_x0000_i1025" DrawAspect="Content" ObjectID="_1633847353" r:id="rId7"/>
        </w:object>
      </w:r>
    </w:p>
    <w:p w:rsidR="00A05CDA" w:rsidRDefault="00A05CDA" w:rsidP="00116A08">
      <w:pPr>
        <w:widowControl/>
        <w:spacing w:line="550" w:lineRule="exact"/>
        <w:outlineLvl w:val="1"/>
        <w:rPr>
          <w:rFonts w:ascii="华文中宋" w:eastAsia="华文中宋" w:hAnsi="华文中宋" w:cs="宋体"/>
          <w:bCs/>
          <w:color w:val="000000"/>
          <w:kern w:val="36"/>
          <w:sz w:val="44"/>
          <w:szCs w:val="44"/>
        </w:rPr>
      </w:pPr>
    </w:p>
    <w:p w:rsidR="00A05CDA" w:rsidRDefault="00A05CDA" w:rsidP="00116A08">
      <w:pPr>
        <w:widowControl/>
        <w:spacing w:line="550" w:lineRule="exact"/>
        <w:jc w:val="center"/>
        <w:outlineLvl w:val="1"/>
        <w:rPr>
          <w:rFonts w:ascii="方正小标宋简体" w:eastAsia="方正小标宋简体" w:hAnsi="华文中宋" w:cs="宋体"/>
          <w:bCs/>
          <w:color w:val="000000"/>
          <w:kern w:val="36"/>
          <w:sz w:val="44"/>
          <w:szCs w:val="44"/>
        </w:rPr>
      </w:pPr>
      <w:r>
        <w:rPr>
          <w:rFonts w:ascii="华文中宋" w:eastAsia="华文中宋" w:hAnsi="华文中宋" w:cs="宋体"/>
          <w:bCs/>
          <w:color w:val="000000"/>
          <w:kern w:val="36"/>
          <w:sz w:val="44"/>
          <w:szCs w:val="44"/>
        </w:rPr>
        <w:t xml:space="preserve"> </w:t>
      </w:r>
      <w:r w:rsidRPr="00116A08">
        <w:rPr>
          <w:rFonts w:ascii="方正小标宋简体" w:eastAsia="方正小标宋简体" w:hAnsi="华文中宋" w:cs="宋体" w:hint="eastAsia"/>
          <w:bCs/>
          <w:color w:val="000000"/>
          <w:kern w:val="36"/>
          <w:sz w:val="44"/>
          <w:szCs w:val="44"/>
        </w:rPr>
        <w:t>市商务局关于实行“谁主管谁普法、</w:t>
      </w:r>
    </w:p>
    <w:p w:rsidR="00A05CDA" w:rsidRPr="00116A08" w:rsidRDefault="00A05CDA" w:rsidP="00116A08">
      <w:pPr>
        <w:widowControl/>
        <w:spacing w:line="550" w:lineRule="exact"/>
        <w:jc w:val="center"/>
        <w:outlineLvl w:val="1"/>
        <w:rPr>
          <w:rFonts w:ascii="方正小标宋简体" w:eastAsia="方正小标宋简体" w:hAnsi="华文中宋" w:cs="宋体"/>
          <w:bCs/>
          <w:color w:val="000000"/>
          <w:kern w:val="36"/>
          <w:sz w:val="44"/>
          <w:szCs w:val="44"/>
        </w:rPr>
      </w:pPr>
      <w:r w:rsidRPr="00116A08">
        <w:rPr>
          <w:rFonts w:ascii="方正小标宋简体" w:eastAsia="方正小标宋简体" w:hAnsi="华文中宋" w:cs="宋体" w:hint="eastAsia"/>
          <w:bCs/>
          <w:color w:val="000000"/>
          <w:kern w:val="36"/>
          <w:sz w:val="44"/>
          <w:szCs w:val="44"/>
        </w:rPr>
        <w:t>谁</w:t>
      </w:r>
      <w:r>
        <w:rPr>
          <w:rFonts w:ascii="方正小标宋简体" w:eastAsia="方正小标宋简体" w:hAnsi="华文中宋" w:cs="宋体" w:hint="eastAsia"/>
          <w:bCs/>
          <w:color w:val="000000"/>
          <w:kern w:val="36"/>
          <w:sz w:val="44"/>
          <w:szCs w:val="44"/>
        </w:rPr>
        <w:t>监管</w:t>
      </w:r>
      <w:r w:rsidRPr="00116A08">
        <w:rPr>
          <w:rFonts w:ascii="方正小标宋简体" w:eastAsia="方正小标宋简体" w:hAnsi="华文中宋" w:cs="宋体" w:hint="eastAsia"/>
          <w:bCs/>
          <w:color w:val="000000"/>
          <w:kern w:val="36"/>
          <w:sz w:val="44"/>
          <w:szCs w:val="44"/>
        </w:rPr>
        <w:t>谁普法”普法责任制的实施</w:t>
      </w:r>
      <w:r>
        <w:rPr>
          <w:rFonts w:ascii="方正小标宋简体" w:eastAsia="方正小标宋简体" w:hAnsi="华文中宋" w:cs="宋体" w:hint="eastAsia"/>
          <w:bCs/>
          <w:color w:val="000000"/>
          <w:kern w:val="36"/>
          <w:sz w:val="44"/>
          <w:szCs w:val="44"/>
        </w:rPr>
        <w:t>方案</w:t>
      </w:r>
    </w:p>
    <w:p w:rsidR="00A05CDA" w:rsidRDefault="00A05CDA" w:rsidP="00116A08">
      <w:pPr>
        <w:widowControl/>
        <w:spacing w:line="55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A05CDA" w:rsidRDefault="00A05CDA" w:rsidP="00116A08">
      <w:pPr>
        <w:widowControl/>
        <w:spacing w:line="55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各科室、各下属单位：</w:t>
      </w:r>
    </w:p>
    <w:p w:rsidR="00A05CDA" w:rsidRPr="00116A08" w:rsidRDefault="00A05CDA" w:rsidP="00940FD0">
      <w:pPr>
        <w:widowControl/>
        <w:spacing w:line="550" w:lineRule="exact"/>
        <w:ind w:firstLineChars="250" w:firstLine="316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为推动市商务系统</w:t>
      </w:r>
      <w:r>
        <w:rPr>
          <w:rFonts w:ascii="仿宋" w:eastAsia="仿宋" w:hAnsi="仿宋" w:cs="宋体" w:hint="eastAsia"/>
          <w:vanish/>
          <w:color w:val="000000"/>
          <w:kern w:val="0"/>
          <w:sz w:val="32"/>
          <w:szCs w:val="32"/>
        </w:rPr>
        <w:t>为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全面履行普法责任，现就我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局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实行“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谁主管谁普法、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谁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监管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谁普法”普法责任制提出以下实施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方案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。</w:t>
      </w:r>
    </w:p>
    <w:p w:rsidR="00A05CDA" w:rsidRPr="00174AE1" w:rsidRDefault="00A05CDA" w:rsidP="00940FD0">
      <w:pPr>
        <w:widowControl/>
        <w:spacing w:line="550" w:lineRule="exact"/>
        <w:ind w:firstLineChars="250" w:firstLine="31680"/>
        <w:rPr>
          <w:rFonts w:ascii="黑体" w:eastAsia="黑体" w:hAnsi="黑体"/>
          <w:color w:val="070707"/>
          <w:kern w:val="0"/>
          <w:sz w:val="32"/>
          <w:szCs w:val="32"/>
        </w:rPr>
      </w:pPr>
      <w:r w:rsidRPr="00116A08">
        <w:rPr>
          <w:rFonts w:ascii="黑体" w:eastAsia="黑体" w:hAnsi="黑体" w:cs="Arial" w:hint="eastAsia"/>
          <w:color w:val="070707"/>
          <w:kern w:val="0"/>
          <w:sz w:val="32"/>
          <w:szCs w:val="32"/>
        </w:rPr>
        <w:t>一、</w:t>
      </w:r>
      <w:r>
        <w:rPr>
          <w:rFonts w:ascii="黑体" w:eastAsia="黑体" w:hAnsi="黑体" w:cs="Arial" w:hint="eastAsia"/>
          <w:color w:val="070707"/>
          <w:kern w:val="0"/>
          <w:sz w:val="32"/>
          <w:szCs w:val="32"/>
        </w:rPr>
        <w:t>目标</w:t>
      </w:r>
      <w:r w:rsidRPr="00116A08">
        <w:rPr>
          <w:rFonts w:ascii="黑体" w:eastAsia="黑体" w:hAnsi="黑体" w:cs="Arial" w:hint="eastAsia"/>
          <w:color w:val="070707"/>
          <w:kern w:val="0"/>
          <w:sz w:val="32"/>
          <w:szCs w:val="32"/>
        </w:rPr>
        <w:t>要求</w:t>
      </w:r>
      <w:r w:rsidRPr="00116A08">
        <w:rPr>
          <w:rFonts w:ascii="Times New Roman" w:eastAsia="黑体" w:hAnsi="Times New Roman"/>
          <w:color w:val="070707"/>
          <w:kern w:val="0"/>
          <w:sz w:val="32"/>
          <w:szCs w:val="32"/>
        </w:rPr>
        <w:t> </w:t>
      </w:r>
    </w:p>
    <w:p w:rsidR="00A05CDA" w:rsidRPr="00116A08" w:rsidRDefault="00A05CDA" w:rsidP="00174AE1">
      <w:pPr>
        <w:widowControl/>
        <w:spacing w:line="550" w:lineRule="exact"/>
        <w:rPr>
          <w:rFonts w:ascii="仿宋" w:eastAsia="仿宋" w:hAnsi="仿宋" w:cs="Arial"/>
          <w:color w:val="070707"/>
          <w:kern w:val="0"/>
          <w:sz w:val="32"/>
          <w:szCs w:val="32"/>
        </w:rPr>
      </w:pPr>
      <w:r w:rsidRPr="00116A08">
        <w:rPr>
          <w:rFonts w:ascii="Times New Roman" w:eastAsia="仿宋" w:hAnsi="Times New Roman"/>
          <w:color w:val="070707"/>
          <w:kern w:val="0"/>
          <w:sz w:val="32"/>
          <w:szCs w:val="32"/>
        </w:rPr>
        <w:t> </w:t>
      </w:r>
      <w:r w:rsidRPr="00116A08">
        <w:rPr>
          <w:rFonts w:ascii="仿宋" w:eastAsia="仿宋" w:hAnsi="仿宋"/>
          <w:color w:val="070707"/>
          <w:kern w:val="0"/>
          <w:sz w:val="32"/>
          <w:szCs w:val="32"/>
        </w:rPr>
        <w:t xml:space="preserve">    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以习近平新时代中国特色社会主义思想为指导，深入贯彻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全面依法治国战略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，结合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商务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管理职责普及相关法律法规，强化全系统工作人员的法治理念和依法行政能力。坚持把法治理念和法治宣传教育贯穿于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商务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工作全过程，在重大决策、行业监管和纠纷化解等工作中强化法治宣传教育，提升依法行政水平。</w:t>
      </w:r>
    </w:p>
    <w:p w:rsidR="00A05CDA" w:rsidRPr="00174AE1" w:rsidRDefault="00A05CDA" w:rsidP="00940FD0">
      <w:pPr>
        <w:widowControl/>
        <w:spacing w:line="550" w:lineRule="exact"/>
        <w:ind w:firstLineChars="250" w:firstLine="31680"/>
        <w:rPr>
          <w:rFonts w:ascii="黑体" w:eastAsia="黑体" w:hAnsi="黑体" w:cs="Arial"/>
          <w:color w:val="070707"/>
          <w:kern w:val="0"/>
          <w:sz w:val="32"/>
          <w:szCs w:val="32"/>
        </w:rPr>
      </w:pPr>
      <w:r w:rsidRPr="00116A08">
        <w:rPr>
          <w:rFonts w:ascii="黑体" w:eastAsia="黑体" w:hAnsi="黑体" w:cs="Arial" w:hint="eastAsia"/>
          <w:color w:val="070707"/>
          <w:kern w:val="0"/>
          <w:sz w:val="32"/>
          <w:szCs w:val="32"/>
        </w:rPr>
        <w:t xml:space="preserve">二、重点内容　</w:t>
      </w:r>
    </w:p>
    <w:p w:rsidR="00A05CDA" w:rsidRPr="00CE37AE" w:rsidRDefault="00A05CDA" w:rsidP="00940FD0">
      <w:pPr>
        <w:widowControl/>
        <w:spacing w:line="550" w:lineRule="exact"/>
        <w:ind w:firstLineChars="200" w:firstLine="3168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/>
          <w:color w:val="070707"/>
          <w:kern w:val="0"/>
          <w:sz w:val="32"/>
          <w:szCs w:val="32"/>
        </w:rPr>
        <w:t>1.</w:t>
      </w:r>
      <w:r w:rsidRPr="00CE37AE">
        <w:rPr>
          <w:rFonts w:ascii="仿宋" w:eastAsia="仿宋" w:hAnsi="仿宋" w:cs="Arial" w:hint="eastAsia"/>
          <w:kern w:val="0"/>
          <w:sz w:val="32"/>
          <w:szCs w:val="32"/>
        </w:rPr>
        <w:t>深入学习习近平总书记关于全面依法治国的新理念新思想新战略，有针对性地学习贯彻</w:t>
      </w:r>
      <w:r w:rsidRPr="00CE37AE">
        <w:rPr>
          <w:rFonts w:ascii="仿宋" w:eastAsia="仿宋" w:hAnsi="仿宋" w:hint="eastAsia"/>
          <w:sz w:val="32"/>
          <w:szCs w:val="32"/>
        </w:rPr>
        <w:t>《法治政府建设实施纲要》</w:t>
      </w:r>
      <w:r w:rsidRPr="00CE37AE">
        <w:rPr>
          <w:rFonts w:ascii="仿宋" w:eastAsia="仿宋" w:hAnsi="仿宋" w:cs="Arial" w:hint="eastAsia"/>
          <w:kern w:val="0"/>
          <w:sz w:val="32"/>
          <w:szCs w:val="32"/>
        </w:rPr>
        <w:t>，学习宣传行政处罚、行政许可、行政强制、行政复议、政府信息公开等行政法律法规。</w:t>
      </w:r>
      <w:r w:rsidRPr="00CE37AE">
        <w:rPr>
          <w:rFonts w:ascii="宋体" w:eastAsia="仿宋" w:hAnsi="宋体" w:cs="Arial"/>
          <w:kern w:val="0"/>
          <w:sz w:val="32"/>
          <w:szCs w:val="32"/>
        </w:rPr>
        <w:t> </w:t>
      </w:r>
      <w:r w:rsidRPr="00CE37AE">
        <w:rPr>
          <w:rFonts w:ascii="仿宋" w:eastAsia="仿宋" w:hAnsi="仿宋" w:cs="Arial"/>
          <w:kern w:val="0"/>
          <w:sz w:val="32"/>
          <w:szCs w:val="32"/>
        </w:rPr>
        <w:t xml:space="preserve"> </w:t>
      </w:r>
    </w:p>
    <w:p w:rsidR="00A05CDA" w:rsidRPr="00116A08" w:rsidRDefault="00A05CDA" w:rsidP="00940FD0">
      <w:pPr>
        <w:widowControl/>
        <w:spacing w:line="550" w:lineRule="exact"/>
        <w:ind w:firstLineChars="200" w:firstLine="31680"/>
        <w:rPr>
          <w:rFonts w:ascii="仿宋" w:eastAsia="仿宋" w:hAnsi="仿宋" w:cs="Arial"/>
          <w:color w:val="070707"/>
          <w:kern w:val="0"/>
          <w:sz w:val="32"/>
          <w:szCs w:val="32"/>
        </w:rPr>
      </w:pPr>
      <w:r>
        <w:rPr>
          <w:rFonts w:ascii="仿宋" w:eastAsia="仿宋" w:hAnsi="仿宋" w:cs="Arial"/>
          <w:color w:val="070707"/>
          <w:kern w:val="0"/>
          <w:sz w:val="32"/>
          <w:szCs w:val="32"/>
        </w:rPr>
        <w:t>2.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系统学习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贯彻商务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领域法律法规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，主要学习贯彻外商投资法、</w:t>
      </w:r>
      <w:r w:rsidRPr="00FB4ECC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单用途商业预付卡管理办法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、</w:t>
      </w:r>
      <w:r w:rsidRPr="00FB4ECC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成品油市场管理办法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、</w:t>
      </w:r>
      <w:r w:rsidRPr="00FB4ECC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再生资源回收管理办法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等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法律法规规章。</w:t>
      </w:r>
    </w:p>
    <w:p w:rsidR="00A05CDA" w:rsidRPr="00116A08" w:rsidRDefault="00A05CDA" w:rsidP="006869D4">
      <w:pPr>
        <w:widowControl/>
        <w:spacing w:line="550" w:lineRule="exact"/>
        <w:ind w:firstLine="482"/>
        <w:rPr>
          <w:rFonts w:ascii="仿宋" w:eastAsia="仿宋" w:hAnsi="仿宋" w:cs="Arial"/>
          <w:color w:val="070707"/>
          <w:kern w:val="0"/>
          <w:sz w:val="32"/>
          <w:szCs w:val="32"/>
        </w:rPr>
      </w:pPr>
      <w:r>
        <w:rPr>
          <w:rFonts w:ascii="仿宋" w:eastAsia="仿宋" w:hAnsi="仿宋" w:cs="Arial"/>
          <w:color w:val="070707"/>
          <w:kern w:val="0"/>
          <w:sz w:val="32"/>
          <w:szCs w:val="32"/>
        </w:rPr>
        <w:t>3.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强化学习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贯彻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党章党规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，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加强党章党规学习宣传教育，增强广大党员干部的党章党规党纪意识，严守政治纪律和政治规矩，模范遵守党规党纪和国家法律。</w:t>
      </w:r>
    </w:p>
    <w:p w:rsidR="00A05CDA" w:rsidRPr="00AA06F1" w:rsidRDefault="00A05CDA" w:rsidP="00116A08">
      <w:pPr>
        <w:widowControl/>
        <w:spacing w:line="550" w:lineRule="exact"/>
        <w:ind w:firstLine="480"/>
        <w:rPr>
          <w:rFonts w:ascii="黑体" w:eastAsia="黑体" w:hAnsi="黑体" w:cs="Arial"/>
          <w:color w:val="070707"/>
          <w:kern w:val="0"/>
          <w:sz w:val="32"/>
          <w:szCs w:val="32"/>
        </w:rPr>
      </w:pPr>
      <w:r w:rsidRPr="00116A08">
        <w:rPr>
          <w:rFonts w:ascii="黑体" w:eastAsia="黑体" w:hAnsi="黑体" w:cs="Arial" w:hint="eastAsia"/>
          <w:color w:val="070707"/>
          <w:kern w:val="0"/>
          <w:sz w:val="32"/>
          <w:szCs w:val="32"/>
        </w:rPr>
        <w:t>三、职责任务</w:t>
      </w:r>
    </w:p>
    <w:p w:rsidR="00A05CDA" w:rsidRPr="00116A08" w:rsidRDefault="00A05CDA" w:rsidP="00940FD0">
      <w:pPr>
        <w:widowControl/>
        <w:spacing w:line="550" w:lineRule="exact"/>
        <w:ind w:firstLineChars="200" w:firstLine="31680"/>
        <w:rPr>
          <w:rFonts w:ascii="仿宋" w:eastAsia="仿宋" w:hAnsi="仿宋" w:cs="Arial"/>
          <w:color w:val="070707"/>
          <w:kern w:val="0"/>
          <w:sz w:val="32"/>
          <w:szCs w:val="32"/>
        </w:rPr>
      </w:pPr>
      <w:r>
        <w:rPr>
          <w:rFonts w:ascii="仿宋" w:eastAsia="仿宋" w:hAnsi="仿宋" w:cs="Arial"/>
          <w:color w:val="070707"/>
          <w:kern w:val="0"/>
          <w:sz w:val="32"/>
          <w:szCs w:val="32"/>
        </w:rPr>
        <w:t>1.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加强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商务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系统内普法。坚持和完善党组理论中心组学习制度，将学习宪法法律、党章党规作为重要的学习内容，发挥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班子成员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普法“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关键作用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”。每年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机关干部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专题学法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安排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原则上不少于</w:t>
      </w:r>
      <w:r w:rsidRPr="00116A08">
        <w:rPr>
          <w:rFonts w:ascii="仿宋" w:eastAsia="仿宋" w:hAnsi="仿宋"/>
          <w:color w:val="070707"/>
          <w:kern w:val="0"/>
          <w:sz w:val="32"/>
          <w:szCs w:val="32"/>
        </w:rPr>
        <w:t>2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次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，并将法治学习纳入“三会一课”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，规范行政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监管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行为。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定期开展法治宣讲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进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企业活动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。</w:t>
      </w:r>
    </w:p>
    <w:p w:rsidR="00A05CDA" w:rsidRPr="00116A08" w:rsidRDefault="00A05CDA" w:rsidP="00940FD0">
      <w:pPr>
        <w:widowControl/>
        <w:spacing w:line="550" w:lineRule="exact"/>
        <w:ind w:firstLineChars="200" w:firstLine="31680"/>
        <w:rPr>
          <w:rFonts w:ascii="仿宋" w:eastAsia="仿宋" w:hAnsi="仿宋" w:cs="宋体"/>
          <w:color w:val="070707"/>
          <w:kern w:val="0"/>
          <w:sz w:val="32"/>
          <w:szCs w:val="32"/>
        </w:rPr>
      </w:pPr>
      <w:r>
        <w:rPr>
          <w:rFonts w:ascii="仿宋" w:eastAsia="仿宋" w:hAnsi="仿宋" w:cs="Arial"/>
          <w:color w:val="070707"/>
          <w:kern w:val="0"/>
          <w:sz w:val="32"/>
          <w:szCs w:val="32"/>
        </w:rPr>
        <w:t>2.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定期完善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普法责任清单。各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科室各单位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要把普法工作作为推进法治建设的一项基础性工作，与其他业务工作同步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安排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、同步检查、同步落实。对照普法责任清单，制定本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科室本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单位具体的普法责任清单，明确普法任务、宣传内容、普法形式、普法对象等。</w:t>
      </w:r>
      <w:r w:rsidRPr="00116A08">
        <w:rPr>
          <w:rFonts w:ascii="宋体" w:eastAsia="仿宋" w:hAnsi="宋体" w:cs="Arial"/>
          <w:color w:val="070707"/>
          <w:kern w:val="0"/>
          <w:sz w:val="32"/>
          <w:szCs w:val="32"/>
        </w:rPr>
        <w:t> </w:t>
      </w:r>
      <w:r w:rsidRPr="00116A08">
        <w:rPr>
          <w:rFonts w:ascii="仿宋" w:eastAsia="仿宋" w:hAnsi="仿宋" w:cs="Arial"/>
          <w:color w:val="070707"/>
          <w:kern w:val="0"/>
          <w:sz w:val="32"/>
          <w:szCs w:val="32"/>
        </w:rPr>
        <w:t xml:space="preserve"> </w:t>
      </w:r>
    </w:p>
    <w:p w:rsidR="00A05CDA" w:rsidRPr="00116A08" w:rsidRDefault="00A05CDA" w:rsidP="00940FD0">
      <w:pPr>
        <w:widowControl/>
        <w:spacing w:line="550" w:lineRule="exact"/>
        <w:ind w:firstLineChars="200" w:firstLine="31680"/>
        <w:rPr>
          <w:rFonts w:ascii="仿宋" w:eastAsia="仿宋" w:hAnsi="仿宋" w:cs="宋体"/>
          <w:color w:val="070707"/>
          <w:kern w:val="0"/>
          <w:sz w:val="32"/>
          <w:szCs w:val="32"/>
        </w:rPr>
      </w:pPr>
      <w:r>
        <w:rPr>
          <w:rFonts w:ascii="仿宋" w:eastAsia="仿宋" w:hAnsi="仿宋" w:cs="Arial"/>
          <w:color w:val="070707"/>
          <w:kern w:val="0"/>
          <w:sz w:val="32"/>
          <w:szCs w:val="32"/>
        </w:rPr>
        <w:t>3.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利用办理行政许可过程开展普法。承担行政许可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、备案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事项的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科室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在实施行政许可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和备案管理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过程中要履行普法职责。要通过门户网站、政务办事大厅等途径公开行政许可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和备案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的法律依据、办事指南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等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。要充分保障申请人的各项权利，认真解答疑问，主动宣传相关政策法规。不予行政许可的要说明理由，并根据申请人的要求做好解释，保障申请人的救济权利。</w:t>
      </w:r>
      <w:r w:rsidRPr="00116A08">
        <w:rPr>
          <w:rFonts w:ascii="宋体" w:eastAsia="仿宋" w:hAnsi="宋体" w:cs="Arial"/>
          <w:color w:val="070707"/>
          <w:kern w:val="0"/>
          <w:sz w:val="32"/>
          <w:szCs w:val="32"/>
        </w:rPr>
        <w:t> </w:t>
      </w:r>
      <w:r w:rsidRPr="00116A08">
        <w:rPr>
          <w:rFonts w:ascii="仿宋" w:eastAsia="仿宋" w:hAnsi="仿宋" w:cs="Arial"/>
          <w:color w:val="070707"/>
          <w:kern w:val="0"/>
          <w:sz w:val="32"/>
          <w:szCs w:val="32"/>
        </w:rPr>
        <w:t xml:space="preserve"> </w:t>
      </w:r>
    </w:p>
    <w:p w:rsidR="00A05CDA" w:rsidRPr="00116A08" w:rsidRDefault="00A05CDA" w:rsidP="00940FD0">
      <w:pPr>
        <w:widowControl/>
        <w:spacing w:line="550" w:lineRule="exact"/>
        <w:ind w:firstLineChars="200" w:firstLine="31680"/>
        <w:rPr>
          <w:rFonts w:ascii="仿宋" w:eastAsia="仿宋" w:hAnsi="仿宋" w:cs="宋体"/>
          <w:color w:val="070707"/>
          <w:kern w:val="0"/>
          <w:sz w:val="32"/>
          <w:szCs w:val="32"/>
        </w:rPr>
      </w:pPr>
      <w:r>
        <w:rPr>
          <w:rFonts w:ascii="仿宋" w:eastAsia="仿宋" w:hAnsi="仿宋" w:cs="Arial"/>
          <w:color w:val="070707"/>
          <w:kern w:val="0"/>
          <w:sz w:val="32"/>
          <w:szCs w:val="32"/>
        </w:rPr>
        <w:t>4.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利用实施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行业监管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过程开展普法。坚持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检查</w:t>
      </w:r>
      <w:r w:rsidRPr="006306C4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与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教育相结合，依法纠正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安全方面、涉法涉规方面的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违法行为，教育公民、法人及其他组织自觉守法。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要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充分保障行政相对人的陈述权、申辩权，根据行政相对人的陈述和申辩有针对性地进行法治宣传教育。</w:t>
      </w:r>
      <w:r w:rsidRPr="00116A08">
        <w:rPr>
          <w:rFonts w:ascii="宋体" w:eastAsia="仿宋" w:hAnsi="宋体" w:cs="Arial"/>
          <w:color w:val="070707"/>
          <w:kern w:val="0"/>
          <w:sz w:val="32"/>
          <w:szCs w:val="32"/>
        </w:rPr>
        <w:t> </w:t>
      </w:r>
      <w:r w:rsidRPr="00116A08">
        <w:rPr>
          <w:rFonts w:ascii="仿宋" w:eastAsia="仿宋" w:hAnsi="仿宋" w:cs="Arial"/>
          <w:color w:val="070707"/>
          <w:kern w:val="0"/>
          <w:sz w:val="32"/>
          <w:szCs w:val="32"/>
        </w:rPr>
        <w:t xml:space="preserve"> </w:t>
      </w:r>
    </w:p>
    <w:p w:rsidR="00A05CDA" w:rsidRPr="00116A08" w:rsidRDefault="00A05CDA" w:rsidP="00940FD0">
      <w:pPr>
        <w:widowControl/>
        <w:spacing w:line="550" w:lineRule="exact"/>
        <w:ind w:firstLineChars="200" w:firstLine="31680"/>
        <w:rPr>
          <w:rFonts w:ascii="仿宋" w:eastAsia="仿宋" w:hAnsi="仿宋" w:cs="Arial"/>
          <w:color w:val="070707"/>
          <w:kern w:val="0"/>
          <w:sz w:val="32"/>
          <w:szCs w:val="32"/>
        </w:rPr>
      </w:pPr>
      <w:r>
        <w:rPr>
          <w:rFonts w:ascii="仿宋" w:eastAsia="仿宋" w:hAnsi="仿宋" w:cs="Arial"/>
          <w:color w:val="070707"/>
          <w:kern w:val="0"/>
          <w:sz w:val="32"/>
          <w:szCs w:val="32"/>
        </w:rPr>
        <w:t>5.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利用化解行政纠纷过程开展普法。严格依法办理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来信来访和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行政复议案件，公布行政复议申请办事指南和流程图，引导当事人正确行使权利。把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说法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说理部分作为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工作的前置条件和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重要内容，将处理问题与法治宣讲有机结合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，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扩大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普法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宣传效果。</w:t>
      </w:r>
      <w:r w:rsidRPr="00116A08">
        <w:rPr>
          <w:rFonts w:ascii="宋体" w:eastAsia="仿宋" w:hAnsi="宋体" w:cs="Arial"/>
          <w:color w:val="070707"/>
          <w:kern w:val="0"/>
          <w:sz w:val="32"/>
          <w:szCs w:val="32"/>
        </w:rPr>
        <w:t> </w:t>
      </w:r>
      <w:r w:rsidRPr="00116A08">
        <w:rPr>
          <w:rFonts w:ascii="仿宋" w:eastAsia="仿宋" w:hAnsi="仿宋" w:cs="Arial"/>
          <w:color w:val="070707"/>
          <w:kern w:val="0"/>
          <w:sz w:val="32"/>
          <w:szCs w:val="32"/>
        </w:rPr>
        <w:t xml:space="preserve"> </w:t>
      </w:r>
    </w:p>
    <w:p w:rsidR="00A05CDA" w:rsidRPr="00116A08" w:rsidRDefault="00A05CDA" w:rsidP="00940FD0">
      <w:pPr>
        <w:widowControl/>
        <w:spacing w:line="550" w:lineRule="exact"/>
        <w:ind w:firstLineChars="200" w:firstLine="31680"/>
        <w:rPr>
          <w:rFonts w:ascii="黑体" w:eastAsia="黑体" w:hAnsi="黑体" w:cs="宋体"/>
          <w:color w:val="070707"/>
          <w:kern w:val="0"/>
          <w:sz w:val="32"/>
          <w:szCs w:val="32"/>
        </w:rPr>
      </w:pPr>
      <w:r w:rsidRPr="00116A08">
        <w:rPr>
          <w:rFonts w:ascii="黑体" w:eastAsia="黑体" w:hAnsi="黑体" w:cs="Arial" w:hint="eastAsia"/>
          <w:color w:val="070707"/>
          <w:kern w:val="0"/>
          <w:sz w:val="32"/>
          <w:szCs w:val="32"/>
        </w:rPr>
        <w:t>四、保障措施</w:t>
      </w:r>
      <w:r w:rsidRPr="00116A08">
        <w:rPr>
          <w:rFonts w:ascii="宋体" w:eastAsia="黑体" w:hAnsi="宋体" w:cs="Arial"/>
          <w:color w:val="070707"/>
          <w:kern w:val="0"/>
          <w:sz w:val="32"/>
          <w:szCs w:val="32"/>
        </w:rPr>
        <w:t>   </w:t>
      </w:r>
      <w:r w:rsidRPr="00116A08">
        <w:rPr>
          <w:rFonts w:ascii="黑体" w:eastAsia="黑体" w:hAnsi="黑体" w:cs="Arial"/>
          <w:color w:val="070707"/>
          <w:kern w:val="0"/>
          <w:sz w:val="32"/>
          <w:szCs w:val="32"/>
        </w:rPr>
        <w:t xml:space="preserve"> </w:t>
      </w:r>
    </w:p>
    <w:p w:rsidR="00A05CDA" w:rsidRPr="00116A08" w:rsidRDefault="00A05CDA" w:rsidP="00940FD0">
      <w:pPr>
        <w:widowControl/>
        <w:spacing w:line="550" w:lineRule="exact"/>
        <w:ind w:firstLineChars="200" w:firstLine="31680"/>
        <w:rPr>
          <w:rFonts w:ascii="仿宋" w:eastAsia="仿宋" w:hAnsi="仿宋" w:cs="宋体"/>
          <w:color w:val="070707"/>
          <w:kern w:val="0"/>
          <w:sz w:val="32"/>
          <w:szCs w:val="32"/>
        </w:rPr>
      </w:pPr>
      <w:r>
        <w:rPr>
          <w:rFonts w:ascii="仿宋" w:eastAsia="仿宋" w:hAnsi="仿宋" w:cs="Arial"/>
          <w:color w:val="070707"/>
          <w:kern w:val="0"/>
          <w:sz w:val="32"/>
          <w:szCs w:val="32"/>
        </w:rPr>
        <w:t>1.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建立健全普法责任制。普法责任制是健全法治宣传教育机制的重要抓手。在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局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依法行政领导小组领导下，各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分管领导、科室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负责人要切实履行普法工作领导责任，结合实际制定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各条线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普法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计划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，落实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工作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责任，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推动工作落地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。</w:t>
      </w:r>
      <w:r w:rsidRPr="00116A08">
        <w:rPr>
          <w:rFonts w:ascii="宋体" w:eastAsia="仿宋" w:hAnsi="宋体" w:cs="Arial"/>
          <w:color w:val="070707"/>
          <w:kern w:val="0"/>
          <w:sz w:val="32"/>
          <w:szCs w:val="32"/>
        </w:rPr>
        <w:t> </w:t>
      </w:r>
      <w:r w:rsidRPr="00116A08">
        <w:rPr>
          <w:rFonts w:ascii="仿宋" w:eastAsia="仿宋" w:hAnsi="仿宋" w:cs="Arial"/>
          <w:color w:val="070707"/>
          <w:kern w:val="0"/>
          <w:sz w:val="32"/>
          <w:szCs w:val="32"/>
        </w:rPr>
        <w:t xml:space="preserve"> </w:t>
      </w:r>
    </w:p>
    <w:p w:rsidR="00A05CDA" w:rsidRPr="00116A08" w:rsidRDefault="00A05CDA" w:rsidP="00940FD0">
      <w:pPr>
        <w:widowControl/>
        <w:spacing w:line="550" w:lineRule="exact"/>
        <w:ind w:firstLineChars="200" w:firstLine="31680"/>
        <w:rPr>
          <w:rFonts w:ascii="仿宋" w:eastAsia="仿宋" w:hAnsi="仿宋" w:cs="宋体"/>
          <w:color w:val="070707"/>
          <w:kern w:val="0"/>
          <w:sz w:val="32"/>
          <w:szCs w:val="32"/>
        </w:rPr>
      </w:pPr>
      <w:r>
        <w:rPr>
          <w:rFonts w:ascii="仿宋" w:eastAsia="仿宋" w:hAnsi="仿宋" w:cs="Arial"/>
          <w:color w:val="070707"/>
          <w:kern w:val="0"/>
          <w:sz w:val="32"/>
          <w:szCs w:val="32"/>
        </w:rPr>
        <w:t>2.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加强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普法工作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各方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联动。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建立专项法律法规条线学习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交流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制度，做到工作人员法律法规原意掌握清、条款掌握准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。发挥法律顾问、公职律师、法律专家和业务骨干等作用，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不断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健全分工负责、共同参与的工作机制。</w:t>
      </w:r>
      <w:r w:rsidRPr="00116A08">
        <w:rPr>
          <w:rFonts w:ascii="宋体" w:eastAsia="仿宋" w:hAnsi="宋体" w:cs="Arial"/>
          <w:color w:val="070707"/>
          <w:kern w:val="0"/>
          <w:sz w:val="32"/>
          <w:szCs w:val="32"/>
        </w:rPr>
        <w:t> </w:t>
      </w:r>
      <w:r w:rsidRPr="00116A08">
        <w:rPr>
          <w:rFonts w:ascii="仿宋" w:eastAsia="仿宋" w:hAnsi="仿宋" w:cs="Arial"/>
          <w:color w:val="070707"/>
          <w:kern w:val="0"/>
          <w:sz w:val="32"/>
          <w:szCs w:val="32"/>
        </w:rPr>
        <w:t xml:space="preserve"> </w:t>
      </w:r>
    </w:p>
    <w:p w:rsidR="00A05CDA" w:rsidRPr="00116A08" w:rsidRDefault="00A05CDA" w:rsidP="00940FD0">
      <w:pPr>
        <w:widowControl/>
        <w:spacing w:line="550" w:lineRule="exact"/>
        <w:ind w:firstLineChars="200" w:firstLine="31680"/>
        <w:rPr>
          <w:rFonts w:ascii="仿宋" w:eastAsia="仿宋" w:hAnsi="仿宋" w:cs="宋体"/>
          <w:color w:val="070707"/>
          <w:kern w:val="0"/>
          <w:sz w:val="32"/>
          <w:szCs w:val="32"/>
        </w:rPr>
      </w:pPr>
      <w:r>
        <w:rPr>
          <w:rFonts w:ascii="仿宋" w:eastAsia="仿宋" w:hAnsi="仿宋" w:cs="Arial"/>
          <w:color w:val="070707"/>
          <w:kern w:val="0"/>
          <w:sz w:val="32"/>
          <w:szCs w:val="32"/>
        </w:rPr>
        <w:t>3.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强化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普法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工作定期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评价。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局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依法行政领导小组办公室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将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对照普法责任清单对普法责任落实情况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定期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进行检查评价。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认真总结提炼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普法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经验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，推广普法先进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做法</w:t>
      </w:r>
      <w:r w:rsidRPr="00116A08"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，发挥示范作用。对责任不落实、普法工作目标任务未完成的，要予以通报。</w:t>
      </w:r>
      <w:r w:rsidRPr="00116A08">
        <w:rPr>
          <w:rFonts w:ascii="宋体" w:eastAsia="仿宋" w:hAnsi="宋体" w:cs="Arial"/>
          <w:color w:val="070707"/>
          <w:kern w:val="0"/>
          <w:sz w:val="32"/>
          <w:szCs w:val="32"/>
        </w:rPr>
        <w:t>     </w:t>
      </w:r>
      <w:r w:rsidRPr="00116A08">
        <w:rPr>
          <w:rFonts w:ascii="仿宋" w:eastAsia="仿宋" w:hAnsi="仿宋" w:cs="Arial"/>
          <w:color w:val="070707"/>
          <w:kern w:val="0"/>
          <w:sz w:val="32"/>
          <w:szCs w:val="32"/>
        </w:rPr>
        <w:t xml:space="preserve"> </w:t>
      </w:r>
    </w:p>
    <w:p w:rsidR="00A05CDA" w:rsidRPr="00116A08" w:rsidRDefault="00A05CDA" w:rsidP="00957DB0">
      <w:pPr>
        <w:widowControl/>
        <w:spacing w:line="550" w:lineRule="exact"/>
        <w:ind w:firstLine="480"/>
        <w:rPr>
          <w:rFonts w:ascii="仿宋" w:eastAsia="仿宋" w:hAnsi="仿宋" w:cs="宋体"/>
          <w:color w:val="070707"/>
          <w:kern w:val="0"/>
          <w:sz w:val="32"/>
          <w:szCs w:val="32"/>
        </w:rPr>
      </w:pPr>
      <w:r>
        <w:rPr>
          <w:rFonts w:ascii="仿宋" w:eastAsia="仿宋" w:hAnsi="仿宋" w:cs="Arial"/>
          <w:color w:val="070707"/>
          <w:kern w:val="0"/>
          <w:sz w:val="32"/>
          <w:szCs w:val="32"/>
        </w:rPr>
        <w:t xml:space="preserve"> </w:t>
      </w: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附件：</w:t>
      </w:r>
      <w:hyperlink r:id="rId8" w:history="1">
        <w:r>
          <w:rPr>
            <w:rFonts w:ascii="仿宋" w:eastAsia="仿宋" w:hAnsi="仿宋" w:cs="宋体" w:hint="eastAsia"/>
            <w:color w:val="000000"/>
            <w:kern w:val="0"/>
            <w:sz w:val="32"/>
            <w:szCs w:val="32"/>
          </w:rPr>
          <w:t>市商务局</w:t>
        </w:r>
        <w:r w:rsidRPr="00116A08">
          <w:rPr>
            <w:rFonts w:ascii="仿宋" w:eastAsia="仿宋" w:hAnsi="仿宋" w:cs="宋体" w:hint="eastAsia"/>
            <w:color w:val="000000"/>
            <w:kern w:val="0"/>
            <w:sz w:val="32"/>
            <w:szCs w:val="32"/>
          </w:rPr>
          <w:t>普法责任清单</w:t>
        </w:r>
      </w:hyperlink>
    </w:p>
    <w:p w:rsidR="00A05CDA" w:rsidRDefault="00A05CDA" w:rsidP="00116A08">
      <w:pPr>
        <w:widowControl/>
        <w:spacing w:line="550" w:lineRule="exact"/>
        <w:ind w:firstLine="480"/>
        <w:rPr>
          <w:rFonts w:ascii="仿宋" w:eastAsia="仿宋" w:hAnsi="仿宋" w:cs="Arial"/>
          <w:color w:val="070707"/>
          <w:kern w:val="0"/>
          <w:sz w:val="32"/>
          <w:szCs w:val="32"/>
        </w:rPr>
      </w:pPr>
    </w:p>
    <w:p w:rsidR="00A05CDA" w:rsidRDefault="00A05CDA" w:rsidP="00116A08">
      <w:pPr>
        <w:widowControl/>
        <w:spacing w:line="550" w:lineRule="exact"/>
        <w:ind w:firstLine="480"/>
        <w:rPr>
          <w:rFonts w:ascii="仿宋" w:eastAsia="仿宋" w:hAnsi="仿宋" w:cs="Arial"/>
          <w:color w:val="070707"/>
          <w:kern w:val="0"/>
          <w:sz w:val="32"/>
          <w:szCs w:val="32"/>
        </w:rPr>
      </w:pPr>
    </w:p>
    <w:p w:rsidR="00A05CDA" w:rsidRPr="00116A08" w:rsidRDefault="00A05CDA" w:rsidP="00116A08">
      <w:pPr>
        <w:widowControl/>
        <w:spacing w:line="550" w:lineRule="exact"/>
        <w:ind w:firstLine="480"/>
        <w:rPr>
          <w:rFonts w:ascii="仿宋" w:eastAsia="仿宋" w:hAnsi="仿宋" w:cs="Arial"/>
          <w:color w:val="070707"/>
          <w:kern w:val="0"/>
          <w:sz w:val="32"/>
          <w:szCs w:val="32"/>
        </w:rPr>
      </w:pPr>
    </w:p>
    <w:p w:rsidR="00A05CDA" w:rsidRPr="00116A08" w:rsidRDefault="00A05CDA" w:rsidP="00940FD0">
      <w:pPr>
        <w:widowControl/>
        <w:spacing w:line="550" w:lineRule="exact"/>
        <w:ind w:firstLineChars="2300" w:firstLine="31680"/>
        <w:rPr>
          <w:rFonts w:ascii="仿宋" w:eastAsia="仿宋" w:hAnsi="仿宋" w:cs="Arial"/>
          <w:color w:val="070707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70707"/>
          <w:kern w:val="0"/>
          <w:sz w:val="32"/>
          <w:szCs w:val="32"/>
        </w:rPr>
        <w:t>市商务局</w:t>
      </w:r>
      <w:r w:rsidRPr="00116A08">
        <w:rPr>
          <w:rFonts w:ascii="仿宋" w:eastAsia="仿宋" w:hAnsi="仿宋"/>
          <w:color w:val="070707"/>
          <w:kern w:val="0"/>
          <w:sz w:val="32"/>
          <w:szCs w:val="32"/>
        </w:rPr>
        <w:t xml:space="preserve"> </w:t>
      </w:r>
    </w:p>
    <w:p w:rsidR="00A05CDA" w:rsidRPr="00116A08" w:rsidRDefault="00A05CDA" w:rsidP="00940FD0">
      <w:pPr>
        <w:widowControl/>
        <w:spacing w:line="550" w:lineRule="exact"/>
        <w:ind w:firstLineChars="2150" w:firstLine="31680"/>
        <w:rPr>
          <w:rFonts w:ascii="仿宋" w:eastAsia="仿宋" w:hAnsi="仿宋" w:cs="宋体"/>
          <w:color w:val="070707"/>
          <w:kern w:val="0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0"/>
          <w:attr w:name="Year" w:val="2019"/>
        </w:smartTagPr>
        <w:r w:rsidRPr="00116A08">
          <w:rPr>
            <w:rFonts w:ascii="仿宋" w:eastAsia="仿宋" w:hAnsi="仿宋"/>
            <w:color w:val="070707"/>
            <w:kern w:val="0"/>
            <w:sz w:val="32"/>
            <w:szCs w:val="32"/>
          </w:rPr>
          <w:t>2019</w:t>
        </w:r>
        <w:r w:rsidRPr="00116A08">
          <w:rPr>
            <w:rFonts w:ascii="仿宋" w:eastAsia="仿宋" w:hAnsi="仿宋" w:cs="Arial" w:hint="eastAsia"/>
            <w:color w:val="070707"/>
            <w:kern w:val="0"/>
            <w:sz w:val="32"/>
            <w:szCs w:val="32"/>
          </w:rPr>
          <w:t>年</w:t>
        </w:r>
        <w:r>
          <w:rPr>
            <w:rFonts w:ascii="仿宋" w:eastAsia="仿宋" w:hAnsi="仿宋"/>
            <w:color w:val="070707"/>
            <w:kern w:val="0"/>
            <w:sz w:val="32"/>
            <w:szCs w:val="32"/>
          </w:rPr>
          <w:t>10</w:t>
        </w:r>
        <w:r w:rsidRPr="00116A08">
          <w:rPr>
            <w:rFonts w:ascii="仿宋" w:eastAsia="仿宋" w:hAnsi="仿宋" w:cs="Arial" w:hint="eastAsia"/>
            <w:color w:val="070707"/>
            <w:kern w:val="0"/>
            <w:sz w:val="32"/>
            <w:szCs w:val="32"/>
          </w:rPr>
          <w:t>月</w:t>
        </w:r>
        <w:r>
          <w:rPr>
            <w:rFonts w:ascii="仿宋" w:eastAsia="仿宋" w:hAnsi="仿宋" w:cs="Arial"/>
            <w:color w:val="070707"/>
            <w:kern w:val="0"/>
            <w:sz w:val="32"/>
            <w:szCs w:val="32"/>
          </w:rPr>
          <w:t>1</w:t>
        </w:r>
        <w:r w:rsidRPr="00116A08">
          <w:rPr>
            <w:rFonts w:ascii="仿宋" w:eastAsia="仿宋" w:hAnsi="仿宋"/>
            <w:color w:val="070707"/>
            <w:kern w:val="0"/>
            <w:sz w:val="32"/>
            <w:szCs w:val="32"/>
          </w:rPr>
          <w:t>2</w:t>
        </w:r>
        <w:r w:rsidRPr="00116A08">
          <w:rPr>
            <w:rFonts w:ascii="仿宋" w:eastAsia="仿宋" w:hAnsi="仿宋" w:cs="Arial" w:hint="eastAsia"/>
            <w:color w:val="070707"/>
            <w:kern w:val="0"/>
            <w:sz w:val="32"/>
            <w:szCs w:val="32"/>
          </w:rPr>
          <w:t>日</w:t>
        </w:r>
      </w:smartTag>
    </w:p>
    <w:p w:rsidR="00A05CDA" w:rsidRDefault="00A05CDA" w:rsidP="00116A08">
      <w:pPr>
        <w:widowControl/>
        <w:spacing w:line="550" w:lineRule="exact"/>
        <w:ind w:firstLine="480"/>
        <w:rPr>
          <w:rFonts w:ascii="仿宋" w:eastAsia="仿宋" w:hAnsi="仿宋" w:cs="宋体"/>
          <w:color w:val="070707"/>
          <w:kern w:val="0"/>
          <w:sz w:val="32"/>
          <w:szCs w:val="32"/>
        </w:rPr>
      </w:pPr>
      <w:r w:rsidRPr="00116A08">
        <w:rPr>
          <w:rFonts w:ascii="宋体" w:eastAsia="仿宋" w:hAnsi="宋体" w:cs="宋体"/>
          <w:color w:val="070707"/>
          <w:kern w:val="0"/>
          <w:sz w:val="32"/>
          <w:szCs w:val="32"/>
        </w:rPr>
        <w:t> </w:t>
      </w:r>
      <w:r w:rsidRPr="00116A08">
        <w:rPr>
          <w:rFonts w:ascii="仿宋" w:eastAsia="仿宋" w:hAnsi="仿宋" w:cs="宋体" w:hint="eastAsia"/>
          <w:color w:val="070707"/>
          <w:kern w:val="0"/>
          <w:sz w:val="32"/>
          <w:szCs w:val="32"/>
        </w:rPr>
        <w:t xml:space="preserve">　</w:t>
      </w:r>
    </w:p>
    <w:p w:rsidR="00A05CDA" w:rsidRDefault="00A05CDA" w:rsidP="00561FEA">
      <w:pPr>
        <w:widowControl/>
        <w:spacing w:line="550" w:lineRule="exact"/>
        <w:rPr>
          <w:rFonts w:ascii="仿宋" w:eastAsia="仿宋" w:hAnsi="仿宋" w:cs="宋体"/>
          <w:color w:val="070707"/>
          <w:kern w:val="0"/>
          <w:sz w:val="32"/>
          <w:szCs w:val="32"/>
        </w:rPr>
        <w:sectPr w:rsidR="00A05CDA" w:rsidSect="00116A08">
          <w:pgSz w:w="11906" w:h="16838"/>
          <w:pgMar w:top="1247" w:right="1191" w:bottom="1247" w:left="1191" w:header="851" w:footer="992" w:gutter="0"/>
          <w:cols w:space="425"/>
          <w:docGrid w:type="lines" w:linePitch="312"/>
        </w:sectPr>
      </w:pPr>
    </w:p>
    <w:tbl>
      <w:tblPr>
        <w:tblW w:w="14300" w:type="dxa"/>
        <w:tblInd w:w="93" w:type="dxa"/>
        <w:tblLook w:val="0000"/>
      </w:tblPr>
      <w:tblGrid>
        <w:gridCol w:w="1080"/>
        <w:gridCol w:w="3780"/>
        <w:gridCol w:w="2400"/>
        <w:gridCol w:w="2400"/>
        <w:gridCol w:w="4640"/>
      </w:tblGrid>
      <w:tr w:rsidR="00A05CDA" w:rsidRPr="00EF2098" w:rsidTr="007738E8">
        <w:trPr>
          <w:trHeight w:val="1246"/>
        </w:trPr>
        <w:tc>
          <w:tcPr>
            <w:tcW w:w="143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5CDA" w:rsidRPr="00EF2098" w:rsidRDefault="00A05CDA" w:rsidP="007738E8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36"/>
                <w:szCs w:val="36"/>
              </w:rPr>
            </w:pPr>
            <w:r w:rsidRPr="00EF2098">
              <w:rPr>
                <w:rFonts w:ascii="方正小标宋_GBK" w:eastAsia="方正小标宋_GBK" w:hAnsi="宋体" w:cs="宋体" w:hint="eastAsia"/>
                <w:kern w:val="0"/>
                <w:sz w:val="36"/>
                <w:szCs w:val="36"/>
              </w:rPr>
              <w:t>市商务局普法责任清单</w:t>
            </w:r>
          </w:p>
        </w:tc>
      </w:tr>
      <w:tr w:rsidR="00A05CDA" w:rsidRPr="004644D2" w:rsidTr="007738E8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类别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普法内容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责任科室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普法对象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普法形式</w:t>
            </w:r>
          </w:p>
        </w:tc>
      </w:tr>
      <w:tr w:rsidR="00A05CDA" w:rsidRPr="004644D2" w:rsidTr="007738E8">
        <w:trPr>
          <w:trHeight w:val="8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党内规范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党章、党的准则、条例、规定、细则等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局办公室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系统内全体干部职工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集中教育、发放书籍材料、纳入“三会一课”</w:t>
            </w:r>
          </w:p>
        </w:tc>
      </w:tr>
      <w:tr w:rsidR="00A05CDA" w:rsidRPr="004644D2" w:rsidTr="007738E8">
        <w:trPr>
          <w:trHeight w:val="8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宪法、法律常识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宪法、重要的行政、民商、刑法、经商等依法行政基础知识</w:t>
            </w: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A05CDA" w:rsidRPr="004644D2" w:rsidTr="007738E8">
        <w:trPr>
          <w:trHeight w:val="84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部门所涉法律法规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外商投资法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外国投资管理</w:t>
            </w: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外资企业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对内采用条线学习、专题辅导等方式；对外采取媒体宣传、监管告知等</w:t>
            </w:r>
          </w:p>
        </w:tc>
      </w:tr>
      <w:tr w:rsidR="00A05CDA" w:rsidRPr="004644D2" w:rsidTr="007738E8">
        <w:trPr>
          <w:trHeight w:val="8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对外劳务合作管理条例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对外投资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和经济合作</w:t>
            </w: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外经企业</w:t>
            </w:r>
            <w:r w:rsidRPr="004644D2">
              <w:rPr>
                <w:rFonts w:ascii="方正仿宋_GBK" w:eastAsia="方正仿宋_GBK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A05CDA" w:rsidRPr="004644D2" w:rsidTr="007738E8">
        <w:trPr>
          <w:trHeight w:val="13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成品油市场管理办法、江苏省成品油市场管理办法实施细则、江苏省农村加油点设置管理办法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市场运行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和消费促进</w:t>
            </w: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各加油站点</w:t>
            </w: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A05CDA" w:rsidRPr="004644D2" w:rsidTr="007738E8">
        <w:trPr>
          <w:trHeight w:val="8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再生资源回收管理办法</w:t>
            </w: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再生资源回收站点</w:t>
            </w: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A05CDA" w:rsidRPr="004644D2" w:rsidTr="007738E8">
        <w:trPr>
          <w:trHeight w:val="110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（省消保条例）预付卡相关部分、单用途预付卡管理规定（</w:t>
            </w:r>
            <w:r w:rsidRPr="004644D2">
              <w:rPr>
                <w:rFonts w:ascii="方正仿宋_GBK" w:eastAsia="方正仿宋_GBK" w:hAnsi="宋体" w:cs="宋体"/>
                <w:kern w:val="0"/>
                <w:sz w:val="24"/>
              </w:rPr>
              <w:t>2018</w:t>
            </w: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年</w:t>
            </w:r>
            <w:r w:rsidRPr="004644D2">
              <w:rPr>
                <w:rFonts w:ascii="方正仿宋_GBK" w:eastAsia="方正仿宋_GBK" w:hAnsi="宋体" w:cs="宋体"/>
                <w:kern w:val="0"/>
                <w:sz w:val="24"/>
              </w:rPr>
              <w:t>8</w:t>
            </w: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月）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市场秩序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和体系建设</w:t>
            </w: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相关商场超市</w:t>
            </w: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A05CDA" w:rsidRPr="004644D2" w:rsidTr="007738E8">
        <w:trPr>
          <w:trHeight w:val="79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汽车销售管理办法</w:t>
            </w: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644D2">
              <w:rPr>
                <w:rFonts w:ascii="方正仿宋_GBK" w:eastAsia="方正仿宋_GBK" w:hAnsi="宋体" w:cs="宋体" w:hint="eastAsia"/>
                <w:kern w:val="0"/>
                <w:sz w:val="24"/>
              </w:rPr>
              <w:t>汽车销售店</w:t>
            </w: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CDA" w:rsidRPr="004644D2" w:rsidRDefault="00A05CDA" w:rsidP="007738E8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</w:tbl>
    <w:p w:rsidR="00A05CDA" w:rsidRPr="00116A08" w:rsidRDefault="00A05CDA" w:rsidP="00561FEA">
      <w:pPr>
        <w:spacing w:line="550" w:lineRule="exact"/>
      </w:pPr>
    </w:p>
    <w:sectPr w:rsidR="00A05CDA" w:rsidRPr="00116A08" w:rsidSect="00DF6650">
      <w:pgSz w:w="16838" w:h="11906" w:orient="landscape"/>
      <w:pgMar w:top="1191" w:right="1247" w:bottom="1191" w:left="124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CDA" w:rsidRDefault="00A05CDA" w:rsidP="00DD3AD2">
      <w:r>
        <w:separator/>
      </w:r>
    </w:p>
  </w:endnote>
  <w:endnote w:type="continuationSeparator" w:id="0">
    <w:p w:rsidR="00A05CDA" w:rsidRDefault="00A05CDA" w:rsidP="00DD3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方正小标宋简体">
    <w:altName w:val="SimSun-ExtB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CDA" w:rsidRDefault="00A05CDA" w:rsidP="00DD3AD2">
      <w:r>
        <w:separator/>
      </w:r>
    </w:p>
  </w:footnote>
  <w:footnote w:type="continuationSeparator" w:id="0">
    <w:p w:rsidR="00A05CDA" w:rsidRDefault="00A05CDA" w:rsidP="00DD3A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A08"/>
    <w:rsid w:val="00024455"/>
    <w:rsid w:val="000A7487"/>
    <w:rsid w:val="00116A08"/>
    <w:rsid w:val="0016210F"/>
    <w:rsid w:val="00173077"/>
    <w:rsid w:val="00174AE1"/>
    <w:rsid w:val="00193F98"/>
    <w:rsid w:val="001A1488"/>
    <w:rsid w:val="001F3AD2"/>
    <w:rsid w:val="00275305"/>
    <w:rsid w:val="00277AA2"/>
    <w:rsid w:val="002C7A5A"/>
    <w:rsid w:val="003175AE"/>
    <w:rsid w:val="00354AC4"/>
    <w:rsid w:val="00375B30"/>
    <w:rsid w:val="003E1AB0"/>
    <w:rsid w:val="003E60A4"/>
    <w:rsid w:val="00447718"/>
    <w:rsid w:val="004644D2"/>
    <w:rsid w:val="0053060D"/>
    <w:rsid w:val="005616DB"/>
    <w:rsid w:val="00561FEA"/>
    <w:rsid w:val="006306C4"/>
    <w:rsid w:val="00631E95"/>
    <w:rsid w:val="006869D4"/>
    <w:rsid w:val="00686C45"/>
    <w:rsid w:val="00695A8C"/>
    <w:rsid w:val="006F6A97"/>
    <w:rsid w:val="007477D2"/>
    <w:rsid w:val="007738E8"/>
    <w:rsid w:val="0079708B"/>
    <w:rsid w:val="007C42D5"/>
    <w:rsid w:val="00807AA6"/>
    <w:rsid w:val="008C62C7"/>
    <w:rsid w:val="009146DC"/>
    <w:rsid w:val="00940F2E"/>
    <w:rsid w:val="00940FD0"/>
    <w:rsid w:val="009550AF"/>
    <w:rsid w:val="00957DB0"/>
    <w:rsid w:val="009F16E2"/>
    <w:rsid w:val="009F4FF0"/>
    <w:rsid w:val="00A05CDA"/>
    <w:rsid w:val="00AA06F1"/>
    <w:rsid w:val="00AB58C3"/>
    <w:rsid w:val="00AE5B9F"/>
    <w:rsid w:val="00AF7E0B"/>
    <w:rsid w:val="00B0355C"/>
    <w:rsid w:val="00CC6AF4"/>
    <w:rsid w:val="00CE37AE"/>
    <w:rsid w:val="00D04C6C"/>
    <w:rsid w:val="00D36628"/>
    <w:rsid w:val="00D74BF1"/>
    <w:rsid w:val="00DD3AD2"/>
    <w:rsid w:val="00DE2A9A"/>
    <w:rsid w:val="00DF6650"/>
    <w:rsid w:val="00E247BB"/>
    <w:rsid w:val="00E33BDF"/>
    <w:rsid w:val="00EF2098"/>
    <w:rsid w:val="00FB4ECC"/>
    <w:rsid w:val="00FB623D"/>
    <w:rsid w:val="00FD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A5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16A08"/>
    <w:rPr>
      <w:rFonts w:cs="Times New Roman"/>
      <w:color w:val="000000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116A08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116A08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16A0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6A08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116A08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DD3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D3AD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D3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D3AD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44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it.gov.cn/n1146295/n1652858/n1652930/n3757016/c6599350/part/6599379.doc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5</Pages>
  <Words>305</Words>
  <Characters>1740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市商务局关于实行“谁主管谁普法、</dc:title>
  <dc:subject/>
  <dc:creator>微软用户</dc:creator>
  <cp:keywords/>
  <dc:description/>
  <cp:lastModifiedBy>施如意</cp:lastModifiedBy>
  <cp:revision>7</cp:revision>
  <dcterms:created xsi:type="dcterms:W3CDTF">2019-10-16T08:11:00Z</dcterms:created>
  <dcterms:modified xsi:type="dcterms:W3CDTF">2019-10-29T01:43:00Z</dcterms:modified>
</cp:coreProperties>
</file>