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CE" w:rsidRDefault="00631CCE" w:rsidP="00631CCE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南通市海门区退役军人事务局</w:t>
      </w:r>
    </w:p>
    <w:p w:rsidR="00631CCE" w:rsidRDefault="00631CCE" w:rsidP="00631CCE">
      <w:pPr>
        <w:pStyle w:val="2"/>
        <w:spacing w:line="56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2024年上半年工作总结和下半年工作思路</w:t>
      </w:r>
    </w:p>
    <w:p w:rsidR="00C64466" w:rsidRPr="00631CCE" w:rsidRDefault="00C64466">
      <w:pPr>
        <w:pStyle w:val="a7"/>
        <w:tabs>
          <w:tab w:val="left" w:pos="2760"/>
        </w:tabs>
        <w:spacing w:line="400" w:lineRule="exact"/>
        <w:ind w:firstLineChars="0" w:firstLine="0"/>
        <w:rPr>
          <w:rFonts w:ascii="楷体" w:eastAsia="楷体" w:hAnsi="楷体" w:cs="楷体"/>
          <w:kern w:val="2"/>
          <w:sz w:val="32"/>
          <w:szCs w:val="32"/>
        </w:rPr>
      </w:pPr>
    </w:p>
    <w:p w:rsidR="00C64466" w:rsidRDefault="00CB6367">
      <w:pPr>
        <w:tabs>
          <w:tab w:val="left" w:pos="1080"/>
        </w:tabs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今年以来，海门区退役军人事务局坚决贯彻落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平总书记关于退役军人工作重要指示精神，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牢记退役军人工作初心使命，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做到常规工作有实效，重点工作有特色，持续打造创新创优项目，不断推动全区退役军人工作高质量发展。</w:t>
      </w:r>
    </w:p>
    <w:p w:rsidR="00C64466" w:rsidRDefault="00CB6367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一、上半年工作开展情况</w:t>
      </w:r>
    </w:p>
    <w:p w:rsidR="00C64466" w:rsidRDefault="00CB6367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（一）聚焦重点工作项目</w:t>
      </w:r>
    </w:p>
    <w:p w:rsidR="00C64466" w:rsidRDefault="00CB6367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实施退役军人“千人计划”，打造“双招”一体化模式。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一是纵向完善工作链条。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推进“申报—管理—评估—考核”工作机制，建立退役军人教育培训报名核查数据库和报名承诺机制，加大政策宣传和招生动员。今年以来，共参加适应性培训35人、专升本报名42人、创业培训6人。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二是横向拓展就业渠道。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展“一月一企行”活动，与20多家规模企业达成就业合作；组织春季专场招聘会，邀请企业106家，提供1000余个岗位；下一步，将精准对接退役军人就业需求与智能制造企业用工需求，打造智能制造培训基地；组织退役军人参加创业创新大赛，力争1-2个新兴产业项目在省赛、国赛中取得好成绩。</w:t>
      </w:r>
    </w:p>
    <w:p w:rsidR="00C64466" w:rsidRDefault="00CB6367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 w:themeColor="text1"/>
          <w:sz w:val="32"/>
          <w:szCs w:val="32"/>
        </w:rPr>
        <w:t>2.“续航计划”助力老兵再就业。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一是建好“两个需求库”。已摸排出有就业意向老兵95人，有招聘需求企业23家，目前为8人对接应聘实现再就业。二是建立“三种机制”。“常态化”岗位发布机制，开发“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戎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就东洲”小程序，搭建“企业—老兵”双向交流平台，同时定期印制企业岗位需求汇总清单，送岗上门；“定向化”招聘推介机制，联合退役军人企业、乡镇强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村企业，面向退役军人定向招聘，重点关注“双困”老兵，向用工企业推介，安排尽快上岗；“订单式”政策宣传机制，开展老兵再就业岗位推介会、直播带岗、老班长分享会等，针对性讲解就业、惠企政策，解答就业问题。</w:t>
      </w:r>
    </w:p>
    <w:p w:rsidR="00C64466" w:rsidRDefault="00CB6367">
      <w:pPr>
        <w:spacing w:line="520" w:lineRule="exact"/>
        <w:ind w:left="63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（二）浓厚拥军优属氛围</w:t>
      </w:r>
    </w:p>
    <w:p w:rsidR="00C64466" w:rsidRDefault="00CB6367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1.加大抚恤优待力度。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将“关爱宜居”列入政府“为民办实事”工程，为重点优抚对象家庭实施无障碍和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适老化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改造，确定户均改造费用标准并安排专项资金；与区中医院合作设立“荣军医院”“荣军门诊”，开通退役军人和优待对象定点就医“绿色通道”；拓展“优待证”服务功能，涵盖交通出行、健康医疗、养老服务、住宿餐饮等。</w:t>
      </w:r>
    </w:p>
    <w:p w:rsidR="00C64466" w:rsidRDefault="00CB636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2.深化为</w:t>
      </w:r>
      <w:proofErr w:type="gramStart"/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兵向战服务</w:t>
      </w:r>
      <w:proofErr w:type="gramEnd"/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以真招实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和“真金白银”支持驻海部队建设。放大“军人家庭服务中心”辐射效应，开展“你为国戍边 我为你守家”关爱现役军人家庭拥军活动，开展两次全覆盖走访慰问“边海防”官兵家庭活动，充分利用区、镇 、村三级拥军服务岗，开展帮扶解困、荣誉激励、就业援助、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关爱军娃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等服务。</w:t>
      </w:r>
    </w:p>
    <w:p w:rsidR="00C64466" w:rsidRDefault="00CB6367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提升社会化拥军水平。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放大“拥军优属公益创投活动”品牌效应，吸纳公益组织和公益服务项目；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以“15分钟拥军服务圈”建设为推手，整合基层社区公共服务资源和公益服务网络，发动拥军企业和个体工商户，在通信、餐饮、住宿、交通、医药等行业推出一系列专属优惠。</w:t>
      </w:r>
    </w:p>
    <w:p w:rsidR="00C64466" w:rsidRDefault="00CB6367">
      <w:pPr>
        <w:spacing w:line="52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（三）健全基层保障体系</w:t>
      </w:r>
    </w:p>
    <w:p w:rsidR="00CB6367" w:rsidRDefault="00CB6367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1.服务保障体系从“有”到“优”。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按照“硬件+软件”“常规+特色”思路，进行服务站提标升级，目前，已有3家服务站完成提标升级；将困难退役军人纳入网格化管理，动态掌握困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难诉求；推动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老兵悦谈项目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落地生根，让项目制度化、规范化、常态化运行。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聚焦40-55周岁，受年龄、技能、学历等多方面因素限制，面临就业难的下岗失业退役军人，搭建企业——老兵双向交流平台，发挥基层服务站纽带作用，实现老兵“家门口”就业。持续推动全区行政机关企事业单位“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耀之家”建设。</w:t>
      </w:r>
    </w:p>
    <w:p w:rsidR="00C64466" w:rsidRDefault="00CB6367">
      <w:pPr>
        <w:spacing w:line="52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2.人才队伍建设正向赋能。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一是引领兵支书参与乡村振兴。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我区现有204名退役军人在村“两委”中任职，占比69.6%，其中65人任书记、主任，占比22.1%。会同组织部研究草拟《关于促进优秀退役军人赴村（社区）任职的实施意见》，进一步动员优秀退役军人投入乡村振兴。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二是扩大志愿服务覆盖面。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完善志愿者注册认证、星级评定、荣誉激励机制，指导区镇结合自身优势打造特色志愿服务项目；借助全媒体平台，开展“东洲+”系列志愿服务；聚焦功臣模范、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失独困难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等特定群体，下沉基层开展志愿服务活动。</w:t>
      </w:r>
    </w:p>
    <w:p w:rsidR="00C64466" w:rsidRDefault="00CB6367">
      <w:pPr>
        <w:spacing w:line="520" w:lineRule="exact"/>
        <w:ind w:firstLineChars="200" w:firstLine="672"/>
        <w:rPr>
          <w:rFonts w:ascii="黑体" w:eastAsia="黑体" w:hAnsi="黑体"/>
          <w:spacing w:val="8"/>
          <w:sz w:val="32"/>
          <w:szCs w:val="32"/>
        </w:rPr>
      </w:pPr>
      <w:r>
        <w:rPr>
          <w:rFonts w:ascii="黑体" w:eastAsia="黑体" w:hAnsi="黑体" w:hint="eastAsia"/>
          <w:spacing w:val="8"/>
          <w:sz w:val="32"/>
          <w:szCs w:val="32"/>
        </w:rPr>
        <w:t>二、下半年工作思路</w:t>
      </w:r>
    </w:p>
    <w:p w:rsidR="00C64466" w:rsidRDefault="00CB636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（一）落实军转安置政策，指导就业创业。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9月15日前，完成转业军人接收安置工作。严格落实政策，规范安置流程，加强工作创新，做好待安置期教育管理，确保选岗工作公平公正，公开透明，不断提升安置工作质量和退役军人获得感。深入做好就业创业工作。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做优培训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赋能、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配优招聘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资源，着力在新退役返乡人员、下岗失业志愿兵和就业困难人员就业上下功夫。与税务、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部门密切合作，积极扶持退役军人创业项目，力争在全省、全国退役军人创业创新大赛中取得优异成绩。</w:t>
      </w:r>
    </w:p>
    <w:p w:rsidR="00C64466" w:rsidRDefault="00CB6367">
      <w:pPr>
        <w:pStyle w:val="a0"/>
        <w:spacing w:before="0" w:after="0" w:line="520" w:lineRule="exact"/>
        <w:ind w:firstLineChars="200" w:firstLine="640"/>
        <w:jc w:val="both"/>
        <w:rPr>
          <w:rFonts w:ascii="仿宋_GB2312" w:eastAsia="仿宋_GB2312"/>
          <w:b w:val="0"/>
        </w:rPr>
      </w:pPr>
      <w:r>
        <w:rPr>
          <w:rFonts w:ascii="楷体_GB2312" w:eastAsia="楷体_GB2312" w:hAnsi="仿宋_GB2312" w:cs="仿宋_GB2312" w:hint="eastAsia"/>
          <w:b w:val="0"/>
          <w:bCs w:val="0"/>
        </w:rPr>
        <w:t>（二）着眼拥军</w:t>
      </w:r>
      <w:proofErr w:type="gramStart"/>
      <w:r>
        <w:rPr>
          <w:rFonts w:ascii="楷体_GB2312" w:eastAsia="楷体_GB2312" w:hAnsi="仿宋_GB2312" w:cs="仿宋_GB2312" w:hint="eastAsia"/>
          <w:b w:val="0"/>
          <w:bCs w:val="0"/>
        </w:rPr>
        <w:t>崇军惠</w:t>
      </w:r>
      <w:proofErr w:type="gramEnd"/>
      <w:r>
        <w:rPr>
          <w:rFonts w:ascii="楷体_GB2312" w:eastAsia="楷体_GB2312" w:hAnsi="仿宋_GB2312" w:cs="仿宋_GB2312" w:hint="eastAsia"/>
          <w:b w:val="0"/>
          <w:bCs w:val="0"/>
        </w:rPr>
        <w:t>军，营造浓厚氛围。</w:t>
      </w:r>
      <w:r>
        <w:rPr>
          <w:rFonts w:ascii="仿宋_GB2312" w:eastAsia="仿宋_GB2312" w:hAnsi="仿宋_GB2312" w:cs="仿宋_GB2312" w:hint="eastAsia"/>
          <w:b w:val="0"/>
          <w:bCs w:val="0"/>
        </w:rPr>
        <w:t>开展“走边防、</w:t>
      </w:r>
      <w:r>
        <w:rPr>
          <w:rFonts w:ascii="仿宋_GB2312" w:eastAsia="仿宋_GB2312" w:hAnsi="仿宋_GB2312" w:cs="仿宋_GB2312" w:hint="eastAsia"/>
          <w:b w:val="0"/>
          <w:bCs w:val="0"/>
        </w:rPr>
        <w:lastRenderedPageBreak/>
        <w:t>看亲人”活动、开展服务军人</w:t>
      </w:r>
      <w:proofErr w:type="gramStart"/>
      <w:r>
        <w:rPr>
          <w:rFonts w:ascii="仿宋_GB2312" w:eastAsia="仿宋_GB2312" w:hAnsi="仿宋_GB2312" w:cs="仿宋_GB2312" w:hint="eastAsia"/>
          <w:b w:val="0"/>
          <w:bCs w:val="0"/>
        </w:rPr>
        <w:t>家庭公益创投项目</w:t>
      </w:r>
      <w:proofErr w:type="gramEnd"/>
      <w:r>
        <w:rPr>
          <w:rFonts w:ascii="仿宋_GB2312" w:eastAsia="仿宋_GB2312" w:hAnsi="仿宋_GB2312" w:cs="仿宋_GB2312" w:hint="eastAsia"/>
          <w:b w:val="0"/>
          <w:bCs w:val="0"/>
        </w:rPr>
        <w:t>活动。拓展退役军人优待证使用功能。</w:t>
      </w:r>
      <w:r>
        <w:rPr>
          <w:rFonts w:ascii="仿宋_GB2312" w:eastAsia="仿宋_GB2312" w:hAnsi="仿宋_GB2312" w:cs="仿宋_GB2312" w:hint="eastAsia"/>
          <w:b w:val="0"/>
        </w:rPr>
        <w:t>开展“八一”慰问部队活动，做好军地互办实事、为驻军办实事等工作，落实军休干部“两个待遇”（政治待遇、生活待遇），开展相关活动</w:t>
      </w:r>
      <w:r>
        <w:rPr>
          <w:rFonts w:ascii="仿宋_GB2312" w:eastAsia="仿宋_GB2312" w:hint="eastAsia"/>
          <w:b w:val="0"/>
        </w:rPr>
        <w:t>。</w:t>
      </w:r>
    </w:p>
    <w:p w:rsidR="00C64466" w:rsidRDefault="00CB6367">
      <w:pPr>
        <w:pStyle w:val="a0"/>
        <w:spacing w:before="0" w:after="0" w:line="52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楷体_GB2312" w:eastAsia="楷体_GB2312" w:hAnsi="仿宋_GB2312" w:cs="仿宋_GB2312" w:hint="eastAsia"/>
          <w:b w:val="0"/>
          <w:bCs w:val="0"/>
        </w:rPr>
        <w:t>（三）完善基层服务体系，实现从有到优。</w:t>
      </w:r>
      <w:r>
        <w:rPr>
          <w:rFonts w:ascii="仿宋_GB2312" w:eastAsia="仿宋_GB2312" w:hAnsi="仿宋_GB2312" w:cs="仿宋_GB2312" w:hint="eastAsia"/>
          <w:b w:val="0"/>
          <w:bCs w:val="0"/>
        </w:rPr>
        <w:t>建立退役军人特定群体“一本账”，制定个性化、亲情化关爱内容。实施10家基层红色服务站提标升级。推进“部站融合”，实现镇级</w:t>
      </w:r>
      <w:r>
        <w:rPr>
          <w:rFonts w:ascii="仿宋_GB2312" w:eastAsia="仿宋_GB2312" w:hAnsi="仿宋_GB2312" w:cs="仿宋_GB2312"/>
          <w:b w:val="0"/>
          <w:bCs w:val="0"/>
        </w:rPr>
        <w:t>人武部和退役军人服务站信息互通、资源共享</w:t>
      </w:r>
      <w:r>
        <w:rPr>
          <w:rFonts w:ascii="仿宋_GB2312" w:eastAsia="仿宋_GB2312" w:hAnsi="仿宋_GB2312" w:cs="仿宋_GB2312" w:hint="eastAsia"/>
          <w:b w:val="0"/>
          <w:bCs w:val="0"/>
        </w:rPr>
        <w:t>，继续挖掘三星、海永等区镇融合潜力，争取年底实现覆盖率达60%的考核目标。聚焦40-55周岁受年龄、技能、学历等多方面因素限制，面临就业难的下岗失业退役军人，提供精准就业帮扶，按项目要求逐步实施。</w:t>
      </w:r>
      <w:bookmarkStart w:id="0" w:name="_GoBack"/>
      <w:bookmarkEnd w:id="0"/>
    </w:p>
    <w:p w:rsidR="00C64466" w:rsidRDefault="00C64466"/>
    <w:p w:rsidR="00C64466" w:rsidRDefault="00C64466">
      <w:pPr>
        <w:pStyle w:val="a0"/>
      </w:pPr>
    </w:p>
    <w:sectPr w:rsidR="00C64466" w:rsidSect="00C644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466" w:rsidRDefault="00C64466" w:rsidP="00C64466">
      <w:r>
        <w:separator/>
      </w:r>
    </w:p>
  </w:endnote>
  <w:endnote w:type="continuationSeparator" w:id="1">
    <w:p w:rsidR="00C64466" w:rsidRDefault="00C64466" w:rsidP="00C6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5598"/>
    </w:sdtPr>
    <w:sdtEndPr>
      <w:rPr>
        <w:rFonts w:asciiTheme="minorEastAsia" w:hAnsiTheme="minorEastAsia"/>
        <w:sz w:val="24"/>
      </w:rPr>
    </w:sdtEndPr>
    <w:sdtContent>
      <w:p w:rsidR="00C64466" w:rsidRDefault="00CB6367">
        <w:pPr>
          <w:pStyle w:val="a8"/>
          <w:jc w:val="center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 w:hint="eastAsia"/>
            <w:sz w:val="24"/>
          </w:rPr>
          <w:t>－</w:t>
        </w:r>
        <w:r w:rsidR="00520281"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 PAGE   \* MERGEFORMAT </w:instrText>
        </w:r>
        <w:r w:rsidR="00520281">
          <w:rPr>
            <w:rFonts w:asciiTheme="minorEastAsia" w:hAnsiTheme="minorEastAsia"/>
            <w:sz w:val="24"/>
          </w:rPr>
          <w:fldChar w:fldCharType="separate"/>
        </w:r>
        <w:r w:rsidR="00631CCE" w:rsidRPr="00631CCE">
          <w:rPr>
            <w:rFonts w:asciiTheme="minorEastAsia" w:hAnsiTheme="minorEastAsia"/>
            <w:noProof/>
            <w:sz w:val="24"/>
            <w:lang w:val="zh-CN"/>
          </w:rPr>
          <w:t>1</w:t>
        </w:r>
        <w:r w:rsidR="00520281">
          <w:rPr>
            <w:rFonts w:asciiTheme="minorEastAsia" w:hAnsiTheme="minorEastAsia"/>
            <w:sz w:val="24"/>
          </w:rPr>
          <w:fldChar w:fldCharType="end"/>
        </w:r>
        <w:r>
          <w:rPr>
            <w:rFonts w:asciiTheme="minorEastAsia" w:hAnsiTheme="minorEastAsia" w:hint="eastAsia"/>
            <w:sz w:val="24"/>
          </w:rPr>
          <w:t>－</w:t>
        </w:r>
      </w:p>
    </w:sdtContent>
  </w:sdt>
  <w:p w:rsidR="00C64466" w:rsidRDefault="00C644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466" w:rsidRDefault="00C64466" w:rsidP="00C64466">
      <w:r>
        <w:separator/>
      </w:r>
    </w:p>
  </w:footnote>
  <w:footnote w:type="continuationSeparator" w:id="1">
    <w:p w:rsidR="00C64466" w:rsidRDefault="00C64466" w:rsidP="00C64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RhN2E5YzhiM2IxN2Q0ZjFhMzYzOTAzOWM1ODg3MjIifQ=="/>
  </w:docVars>
  <w:rsids>
    <w:rsidRoot w:val="00172A27"/>
    <w:rsid w:val="00004F9B"/>
    <w:rsid w:val="0007716F"/>
    <w:rsid w:val="000B7AA7"/>
    <w:rsid w:val="000E4D80"/>
    <w:rsid w:val="0012773B"/>
    <w:rsid w:val="001519C7"/>
    <w:rsid w:val="00172A27"/>
    <w:rsid w:val="001C5376"/>
    <w:rsid w:val="00210D90"/>
    <w:rsid w:val="0025258B"/>
    <w:rsid w:val="002564E9"/>
    <w:rsid w:val="002C2584"/>
    <w:rsid w:val="002C6578"/>
    <w:rsid w:val="002C6A4C"/>
    <w:rsid w:val="00345F43"/>
    <w:rsid w:val="00370486"/>
    <w:rsid w:val="00371E6F"/>
    <w:rsid w:val="00397BB3"/>
    <w:rsid w:val="003A7E1E"/>
    <w:rsid w:val="0041177C"/>
    <w:rsid w:val="00413451"/>
    <w:rsid w:val="004346B5"/>
    <w:rsid w:val="00441BE9"/>
    <w:rsid w:val="00454C82"/>
    <w:rsid w:val="0049199D"/>
    <w:rsid w:val="004E176F"/>
    <w:rsid w:val="00506406"/>
    <w:rsid w:val="00520281"/>
    <w:rsid w:val="005B37DD"/>
    <w:rsid w:val="005D6DA1"/>
    <w:rsid w:val="005E1880"/>
    <w:rsid w:val="005F1D58"/>
    <w:rsid w:val="005F2C78"/>
    <w:rsid w:val="00621EAE"/>
    <w:rsid w:val="00631CCE"/>
    <w:rsid w:val="00647A35"/>
    <w:rsid w:val="00650428"/>
    <w:rsid w:val="00654D33"/>
    <w:rsid w:val="00662075"/>
    <w:rsid w:val="006A0AA6"/>
    <w:rsid w:val="006E4481"/>
    <w:rsid w:val="00700B90"/>
    <w:rsid w:val="0074693B"/>
    <w:rsid w:val="00771552"/>
    <w:rsid w:val="007E73F2"/>
    <w:rsid w:val="007F2A67"/>
    <w:rsid w:val="008447B1"/>
    <w:rsid w:val="00847840"/>
    <w:rsid w:val="00895F10"/>
    <w:rsid w:val="008B6683"/>
    <w:rsid w:val="009904BE"/>
    <w:rsid w:val="00990D6D"/>
    <w:rsid w:val="009A2189"/>
    <w:rsid w:val="009E362D"/>
    <w:rsid w:val="009F4B6B"/>
    <w:rsid w:val="00A13D07"/>
    <w:rsid w:val="00A25A64"/>
    <w:rsid w:val="00A31E14"/>
    <w:rsid w:val="00A31F87"/>
    <w:rsid w:val="00A661BE"/>
    <w:rsid w:val="00A77674"/>
    <w:rsid w:val="00A8077A"/>
    <w:rsid w:val="00AA1A79"/>
    <w:rsid w:val="00AA6507"/>
    <w:rsid w:val="00AE4091"/>
    <w:rsid w:val="00AE582D"/>
    <w:rsid w:val="00AF2BB8"/>
    <w:rsid w:val="00B07219"/>
    <w:rsid w:val="00B25B9C"/>
    <w:rsid w:val="00B51126"/>
    <w:rsid w:val="00B90BED"/>
    <w:rsid w:val="00BC4C86"/>
    <w:rsid w:val="00C13772"/>
    <w:rsid w:val="00C24582"/>
    <w:rsid w:val="00C54E29"/>
    <w:rsid w:val="00C6445D"/>
    <w:rsid w:val="00C64466"/>
    <w:rsid w:val="00C80802"/>
    <w:rsid w:val="00CB6367"/>
    <w:rsid w:val="00D016EB"/>
    <w:rsid w:val="00D078A6"/>
    <w:rsid w:val="00D40261"/>
    <w:rsid w:val="00D655E4"/>
    <w:rsid w:val="00D766AE"/>
    <w:rsid w:val="00DA69B6"/>
    <w:rsid w:val="00E220A7"/>
    <w:rsid w:val="00E84B77"/>
    <w:rsid w:val="00EC7001"/>
    <w:rsid w:val="00F43E49"/>
    <w:rsid w:val="00F755EC"/>
    <w:rsid w:val="00F93097"/>
    <w:rsid w:val="00FB3D4B"/>
    <w:rsid w:val="00FD193D"/>
    <w:rsid w:val="32D7550F"/>
    <w:rsid w:val="3D895CFE"/>
    <w:rsid w:val="4A3551EA"/>
    <w:rsid w:val="4D8B3957"/>
    <w:rsid w:val="5A672DD8"/>
    <w:rsid w:val="660B53B0"/>
    <w:rsid w:val="6FFD0394"/>
    <w:rsid w:val="76711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semiHidden="1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644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C6446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4">
    <w:name w:val="Body Text"/>
    <w:basedOn w:val="a"/>
    <w:uiPriority w:val="99"/>
    <w:qFormat/>
    <w:rsid w:val="00C64466"/>
    <w:pPr>
      <w:spacing w:line="500" w:lineRule="exact"/>
      <w:jc w:val="center"/>
    </w:pPr>
    <w:rPr>
      <w:kern w:val="0"/>
      <w:sz w:val="24"/>
    </w:rPr>
  </w:style>
  <w:style w:type="paragraph" w:styleId="a5">
    <w:name w:val="Body Text Indent"/>
    <w:basedOn w:val="a"/>
    <w:uiPriority w:val="99"/>
    <w:semiHidden/>
    <w:unhideWhenUsed/>
    <w:qFormat/>
    <w:rsid w:val="00C64466"/>
    <w:pPr>
      <w:spacing w:after="120"/>
      <w:ind w:leftChars="200" w:left="420"/>
    </w:pPr>
  </w:style>
  <w:style w:type="paragraph" w:styleId="a6">
    <w:name w:val="Date"/>
    <w:basedOn w:val="a"/>
    <w:next w:val="a"/>
    <w:link w:val="Char"/>
    <w:rsid w:val="00C64466"/>
    <w:pPr>
      <w:ind w:leftChars="2500" w:left="100"/>
    </w:pPr>
  </w:style>
  <w:style w:type="paragraph" w:styleId="2">
    <w:name w:val="Body Text Indent 2"/>
    <w:basedOn w:val="a"/>
    <w:next w:val="20"/>
    <w:qFormat/>
    <w:rsid w:val="00C64466"/>
    <w:pPr>
      <w:snapToGrid w:val="0"/>
      <w:spacing w:line="600" w:lineRule="exact"/>
      <w:ind w:firstLineChars="200" w:firstLine="560"/>
    </w:pPr>
    <w:rPr>
      <w:rFonts w:ascii="宋体" w:hAnsi="宋体"/>
      <w:sz w:val="28"/>
      <w:szCs w:val="18"/>
    </w:rPr>
  </w:style>
  <w:style w:type="paragraph" w:styleId="20">
    <w:name w:val="Body Text First Indent 2"/>
    <w:basedOn w:val="a5"/>
    <w:next w:val="a7"/>
    <w:uiPriority w:val="99"/>
    <w:unhideWhenUsed/>
    <w:qFormat/>
    <w:rsid w:val="00C64466"/>
    <w:pPr>
      <w:ind w:firstLineChars="200" w:firstLine="420"/>
    </w:pPr>
  </w:style>
  <w:style w:type="paragraph" w:styleId="a7">
    <w:name w:val="Body Text First Indent"/>
    <w:basedOn w:val="a4"/>
    <w:uiPriority w:val="99"/>
    <w:unhideWhenUsed/>
    <w:qFormat/>
    <w:rsid w:val="00C64466"/>
    <w:pPr>
      <w:ind w:firstLineChars="100" w:firstLine="420"/>
    </w:pPr>
  </w:style>
  <w:style w:type="paragraph" w:styleId="a8">
    <w:name w:val="footer"/>
    <w:basedOn w:val="a"/>
    <w:link w:val="Char0"/>
    <w:uiPriority w:val="99"/>
    <w:unhideWhenUsed/>
    <w:qFormat/>
    <w:rsid w:val="00C644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1"/>
    <w:rsid w:val="00C6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1"/>
    <w:uiPriority w:val="22"/>
    <w:qFormat/>
    <w:rsid w:val="00C64466"/>
    <w:rPr>
      <w:b/>
      <w:bCs/>
    </w:rPr>
  </w:style>
  <w:style w:type="character" w:customStyle="1" w:styleId="font21">
    <w:name w:val="font21"/>
    <w:basedOn w:val="a1"/>
    <w:qFormat/>
    <w:rsid w:val="00C64466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C6446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">
    <w:name w:val="页眉 Char"/>
    <w:basedOn w:val="a1"/>
    <w:link w:val="a9"/>
    <w:rsid w:val="00C644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8"/>
    <w:uiPriority w:val="99"/>
    <w:rsid w:val="00C64466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日期 Char"/>
    <w:basedOn w:val="a1"/>
    <w:link w:val="a6"/>
    <w:rsid w:val="00C6446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Balloon Text"/>
    <w:basedOn w:val="a"/>
    <w:link w:val="Char2"/>
    <w:rsid w:val="00CB6367"/>
    <w:rPr>
      <w:sz w:val="18"/>
      <w:szCs w:val="18"/>
    </w:rPr>
  </w:style>
  <w:style w:type="character" w:customStyle="1" w:styleId="Char2">
    <w:name w:val="批注框文本 Char"/>
    <w:basedOn w:val="a1"/>
    <w:link w:val="ab"/>
    <w:rsid w:val="00CB63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2095</Words>
  <Characters>75</Characters>
  <Application>Microsoft Office Word</Application>
  <DocSecurity>0</DocSecurity>
  <Lines>1</Lines>
  <Paragraphs>4</Paragraphs>
  <ScaleCrop>false</ScaleCrop>
  <Company>微软中国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沈晨</dc:creator>
  <cp:lastModifiedBy>Administrator</cp:lastModifiedBy>
  <cp:revision>4</cp:revision>
  <cp:lastPrinted>2024-07-08T09:32:00Z</cp:lastPrinted>
  <dcterms:created xsi:type="dcterms:W3CDTF">2024-07-09T09:25:00Z</dcterms:created>
  <dcterms:modified xsi:type="dcterms:W3CDTF">2024-07-10T01:22:00Z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1A25B7CE9D4A48099EAE0A5B870863C3</vt:lpwstr>
  </property>
</Properties>
</file>