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在攻坚克难中全面展示文旅融合新作为</w:t>
      </w:r>
    </w:p>
    <w:p>
      <w:pPr>
        <w:spacing w:line="560" w:lineRule="exact"/>
        <w:ind w:firstLine="640" w:firstLineChars="200"/>
        <w:rPr>
          <w:rFonts w:hint="eastAsia" w:ascii="仿宋_GB2312" w:eastAsia="仿宋_GB2312"/>
          <w:color w:val="000000" w:themeColor="text1"/>
          <w:sz w:val="32"/>
          <w:szCs w:val="32"/>
        </w:rPr>
      </w:pPr>
    </w:p>
    <w:p>
      <w:pPr>
        <w:spacing w:line="560" w:lineRule="exact"/>
        <w:ind w:firstLine="640" w:firstLineChars="200"/>
        <w:rPr>
          <w:rFonts w:ascii="仿宋_GB2312" w:eastAsia="仿宋_GB2312"/>
          <w:color w:val="000000" w:themeColor="text1"/>
          <w:sz w:val="32"/>
          <w:szCs w:val="32"/>
        </w:rPr>
      </w:pPr>
      <w:bookmarkStart w:id="0" w:name="_GoBack"/>
      <w:bookmarkEnd w:id="0"/>
      <w:r>
        <w:rPr>
          <w:rFonts w:hint="eastAsia" w:ascii="仿宋_GB2312" w:eastAsia="仿宋_GB2312"/>
          <w:color w:val="000000" w:themeColor="text1"/>
          <w:sz w:val="32"/>
          <w:szCs w:val="32"/>
        </w:rPr>
        <w:t>紧紧围绕南通市考核指标前三名以及全市部门考核继续进先进行列的目标展开，低调务实不张扬，攻坚克难争一流。</w:t>
      </w:r>
    </w:p>
    <w:p>
      <w:pPr>
        <w:spacing w:line="560" w:lineRule="exact"/>
        <w:ind w:firstLine="640" w:firstLineChars="200"/>
        <w:rPr>
          <w:rFonts w:ascii="楷体_GB2312" w:hAnsi="方正仿宋_GB2312" w:eastAsia="楷体_GB2312" w:cs="仿宋_GB2312"/>
          <w:sz w:val="32"/>
          <w:szCs w:val="32"/>
        </w:rPr>
      </w:pPr>
      <w:r>
        <w:rPr>
          <w:rFonts w:hint="eastAsia" w:ascii="楷体_GB2312" w:hAnsi="方正仿宋_GB2312" w:eastAsia="楷体_GB2312" w:cs="仿宋_GB2312"/>
          <w:sz w:val="32"/>
          <w:szCs w:val="32"/>
        </w:rPr>
        <w:t>（一）以提升群众获得感幸福感为重点，全面加快文旅民生建设。</w:t>
      </w:r>
    </w:p>
    <w:p>
      <w:pPr>
        <w:spacing w:line="560" w:lineRule="exact"/>
        <w:ind w:firstLine="643" w:firstLineChars="200"/>
        <w:rPr>
          <w:rFonts w:ascii="楷体_GB2312" w:eastAsia="楷体_GB2312"/>
          <w:color w:val="000000" w:themeColor="text1"/>
          <w:sz w:val="32"/>
          <w:szCs w:val="32"/>
        </w:rPr>
      </w:pPr>
      <w:r>
        <w:rPr>
          <w:rFonts w:hint="eastAsia" w:ascii="仿宋_GB2312" w:eastAsia="仿宋_GB2312"/>
          <w:b/>
          <w:color w:val="000000" w:themeColor="text1"/>
          <w:sz w:val="32"/>
          <w:szCs w:val="32"/>
        </w:rPr>
        <w:t>1.文化中心快出形象。</w:t>
      </w:r>
      <w:r>
        <w:rPr>
          <w:rFonts w:hint="eastAsia" w:ascii="仿宋_GB2312" w:eastAsia="仿宋_GB2312"/>
          <w:color w:val="000000" w:themeColor="text1"/>
          <w:sz w:val="32"/>
          <w:szCs w:val="32"/>
        </w:rPr>
        <w:t>图书馆项目和剧院项目内控目标力争完成工程量的</w:t>
      </w:r>
      <w:r>
        <w:rPr>
          <w:rFonts w:ascii="仿宋_GB2312" w:eastAsia="仿宋_GB2312"/>
          <w:color w:val="000000" w:themeColor="text1"/>
          <w:sz w:val="32"/>
          <w:szCs w:val="32"/>
        </w:rPr>
        <w:t>90%</w:t>
      </w:r>
      <w:r>
        <w:rPr>
          <w:rFonts w:hint="eastAsia" w:ascii="仿宋_GB2312" w:eastAsia="仿宋_GB2312"/>
          <w:color w:val="000000" w:themeColor="text1"/>
          <w:sz w:val="32"/>
          <w:szCs w:val="32"/>
        </w:rPr>
        <w:t>和</w:t>
      </w:r>
      <w:r>
        <w:rPr>
          <w:rFonts w:ascii="仿宋_GB2312" w:eastAsia="仿宋_GB2312"/>
          <w:color w:val="000000" w:themeColor="text1"/>
          <w:sz w:val="32"/>
          <w:szCs w:val="32"/>
        </w:rPr>
        <w:t>50%</w:t>
      </w:r>
      <w:r>
        <w:rPr>
          <w:rFonts w:hint="eastAsia" w:ascii="仿宋_GB2312" w:eastAsia="仿宋_GB2312"/>
          <w:color w:val="000000" w:themeColor="text1"/>
          <w:sz w:val="32"/>
          <w:szCs w:val="32"/>
        </w:rPr>
        <w:t>。数字图书馆建设同步进行，做好图书采购、书桌架配置、组织架构等开馆前各项筹备工作。基本确定剧院管理团队并提前介入。</w:t>
      </w:r>
    </w:p>
    <w:p>
      <w:pPr>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2.现有设施提升品质。</w:t>
      </w:r>
      <w:r>
        <w:rPr>
          <w:rFonts w:hint="eastAsia" w:ascii="仿宋_GB2312" w:eastAsia="仿宋_GB2312"/>
          <w:color w:val="000000" w:themeColor="text1"/>
          <w:sz w:val="32"/>
          <w:szCs w:val="32"/>
        </w:rPr>
        <w:t>江海博物馆品质提升要取得明显成效。以机构规格升级为重大契机，实施团队品质、管理品质、展陈品质、征集品质、讲解品质、文研品质、文创品质、安保品质、宣传品质和环境品质十大提升行动。推动三馆融合高效能集聚。充分发挥江海博物馆、文化馆、美术馆三馆融合的集聚效应，整合资源，功能互补，探索专业发挥、阵地使用、人员流动、业务培训、活动开展等方面真正融合的工作新模式，既独立又协作，为广大市民提供更为便捷人性和丰富优质的文化服务。</w:t>
      </w:r>
    </w:p>
    <w:p>
      <w:pPr>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3.基层文化设施建管并重。</w:t>
      </w:r>
      <w:r>
        <w:rPr>
          <w:rFonts w:hint="eastAsia" w:ascii="仿宋_GB2312" w:eastAsia="仿宋_GB2312"/>
          <w:color w:val="000000" w:themeColor="text1"/>
          <w:sz w:val="32"/>
          <w:szCs w:val="32"/>
        </w:rPr>
        <w:t>发挥基层综合文化服务中心功能和作用。巩固建成率全省第一成果，完善标准，加强督促，注重实效。培育区镇和村社区示范引领点5个以上。继续推进村社区文化礼堂、百姓舞台建设，再建成</w:t>
      </w:r>
      <w:r>
        <w:rPr>
          <w:rFonts w:ascii="仿宋_GB2312" w:eastAsia="仿宋_GB2312"/>
          <w:color w:val="000000" w:themeColor="text1"/>
          <w:sz w:val="32"/>
          <w:szCs w:val="32"/>
        </w:rPr>
        <w:t>30</w:t>
      </w:r>
      <w:r>
        <w:rPr>
          <w:rFonts w:hint="eastAsia" w:ascii="仿宋_GB2312" w:eastAsia="仿宋_GB2312"/>
          <w:color w:val="000000" w:themeColor="text1"/>
          <w:sz w:val="32"/>
          <w:szCs w:val="32"/>
        </w:rPr>
        <w:t>家左右，使全市文化礼堂和百姓舞台总数达</w:t>
      </w:r>
      <w:r>
        <w:rPr>
          <w:rFonts w:ascii="仿宋_GB2312" w:eastAsia="仿宋_GB2312"/>
          <w:color w:val="000000" w:themeColor="text1"/>
          <w:sz w:val="32"/>
          <w:szCs w:val="32"/>
        </w:rPr>
        <w:t>80</w:t>
      </w:r>
      <w:r>
        <w:rPr>
          <w:rFonts w:hint="eastAsia" w:ascii="仿宋_GB2312" w:eastAsia="仿宋_GB2312"/>
          <w:color w:val="000000" w:themeColor="text1"/>
          <w:sz w:val="32"/>
          <w:szCs w:val="32"/>
        </w:rPr>
        <w:t>家以上。各区镇至少建成1个功能性发挥好、示范效应强的典型，并给予重点扶持支持。</w:t>
      </w:r>
      <w:r>
        <w:rPr>
          <w:rFonts w:hint="eastAsia" w:ascii="仿宋_GB2312" w:eastAsia="仿宋_GB2312"/>
          <w:sz w:val="32"/>
          <w:szCs w:val="32"/>
        </w:rPr>
        <w:t>进一步完善现代公共文旅服务体系，万人拥有公共文化服务设施面积4600平方米以上。</w:t>
      </w:r>
    </w:p>
    <w:p>
      <w:pPr>
        <w:spacing w:line="560" w:lineRule="exact"/>
        <w:ind w:firstLine="640" w:firstLineChars="200"/>
        <w:rPr>
          <w:rFonts w:ascii="仿宋_GB2312" w:eastAsia="仿宋_GB2312"/>
          <w:sz w:val="32"/>
          <w:szCs w:val="32"/>
        </w:rPr>
      </w:pPr>
      <w:r>
        <w:rPr>
          <w:rFonts w:hint="eastAsia" w:ascii="楷体_GB2312" w:hAnsi="方正仿宋_GB2312" w:eastAsia="楷体_GB2312" w:cs="仿宋_GB2312"/>
          <w:sz w:val="32"/>
          <w:szCs w:val="32"/>
        </w:rPr>
        <w:t>（二）以文艺类GDP实绩保二争一为重点，全面加快文化产业强存量扩增量。</w:t>
      </w:r>
    </w:p>
    <w:p>
      <w:pPr>
        <w:spacing w:line="560" w:lineRule="exact"/>
        <w:ind w:firstLine="640" w:firstLineChars="200"/>
        <w:jc w:val="left"/>
        <w:rPr>
          <w:rFonts w:ascii="仿宋_GB2312" w:hAnsi="方正仿宋_GB2312" w:eastAsia="仿宋_GB2312" w:cs="方正仿宋_GB2312"/>
          <w:sz w:val="32"/>
          <w:szCs w:val="32"/>
          <w:shd w:val="clear" w:color="auto" w:fill="FFFFFF"/>
        </w:rPr>
      </w:pPr>
      <w:r>
        <w:rPr>
          <w:rFonts w:hint="eastAsia" w:ascii="仿宋_GB2312" w:hAnsi="方正仿宋_GB2312" w:eastAsia="仿宋_GB2312" w:cs="方正仿宋_GB2312"/>
          <w:kern w:val="0"/>
          <w:sz w:val="32"/>
          <w:szCs w:val="32"/>
        </w:rPr>
        <w:t>受疫情等因素影响，我市生产、消费和投资活动受到冲击，对文旅产业发展产生较大影响，针对上述问题，我们将</w:t>
      </w:r>
      <w:r>
        <w:rPr>
          <w:rFonts w:hint="eastAsia" w:ascii="仿宋_GB2312" w:hAnsi="方正仿宋_GB2312" w:eastAsia="仿宋_GB2312" w:cs="方正仿宋_GB2312"/>
          <w:sz w:val="32"/>
          <w:szCs w:val="32"/>
        </w:rPr>
        <w:t>认真谋划、精心组织、</w:t>
      </w:r>
      <w:r>
        <w:rPr>
          <w:rFonts w:hint="eastAsia" w:ascii="仿宋_GB2312" w:hAnsi="方正仿宋_GB2312" w:eastAsia="仿宋_GB2312" w:cs="方正仿宋_GB2312"/>
          <w:sz w:val="32"/>
          <w:szCs w:val="32"/>
          <w:shd w:val="clear" w:color="auto" w:fill="FFFFFF"/>
        </w:rPr>
        <w:t>多措并举，</w:t>
      </w:r>
      <w:r>
        <w:rPr>
          <w:rFonts w:hint="eastAsia" w:ascii="仿宋_GB2312" w:hAnsi="方正仿宋_GB2312" w:eastAsia="仿宋_GB2312" w:cs="方正仿宋_GB2312"/>
          <w:sz w:val="32"/>
          <w:szCs w:val="32"/>
        </w:rPr>
        <w:t>推动文旅产业高质量发展</w:t>
      </w:r>
      <w:r>
        <w:rPr>
          <w:rFonts w:hint="eastAsia" w:ascii="仿宋_GB2312" w:hAnsi="方正仿宋_GB2312" w:eastAsia="仿宋_GB2312" w:cs="方正仿宋_GB2312"/>
          <w:sz w:val="32"/>
          <w:szCs w:val="32"/>
          <w:shd w:val="clear" w:color="auto" w:fill="FFFFFF"/>
        </w:rPr>
        <w:t>。</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1.千方百计挖掘存量。</w:t>
      </w:r>
      <w:r>
        <w:rPr>
          <w:rFonts w:hint="eastAsia" w:ascii="仿宋_GB2312" w:eastAsia="仿宋_GB2312"/>
          <w:sz w:val="32"/>
          <w:szCs w:val="32"/>
        </w:rPr>
        <w:t>一是全力推进现有规模文化企业做大做强。全面推动区域化特色发展，引导经济技术开发区、海门高新区、临江新区在建筑设计、工业设计、家纺设计、数字动漫、文化休闲、文化旅游等方面实现新的突破。持续提升文化制造业产能，叠石桥国际家纺产业园、三厂工业园区、常乐镇、悦来镇等需在抽纱刺绣工艺品、红木工艺品、玩具制造等方面持续发力。二是充分放大旅游资源开发效益，海门港新区、常乐镇、余东镇、海永镇在沿江沿海、古镇等旅游资源开发中精准定位、有序高效推进，夯实文化产业发展基础。</w:t>
      </w:r>
    </w:p>
    <w:p>
      <w:pPr>
        <w:spacing w:line="560" w:lineRule="exact"/>
        <w:ind w:firstLine="643" w:firstLineChars="200"/>
        <w:jc w:val="left"/>
        <w:rPr>
          <w:rFonts w:ascii="仿宋_GB2312" w:hAnsi="仿宋" w:eastAsia="仿宋_GB2312" w:cs="仿宋"/>
          <w:sz w:val="32"/>
          <w:szCs w:val="32"/>
        </w:rPr>
      </w:pPr>
      <w:r>
        <w:rPr>
          <w:rFonts w:hint="eastAsia" w:ascii="仿宋_GB2312" w:hAnsi="仿宋" w:eastAsia="仿宋_GB2312" w:cs="仿宋"/>
          <w:b/>
          <w:sz w:val="32"/>
          <w:szCs w:val="32"/>
        </w:rPr>
        <w:t>2.千方百计扩大增量。</w:t>
      </w:r>
      <w:r>
        <w:rPr>
          <w:rFonts w:hint="eastAsia" w:ascii="仿宋_GB2312" w:hAnsi="仿宋" w:eastAsia="仿宋_GB2312" w:cs="仿宋"/>
          <w:sz w:val="32"/>
          <w:szCs w:val="32"/>
        </w:rPr>
        <w:t>规上文化产业单位数量是文化产业发展的载体，规上文化企业的入库数及营业收入数据是文化产业增加值增速的决定性因素。一是</w:t>
      </w:r>
      <w:r>
        <w:rPr>
          <w:rFonts w:hint="eastAsia" w:ascii="仿宋_GB2312" w:hAnsi="方正仿宋_GB2312" w:eastAsia="仿宋_GB2312" w:cs="方正仿宋_GB2312"/>
          <w:sz w:val="32"/>
          <w:szCs w:val="32"/>
        </w:rPr>
        <w:t>充分发挥我市建筑设计、红木工业、家纺创意等优势产业基础，</w:t>
      </w:r>
      <w:r>
        <w:rPr>
          <w:rFonts w:hint="eastAsia" w:ascii="仿宋_GB2312" w:hAnsi="方正仿宋_GB2312" w:eastAsia="仿宋_GB2312" w:cs="方正仿宋_GB2312"/>
          <w:kern w:val="0"/>
          <w:sz w:val="32"/>
          <w:szCs w:val="32"/>
        </w:rPr>
        <w:t>打造一批</w:t>
      </w:r>
      <w:r>
        <w:rPr>
          <w:rFonts w:hint="eastAsia" w:ascii="仿宋_GB2312" w:hAnsi="方正仿宋_GB2312" w:eastAsia="仿宋_GB2312" w:cs="方正仿宋_GB2312"/>
          <w:sz w:val="32"/>
          <w:szCs w:val="32"/>
        </w:rPr>
        <w:t>规模型、龙头型文化服务企业，推动企业进规模，突破发展瓶颈。</w:t>
      </w:r>
      <w:r>
        <w:rPr>
          <w:rFonts w:hint="eastAsia" w:ascii="仿宋_GB2312" w:eastAsia="仿宋_GB2312"/>
          <w:sz w:val="32"/>
          <w:szCs w:val="32"/>
        </w:rPr>
        <w:t>二是增加文化产业在年度综合考核中的分值，加大对规上文化企业的净增数和营业收入的考核力度，运用考核“指挥棒”作用，鼓励各区镇依托我市数量较多的小规模文化产业单位，加速推进文化产业单位进规模。</w:t>
      </w:r>
      <w:r>
        <w:rPr>
          <w:rFonts w:hint="eastAsia" w:ascii="仿宋_GB2312" w:hAnsi="仿宋" w:eastAsia="仿宋_GB2312" w:cs="仿宋"/>
          <w:kern w:val="0"/>
          <w:sz w:val="32"/>
          <w:szCs w:val="32"/>
        </w:rPr>
        <w:t>通过“挖存量 扩增量”，实现文化产业规上企业新增入库数、增加值增幅等指标新突破。</w:t>
      </w:r>
    </w:p>
    <w:p>
      <w:pPr>
        <w:spacing w:line="560" w:lineRule="exact"/>
        <w:ind w:firstLine="640" w:firstLineChars="200"/>
        <w:rPr>
          <w:rFonts w:ascii="楷体_GB2312" w:hAnsi="方正仿宋_GB2312" w:eastAsia="楷体_GB2312" w:cs="仿宋_GB2312"/>
          <w:sz w:val="32"/>
          <w:szCs w:val="32"/>
        </w:rPr>
      </w:pPr>
      <w:r>
        <w:rPr>
          <w:rFonts w:hint="eastAsia" w:ascii="楷体_GB2312" w:hAnsi="方正仿宋_GB2312" w:eastAsia="楷体_GB2312" w:cs="仿宋_GB2312"/>
          <w:sz w:val="32"/>
          <w:szCs w:val="32"/>
        </w:rPr>
        <w:t>（三）以满足人民多层次多样化文旅需求为重点，全面加快文旅供给侧结构性改革。</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1.实施文化艺术生产力提升行动。</w:t>
      </w:r>
      <w:r>
        <w:rPr>
          <w:rFonts w:hint="eastAsia" w:ascii="仿宋_GB2312" w:eastAsia="仿宋_GB2312"/>
          <w:sz w:val="32"/>
          <w:szCs w:val="32"/>
        </w:rPr>
        <w:t>完善江海文化在海门的起源、传承和发展的理论体系。海门山歌与海门山歌剧的理论体系形成基本成果。出版《追梦海之门》文旅口袋书。同中国作协中国校园文学合作举办全国性“卞之琳诗歌奖”创作比赛和颁奖仪式活动。邀请国内一流创编导团队，选取近年来海门涌现的先进典型、先进现象等现实题材，创作大型海门山歌剧，力争成为经典之作。组织2次以上创作采风活动，创作美术长卷《海门胜迹图》。</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2.实施文旅品牌影响力提升行动。</w:t>
      </w:r>
      <w:r>
        <w:rPr>
          <w:rFonts w:hint="eastAsia" w:ascii="仿宋_GB2312" w:eastAsia="仿宋_GB2312"/>
          <w:sz w:val="32"/>
          <w:szCs w:val="32"/>
        </w:rPr>
        <w:t>“江风海韵·精彩海门”文化活动品牌，精心组织第五届“江海大舞台”优秀特色文化艺术展示展演系列活动、第十五届“海门之夏”广场文化系列活动、第七届“激情江海风”区域联动文艺巡演和第十七届山歌民歌大会唱活动。“张謇故里·诗画海门”旅游活动品牌，精心组织举办第二届江海文化旅游节系列活动、春季招商推介活动和秋季资源推介活动。“江海之门·魅力海门”美术展览品牌，集聚江海博物馆、文化馆、美术馆“三馆融合”资源和优势，举办特色展览不少于8个。</w:t>
      </w:r>
    </w:p>
    <w:p>
      <w:pPr>
        <w:spacing w:line="560" w:lineRule="exact"/>
        <w:ind w:firstLine="643" w:firstLineChars="200"/>
        <w:jc w:val="left"/>
        <w:rPr>
          <w:rFonts w:ascii="仿宋_GB2312" w:hAnsi="仿宋" w:eastAsia="仿宋_GB2312" w:cs="仿宋"/>
          <w:b/>
          <w:bCs/>
          <w:sz w:val="32"/>
          <w:szCs w:val="32"/>
        </w:rPr>
      </w:pPr>
      <w:r>
        <w:rPr>
          <w:rFonts w:hint="eastAsia" w:ascii="仿宋_GB2312" w:eastAsia="仿宋_GB2312"/>
          <w:b/>
          <w:sz w:val="32"/>
          <w:szCs w:val="32"/>
        </w:rPr>
        <w:t>3.实施文化产业竞争力提升行动。</w:t>
      </w:r>
      <w:r>
        <w:rPr>
          <w:rFonts w:hint="eastAsia" w:ascii="仿宋_GB2312" w:hAnsi="仿宋" w:eastAsia="仿宋_GB2312" w:cs="仿宋"/>
          <w:sz w:val="32"/>
          <w:szCs w:val="32"/>
        </w:rPr>
        <w:t>狠抓文化产业项目建设，努力招引投资规模大、科技含量高、市场前景好的重大文化产业项目。大力实施重大产业项目带动战略，大力培育省市文化产业示范园区（基地），积极组织重点企业参展深圳、上海等地文博会和文交会，扎实推进张謇故里小镇等11个合计总投资超300亿元的省市级文化产业重点项目建设，拓宽文化产业发展路径。</w:t>
      </w:r>
      <w:r>
        <w:rPr>
          <w:rFonts w:hint="eastAsia" w:ascii="仿宋_GB2312" w:hAnsi="方正仿宋_GB2312" w:eastAsia="仿宋_GB2312" w:cs="方正仿宋_GB2312"/>
          <w:sz w:val="32"/>
          <w:szCs w:val="32"/>
        </w:rPr>
        <w:t>充分发挥财政资金引导作用，加大初创期小微企业扶持力度，重点培育文化旅游、文化科技、创意设计方面成长性较好的企业，壮大行业规模。</w:t>
      </w:r>
      <w:r>
        <w:rPr>
          <w:rFonts w:hint="eastAsia" w:ascii="仿宋_GB2312" w:hAnsi="方正仿宋_GB2312" w:eastAsia="仿宋_GB2312" w:cs="方正仿宋_GB2312"/>
          <w:kern w:val="0"/>
          <w:sz w:val="32"/>
          <w:szCs w:val="32"/>
        </w:rPr>
        <w:t>建立市、区镇联动文化行业核算工作机制，</w:t>
      </w:r>
      <w:r>
        <w:rPr>
          <w:rFonts w:hint="eastAsia" w:ascii="仿宋_GB2312" w:hAnsi="方正仿宋_GB2312" w:eastAsia="仿宋_GB2312" w:cs="方正仿宋_GB2312"/>
          <w:sz w:val="32"/>
          <w:szCs w:val="32"/>
        </w:rPr>
        <w:t>强化部门协作，</w:t>
      </w:r>
      <w:r>
        <w:rPr>
          <w:rFonts w:hint="eastAsia" w:ascii="仿宋_GB2312" w:hAnsi="方正仿宋_GB2312" w:eastAsia="仿宋_GB2312" w:cs="方正仿宋_GB2312"/>
          <w:kern w:val="0"/>
          <w:sz w:val="32"/>
          <w:szCs w:val="32"/>
        </w:rPr>
        <w:t>按照“</w:t>
      </w:r>
      <w:r>
        <w:rPr>
          <w:rFonts w:hint="eastAsia" w:ascii="仿宋_GB2312" w:hAnsi="方正仿宋_GB2312" w:eastAsia="仿宋_GB2312" w:cs="方正仿宋_GB2312"/>
          <w:sz w:val="32"/>
          <w:szCs w:val="32"/>
        </w:rPr>
        <w:t>分工协作、扎口管理、资源共享</w:t>
      </w:r>
      <w:r>
        <w:rPr>
          <w:rFonts w:hint="eastAsia" w:ascii="仿宋_GB2312" w:hAnsi="方正仿宋_GB2312" w:eastAsia="仿宋_GB2312" w:cs="方正仿宋_GB2312"/>
          <w:kern w:val="0"/>
          <w:sz w:val="32"/>
          <w:szCs w:val="32"/>
        </w:rPr>
        <w:t>”的原则，</w:t>
      </w:r>
      <w:r>
        <w:rPr>
          <w:rFonts w:hint="eastAsia" w:ascii="仿宋_GB2312" w:hAnsi="方正仿宋_GB2312" w:eastAsia="仿宋_GB2312" w:cs="方正仿宋_GB2312"/>
          <w:sz w:val="32"/>
          <w:szCs w:val="32"/>
        </w:rPr>
        <w:t>形成文广旅行业经济核算和协同推进发展的良好氛围。</w:t>
      </w:r>
    </w:p>
    <w:p>
      <w:pPr>
        <w:spacing w:line="560" w:lineRule="exact"/>
        <w:ind w:firstLine="640" w:firstLineChars="200"/>
        <w:rPr>
          <w:rFonts w:ascii="楷体_GB2312" w:hAnsi="方正仿宋_GB2312" w:eastAsia="楷体_GB2312" w:cs="仿宋_GB2312"/>
          <w:sz w:val="32"/>
          <w:szCs w:val="32"/>
        </w:rPr>
      </w:pPr>
      <w:r>
        <w:rPr>
          <w:rFonts w:hint="eastAsia" w:ascii="楷体_GB2312" w:hAnsi="方正仿宋_GB2312" w:eastAsia="楷体_GB2312" w:cs="仿宋_GB2312"/>
          <w:sz w:val="32"/>
          <w:szCs w:val="32"/>
        </w:rPr>
        <w:t>（四）以打造长三角旅游首选目的地为重点，全面加快全域旅游全面发展。</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shd w:val="clear" w:color="auto" w:fill="FFFFFF"/>
        </w:rPr>
        <w:t>以创建省级全域旅游示范区为契机，全面实施全域化设计、全景化打造、全资源彰显，着力从体制机制、</w:t>
      </w:r>
      <w:r>
        <w:rPr>
          <w:rFonts w:ascii="仿宋_GB2312" w:hAnsi="仿宋_GB2312" w:eastAsia="仿宋_GB2312" w:cs="仿宋_GB2312"/>
          <w:sz w:val="32"/>
          <w:szCs w:val="32"/>
          <w:shd w:val="clear" w:color="auto" w:fill="FFFFFF"/>
        </w:rPr>
        <w:t>政策</w:t>
      </w:r>
      <w:r>
        <w:rPr>
          <w:rFonts w:hint="eastAsia" w:ascii="仿宋_GB2312" w:hAnsi="仿宋_GB2312" w:eastAsia="仿宋_GB2312" w:cs="仿宋_GB2312"/>
          <w:sz w:val="32"/>
          <w:szCs w:val="32"/>
          <w:shd w:val="clear" w:color="auto" w:fill="FFFFFF"/>
        </w:rPr>
        <w:t>措施、</w:t>
      </w:r>
      <w:r>
        <w:rPr>
          <w:rFonts w:ascii="仿宋_GB2312" w:hAnsi="仿宋_GB2312" w:eastAsia="仿宋_GB2312" w:cs="仿宋_GB2312"/>
          <w:sz w:val="32"/>
          <w:szCs w:val="32"/>
          <w:shd w:val="clear" w:color="auto" w:fill="FFFFFF"/>
        </w:rPr>
        <w:t>公共服务</w:t>
      </w:r>
      <w:r>
        <w:rPr>
          <w:rFonts w:hint="eastAsia" w:ascii="仿宋_GB2312" w:hAnsi="仿宋_GB2312" w:eastAsia="仿宋_GB2312" w:cs="仿宋_GB2312"/>
          <w:sz w:val="32"/>
          <w:szCs w:val="32"/>
          <w:shd w:val="clear" w:color="auto" w:fill="FFFFFF"/>
        </w:rPr>
        <w:t>、产品供给、</w:t>
      </w:r>
      <w:r>
        <w:rPr>
          <w:rFonts w:ascii="仿宋_GB2312" w:hAnsi="仿宋_GB2312" w:eastAsia="仿宋_GB2312" w:cs="仿宋_GB2312"/>
          <w:sz w:val="32"/>
          <w:szCs w:val="32"/>
          <w:shd w:val="clear" w:color="auto" w:fill="FFFFFF"/>
        </w:rPr>
        <w:t>文明</w:t>
      </w:r>
      <w:r>
        <w:rPr>
          <w:rFonts w:hint="eastAsia" w:ascii="仿宋_GB2312" w:hAnsi="仿宋_GB2312" w:eastAsia="仿宋_GB2312" w:cs="仿宋_GB2312"/>
          <w:sz w:val="32"/>
          <w:szCs w:val="32"/>
          <w:shd w:val="clear" w:color="auto" w:fill="FFFFFF"/>
        </w:rPr>
        <w:t>旅游、生态环境、品牌形象七个方面着手，开拓创新，力争在创新体制机制、创新彰显特色、创新营销体系、创新游客体验上、创新政策措施等五大方面形成示范效应。加快全域旅游全面发展，提供优质产品——让人游的开心，提供优质服务——让人游的舒心，提供优先保障——让人游的放心，成功创建省级全域旅游示范区，全力将海门打造成长三角旅游首选目的地。</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importan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17579"/>
      <w:docPartObj>
        <w:docPartGallery w:val="AutoText"/>
      </w:docPartObj>
    </w:sdtPr>
    <w:sdtEndPr>
      <w:rPr>
        <w:rFonts w:asciiTheme="minorEastAsia" w:hAnsiTheme="minorEastAsia"/>
        <w:sz w:val="28"/>
        <w:szCs w:val="28"/>
      </w:rPr>
    </w:sdtEnd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5624"/>
    <w:rsid w:val="00041543"/>
    <w:rsid w:val="00041FF2"/>
    <w:rsid w:val="000471A4"/>
    <w:rsid w:val="000A1BE6"/>
    <w:rsid w:val="000A24BE"/>
    <w:rsid w:val="000B19FA"/>
    <w:rsid w:val="000C1032"/>
    <w:rsid w:val="00104E3D"/>
    <w:rsid w:val="00117206"/>
    <w:rsid w:val="001245D8"/>
    <w:rsid w:val="001741D2"/>
    <w:rsid w:val="00183D9B"/>
    <w:rsid w:val="00194471"/>
    <w:rsid w:val="001A5D70"/>
    <w:rsid w:val="001B0CBA"/>
    <w:rsid w:val="001D5509"/>
    <w:rsid w:val="00224D4C"/>
    <w:rsid w:val="00245484"/>
    <w:rsid w:val="00255E36"/>
    <w:rsid w:val="00277CF5"/>
    <w:rsid w:val="00345A0C"/>
    <w:rsid w:val="00392D59"/>
    <w:rsid w:val="003A7FD9"/>
    <w:rsid w:val="003B0B0D"/>
    <w:rsid w:val="003B2BF9"/>
    <w:rsid w:val="003B2C64"/>
    <w:rsid w:val="003B3A45"/>
    <w:rsid w:val="003B4A06"/>
    <w:rsid w:val="003E2334"/>
    <w:rsid w:val="0041610A"/>
    <w:rsid w:val="004165FA"/>
    <w:rsid w:val="0042747E"/>
    <w:rsid w:val="004274AE"/>
    <w:rsid w:val="00433FA2"/>
    <w:rsid w:val="00481480"/>
    <w:rsid w:val="00490B1B"/>
    <w:rsid w:val="004B4852"/>
    <w:rsid w:val="005D5A6A"/>
    <w:rsid w:val="0062482F"/>
    <w:rsid w:val="00653794"/>
    <w:rsid w:val="0067164D"/>
    <w:rsid w:val="00685626"/>
    <w:rsid w:val="00692094"/>
    <w:rsid w:val="006C02B1"/>
    <w:rsid w:val="007B2F9C"/>
    <w:rsid w:val="007B64FA"/>
    <w:rsid w:val="007E1178"/>
    <w:rsid w:val="007F28DE"/>
    <w:rsid w:val="00850444"/>
    <w:rsid w:val="00896FC8"/>
    <w:rsid w:val="008A6043"/>
    <w:rsid w:val="008B144F"/>
    <w:rsid w:val="008F1192"/>
    <w:rsid w:val="008F5A09"/>
    <w:rsid w:val="009106FD"/>
    <w:rsid w:val="00967140"/>
    <w:rsid w:val="00973D3D"/>
    <w:rsid w:val="009769F0"/>
    <w:rsid w:val="00986469"/>
    <w:rsid w:val="009B6355"/>
    <w:rsid w:val="009B77C2"/>
    <w:rsid w:val="009C52A2"/>
    <w:rsid w:val="009D3B2F"/>
    <w:rsid w:val="009E1B83"/>
    <w:rsid w:val="009E3C5D"/>
    <w:rsid w:val="00A0112A"/>
    <w:rsid w:val="00A73478"/>
    <w:rsid w:val="00AC5624"/>
    <w:rsid w:val="00AE302D"/>
    <w:rsid w:val="00AE388F"/>
    <w:rsid w:val="00AE67A6"/>
    <w:rsid w:val="00B03458"/>
    <w:rsid w:val="00B22876"/>
    <w:rsid w:val="00B234F0"/>
    <w:rsid w:val="00B531B0"/>
    <w:rsid w:val="00B641E8"/>
    <w:rsid w:val="00BA4CD0"/>
    <w:rsid w:val="00BC0004"/>
    <w:rsid w:val="00BD72F9"/>
    <w:rsid w:val="00C13A90"/>
    <w:rsid w:val="00C22280"/>
    <w:rsid w:val="00C40254"/>
    <w:rsid w:val="00C90833"/>
    <w:rsid w:val="00CB5BC7"/>
    <w:rsid w:val="00D257D5"/>
    <w:rsid w:val="00D35DA9"/>
    <w:rsid w:val="00D46337"/>
    <w:rsid w:val="00D75CAD"/>
    <w:rsid w:val="00DD1989"/>
    <w:rsid w:val="00DF0B35"/>
    <w:rsid w:val="00E361BD"/>
    <w:rsid w:val="00E71465"/>
    <w:rsid w:val="00F0070C"/>
    <w:rsid w:val="00F02C76"/>
    <w:rsid w:val="00F1327A"/>
    <w:rsid w:val="00F40D60"/>
    <w:rsid w:val="00F47520"/>
    <w:rsid w:val="00F57962"/>
    <w:rsid w:val="00F73930"/>
    <w:rsid w:val="00F75E2F"/>
    <w:rsid w:val="00F76EC2"/>
    <w:rsid w:val="00F80A3F"/>
    <w:rsid w:val="00FF1057"/>
    <w:rsid w:val="1016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p01"/>
    <w:basedOn w:val="1"/>
    <w:uiPriority w:val="0"/>
    <w:pPr>
      <w:widowControl/>
      <w:wordWrap w:val="0"/>
      <w:jc w:val="left"/>
    </w:pPr>
    <w:rPr>
      <w:rFonts w:ascii="宋体!important" w:hAnsi="楷体" w:eastAsia="宋体!important" w:cs="宋体"/>
      <w:kern w:val="0"/>
      <w:sz w:val="24"/>
      <w:szCs w:val="24"/>
    </w:rPr>
  </w:style>
  <w:style w:type="paragraph" w:styleId="10">
    <w:name w:val="List Paragraph"/>
    <w:basedOn w:val="1"/>
    <w:qFormat/>
    <w:uiPriority w:val="34"/>
    <w:pPr>
      <w:ind w:firstLine="420" w:firstLineChars="200"/>
    </w:pPr>
    <w:rPr>
      <w:rFonts w:ascii="Calibri" w:hAnsi="Calibri" w:eastAsia="宋体" w:cs="Times New Roman"/>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6"/>
    <w:link w:val="11"/>
    <w:uiPriority w:val="1"/>
    <w:rPr>
      <w:kern w:val="0"/>
      <w:sz w:val="22"/>
    </w:rPr>
  </w:style>
  <w:style w:type="character" w:customStyle="1" w:styleId="13">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1011</Words>
  <Characters>5763</Characters>
  <Lines>48</Lines>
  <Paragraphs>13</Paragraphs>
  <TotalTime>573</TotalTime>
  <ScaleCrop>false</ScaleCrop>
  <LinksUpToDate>false</LinksUpToDate>
  <CharactersWithSpaces>6761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2020-06-23T01:29:00Z</dcterms:created>
  <dc:creator>Microsoft</dc:creator>
  <cp:lastModifiedBy>ZWY</cp:lastModifiedBy>
  <cp:lastPrinted>2020-10-12T03:20:00Z</cp:lastPrinted>
  <dcterms:modified xsi:type="dcterms:W3CDTF">2020-10-16T09:39:24Z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