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49560B">
      <w:pPr>
        <w:jc w:val="center"/>
        <w:rPr>
          <w:rFonts w:ascii="华文新魏" w:eastAsia="华文新魏"/>
          <w:b/>
          <w:sz w:val="100"/>
          <w:szCs w:val="100"/>
        </w:rPr>
      </w:pPr>
      <w:r>
        <w:rPr>
          <w:rFonts w:hint="eastAsia" w:ascii="华文新魏" w:eastAsia="华文新魏"/>
          <w:b/>
          <w:sz w:val="84"/>
          <w:szCs w:val="84"/>
        </w:rPr>
        <w:t>南通市海门区四甲镇中心卫生院竞争性谈判采购文件</w:t>
      </w:r>
    </w:p>
    <w:p w14:paraId="4C30FDDD">
      <w:pPr>
        <w:spacing w:line="360" w:lineRule="auto"/>
        <w:ind w:left="2144" w:leftChars="1021" w:firstLine="156" w:firstLineChars="49"/>
        <w:rPr>
          <w:rFonts w:hint="eastAsia" w:ascii="宋体" w:hAnsi="宋体"/>
          <w:sz w:val="32"/>
          <w:szCs w:val="32"/>
        </w:rPr>
      </w:pPr>
    </w:p>
    <w:p w14:paraId="6469963F">
      <w:pPr>
        <w:spacing w:line="360" w:lineRule="auto"/>
        <w:ind w:left="2144" w:leftChars="1021" w:firstLine="156" w:firstLineChars="49"/>
        <w:rPr>
          <w:rFonts w:hint="eastAsia" w:ascii="宋体" w:hAnsi="宋体"/>
          <w:sz w:val="32"/>
          <w:szCs w:val="32"/>
        </w:rPr>
      </w:pPr>
    </w:p>
    <w:p w14:paraId="2F163F4C">
      <w:pPr>
        <w:spacing w:line="360" w:lineRule="auto"/>
        <w:jc w:val="left"/>
        <w:rPr>
          <w:rFonts w:hint="eastAsia" w:ascii="宋体" w:hAnsi="宋体"/>
          <w:sz w:val="32"/>
          <w:szCs w:val="32"/>
        </w:rPr>
      </w:pPr>
      <w:r>
        <w:rPr>
          <w:rFonts w:hint="eastAsia" w:ascii="宋体" w:hAnsi="宋体"/>
          <w:sz w:val="32"/>
          <w:szCs w:val="32"/>
        </w:rPr>
        <w:t>项目名称</w:t>
      </w:r>
      <w:r>
        <w:rPr>
          <w:rFonts w:hint="eastAsia" w:ascii="宋体" w:hAnsi="宋体"/>
          <w:sz w:val="32"/>
          <w:szCs w:val="32"/>
          <w:lang w:eastAsia="zh-CN"/>
        </w:rPr>
        <w:t>：</w:t>
      </w:r>
      <w:r>
        <w:rPr>
          <w:rFonts w:hint="eastAsia" w:ascii="宋体" w:hAnsi="宋体"/>
          <w:sz w:val="32"/>
          <w:szCs w:val="32"/>
        </w:rPr>
        <w:t>南通市海门区四甲镇中心卫生院及其他中心卫生院传染病数据对接接口改造项目</w:t>
      </w:r>
    </w:p>
    <w:p w14:paraId="75ED37CF">
      <w:pPr>
        <w:spacing w:line="360" w:lineRule="auto"/>
        <w:jc w:val="left"/>
        <w:rPr>
          <w:rFonts w:hint="eastAsia" w:ascii="宋体" w:hAnsi="宋体"/>
          <w:sz w:val="32"/>
          <w:szCs w:val="32"/>
          <w:u w:val="single"/>
        </w:rPr>
      </w:pPr>
      <w:r>
        <w:rPr>
          <w:rFonts w:hint="eastAsia" w:ascii="宋体" w:hAnsi="宋体"/>
          <w:sz w:val="32"/>
          <w:szCs w:val="32"/>
        </w:rPr>
        <w:t xml:space="preserve">项目编号： </w:t>
      </w:r>
    </w:p>
    <w:p w14:paraId="0ADDA494">
      <w:pPr>
        <w:spacing w:line="360" w:lineRule="auto"/>
        <w:jc w:val="left"/>
        <w:rPr>
          <w:rFonts w:hint="eastAsia" w:ascii="宋体" w:hAnsi="宋体"/>
          <w:sz w:val="32"/>
          <w:szCs w:val="32"/>
        </w:rPr>
      </w:pPr>
      <w:r>
        <w:rPr>
          <w:rFonts w:hint="eastAsia" w:ascii="宋体" w:hAnsi="宋体"/>
          <w:sz w:val="32"/>
          <w:szCs w:val="32"/>
        </w:rPr>
        <w:t>采购单位：南通市海门区四甲镇中心卫生院</w:t>
      </w:r>
    </w:p>
    <w:p w14:paraId="54619F36">
      <w:pPr>
        <w:spacing w:line="360" w:lineRule="exact"/>
        <w:jc w:val="left"/>
        <w:rPr>
          <w:rFonts w:hint="eastAsia" w:ascii="宋体" w:hAnsi="宋体"/>
          <w:sz w:val="32"/>
          <w:szCs w:val="32"/>
        </w:rPr>
      </w:pPr>
    </w:p>
    <w:p w14:paraId="286B8F12">
      <w:pPr>
        <w:spacing w:line="360" w:lineRule="exact"/>
        <w:jc w:val="left"/>
        <w:rPr>
          <w:rFonts w:hint="eastAsia" w:ascii="宋体" w:hAnsi="宋体"/>
          <w:sz w:val="32"/>
          <w:szCs w:val="32"/>
        </w:rPr>
      </w:pPr>
    </w:p>
    <w:p w14:paraId="5B555C7F">
      <w:pPr>
        <w:spacing w:line="360" w:lineRule="exact"/>
        <w:jc w:val="center"/>
        <w:rPr>
          <w:rFonts w:hint="eastAsia" w:ascii="宋体" w:hAnsi="宋体"/>
          <w:sz w:val="30"/>
        </w:rPr>
      </w:pPr>
    </w:p>
    <w:p w14:paraId="446002FF">
      <w:pPr>
        <w:spacing w:line="360" w:lineRule="exact"/>
        <w:jc w:val="center"/>
        <w:rPr>
          <w:rFonts w:hint="eastAsia" w:ascii="宋体" w:hAnsi="宋体"/>
          <w:sz w:val="30"/>
        </w:rPr>
      </w:pPr>
    </w:p>
    <w:p w14:paraId="60A85B25">
      <w:pPr>
        <w:spacing w:line="360" w:lineRule="exact"/>
        <w:jc w:val="center"/>
        <w:rPr>
          <w:rFonts w:hint="eastAsia" w:ascii="宋体" w:hAnsi="宋体"/>
          <w:sz w:val="30"/>
        </w:rPr>
      </w:pPr>
    </w:p>
    <w:p w14:paraId="0BC190BC">
      <w:pPr>
        <w:spacing w:line="360" w:lineRule="exact"/>
        <w:jc w:val="center"/>
        <w:rPr>
          <w:rFonts w:hint="eastAsia" w:ascii="宋体" w:hAnsi="宋体"/>
          <w:sz w:val="30"/>
        </w:rPr>
      </w:pPr>
    </w:p>
    <w:p w14:paraId="276283A4">
      <w:pPr>
        <w:spacing w:line="360" w:lineRule="exact"/>
        <w:rPr>
          <w:rFonts w:hint="eastAsia" w:ascii="宋体" w:hAnsi="宋体"/>
          <w:sz w:val="30"/>
        </w:rPr>
      </w:pPr>
    </w:p>
    <w:p w14:paraId="7062BE7A">
      <w:pPr>
        <w:spacing w:line="360" w:lineRule="exact"/>
        <w:jc w:val="center"/>
        <w:rPr>
          <w:rFonts w:hint="eastAsia" w:ascii="宋体" w:hAnsi="宋体"/>
          <w:sz w:val="30"/>
        </w:rPr>
      </w:pPr>
    </w:p>
    <w:p w14:paraId="7C11C847">
      <w:pPr>
        <w:spacing w:line="360" w:lineRule="exact"/>
        <w:rPr>
          <w:rFonts w:hint="eastAsia" w:ascii="宋体" w:hAnsi="宋体"/>
          <w:sz w:val="30"/>
        </w:rPr>
      </w:pPr>
    </w:p>
    <w:p w14:paraId="5F4421E8">
      <w:pPr>
        <w:spacing w:line="360" w:lineRule="auto"/>
        <w:jc w:val="center"/>
        <w:rPr>
          <w:rFonts w:hint="eastAsia" w:ascii="宋体" w:hAnsi="宋体"/>
          <w:sz w:val="32"/>
          <w:szCs w:val="32"/>
        </w:rPr>
      </w:pPr>
      <w:r>
        <w:rPr>
          <w:rFonts w:hint="eastAsia" w:ascii="宋体" w:hAnsi="宋体"/>
          <w:sz w:val="32"/>
          <w:szCs w:val="32"/>
        </w:rPr>
        <w:t>南通市海门区四甲镇中心卫生院</w:t>
      </w:r>
    </w:p>
    <w:p w14:paraId="1BD85E06">
      <w:pPr>
        <w:ind w:firstLine="2570" w:firstLineChars="800"/>
        <w:jc w:val="both"/>
        <w:rPr>
          <w:rFonts w:hint="eastAsia" w:ascii="宋体" w:hAnsi="宋体"/>
          <w:b/>
          <w:bCs/>
          <w:spacing w:val="2"/>
          <w:kern w:val="0"/>
          <w:sz w:val="32"/>
        </w:rPr>
      </w:pPr>
      <w:r>
        <w:rPr>
          <w:rFonts w:hint="eastAsia" w:ascii="宋体" w:hAnsi="宋体"/>
          <w:b/>
          <w:bCs/>
          <w:sz w:val="32"/>
          <w:u w:val="single"/>
        </w:rPr>
        <w:t xml:space="preserve">二○二四 </w:t>
      </w:r>
      <w:r>
        <w:rPr>
          <w:rFonts w:hint="eastAsia" w:ascii="宋体" w:hAnsi="宋体"/>
          <w:b/>
          <w:bCs/>
          <w:sz w:val="32"/>
        </w:rPr>
        <w:t>年</w:t>
      </w:r>
      <w:r>
        <w:rPr>
          <w:rFonts w:hint="eastAsia" w:ascii="宋体" w:hAnsi="宋体"/>
          <w:b/>
          <w:bCs/>
          <w:sz w:val="32"/>
          <w:u w:val="single"/>
        </w:rPr>
        <w:t>十一</w:t>
      </w:r>
      <w:r>
        <w:rPr>
          <w:rFonts w:hint="eastAsia" w:ascii="宋体" w:hAnsi="宋体"/>
          <w:b/>
          <w:bCs/>
          <w:sz w:val="32"/>
        </w:rPr>
        <w:t>月</w:t>
      </w:r>
      <w:r>
        <w:rPr>
          <w:rFonts w:hint="eastAsia" w:ascii="宋体" w:hAnsi="宋体"/>
          <w:b/>
          <w:bCs/>
          <w:sz w:val="32"/>
          <w:u w:val="single"/>
        </w:rPr>
        <w:t xml:space="preserve"> 十</w:t>
      </w:r>
      <w:r>
        <w:rPr>
          <w:rFonts w:hint="eastAsia" w:ascii="宋体" w:hAnsi="宋体"/>
          <w:b/>
          <w:bCs/>
          <w:sz w:val="32"/>
          <w:u w:val="single"/>
          <w:lang w:eastAsia="zh-CN"/>
        </w:rPr>
        <w:t>九</w:t>
      </w:r>
      <w:r>
        <w:rPr>
          <w:rFonts w:hint="eastAsia" w:ascii="宋体" w:hAnsi="宋体"/>
          <w:b/>
          <w:bCs/>
          <w:sz w:val="32"/>
          <w:u w:val="single"/>
        </w:rPr>
        <w:t xml:space="preserve"> </w:t>
      </w:r>
      <w:r>
        <w:rPr>
          <w:rFonts w:hint="eastAsia" w:ascii="宋体" w:hAnsi="宋体"/>
          <w:b/>
          <w:bCs/>
          <w:sz w:val="32"/>
        </w:rPr>
        <w:t>日</w:t>
      </w:r>
    </w:p>
    <w:p w14:paraId="09990BBA">
      <w:pPr>
        <w:adjustRightInd w:val="0"/>
        <w:snapToGrid w:val="0"/>
        <w:ind w:left="-158" w:leftChars="-75"/>
        <w:rPr>
          <w:rFonts w:hint="eastAsia" w:ascii="宋体" w:hAnsi="宋体"/>
          <w:b/>
          <w:snapToGrid w:val="0"/>
          <w:color w:val="000000"/>
          <w:sz w:val="26"/>
          <w:szCs w:val="28"/>
          <w:u w:val="single"/>
        </w:rPr>
      </w:pPr>
    </w:p>
    <w:p w14:paraId="402D7013">
      <w:r>
        <w:rPr>
          <w:rFonts w:hint="eastAsia" w:ascii="宋体" w:hAnsi="宋体"/>
          <w:b/>
          <w:snapToGrid w:val="0"/>
          <w:color w:val="000000"/>
          <w:sz w:val="24"/>
          <w:szCs w:val="30"/>
        </w:rPr>
        <w:t>地址</w:t>
      </w:r>
      <w:r>
        <w:rPr>
          <w:rFonts w:hint="eastAsia" w:ascii="宋体" w:hAnsi="宋体"/>
          <w:b/>
          <w:snapToGrid w:val="0"/>
          <w:color w:val="000000"/>
          <w:sz w:val="24"/>
          <w:szCs w:val="30"/>
          <w:lang w:eastAsia="zh-CN"/>
        </w:rPr>
        <w:t>：</w:t>
      </w:r>
      <w:r>
        <w:rPr>
          <w:rFonts w:hint="eastAsia"/>
          <w:snapToGrid w:val="0"/>
          <w:color w:val="000000"/>
          <w:sz w:val="24"/>
          <w:szCs w:val="30"/>
        </w:rPr>
        <w:t xml:space="preserve"> 海门区四甲镇健康路66号</w:t>
      </w:r>
    </w:p>
    <w:p w14:paraId="2AB21B39"/>
    <w:p w14:paraId="225BB480"/>
    <w:p w14:paraId="516DC9C8"/>
    <w:p w14:paraId="0A21DED3"/>
    <w:p w14:paraId="020F91B5">
      <w:pPr>
        <w:jc w:val="center"/>
        <w:rPr>
          <w:b/>
          <w:bCs/>
          <w:sz w:val="32"/>
          <w:szCs w:val="32"/>
        </w:rPr>
      </w:pPr>
      <w:r>
        <w:rPr>
          <w:rFonts w:hint="eastAsia"/>
          <w:b/>
          <w:bCs/>
          <w:sz w:val="32"/>
          <w:szCs w:val="32"/>
        </w:rPr>
        <w:t>南通市海门区四甲镇中心卫生院及其他中心卫生院采购</w:t>
      </w:r>
      <w:r>
        <w:rPr>
          <w:rFonts w:hint="eastAsia" w:ascii="宋体" w:hAnsi="宋体"/>
          <w:b/>
          <w:sz w:val="32"/>
          <w:szCs w:val="32"/>
        </w:rPr>
        <w:t>传染病数据对接接口</w:t>
      </w:r>
      <w:r>
        <w:rPr>
          <w:rFonts w:hint="eastAsia"/>
          <w:b/>
          <w:bCs/>
          <w:sz w:val="32"/>
          <w:szCs w:val="32"/>
        </w:rPr>
        <w:t>项目</w:t>
      </w:r>
    </w:p>
    <w:p w14:paraId="3ED21161">
      <w:pPr>
        <w:jc w:val="center"/>
        <w:rPr>
          <w:b/>
          <w:bCs/>
          <w:sz w:val="32"/>
          <w:szCs w:val="32"/>
        </w:rPr>
      </w:pPr>
      <w:r>
        <w:rPr>
          <w:rFonts w:hint="eastAsia"/>
          <w:b/>
          <w:bCs/>
          <w:sz w:val="32"/>
          <w:szCs w:val="32"/>
        </w:rPr>
        <w:t>竞争性谈判公告</w:t>
      </w:r>
    </w:p>
    <w:p w14:paraId="251BD9FD">
      <w:pPr>
        <w:spacing w:line="400" w:lineRule="exact"/>
        <w:rPr>
          <w:sz w:val="24"/>
        </w:rPr>
      </w:pPr>
      <w:r>
        <w:rPr>
          <w:rFonts w:hint="eastAsia"/>
        </w:rPr>
        <w:t xml:space="preserve">    </w:t>
      </w:r>
      <w:r>
        <w:rPr>
          <w:rFonts w:hint="eastAsia"/>
          <w:sz w:val="24"/>
        </w:rPr>
        <w:t>根据政府采购相关法律法规规定，南通市海门区四甲镇中心卫生院及其他中心卫生院采购</w:t>
      </w:r>
      <w:r>
        <w:rPr>
          <w:rFonts w:hint="eastAsia" w:ascii="宋体" w:hAnsi="宋体"/>
          <w:sz w:val="24"/>
        </w:rPr>
        <w:t>传染病数据对接接口改造项目</w:t>
      </w:r>
      <w:r>
        <w:rPr>
          <w:rFonts w:hint="eastAsia"/>
          <w:sz w:val="24"/>
        </w:rPr>
        <w:t>进行竞争性谈判，欢迎符合要求的供应商前来参与投标。</w:t>
      </w:r>
    </w:p>
    <w:p w14:paraId="1CA1BEA7">
      <w:pPr>
        <w:numPr>
          <w:ilvl w:val="0"/>
          <w:numId w:val="1"/>
        </w:numPr>
        <w:spacing w:line="400" w:lineRule="exact"/>
        <w:rPr>
          <w:b/>
          <w:bCs/>
          <w:sz w:val="24"/>
        </w:rPr>
      </w:pPr>
      <w:r>
        <w:rPr>
          <w:rFonts w:hint="eastAsia"/>
          <w:b/>
          <w:bCs/>
          <w:sz w:val="24"/>
        </w:rPr>
        <w:t>采购项目：</w:t>
      </w:r>
      <w:r>
        <w:rPr>
          <w:rFonts w:hint="eastAsia" w:ascii="宋体" w:hAnsi="宋体"/>
          <w:b/>
          <w:sz w:val="24"/>
        </w:rPr>
        <w:t>传染病数据对接接口</w:t>
      </w:r>
      <w:r>
        <w:rPr>
          <w:rFonts w:hint="eastAsia"/>
          <w:b/>
          <w:bCs/>
          <w:sz w:val="24"/>
        </w:rPr>
        <w:t>项目</w:t>
      </w:r>
    </w:p>
    <w:p w14:paraId="4D2A2889">
      <w:pPr>
        <w:spacing w:line="400" w:lineRule="exact"/>
        <w:rPr>
          <w:sz w:val="24"/>
        </w:rPr>
      </w:pPr>
      <w:r>
        <w:rPr>
          <w:rFonts w:hint="eastAsia"/>
          <w:sz w:val="24"/>
        </w:rPr>
        <w:t>二、本采购项目最高限价：人民币22万元整。</w:t>
      </w:r>
    </w:p>
    <w:p w14:paraId="0F7E28A8">
      <w:pPr>
        <w:spacing w:line="400" w:lineRule="exact"/>
        <w:rPr>
          <w:sz w:val="24"/>
        </w:rPr>
      </w:pPr>
      <w:r>
        <w:rPr>
          <w:rFonts w:hint="eastAsia"/>
          <w:sz w:val="24"/>
        </w:rPr>
        <w:t>三、投标供应商的资格要求</w:t>
      </w:r>
      <w:r>
        <w:rPr>
          <w:rFonts w:hint="eastAsia"/>
          <w:sz w:val="24"/>
          <w:lang w:eastAsia="zh-CN"/>
        </w:rPr>
        <w:t>：</w:t>
      </w:r>
    </w:p>
    <w:p w14:paraId="474D401A">
      <w:pPr>
        <w:spacing w:line="400" w:lineRule="exact"/>
        <w:ind w:firstLine="480" w:firstLineChars="200"/>
        <w:rPr>
          <w:sz w:val="24"/>
        </w:rPr>
      </w:pPr>
      <w:r>
        <w:rPr>
          <w:rFonts w:hint="eastAsia"/>
          <w:sz w:val="24"/>
        </w:rPr>
        <w:t>1.符合《中华人民共和国政府采购法》第二十二条对供应商的资格要求；</w:t>
      </w:r>
    </w:p>
    <w:p w14:paraId="0BA96080">
      <w:pPr>
        <w:spacing w:line="400" w:lineRule="exact"/>
        <w:ind w:firstLine="480" w:firstLineChars="200"/>
        <w:rPr>
          <w:sz w:val="24"/>
        </w:rPr>
      </w:pPr>
      <w:r>
        <w:rPr>
          <w:rFonts w:hint="eastAsia"/>
          <w:sz w:val="24"/>
        </w:rPr>
        <w:t>2.具备有效的经营资质，如：经年检的营业执照副本、注册机构代码证、税务登记副本等；</w:t>
      </w:r>
    </w:p>
    <w:p w14:paraId="757EC100">
      <w:pPr>
        <w:spacing w:line="400" w:lineRule="exact"/>
        <w:ind w:firstLine="480" w:firstLineChars="200"/>
        <w:rPr>
          <w:sz w:val="24"/>
        </w:rPr>
      </w:pPr>
      <w:r>
        <w:rPr>
          <w:rFonts w:hint="eastAsia"/>
          <w:sz w:val="24"/>
        </w:rPr>
        <w:t>3.提供生产厂家的技术参数表及售后服务承诺书（盖原厂的章）；</w:t>
      </w:r>
    </w:p>
    <w:p w14:paraId="042DA254">
      <w:pPr>
        <w:spacing w:line="400" w:lineRule="exact"/>
        <w:ind w:firstLine="480" w:firstLineChars="200"/>
        <w:rPr>
          <w:sz w:val="24"/>
        </w:rPr>
      </w:pPr>
      <w:r>
        <w:rPr>
          <w:rFonts w:hint="eastAsia"/>
          <w:sz w:val="24"/>
        </w:rPr>
        <w:t>4.具有良好的经营业绩和完善的售后服务保障体系；</w:t>
      </w:r>
    </w:p>
    <w:p w14:paraId="31503A84">
      <w:pPr>
        <w:spacing w:line="400" w:lineRule="exact"/>
        <w:ind w:firstLine="480" w:firstLineChars="200"/>
        <w:rPr>
          <w:sz w:val="24"/>
        </w:rPr>
      </w:pPr>
      <w:r>
        <w:rPr>
          <w:rFonts w:hint="eastAsia"/>
          <w:sz w:val="24"/>
        </w:rPr>
        <w:t>5.无医药等购销领域商业贿赂等不良记录；</w:t>
      </w:r>
    </w:p>
    <w:p w14:paraId="63DDF4E6">
      <w:pPr>
        <w:spacing w:line="400" w:lineRule="exact"/>
        <w:rPr>
          <w:sz w:val="24"/>
        </w:rPr>
      </w:pPr>
      <w:r>
        <w:rPr>
          <w:rFonts w:hint="eastAsia"/>
          <w:sz w:val="24"/>
        </w:rPr>
        <w:t>四、招标采购方式：竞争性谈判。</w:t>
      </w:r>
    </w:p>
    <w:p w14:paraId="2749D977">
      <w:pPr>
        <w:spacing w:line="400" w:lineRule="exact"/>
        <w:rPr>
          <w:sz w:val="24"/>
        </w:rPr>
      </w:pPr>
      <w:r>
        <w:rPr>
          <w:rFonts w:hint="eastAsia"/>
          <w:sz w:val="24"/>
        </w:rPr>
        <w:t>五、报名及标书发放时间、地点</w:t>
      </w:r>
    </w:p>
    <w:p w14:paraId="45CD8D74">
      <w:pPr>
        <w:spacing w:line="400" w:lineRule="exact"/>
        <w:ind w:firstLine="480" w:firstLineChars="200"/>
        <w:rPr>
          <w:sz w:val="24"/>
          <w:u w:val="single"/>
        </w:rPr>
      </w:pPr>
      <w:r>
        <w:rPr>
          <w:rFonts w:hint="eastAsia"/>
          <w:sz w:val="24"/>
        </w:rPr>
        <w:t>1.时间：</w:t>
      </w:r>
      <w:r>
        <w:rPr>
          <w:rFonts w:hint="eastAsia"/>
          <w:sz w:val="24"/>
          <w:u w:val="single"/>
        </w:rPr>
        <w:t xml:space="preserve"> 2024-11-</w:t>
      </w:r>
      <w:r>
        <w:rPr>
          <w:rFonts w:hint="eastAsia"/>
          <w:sz w:val="24"/>
          <w:u w:val="single"/>
          <w:lang w:val="en-US" w:eastAsia="zh-CN"/>
        </w:rPr>
        <w:t>19</w:t>
      </w:r>
      <w:r>
        <w:rPr>
          <w:rFonts w:hint="eastAsia"/>
          <w:sz w:val="24"/>
          <w:u w:val="single"/>
        </w:rPr>
        <w:t xml:space="preserve"> </w:t>
      </w:r>
    </w:p>
    <w:p w14:paraId="4D963080">
      <w:pPr>
        <w:spacing w:line="400" w:lineRule="exact"/>
        <w:ind w:firstLine="480" w:firstLineChars="200"/>
        <w:rPr>
          <w:sz w:val="24"/>
        </w:rPr>
      </w:pPr>
      <w:r>
        <w:rPr>
          <w:rFonts w:hint="eastAsia"/>
          <w:sz w:val="24"/>
        </w:rPr>
        <w:t>2.地点：南通市海门区卫健委官网</w:t>
      </w:r>
    </w:p>
    <w:p w14:paraId="3E05B8C2">
      <w:pPr>
        <w:tabs>
          <w:tab w:val="left" w:pos="471"/>
        </w:tabs>
        <w:spacing w:line="400" w:lineRule="exact"/>
        <w:rPr>
          <w:sz w:val="24"/>
        </w:rPr>
      </w:pPr>
      <w:r>
        <w:rPr>
          <w:rFonts w:hint="eastAsia"/>
          <w:sz w:val="24"/>
        </w:rPr>
        <w:t>六、报名时间及要求</w:t>
      </w:r>
    </w:p>
    <w:p w14:paraId="6C3EFCDA">
      <w:pPr>
        <w:spacing w:line="400" w:lineRule="exact"/>
        <w:ind w:firstLine="480" w:firstLineChars="200"/>
        <w:rPr>
          <w:sz w:val="24"/>
          <w:u w:val="single"/>
        </w:rPr>
      </w:pPr>
      <w:r>
        <w:rPr>
          <w:rFonts w:hint="eastAsia"/>
          <w:sz w:val="24"/>
        </w:rPr>
        <w:t>1. 报名截止时间：</w:t>
      </w:r>
      <w:r>
        <w:rPr>
          <w:rFonts w:hint="eastAsia"/>
          <w:sz w:val="24"/>
          <w:u w:val="single"/>
        </w:rPr>
        <w:t xml:space="preserve"> 2024-11-27   </w:t>
      </w:r>
    </w:p>
    <w:p w14:paraId="11C6CA9E">
      <w:pPr>
        <w:spacing w:line="360" w:lineRule="exact"/>
        <w:ind w:firstLine="480" w:firstLineChars="200"/>
        <w:rPr>
          <w:rFonts w:hint="eastAsia" w:ascii="宋体" w:hAnsi="宋体" w:cs="宋体"/>
          <w:sz w:val="24"/>
        </w:rPr>
      </w:pPr>
      <w:r>
        <w:rPr>
          <w:rFonts w:hint="eastAsia"/>
          <w:sz w:val="24"/>
        </w:rPr>
        <w:t>2.</w:t>
      </w:r>
      <w:r>
        <w:rPr>
          <w:rFonts w:hint="eastAsia" w:ascii="宋体" w:hAnsi="宋体" w:cs="宋体"/>
          <w:sz w:val="24"/>
        </w:rPr>
        <w:t>报名方式：有意参加投标的供应商请</w:t>
      </w:r>
      <w:r>
        <w:rPr>
          <w:rFonts w:hint="eastAsia"/>
          <w:sz w:val="24"/>
        </w:rPr>
        <w:t>把相关报名资质材料加盖公章</w:t>
      </w:r>
      <w:r>
        <w:rPr>
          <w:rFonts w:hint="eastAsia" w:ascii="宋体" w:hAnsi="宋体" w:cs="宋体"/>
          <w:sz w:val="24"/>
        </w:rPr>
        <w:t>，以扫描件PDF格式发邮280723332@qq.com （邮件主题注明公司名称+项目名称）。</w:t>
      </w:r>
    </w:p>
    <w:p w14:paraId="28C5B9DC">
      <w:pPr>
        <w:spacing w:line="400" w:lineRule="exact"/>
        <w:rPr>
          <w:sz w:val="24"/>
          <w:u w:val="single"/>
        </w:rPr>
      </w:pPr>
      <w:r>
        <w:rPr>
          <w:rFonts w:hint="eastAsia"/>
          <w:sz w:val="24"/>
        </w:rPr>
        <w:t xml:space="preserve">七、投标截止及开标时间： </w:t>
      </w:r>
      <w:r>
        <w:rPr>
          <w:rFonts w:hint="eastAsia"/>
          <w:sz w:val="24"/>
          <w:u w:val="single"/>
        </w:rPr>
        <w:t xml:space="preserve">  2024-11-2</w:t>
      </w:r>
      <w:r>
        <w:rPr>
          <w:rFonts w:hint="eastAsia"/>
          <w:sz w:val="24"/>
          <w:u w:val="single"/>
          <w:lang w:val="en-US" w:eastAsia="zh-CN"/>
        </w:rPr>
        <w:t>8</w:t>
      </w:r>
      <w:r>
        <w:rPr>
          <w:rFonts w:hint="eastAsia"/>
          <w:sz w:val="24"/>
          <w:u w:val="single"/>
        </w:rPr>
        <w:t xml:space="preserve"> 下午14</w:t>
      </w:r>
      <w:r>
        <w:rPr>
          <w:rFonts w:hint="eastAsia"/>
          <w:sz w:val="24"/>
          <w:u w:val="single"/>
          <w:lang w:eastAsia="zh-CN"/>
        </w:rPr>
        <w:t>:</w:t>
      </w:r>
      <w:r>
        <w:rPr>
          <w:rFonts w:hint="eastAsia"/>
          <w:sz w:val="24"/>
          <w:u w:val="single"/>
          <w:lang w:val="en-US" w:eastAsia="zh-CN"/>
        </w:rPr>
        <w:t>3</w:t>
      </w:r>
      <w:r>
        <w:rPr>
          <w:rFonts w:hint="eastAsia"/>
          <w:sz w:val="24"/>
          <w:u w:val="single"/>
        </w:rPr>
        <w:t xml:space="preserve">0  </w:t>
      </w:r>
    </w:p>
    <w:p w14:paraId="08C52E4D">
      <w:pPr>
        <w:spacing w:line="400" w:lineRule="exact"/>
        <w:rPr>
          <w:sz w:val="24"/>
        </w:rPr>
      </w:pPr>
      <w:r>
        <w:rPr>
          <w:rFonts w:hint="eastAsia"/>
          <w:sz w:val="24"/>
        </w:rPr>
        <w:t>八、递交投标文件及开标地点：海门区卫生健康委员会1212会议室</w:t>
      </w:r>
    </w:p>
    <w:p w14:paraId="78D96ACF">
      <w:pPr>
        <w:spacing w:line="400" w:lineRule="exact"/>
        <w:rPr>
          <w:sz w:val="24"/>
        </w:rPr>
      </w:pPr>
      <w:r>
        <w:rPr>
          <w:rFonts w:hint="eastAsia"/>
          <w:sz w:val="24"/>
        </w:rPr>
        <w:t>九、联系方式：</w:t>
      </w:r>
    </w:p>
    <w:p w14:paraId="402B1FF5">
      <w:pPr>
        <w:spacing w:line="400" w:lineRule="exact"/>
        <w:ind w:firstLine="480" w:firstLineChars="200"/>
        <w:rPr>
          <w:sz w:val="24"/>
        </w:rPr>
      </w:pPr>
      <w:r>
        <w:rPr>
          <w:rFonts w:hint="eastAsia"/>
          <w:sz w:val="24"/>
        </w:rPr>
        <w:t>采购单位联系人：李先生    联系电话：13862844966</w:t>
      </w:r>
    </w:p>
    <w:p w14:paraId="03B8B618">
      <w:pPr>
        <w:spacing w:line="400" w:lineRule="exact"/>
        <w:rPr>
          <w:sz w:val="24"/>
        </w:rPr>
      </w:pPr>
      <w:r>
        <w:rPr>
          <w:rFonts w:hint="eastAsia"/>
          <w:sz w:val="24"/>
        </w:rPr>
        <w:t>友情提醒：</w:t>
      </w:r>
    </w:p>
    <w:p w14:paraId="04E5B57F">
      <w:pPr>
        <w:spacing w:line="400" w:lineRule="exact"/>
        <w:ind w:firstLine="480" w:firstLineChars="200"/>
        <w:rPr>
          <w:sz w:val="24"/>
        </w:rPr>
      </w:pPr>
      <w:r>
        <w:rPr>
          <w:rFonts w:hint="eastAsia"/>
          <w:sz w:val="24"/>
        </w:rPr>
        <w:t>1、报名后请各供应商连续关注本网站可能发生的相关变化等信息。如没有及时获悉相关变化而引起的后果由供应商自负。</w:t>
      </w:r>
    </w:p>
    <w:p w14:paraId="1A28546B">
      <w:pPr>
        <w:spacing w:line="400" w:lineRule="exact"/>
        <w:ind w:firstLine="480" w:firstLineChars="200"/>
        <w:rPr>
          <w:sz w:val="24"/>
        </w:rPr>
      </w:pPr>
      <w:r>
        <w:rPr>
          <w:rFonts w:hint="eastAsia"/>
          <w:sz w:val="24"/>
        </w:rPr>
        <w:t>2、请供应商认真阅读招标文件，严格遵守时间、资料提供等相关约定。</w:t>
      </w:r>
    </w:p>
    <w:p w14:paraId="74742C35">
      <w:pPr>
        <w:spacing w:line="400" w:lineRule="exact"/>
        <w:ind w:firstLine="480" w:firstLineChars="200"/>
        <w:rPr>
          <w:sz w:val="24"/>
        </w:rPr>
      </w:pPr>
      <w:r>
        <w:rPr>
          <w:rFonts w:hint="eastAsia"/>
          <w:sz w:val="24"/>
        </w:rPr>
        <w:t>3、请供应商认真对照资格要求，如不符合要求，无意或故意参与报名、投标所产生的一切后果由供应商自行承担。</w:t>
      </w:r>
    </w:p>
    <w:p w14:paraId="05DC3020">
      <w:pPr>
        <w:rPr>
          <w:sz w:val="24"/>
        </w:rPr>
      </w:pPr>
    </w:p>
    <w:p w14:paraId="76F9283B">
      <w:pPr>
        <w:rPr>
          <w:sz w:val="24"/>
        </w:rPr>
      </w:pPr>
    </w:p>
    <w:p w14:paraId="2A8538E0">
      <w:pPr>
        <w:jc w:val="center"/>
        <w:rPr>
          <w:b/>
          <w:sz w:val="32"/>
          <w:szCs w:val="32"/>
        </w:rPr>
      </w:pPr>
      <w:r>
        <w:rPr>
          <w:rFonts w:hint="eastAsia"/>
          <w:b/>
          <w:sz w:val="32"/>
          <w:szCs w:val="32"/>
        </w:rPr>
        <w:t>第二部分  采购项目需求</w:t>
      </w:r>
    </w:p>
    <w:p w14:paraId="721F5F33">
      <w:pPr>
        <w:jc w:val="center"/>
        <w:rPr>
          <w:b/>
          <w:sz w:val="32"/>
          <w:szCs w:val="32"/>
        </w:rPr>
      </w:pPr>
    </w:p>
    <w:p w14:paraId="216EB0B8">
      <w:pPr>
        <w:jc w:val="center"/>
        <w:rPr>
          <w:b/>
          <w:sz w:val="28"/>
          <w:szCs w:val="28"/>
        </w:rPr>
      </w:pPr>
      <w:r>
        <w:rPr>
          <w:rFonts w:hint="eastAsia"/>
          <w:b/>
          <w:sz w:val="28"/>
          <w:szCs w:val="28"/>
        </w:rPr>
        <w:t>第一章 有关要求说明</w:t>
      </w:r>
    </w:p>
    <w:p w14:paraId="0CBC6DD6">
      <w:pPr>
        <w:rPr>
          <w:sz w:val="24"/>
        </w:rPr>
      </w:pPr>
    </w:p>
    <w:p w14:paraId="31974780">
      <w:pPr>
        <w:ind w:firstLine="480" w:firstLineChars="200"/>
        <w:rPr>
          <w:sz w:val="24"/>
        </w:rPr>
      </w:pPr>
      <w:r>
        <w:rPr>
          <w:rFonts w:hint="eastAsia"/>
          <w:sz w:val="24"/>
        </w:rPr>
        <w:t>1．优先采购：政府采购优先采购节能产品和环境标志产品。</w:t>
      </w:r>
    </w:p>
    <w:p w14:paraId="676A388A">
      <w:pPr>
        <w:ind w:firstLine="480" w:firstLineChars="200"/>
        <w:rPr>
          <w:sz w:val="24"/>
        </w:rPr>
      </w:pPr>
      <w:r>
        <w:rPr>
          <w:rFonts w:hint="eastAsia"/>
          <w:sz w:val="24"/>
        </w:rPr>
        <w:t>2．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14:paraId="0325D363">
      <w:pPr>
        <w:ind w:firstLine="480" w:firstLineChars="200"/>
        <w:rPr>
          <w:sz w:val="24"/>
        </w:rPr>
      </w:pPr>
      <w:r>
        <w:rPr>
          <w:rFonts w:hint="eastAsia"/>
          <w:sz w:val="24"/>
        </w:rPr>
        <w:t>3．品牌要求：经销商可选用采购单位建议品牌，也可选用不低于采购单位建议品牌档次的品牌</w:t>
      </w:r>
      <w:r>
        <w:rPr>
          <w:rFonts w:hint="eastAsia"/>
          <w:sz w:val="24"/>
          <w:lang w:eastAsia="zh-CN"/>
        </w:rPr>
        <w:t>（</w:t>
      </w:r>
      <w:r>
        <w:rPr>
          <w:rFonts w:hint="eastAsia"/>
          <w:sz w:val="24"/>
        </w:rPr>
        <w:t>需提供相关证明材料</w:t>
      </w:r>
      <w:r>
        <w:rPr>
          <w:rFonts w:hint="eastAsia"/>
          <w:sz w:val="24"/>
          <w:lang w:eastAsia="zh-CN"/>
        </w:rPr>
        <w:t>）</w:t>
      </w:r>
      <w:r>
        <w:rPr>
          <w:rFonts w:hint="eastAsia"/>
          <w:sz w:val="24"/>
        </w:rPr>
        <w:t>。经半数以上评委认定，经销商所报品牌档次不低于采购单位建议品牌档次的，将视作有效投标，否则将作无效响应文件处理。</w:t>
      </w:r>
    </w:p>
    <w:p w14:paraId="036797B0">
      <w:pPr>
        <w:ind w:firstLine="480" w:firstLineChars="200"/>
        <w:rPr>
          <w:sz w:val="24"/>
        </w:rPr>
      </w:pPr>
      <w:r>
        <w:rPr>
          <w:rFonts w:hint="eastAsia"/>
          <w:sz w:val="24"/>
        </w:rPr>
        <w:t>4．主要技术参数：为鼓励不同品牌的充分竞争，如某主要技术参数属于个别品牌专有，则该主要技术参数不具有限制性，经销商可对该参数进行适当调整，并说明调整的理由。</w:t>
      </w:r>
    </w:p>
    <w:p w14:paraId="1B37B9A6">
      <w:pPr>
        <w:rPr>
          <w:sz w:val="24"/>
        </w:rPr>
      </w:pPr>
    </w:p>
    <w:p w14:paraId="4925084E">
      <w:pPr>
        <w:jc w:val="center"/>
        <w:rPr>
          <w:b/>
          <w:sz w:val="28"/>
          <w:szCs w:val="28"/>
        </w:rPr>
      </w:pPr>
      <w:r>
        <w:rPr>
          <w:rFonts w:hint="eastAsia"/>
          <w:b/>
          <w:sz w:val="28"/>
          <w:szCs w:val="28"/>
        </w:rPr>
        <w:t>第二章 采购项目内容与技术需求</w:t>
      </w:r>
    </w:p>
    <w:p w14:paraId="4D3A5C7C">
      <w:pPr>
        <w:snapToGrid w:val="0"/>
        <w:spacing w:line="300" w:lineRule="auto"/>
        <w:ind w:firstLine="361" w:firstLineChars="150"/>
        <w:outlineLvl w:val="0"/>
        <w:rPr>
          <w:rFonts w:hint="eastAsia" w:ascii="宋体" w:hAnsi="宋体" w:cs="宋体"/>
          <w:b/>
          <w:sz w:val="24"/>
        </w:rPr>
      </w:pPr>
      <w:r>
        <w:rPr>
          <w:rFonts w:hint="eastAsia" w:ascii="宋体" w:hAnsi="宋体" w:cs="宋体"/>
          <w:b/>
          <w:sz w:val="24"/>
        </w:rPr>
        <w:t>一、项目具体需求说明</w:t>
      </w:r>
    </w:p>
    <w:p w14:paraId="3DF06831">
      <w:pPr>
        <w:pStyle w:val="19"/>
        <w:snapToGrid w:val="0"/>
        <w:spacing w:line="300" w:lineRule="auto"/>
        <w:ind w:firstLine="480" w:firstLineChars="200"/>
        <w:contextualSpacing/>
        <w:rPr>
          <w:rFonts w:hint="eastAsia" w:ascii="宋体" w:eastAsia="宋体" w:cs="宋体"/>
          <w:b/>
          <w:sz w:val="24"/>
          <w:szCs w:val="24"/>
        </w:rPr>
      </w:pPr>
      <w:r>
        <w:rPr>
          <w:rFonts w:hint="eastAsia" w:ascii="宋体" w:eastAsia="宋体" w:cs="宋体"/>
          <w:sz w:val="24"/>
          <w:szCs w:val="24"/>
        </w:rPr>
        <w:t>根据江苏省卫健委《国家传染病监测预警前置软件服务器软硬件环境配置的要求》开发一套符合院内信息系统的数据接口</w:t>
      </w:r>
      <w:r>
        <w:rPr>
          <w:rFonts w:hint="eastAsia" w:ascii="宋体" w:eastAsia="宋体" w:cs="宋体"/>
          <w:sz w:val="24"/>
          <w:szCs w:val="24"/>
          <w:lang w:eastAsia="zh-CN"/>
        </w:rPr>
        <w:t>，</w:t>
      </w:r>
      <w:r>
        <w:rPr>
          <w:rFonts w:hint="eastAsia" w:ascii="宋体" w:eastAsia="宋体" w:cs="宋体"/>
          <w:sz w:val="24"/>
          <w:szCs w:val="24"/>
        </w:rPr>
        <w:t>能够按照要求同步院内信息系统诊疗数据至前置软件数据库。根据本院实际情况和需求，实现与前置软件的交互功能。</w:t>
      </w:r>
    </w:p>
    <w:p w14:paraId="3FC1FC0B">
      <w:pPr>
        <w:spacing w:line="360" w:lineRule="auto"/>
        <w:rPr>
          <w:rFonts w:hint="eastAsia" w:ascii="宋体" w:hAnsi="宋体" w:cs="宋体"/>
          <w:b/>
          <w:bCs/>
          <w:sz w:val="24"/>
        </w:rPr>
      </w:pPr>
      <w:r>
        <w:rPr>
          <w:rFonts w:hint="eastAsia" w:ascii="宋体" w:hAnsi="宋体" w:cs="宋体"/>
          <w:b/>
          <w:bCs/>
          <w:sz w:val="24"/>
        </w:rPr>
        <w:t>传染病上报接口技术参数：</w:t>
      </w:r>
    </w:p>
    <w:tbl>
      <w:tblPr>
        <w:tblStyle w:val="10"/>
        <w:tblW w:w="9158" w:type="dxa"/>
        <w:tblInd w:w="96" w:type="dxa"/>
        <w:tblLayout w:type="fixed"/>
        <w:tblCellMar>
          <w:top w:w="0" w:type="dxa"/>
          <w:left w:w="108" w:type="dxa"/>
          <w:bottom w:w="0" w:type="dxa"/>
          <w:right w:w="108" w:type="dxa"/>
        </w:tblCellMar>
      </w:tblPr>
      <w:tblGrid>
        <w:gridCol w:w="1514"/>
        <w:gridCol w:w="3096"/>
        <w:gridCol w:w="4548"/>
      </w:tblGrid>
      <w:tr w14:paraId="2BBD391E">
        <w:tblPrEx>
          <w:tblCellMar>
            <w:top w:w="0" w:type="dxa"/>
            <w:left w:w="108" w:type="dxa"/>
            <w:bottom w:w="0" w:type="dxa"/>
            <w:right w:w="108" w:type="dxa"/>
          </w:tblCellMar>
        </w:tblPrEx>
        <w:trPr>
          <w:trHeight w:val="956" w:hRule="atLeast"/>
        </w:trPr>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6393D">
            <w:pPr>
              <w:widowControl/>
              <w:jc w:val="center"/>
              <w:textAlignment w:val="center"/>
              <w:rPr>
                <w:rFonts w:hint="eastAsia" w:ascii="宋体" w:hAnsi="宋体" w:cs="宋体"/>
                <w:color w:val="000000"/>
                <w:szCs w:val="21"/>
              </w:rPr>
            </w:pPr>
            <w:r>
              <w:rPr>
                <w:rFonts w:hint="eastAsia" w:ascii="宋体" w:hAnsi="宋体" w:cs="宋体"/>
                <w:b/>
                <w:bCs/>
                <w:color w:val="000000"/>
                <w:kern w:val="0"/>
                <w:szCs w:val="21"/>
              </w:rPr>
              <w:t>实时采集数据</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8C9F">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 xml:space="preserve">1.1.1 患者基本信息表emr_patient_info </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FBA2">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当患者在医院信息系统发生诊疗活动时，医院信息系统将患者基本信息按此表结构实时同步到前置软件，一名患者一次就诊，基本信息只需要同步</w:t>
            </w:r>
            <w:r>
              <w:rPr>
                <w:rFonts w:hint="eastAsia" w:ascii="宋体" w:hAnsi="宋体" w:cs="宋体"/>
                <w:b/>
                <w:bCs/>
                <w:color w:val="000000"/>
                <w:kern w:val="0"/>
                <w:szCs w:val="21"/>
              </w:rPr>
              <w:br w:type="textWrapping"/>
            </w:r>
            <w:r>
              <w:rPr>
                <w:rFonts w:hint="eastAsia" w:ascii="宋体" w:hAnsi="宋体" w:cs="宋体"/>
                <w:b/>
                <w:bCs/>
                <w:color w:val="000000"/>
                <w:kern w:val="0"/>
                <w:szCs w:val="21"/>
              </w:rPr>
              <w:t xml:space="preserve">一次。 </w:t>
            </w:r>
          </w:p>
        </w:tc>
      </w:tr>
      <w:tr w14:paraId="637AAD08">
        <w:tblPrEx>
          <w:tblCellMar>
            <w:top w:w="0" w:type="dxa"/>
            <w:left w:w="108" w:type="dxa"/>
            <w:bottom w:w="0" w:type="dxa"/>
            <w:right w:w="108" w:type="dxa"/>
          </w:tblCellMar>
        </w:tblPrEx>
        <w:trPr>
          <w:trHeight w:val="956"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98383">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2F59">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 xml:space="preserve">2.1.2 诊疗活动信息表emr_activity_info </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B609">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当临床医生在医院信息系统中保存诊断信息后，医院信息系统按此表的数据项实时组织数据，并将数据同步到此表中，前置软件监听此表的变化做</w:t>
            </w:r>
            <w:r>
              <w:rPr>
                <w:rFonts w:hint="eastAsia" w:ascii="宋体" w:hAnsi="宋体" w:cs="宋体"/>
                <w:b/>
                <w:bCs/>
                <w:color w:val="000000"/>
                <w:kern w:val="0"/>
                <w:szCs w:val="21"/>
              </w:rPr>
              <w:br w:type="textWrapping"/>
            </w:r>
            <w:r>
              <w:rPr>
                <w:rFonts w:hint="eastAsia" w:ascii="宋体" w:hAnsi="宋体" w:cs="宋体"/>
                <w:b/>
                <w:bCs/>
                <w:color w:val="000000"/>
                <w:kern w:val="0"/>
                <w:szCs w:val="21"/>
              </w:rPr>
              <w:t xml:space="preserve">出相应业务处理。 </w:t>
            </w:r>
          </w:p>
        </w:tc>
      </w:tr>
      <w:tr w14:paraId="682EB10D">
        <w:tblPrEx>
          <w:tblCellMar>
            <w:top w:w="0" w:type="dxa"/>
            <w:left w:w="108" w:type="dxa"/>
            <w:bottom w:w="0" w:type="dxa"/>
            <w:right w:w="108" w:type="dxa"/>
          </w:tblCellMar>
        </w:tblPrEx>
        <w:trPr>
          <w:trHeight w:val="641"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64C57">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DA1A">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2.1.3 传染病报告卡emr_inf_report</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200A">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院内已具备传染病报告卡生成和实时同步能力的医疗机构，可按此表结构同步传染病报告卡信息。</w:t>
            </w:r>
          </w:p>
        </w:tc>
      </w:tr>
      <w:tr w14:paraId="7C5D9923">
        <w:tblPrEx>
          <w:tblCellMar>
            <w:top w:w="0" w:type="dxa"/>
            <w:left w:w="108" w:type="dxa"/>
            <w:bottom w:w="0" w:type="dxa"/>
            <w:right w:w="108" w:type="dxa"/>
          </w:tblCellMar>
        </w:tblPrEx>
        <w:trPr>
          <w:trHeight w:val="641"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2EE0B">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AA67">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2.2.1 门（急）诊病历emr_outpatient_record</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BEAC">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当临床医生在医院信息系统保存门诊、急诊诊疗信息后，医院信息系统将门诊、急诊信息按T+0（当日）频度同步到前置软件的此表中。</w:t>
            </w:r>
          </w:p>
        </w:tc>
      </w:tr>
      <w:tr w14:paraId="41D94F40">
        <w:tblPrEx>
          <w:tblCellMar>
            <w:top w:w="0" w:type="dxa"/>
            <w:left w:w="108" w:type="dxa"/>
            <w:bottom w:w="0" w:type="dxa"/>
            <w:right w:w="108" w:type="dxa"/>
          </w:tblCellMar>
        </w:tblPrEx>
        <w:trPr>
          <w:trHeight w:val="641"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E7F04">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FD30">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 xml:space="preserve">2.2.2 门（急）诊留观记录emr_outpatient_obs </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27A6">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当临床医生在医院信息系统保存急诊留观信息后，医院信息系统将急诊留观信息按T+0（当日）频度同步到前置软件的此表中。</w:t>
            </w:r>
          </w:p>
        </w:tc>
      </w:tr>
      <w:tr w14:paraId="7358C0F8">
        <w:tblPrEx>
          <w:tblCellMar>
            <w:top w:w="0" w:type="dxa"/>
            <w:left w:w="108" w:type="dxa"/>
            <w:bottom w:w="0" w:type="dxa"/>
            <w:right w:w="108" w:type="dxa"/>
          </w:tblCellMar>
        </w:tblPrEx>
        <w:trPr>
          <w:trHeight w:val="641"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A5175">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3DD5">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 xml:space="preserve">2.2.3 入院记录emr_admission_info </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DAAA">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当病房医生在医院信息系统保存入院记录信息后，医院信息系统将入院信息按T+0（当日）频度同步到前置软件的此表中。</w:t>
            </w:r>
          </w:p>
        </w:tc>
      </w:tr>
      <w:tr w14:paraId="56DBA288">
        <w:tblPrEx>
          <w:tblCellMar>
            <w:top w:w="0" w:type="dxa"/>
            <w:left w:w="108" w:type="dxa"/>
            <w:bottom w:w="0" w:type="dxa"/>
            <w:right w:w="108" w:type="dxa"/>
          </w:tblCellMar>
        </w:tblPrEx>
        <w:trPr>
          <w:trHeight w:val="641"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4AA5E">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20D3">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2.2.4 住院首次病程记录emr_first_course</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DA07">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当病房医生在医院信息系统保存住院首次病程记录信息后，医院信息系统将信息按T+0（当日）频度同步到前置软件的此表中。</w:t>
            </w:r>
          </w:p>
        </w:tc>
      </w:tr>
      <w:tr w14:paraId="4F95771B">
        <w:tblPrEx>
          <w:tblCellMar>
            <w:top w:w="0" w:type="dxa"/>
            <w:left w:w="108" w:type="dxa"/>
            <w:bottom w:w="0" w:type="dxa"/>
            <w:right w:w="108" w:type="dxa"/>
          </w:tblCellMar>
        </w:tblPrEx>
        <w:trPr>
          <w:trHeight w:val="641"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7521">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0F0B">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 xml:space="preserve">2.2.5 住院日常病程记录emr_daily_course </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6704">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当病房医生在医院信息系统保存住院日常病程记录信息后，医院信息系统将信息按T+0（当日）频度同步到前置软件的此表中。</w:t>
            </w:r>
          </w:p>
        </w:tc>
      </w:tr>
      <w:tr w14:paraId="35076D8F">
        <w:tblPrEx>
          <w:tblCellMar>
            <w:top w:w="0" w:type="dxa"/>
            <w:left w:w="108" w:type="dxa"/>
            <w:bottom w:w="0" w:type="dxa"/>
            <w:right w:w="108" w:type="dxa"/>
          </w:tblCellMar>
        </w:tblPrEx>
        <w:trPr>
          <w:trHeight w:val="641"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359F8">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6417">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 xml:space="preserve">2.2.6 住院病案首页emr_admission_record </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FF8D">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当病房医生在医院信息系统保存住院病案首页信息后，医院信息系统将信息按T+1（次日）频度同步到前置软件的此表中。</w:t>
            </w:r>
          </w:p>
        </w:tc>
      </w:tr>
      <w:tr w14:paraId="56628ED5">
        <w:tblPrEx>
          <w:tblCellMar>
            <w:top w:w="0" w:type="dxa"/>
            <w:left w:w="108" w:type="dxa"/>
            <w:bottom w:w="0" w:type="dxa"/>
            <w:right w:w="108" w:type="dxa"/>
          </w:tblCellMar>
        </w:tblPrEx>
        <w:trPr>
          <w:trHeight w:val="641"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01554">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1C3C">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2.2.7 出院记录emr_discharge_info</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D9BD">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当病房医生在医院信息系统保存出院记录信息后，医院信息系统将信息按T+1（次日）频度同步到前置软件的此表中。</w:t>
            </w:r>
          </w:p>
        </w:tc>
      </w:tr>
      <w:tr w14:paraId="353E4C95">
        <w:tblPrEx>
          <w:tblCellMar>
            <w:top w:w="0" w:type="dxa"/>
            <w:left w:w="108" w:type="dxa"/>
            <w:bottom w:w="0" w:type="dxa"/>
            <w:right w:w="108" w:type="dxa"/>
          </w:tblCellMar>
        </w:tblPrEx>
        <w:trPr>
          <w:trHeight w:val="956"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960EA">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027C">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 xml:space="preserve">2.2.8 检查报告emr_ex_clinical </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525B">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此表用于接收检查主表信息，医院信息系统按此表及其子表 “此检查报告项目表”的结构组织数据，并将数据按T+0（当日）频度同步到此表及其子</w:t>
            </w:r>
            <w:r>
              <w:rPr>
                <w:rFonts w:hint="eastAsia" w:ascii="宋体" w:hAnsi="宋体" w:cs="宋体"/>
                <w:b/>
                <w:bCs/>
                <w:color w:val="000000"/>
                <w:kern w:val="0"/>
                <w:szCs w:val="21"/>
              </w:rPr>
              <w:br w:type="textWrapping"/>
            </w:r>
            <w:r>
              <w:rPr>
                <w:rFonts w:hint="eastAsia" w:ascii="宋体" w:hAnsi="宋体" w:cs="宋体"/>
                <w:b/>
                <w:bCs/>
                <w:color w:val="000000"/>
                <w:kern w:val="0"/>
                <w:szCs w:val="21"/>
              </w:rPr>
              <w:t>表“检查报告项目表”中。</w:t>
            </w:r>
          </w:p>
        </w:tc>
      </w:tr>
      <w:tr w14:paraId="6F9FADDB">
        <w:tblPrEx>
          <w:tblCellMar>
            <w:top w:w="0" w:type="dxa"/>
            <w:left w:w="108" w:type="dxa"/>
            <w:bottom w:w="0" w:type="dxa"/>
            <w:right w:w="108" w:type="dxa"/>
          </w:tblCellMar>
        </w:tblPrEx>
        <w:trPr>
          <w:trHeight w:val="956"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AFBFC">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C7EC">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2.2.9 检查报告项目emr_ex_clinical_item</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FFEA">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此表用于接收检查详细结果信息。医院信息系统按此表及其主表“检查报告表”的结构组织数据，并将数据按T+0（当日）频度同步到此表及其主</w:t>
            </w:r>
            <w:r>
              <w:rPr>
                <w:rFonts w:hint="eastAsia" w:ascii="宋体" w:hAnsi="宋体" w:cs="宋体"/>
                <w:b/>
                <w:bCs/>
                <w:color w:val="000000"/>
                <w:kern w:val="0"/>
                <w:szCs w:val="21"/>
              </w:rPr>
              <w:br w:type="textWrapping"/>
            </w:r>
            <w:r>
              <w:rPr>
                <w:rFonts w:hint="eastAsia" w:ascii="宋体" w:hAnsi="宋体" w:cs="宋体"/>
                <w:b/>
                <w:bCs/>
                <w:color w:val="000000"/>
                <w:kern w:val="0"/>
                <w:szCs w:val="21"/>
              </w:rPr>
              <w:t>表“检查报告表”中。</w:t>
            </w:r>
          </w:p>
        </w:tc>
      </w:tr>
      <w:tr w14:paraId="176A21EF">
        <w:tblPrEx>
          <w:tblCellMar>
            <w:top w:w="0" w:type="dxa"/>
            <w:left w:w="108" w:type="dxa"/>
            <w:bottom w:w="0" w:type="dxa"/>
            <w:right w:w="108" w:type="dxa"/>
          </w:tblCellMar>
        </w:tblPrEx>
        <w:trPr>
          <w:trHeight w:val="956"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B8BD1">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89B9">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2.2.10 检验报告emr_ex_lab</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B70D">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rPr>
              <w:t xml:space="preserve">此表用于接收检验主表信息，医院信息系统按此表及其子表 </w:t>
            </w:r>
            <w:r>
              <w:rPr>
                <w:rFonts w:ascii="宋体" w:hAnsi="宋体" w:cs="宋体"/>
                <w:b/>
                <w:bCs/>
                <w:color w:val="000000"/>
                <w:kern w:val="0"/>
                <w:szCs w:val="21"/>
              </w:rPr>
              <w:t>“</w:t>
            </w:r>
            <w:r>
              <w:rPr>
                <w:rFonts w:hint="eastAsia" w:ascii="宋体" w:hAnsi="宋体" w:cs="宋体"/>
                <w:b/>
                <w:bCs/>
                <w:color w:val="000000"/>
                <w:kern w:val="0"/>
                <w:szCs w:val="21"/>
              </w:rPr>
              <w:t>检验报告项目表”的结构组织数据，并将数据按T+0（当日）频度同步到此表及其子表“检验报告项目表”中。</w:t>
            </w:r>
          </w:p>
        </w:tc>
      </w:tr>
      <w:tr w14:paraId="36CED018">
        <w:tblPrEx>
          <w:tblCellMar>
            <w:top w:w="0" w:type="dxa"/>
            <w:left w:w="108" w:type="dxa"/>
            <w:bottom w:w="0" w:type="dxa"/>
            <w:right w:w="108" w:type="dxa"/>
          </w:tblCellMar>
        </w:tblPrEx>
        <w:trPr>
          <w:trHeight w:val="1272"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4A2CB">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08F0">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2.2.11 检验报告项目emr_ex_lab_item</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B082">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此表用于接收检验详细结果信息。医院信息系统按此表及其主表“检验报告表”的结构组织数据，并将数据按T+0（当日）频度同步到此表及其主</w:t>
            </w:r>
            <w:r>
              <w:rPr>
                <w:rFonts w:hint="eastAsia" w:ascii="宋体" w:hAnsi="宋体" w:cs="宋体"/>
                <w:b/>
                <w:bCs/>
                <w:color w:val="000000"/>
                <w:kern w:val="0"/>
                <w:szCs w:val="21"/>
              </w:rPr>
              <w:br w:type="textWrapping"/>
            </w:r>
            <w:r>
              <w:rPr>
                <w:rFonts w:hint="eastAsia" w:ascii="宋体" w:hAnsi="宋体" w:cs="宋体"/>
                <w:b/>
                <w:bCs/>
                <w:color w:val="000000"/>
                <w:kern w:val="0"/>
                <w:szCs w:val="21"/>
              </w:rPr>
              <w:t>表“检验报告表”中。传输检验项目前，需由前置软件管理员登录前置软件的编码对照模块，进行检验项目编码映射。</w:t>
            </w:r>
          </w:p>
        </w:tc>
      </w:tr>
      <w:tr w14:paraId="7954BDF9">
        <w:tblPrEx>
          <w:tblCellMar>
            <w:top w:w="0" w:type="dxa"/>
            <w:left w:w="108" w:type="dxa"/>
            <w:bottom w:w="0" w:type="dxa"/>
            <w:right w:w="108" w:type="dxa"/>
          </w:tblCellMar>
        </w:tblPrEx>
        <w:trPr>
          <w:trHeight w:val="641"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3A744">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DED4">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 xml:space="preserve">2.2.12 医嘱处方信息emr_order </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6C2A">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当临床医生在医院信息系统保存医嘱信息后，医院信息系统将处方信息按T+0（当日）频度同步到前置软件的此表中。</w:t>
            </w:r>
          </w:p>
        </w:tc>
      </w:tr>
      <w:tr w14:paraId="47A92794">
        <w:tblPrEx>
          <w:tblCellMar>
            <w:top w:w="0" w:type="dxa"/>
            <w:left w:w="108" w:type="dxa"/>
            <w:bottom w:w="0" w:type="dxa"/>
            <w:right w:w="108" w:type="dxa"/>
          </w:tblCellMar>
        </w:tblPrEx>
        <w:trPr>
          <w:trHeight w:val="1272"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80F09">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1FD6">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2.2.13 医嘱处方条目emr_order_item</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1648">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当临床医生在医院信息系统保存医嘱信息后，医院信息系统将处方详细信息按T+0（当日）频度同步到前置软件的此表中。本项目只同步抗病毒药</w:t>
            </w:r>
            <w:r>
              <w:rPr>
                <w:rFonts w:hint="eastAsia" w:ascii="宋体" w:hAnsi="宋体" w:cs="宋体"/>
                <w:b/>
                <w:bCs/>
                <w:color w:val="000000"/>
                <w:kern w:val="0"/>
                <w:szCs w:val="21"/>
              </w:rPr>
              <w:br w:type="textWrapping"/>
            </w:r>
            <w:r>
              <w:rPr>
                <w:rFonts w:hint="eastAsia" w:ascii="宋体" w:hAnsi="宋体" w:cs="宋体"/>
                <w:b/>
                <w:bCs/>
                <w:color w:val="000000"/>
                <w:kern w:val="0"/>
                <w:szCs w:val="21"/>
              </w:rPr>
              <w:t xml:space="preserve">物，抗菌药物、退烧药、止咳药、艾滋病药物、结核病药物、血吸虫病药物对应的医嘱处方信息。 </w:t>
            </w:r>
          </w:p>
        </w:tc>
      </w:tr>
      <w:tr w14:paraId="2E7FA064">
        <w:tblPrEx>
          <w:tblCellMar>
            <w:top w:w="0" w:type="dxa"/>
            <w:left w:w="108" w:type="dxa"/>
            <w:bottom w:w="0" w:type="dxa"/>
            <w:right w:w="108" w:type="dxa"/>
          </w:tblCellMar>
        </w:tblPrEx>
        <w:trPr>
          <w:trHeight w:val="641"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3F1E3">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AAF8">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 xml:space="preserve">2.2.14 死亡信息emr_death_info </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D1B1">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 xml:space="preserve">当患者死亡时，医院信息系统按此表结构组织患者死亡信息，并按T+1（次日）的频度同步到此表中。 </w:t>
            </w:r>
          </w:p>
        </w:tc>
      </w:tr>
      <w:tr w14:paraId="1441D5A6">
        <w:tblPrEx>
          <w:tblCellMar>
            <w:top w:w="0" w:type="dxa"/>
            <w:left w:w="108" w:type="dxa"/>
            <w:bottom w:w="0" w:type="dxa"/>
            <w:right w:w="108" w:type="dxa"/>
          </w:tblCellMar>
        </w:tblPrEx>
        <w:trPr>
          <w:trHeight w:val="956"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35599">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897E">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2.3.1 医院信息系统用户信息base_user</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A78B">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医院信息系统用户信息表需覆盖所有使用前置软件的用户。当医生具有多个院区、多个科室的权限时，须传输多条，每条数据的用户ID可以相同，</w:t>
            </w:r>
            <w:r>
              <w:rPr>
                <w:rFonts w:hint="eastAsia" w:ascii="宋体" w:hAnsi="宋体" w:cs="宋体"/>
                <w:b/>
                <w:bCs/>
                <w:color w:val="000000"/>
                <w:kern w:val="0"/>
                <w:szCs w:val="21"/>
              </w:rPr>
              <w:br w:type="textWrapping"/>
            </w:r>
            <w:r>
              <w:rPr>
                <w:rFonts w:hint="eastAsia" w:ascii="宋体" w:hAnsi="宋体" w:cs="宋体"/>
                <w:b/>
                <w:bCs/>
                <w:color w:val="000000"/>
                <w:kern w:val="0"/>
                <w:szCs w:val="21"/>
              </w:rPr>
              <w:t>以“用户ID+所属机构+所属科室”进行区分。</w:t>
            </w:r>
          </w:p>
        </w:tc>
      </w:tr>
      <w:tr w14:paraId="3C8D23EE">
        <w:tblPrEx>
          <w:tblCellMar>
            <w:top w:w="0" w:type="dxa"/>
            <w:left w:w="108" w:type="dxa"/>
            <w:bottom w:w="0" w:type="dxa"/>
            <w:right w:w="108" w:type="dxa"/>
          </w:tblCellMar>
        </w:tblPrEx>
        <w:trPr>
          <w:trHeight w:val="325"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137D2">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A509">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 xml:space="preserve">2.3.2 医院信息系统科室信息base_dept </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7A2A">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 xml:space="preserve">院内科室信息需包含院内全部科室。科室信息不允许删除。 </w:t>
            </w:r>
          </w:p>
        </w:tc>
      </w:tr>
      <w:tr w14:paraId="5B2DF3D4">
        <w:tblPrEx>
          <w:tblCellMar>
            <w:top w:w="0" w:type="dxa"/>
            <w:left w:w="108" w:type="dxa"/>
            <w:bottom w:w="0" w:type="dxa"/>
            <w:right w:w="108" w:type="dxa"/>
          </w:tblCellMar>
        </w:tblPrEx>
        <w:trPr>
          <w:trHeight w:val="325"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4A989">
            <w:pPr>
              <w:jc w:val="center"/>
              <w:rPr>
                <w:rFonts w:hint="eastAsia" w:ascii="宋体" w:hAnsi="宋体" w:cs="宋体"/>
                <w:color w:val="000000"/>
                <w:szCs w:val="21"/>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46A9">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消息查阅</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1B85">
            <w:pPr>
              <w:widowControl/>
              <w:jc w:val="left"/>
              <w:textAlignment w:val="center"/>
              <w:rPr>
                <w:rFonts w:hint="eastAsia" w:ascii="宋体" w:hAnsi="宋体" w:cs="宋体"/>
                <w:b/>
                <w:bCs/>
                <w:color w:val="000000"/>
                <w:kern w:val="0"/>
                <w:szCs w:val="21"/>
              </w:rPr>
            </w:pPr>
          </w:p>
        </w:tc>
      </w:tr>
      <w:tr w14:paraId="36714C07">
        <w:tblPrEx>
          <w:tblCellMar>
            <w:top w:w="0" w:type="dxa"/>
            <w:left w:w="108" w:type="dxa"/>
            <w:bottom w:w="0" w:type="dxa"/>
            <w:right w:w="108" w:type="dxa"/>
          </w:tblCellMar>
        </w:tblPrEx>
        <w:trPr>
          <w:trHeight w:val="335" w:hRule="atLeast"/>
        </w:trPr>
        <w:tc>
          <w:tcPr>
            <w:tcW w:w="1514" w:type="dxa"/>
            <w:tcBorders>
              <w:top w:val="single" w:color="000000" w:sz="4" w:space="0"/>
              <w:left w:val="single" w:color="000000" w:sz="4" w:space="0"/>
              <w:bottom w:val="single" w:color="000000" w:sz="4" w:space="0"/>
              <w:right w:val="nil"/>
            </w:tcBorders>
            <w:shd w:val="clear" w:color="auto" w:fill="auto"/>
            <w:vAlign w:val="center"/>
          </w:tcPr>
          <w:p w14:paraId="7E795B78">
            <w:pPr>
              <w:jc w:val="center"/>
              <w:rPr>
                <w:rFonts w:hint="eastAsia" w:ascii="宋体" w:hAnsi="宋体" w:cs="宋体"/>
                <w:color w:val="000000"/>
                <w:szCs w:val="21"/>
              </w:rPr>
            </w:pPr>
          </w:p>
        </w:tc>
        <w:tc>
          <w:tcPr>
            <w:tcW w:w="3096" w:type="dxa"/>
            <w:tcBorders>
              <w:top w:val="single" w:color="000000" w:sz="4" w:space="0"/>
              <w:left w:val="nil"/>
              <w:bottom w:val="single" w:color="000000" w:sz="4" w:space="0"/>
              <w:right w:val="single" w:color="000000" w:sz="4" w:space="0"/>
            </w:tcBorders>
            <w:shd w:val="clear" w:color="auto" w:fill="auto"/>
            <w:noWrap/>
            <w:vAlign w:val="center"/>
          </w:tcPr>
          <w:p w14:paraId="5BC63F8A">
            <w:pPr>
              <w:widowControl/>
              <w:jc w:val="left"/>
              <w:textAlignment w:val="center"/>
              <w:rPr>
                <w:rFonts w:hint="eastAsia" w:ascii="宋体" w:hAnsi="宋体" w:cs="宋体"/>
                <w:b/>
                <w:bCs/>
                <w:color w:val="000000"/>
                <w:kern w:val="0"/>
                <w:szCs w:val="21"/>
              </w:rPr>
            </w:pPr>
            <w:r>
              <w:rPr>
                <w:rFonts w:hint="eastAsia" w:ascii="宋体" w:hAnsi="宋体" w:cs="宋体"/>
                <w:b/>
                <w:bCs/>
                <w:color w:val="000000"/>
                <w:kern w:val="0"/>
                <w:szCs w:val="21"/>
              </w:rPr>
              <w:t>字典对照程序</w:t>
            </w:r>
          </w:p>
        </w:tc>
        <w:tc>
          <w:tcPr>
            <w:tcW w:w="4548" w:type="dxa"/>
            <w:tcBorders>
              <w:top w:val="single" w:color="000000" w:sz="4" w:space="0"/>
              <w:left w:val="nil"/>
              <w:bottom w:val="single" w:color="auto" w:sz="4" w:space="0"/>
              <w:right w:val="single" w:color="auto" w:sz="4" w:space="0"/>
            </w:tcBorders>
            <w:shd w:val="clear" w:color="auto" w:fill="auto"/>
            <w:vAlign w:val="center"/>
          </w:tcPr>
          <w:p w14:paraId="23251DC7">
            <w:pPr>
              <w:widowControl/>
              <w:jc w:val="left"/>
              <w:textAlignment w:val="center"/>
              <w:rPr>
                <w:rFonts w:hint="eastAsia" w:ascii="宋体" w:hAnsi="宋体" w:cs="宋体"/>
                <w:b/>
                <w:bCs/>
                <w:color w:val="000000"/>
                <w:kern w:val="0"/>
                <w:szCs w:val="21"/>
              </w:rPr>
            </w:pPr>
          </w:p>
        </w:tc>
      </w:tr>
    </w:tbl>
    <w:p w14:paraId="2A9AC8DF">
      <w:pPr>
        <w:pStyle w:val="24"/>
        <w:spacing w:line="360" w:lineRule="auto"/>
        <w:ind w:firstLine="442"/>
        <w:rPr>
          <w:rFonts w:hint="eastAsia" w:ascii="宋体" w:hAnsi="宋体" w:cs="Arial"/>
          <w:b/>
          <w:sz w:val="22"/>
          <w:szCs w:val="22"/>
        </w:rPr>
      </w:pPr>
      <w:r>
        <w:rPr>
          <w:rFonts w:hint="eastAsia" w:ascii="宋体" w:hAnsi="宋体" w:cs="Arial"/>
          <w:b/>
          <w:sz w:val="22"/>
          <w:szCs w:val="22"/>
        </w:rPr>
        <w:t>二、数量：4套</w:t>
      </w:r>
    </w:p>
    <w:p w14:paraId="2504E36D">
      <w:pPr>
        <w:pStyle w:val="24"/>
        <w:spacing w:line="360" w:lineRule="auto"/>
        <w:ind w:firstLine="663" w:firstLineChars="300"/>
        <w:rPr>
          <w:rFonts w:hint="eastAsia" w:ascii="宋体" w:hAnsi="宋体" w:cs="Arial"/>
          <w:b/>
          <w:sz w:val="22"/>
          <w:szCs w:val="22"/>
        </w:rPr>
      </w:pPr>
      <w:r>
        <w:rPr>
          <w:rFonts w:hint="eastAsia" w:ascii="宋体" w:hAnsi="宋体" w:cs="Arial"/>
          <w:b/>
          <w:sz w:val="22"/>
          <w:szCs w:val="22"/>
        </w:rPr>
        <w:t>2.1南通市海门区海门港新区（包场镇）中心卫生院   1套</w:t>
      </w:r>
    </w:p>
    <w:p w14:paraId="3350321A">
      <w:pPr>
        <w:pStyle w:val="24"/>
        <w:spacing w:line="360" w:lineRule="auto"/>
        <w:ind w:firstLine="663" w:firstLineChars="300"/>
        <w:rPr>
          <w:rFonts w:hint="eastAsia" w:ascii="宋体" w:hAnsi="宋体" w:cs="Arial"/>
          <w:b/>
          <w:sz w:val="22"/>
          <w:szCs w:val="22"/>
        </w:rPr>
      </w:pPr>
      <w:r>
        <w:rPr>
          <w:rFonts w:ascii="宋体" w:hAnsi="宋体" w:cs="Arial"/>
          <w:b/>
          <w:sz w:val="22"/>
          <w:szCs w:val="22"/>
        </w:rPr>
        <w:t>2</w:t>
      </w:r>
      <w:r>
        <w:rPr>
          <w:rFonts w:hint="eastAsia" w:ascii="宋体" w:hAnsi="宋体" w:cs="Arial"/>
          <w:b/>
          <w:sz w:val="22"/>
          <w:szCs w:val="22"/>
        </w:rPr>
        <w:t>.2南通市海门区四甲镇中心卫生院                 1套</w:t>
      </w:r>
    </w:p>
    <w:p w14:paraId="040FA2F4">
      <w:pPr>
        <w:pStyle w:val="24"/>
        <w:spacing w:line="360" w:lineRule="auto"/>
        <w:ind w:firstLine="663" w:firstLineChars="300"/>
        <w:rPr>
          <w:rFonts w:hint="eastAsia" w:ascii="宋体" w:hAnsi="宋体" w:cs="Arial"/>
          <w:b/>
          <w:sz w:val="22"/>
          <w:szCs w:val="22"/>
        </w:rPr>
      </w:pPr>
      <w:r>
        <w:rPr>
          <w:rFonts w:hint="eastAsia" w:ascii="宋体" w:hAnsi="宋体" w:cs="Arial"/>
          <w:b/>
          <w:sz w:val="22"/>
          <w:szCs w:val="22"/>
        </w:rPr>
        <w:t>2.3南通市海门区悦来镇中心卫生院                 1套</w:t>
      </w:r>
    </w:p>
    <w:p w14:paraId="40E12138">
      <w:pPr>
        <w:pStyle w:val="24"/>
        <w:spacing w:line="360" w:lineRule="auto"/>
        <w:ind w:firstLine="663" w:firstLineChars="300"/>
        <w:rPr>
          <w:rFonts w:hint="eastAsia" w:ascii="宋体" w:hAnsi="宋体" w:cs="Arial"/>
          <w:b/>
          <w:sz w:val="22"/>
          <w:szCs w:val="22"/>
        </w:rPr>
      </w:pPr>
      <w:r>
        <w:rPr>
          <w:rFonts w:hint="eastAsia" w:ascii="宋体" w:hAnsi="宋体" w:cs="Arial"/>
          <w:b/>
          <w:sz w:val="22"/>
          <w:szCs w:val="22"/>
        </w:rPr>
        <w:t>2.4南通市海门区第六人民医院                     1套</w:t>
      </w:r>
    </w:p>
    <w:p w14:paraId="4DA98B96">
      <w:pPr>
        <w:pStyle w:val="19"/>
        <w:snapToGrid w:val="0"/>
        <w:spacing w:line="300" w:lineRule="auto"/>
        <w:ind w:firstLine="482" w:firstLineChars="200"/>
        <w:rPr>
          <w:rFonts w:hint="eastAsia" w:ascii="宋体" w:eastAsia="宋体" w:cs="宋体"/>
          <w:b/>
          <w:sz w:val="24"/>
          <w:szCs w:val="24"/>
        </w:rPr>
      </w:pPr>
      <w:r>
        <w:rPr>
          <w:rFonts w:hint="eastAsia" w:ascii="宋体" w:eastAsia="宋体" w:cs="宋体"/>
          <w:b/>
          <w:sz w:val="24"/>
          <w:szCs w:val="24"/>
        </w:rPr>
        <w:t>三、项目实施内容，实施交付时间：</w:t>
      </w:r>
    </w:p>
    <w:p w14:paraId="1C57374D">
      <w:pPr>
        <w:pStyle w:val="19"/>
        <w:snapToGrid w:val="0"/>
        <w:spacing w:line="300" w:lineRule="auto"/>
        <w:ind w:firstLine="480" w:firstLineChars="200"/>
        <w:contextualSpacing/>
        <w:rPr>
          <w:rFonts w:hint="eastAsia" w:ascii="宋体" w:eastAsia="宋体" w:cs="宋体"/>
          <w:sz w:val="24"/>
          <w:szCs w:val="24"/>
        </w:rPr>
      </w:pPr>
      <w:r>
        <w:rPr>
          <w:rFonts w:hint="eastAsia" w:ascii="宋体" w:eastAsia="宋体" w:cs="宋体"/>
          <w:sz w:val="24"/>
          <w:szCs w:val="24"/>
        </w:rPr>
        <w:t>项目内容：本项目符合《国家传染病监测预警前置软件服务器软硬件环境配置的要求》改造内容。</w:t>
      </w:r>
    </w:p>
    <w:p w14:paraId="4FFD1C73">
      <w:pPr>
        <w:pStyle w:val="19"/>
        <w:snapToGrid w:val="0"/>
        <w:spacing w:line="300" w:lineRule="auto"/>
        <w:ind w:firstLine="480" w:firstLineChars="200"/>
        <w:rPr>
          <w:rFonts w:hint="eastAsia" w:ascii="宋体" w:eastAsia="宋体" w:cs="宋体"/>
          <w:sz w:val="24"/>
          <w:szCs w:val="24"/>
        </w:rPr>
      </w:pPr>
      <w:r>
        <w:rPr>
          <w:rFonts w:hint="eastAsia" w:ascii="宋体" w:eastAsia="宋体" w:cs="宋体"/>
          <w:sz w:val="24"/>
          <w:szCs w:val="24"/>
        </w:rPr>
        <w:t>合同签订后一周内项目实施人员到场开始施工。</w:t>
      </w:r>
    </w:p>
    <w:p w14:paraId="30FB0295">
      <w:pPr>
        <w:pStyle w:val="19"/>
        <w:snapToGrid w:val="0"/>
        <w:spacing w:line="300" w:lineRule="auto"/>
        <w:ind w:firstLine="480" w:firstLineChars="200"/>
        <w:rPr>
          <w:rFonts w:hint="eastAsia" w:ascii="宋体" w:eastAsia="宋体" w:cs="宋体"/>
          <w:sz w:val="24"/>
          <w:szCs w:val="24"/>
        </w:rPr>
      </w:pPr>
      <w:r>
        <w:rPr>
          <w:rFonts w:hint="eastAsia" w:ascii="宋体" w:eastAsia="宋体" w:cs="宋体"/>
          <w:sz w:val="24"/>
          <w:szCs w:val="24"/>
        </w:rPr>
        <w:t>项目必须在要求的时间内实施完成。</w:t>
      </w:r>
    </w:p>
    <w:p w14:paraId="0F9973DC">
      <w:pPr>
        <w:pStyle w:val="19"/>
        <w:snapToGrid w:val="0"/>
        <w:spacing w:line="300" w:lineRule="auto"/>
        <w:ind w:firstLine="480" w:firstLineChars="200"/>
        <w:rPr>
          <w:rFonts w:hint="eastAsia" w:ascii="宋体" w:eastAsia="宋体" w:cs="宋体"/>
          <w:sz w:val="24"/>
          <w:szCs w:val="24"/>
        </w:rPr>
      </w:pPr>
      <w:r>
        <w:rPr>
          <w:rFonts w:hint="eastAsia" w:ascii="宋体" w:eastAsia="宋体" w:cs="宋体"/>
          <w:sz w:val="24"/>
          <w:szCs w:val="24"/>
        </w:rPr>
        <w:t>项目稳定运行一个月后，方可申请项目验收。</w:t>
      </w:r>
    </w:p>
    <w:p w14:paraId="0D7B562A">
      <w:pPr>
        <w:pStyle w:val="19"/>
        <w:snapToGrid w:val="0"/>
        <w:spacing w:line="300" w:lineRule="auto"/>
        <w:ind w:firstLine="482" w:firstLineChars="200"/>
        <w:contextualSpacing/>
        <w:rPr>
          <w:rFonts w:hint="eastAsia" w:ascii="宋体" w:eastAsia="宋体" w:cs="宋体"/>
          <w:b/>
          <w:sz w:val="24"/>
          <w:szCs w:val="24"/>
        </w:rPr>
      </w:pPr>
      <w:r>
        <w:rPr>
          <w:rFonts w:hint="eastAsia" w:ascii="宋体" w:eastAsia="宋体" w:cs="宋体"/>
          <w:b/>
          <w:sz w:val="24"/>
          <w:szCs w:val="24"/>
        </w:rPr>
        <w:t>四、结算及付款方式：</w:t>
      </w:r>
    </w:p>
    <w:p w14:paraId="53BF5F85">
      <w:pPr>
        <w:pStyle w:val="19"/>
        <w:snapToGrid w:val="0"/>
        <w:spacing w:line="300" w:lineRule="auto"/>
        <w:ind w:firstLine="480" w:firstLineChars="200"/>
        <w:contextualSpacing/>
        <w:rPr>
          <w:rFonts w:hint="eastAsia" w:ascii="宋体" w:eastAsia="宋体" w:cs="宋体"/>
          <w:sz w:val="24"/>
          <w:szCs w:val="24"/>
        </w:rPr>
      </w:pPr>
      <w:r>
        <w:rPr>
          <w:rFonts w:hint="eastAsia" w:ascii="宋体" w:eastAsia="宋体" w:cs="宋体"/>
          <w:sz w:val="24"/>
          <w:szCs w:val="24"/>
        </w:rPr>
        <w:t>项目验收通过后，付90%合同款项。余款一年后结清。</w:t>
      </w:r>
    </w:p>
    <w:p w14:paraId="4234099A">
      <w:pPr>
        <w:pStyle w:val="19"/>
        <w:snapToGrid w:val="0"/>
        <w:spacing w:line="300" w:lineRule="auto"/>
        <w:ind w:firstLine="482" w:firstLineChars="200"/>
        <w:contextualSpacing/>
        <w:rPr>
          <w:rFonts w:hint="eastAsia" w:ascii="宋体" w:eastAsia="宋体" w:cs="宋体"/>
          <w:b/>
          <w:sz w:val="24"/>
          <w:szCs w:val="24"/>
        </w:rPr>
      </w:pPr>
      <w:r>
        <w:rPr>
          <w:rFonts w:hint="eastAsia" w:ascii="宋体" w:eastAsia="宋体" w:cs="宋体"/>
          <w:b/>
          <w:sz w:val="24"/>
          <w:szCs w:val="24"/>
        </w:rPr>
        <w:t>五、其他要求：</w:t>
      </w:r>
    </w:p>
    <w:p w14:paraId="2BF23468">
      <w:pPr>
        <w:pStyle w:val="19"/>
        <w:snapToGrid w:val="0"/>
        <w:spacing w:line="300" w:lineRule="auto"/>
        <w:ind w:firstLine="480" w:firstLineChars="200"/>
        <w:contextualSpacing/>
        <w:rPr>
          <w:rFonts w:hint="eastAsia" w:ascii="宋体" w:eastAsia="宋体" w:cs="宋体"/>
          <w:sz w:val="24"/>
          <w:szCs w:val="24"/>
        </w:rPr>
      </w:pPr>
      <w:r>
        <w:rPr>
          <w:rFonts w:hint="eastAsia" w:ascii="宋体" w:eastAsia="宋体" w:cs="宋体"/>
          <w:sz w:val="24"/>
          <w:szCs w:val="24"/>
        </w:rPr>
        <w:t>（1）项目实施、维护期内，本合同项目所有技术和服务发生任何非人为故障，由供应商负责系统恢复。故障报修的响应时间为即时，到达现场的时间为2小时，小型故障恢复时间为4个小时，严重故障恢复时间为24小时内，并及时有效提供解决方案。</w:t>
      </w:r>
    </w:p>
    <w:p w14:paraId="3DD44FEC">
      <w:pPr>
        <w:pStyle w:val="19"/>
        <w:snapToGrid w:val="0"/>
        <w:spacing w:line="300" w:lineRule="auto"/>
        <w:ind w:firstLine="480" w:firstLineChars="200"/>
        <w:contextualSpacing/>
        <w:rPr>
          <w:rFonts w:hint="eastAsia" w:ascii="宋体" w:eastAsia="宋体" w:cs="宋体"/>
          <w:sz w:val="24"/>
          <w:szCs w:val="24"/>
        </w:rPr>
      </w:pPr>
      <w:r>
        <w:rPr>
          <w:rFonts w:hint="eastAsia" w:ascii="宋体" w:eastAsia="宋体" w:cs="宋体"/>
          <w:sz w:val="24"/>
          <w:szCs w:val="24"/>
        </w:rPr>
        <w:t>（2）所有的服务方式（远程无法处理的）均为上门，即由供应商派员到系统使用现场进行故障恢复，由此产生的一切费用均由供应商承担。</w:t>
      </w:r>
    </w:p>
    <w:p w14:paraId="6EC93462">
      <w:pPr>
        <w:pStyle w:val="19"/>
        <w:snapToGrid w:val="0"/>
        <w:spacing w:line="300" w:lineRule="auto"/>
        <w:ind w:firstLine="480" w:firstLineChars="200"/>
        <w:contextualSpacing/>
        <w:rPr>
          <w:rFonts w:hint="eastAsia" w:ascii="宋体" w:eastAsia="宋体" w:cs="宋体"/>
          <w:sz w:val="24"/>
          <w:szCs w:val="24"/>
        </w:rPr>
      </w:pPr>
      <w:r>
        <w:rPr>
          <w:rFonts w:hint="eastAsia" w:ascii="宋体" w:eastAsia="宋体" w:cs="宋体"/>
          <w:sz w:val="24"/>
          <w:szCs w:val="24"/>
        </w:rPr>
        <w:t>（3）由于供应商技术人员操作不当引起损失以及连带责任全部由供应商承担。</w:t>
      </w:r>
    </w:p>
    <w:p w14:paraId="064D3BEA">
      <w:pPr>
        <w:pStyle w:val="19"/>
        <w:snapToGrid w:val="0"/>
        <w:spacing w:line="300" w:lineRule="auto"/>
        <w:ind w:firstLine="480" w:firstLineChars="200"/>
        <w:contextualSpacing/>
        <w:rPr>
          <w:rFonts w:hint="eastAsia" w:ascii="宋体" w:eastAsia="宋体" w:cs="宋体"/>
          <w:sz w:val="24"/>
          <w:szCs w:val="24"/>
        </w:rPr>
      </w:pPr>
      <w:r>
        <w:rPr>
          <w:rFonts w:hint="eastAsia" w:ascii="宋体" w:eastAsia="宋体" w:cs="宋体"/>
          <w:sz w:val="24"/>
          <w:szCs w:val="24"/>
        </w:rPr>
        <w:t>（4）供应商须提供系统操作培训方案，方案内容包括但不限于培训方式、培训课时及培训目标成果等内容。</w:t>
      </w:r>
    </w:p>
    <w:p w14:paraId="36D14902">
      <w:pPr>
        <w:ind w:firstLine="2570" w:firstLineChars="800"/>
        <w:rPr>
          <w:b/>
          <w:sz w:val="32"/>
          <w:szCs w:val="32"/>
        </w:rPr>
      </w:pPr>
      <w:r>
        <w:rPr>
          <w:rFonts w:hint="eastAsia"/>
          <w:b/>
          <w:sz w:val="32"/>
          <w:szCs w:val="32"/>
        </w:rPr>
        <w:t>第三部分   投标人须知</w:t>
      </w:r>
    </w:p>
    <w:p w14:paraId="64FA8D99">
      <w:pPr>
        <w:ind w:firstLine="480" w:firstLineChars="200"/>
        <w:rPr>
          <w:sz w:val="24"/>
        </w:rPr>
      </w:pPr>
      <w:r>
        <w:rPr>
          <w:rFonts w:hint="eastAsia"/>
          <w:sz w:val="24"/>
        </w:rPr>
        <w:t>一、招标采购文件说明</w:t>
      </w:r>
    </w:p>
    <w:p w14:paraId="3A37C937">
      <w:pPr>
        <w:ind w:firstLine="480" w:firstLineChars="200"/>
        <w:rPr>
          <w:sz w:val="24"/>
        </w:rPr>
      </w:pPr>
      <w:r>
        <w:rPr>
          <w:rFonts w:hint="eastAsia"/>
          <w:sz w:val="24"/>
        </w:rPr>
        <w:t>1、 招标采购文件由招标方负责解释。</w:t>
      </w:r>
    </w:p>
    <w:p w14:paraId="732EFCFE">
      <w:pPr>
        <w:ind w:firstLine="480" w:firstLineChars="200"/>
        <w:rPr>
          <w:sz w:val="24"/>
        </w:rPr>
      </w:pPr>
      <w:r>
        <w:rPr>
          <w:rFonts w:hint="eastAsia"/>
          <w:sz w:val="24"/>
        </w:rPr>
        <w:t>2、 招标采购文件由下述部分组成：</w:t>
      </w:r>
    </w:p>
    <w:p w14:paraId="58894EE3">
      <w:pPr>
        <w:ind w:firstLine="480" w:firstLineChars="200"/>
        <w:rPr>
          <w:sz w:val="24"/>
        </w:rPr>
      </w:pPr>
      <w:r>
        <w:rPr>
          <w:rFonts w:hint="eastAsia"/>
          <w:sz w:val="24"/>
        </w:rPr>
        <w:t>第一部分   招标公告</w:t>
      </w:r>
    </w:p>
    <w:p w14:paraId="10BA33F1">
      <w:pPr>
        <w:ind w:firstLine="480" w:firstLineChars="200"/>
        <w:rPr>
          <w:sz w:val="24"/>
        </w:rPr>
      </w:pPr>
      <w:r>
        <w:rPr>
          <w:rFonts w:hint="eastAsia"/>
          <w:sz w:val="24"/>
        </w:rPr>
        <w:t>第二部分   采购项目需求</w:t>
      </w:r>
    </w:p>
    <w:p w14:paraId="06A40A11">
      <w:pPr>
        <w:ind w:firstLine="480" w:firstLineChars="200"/>
        <w:rPr>
          <w:sz w:val="24"/>
        </w:rPr>
      </w:pPr>
      <w:r>
        <w:rPr>
          <w:rFonts w:hint="eastAsia"/>
          <w:sz w:val="24"/>
        </w:rPr>
        <w:t>第三部分   投标人须知</w:t>
      </w:r>
    </w:p>
    <w:p w14:paraId="4D33C004">
      <w:pPr>
        <w:ind w:firstLine="480" w:firstLineChars="200"/>
        <w:rPr>
          <w:sz w:val="24"/>
        </w:rPr>
      </w:pPr>
      <w:r>
        <w:rPr>
          <w:rFonts w:hint="eastAsia"/>
          <w:sz w:val="24"/>
        </w:rPr>
        <w:t>第四部分   评标办法</w:t>
      </w:r>
    </w:p>
    <w:p w14:paraId="0264CD94">
      <w:pPr>
        <w:ind w:firstLine="480" w:firstLineChars="200"/>
        <w:rPr>
          <w:sz w:val="24"/>
        </w:rPr>
      </w:pPr>
      <w:r>
        <w:rPr>
          <w:rFonts w:hint="eastAsia"/>
          <w:sz w:val="24"/>
        </w:rPr>
        <w:t>第五部分   合同相关要求</w:t>
      </w:r>
    </w:p>
    <w:p w14:paraId="3BDB6DAC">
      <w:pPr>
        <w:ind w:firstLine="480" w:firstLineChars="200"/>
        <w:rPr>
          <w:sz w:val="24"/>
        </w:rPr>
      </w:pPr>
      <w:r>
        <w:rPr>
          <w:rFonts w:hint="eastAsia"/>
          <w:sz w:val="24"/>
        </w:rPr>
        <w:t xml:space="preserve">第六部分   投标文件格式   </w:t>
      </w:r>
    </w:p>
    <w:p w14:paraId="5A759BF9">
      <w:pPr>
        <w:ind w:firstLine="480" w:firstLineChars="200"/>
        <w:rPr>
          <w:sz w:val="24"/>
        </w:rPr>
      </w:pPr>
      <w:r>
        <w:rPr>
          <w:rFonts w:hint="eastAsia"/>
          <w:sz w:val="24"/>
        </w:rPr>
        <w:t>二、招标采购文件的澄清和修改</w:t>
      </w:r>
    </w:p>
    <w:p w14:paraId="5A2A9B29">
      <w:pPr>
        <w:ind w:firstLine="480" w:firstLineChars="200"/>
        <w:rPr>
          <w:sz w:val="24"/>
        </w:rPr>
      </w:pPr>
      <w:r>
        <w:rPr>
          <w:rFonts w:hint="eastAsia"/>
          <w:sz w:val="24"/>
        </w:rPr>
        <w:t>1、供应商领取招标文件后，应仔细检查招标文件的所有内容，如对本次招标文件存在疑问，请将书面询问文件在本项目报名截止时间后2日内，送至南通市海门区四甲镇中心卫生院，招标方将做统一答复；如规定时间内未收到任何书面质疑，则视为各投标供应商均理解并接受本招标文件所有内容。同时供应商不得在招标结束后针对招标文件所有内容提出质疑事项。</w:t>
      </w:r>
    </w:p>
    <w:p w14:paraId="5822C7D1">
      <w:pPr>
        <w:ind w:firstLine="480" w:firstLineChars="200"/>
        <w:rPr>
          <w:sz w:val="24"/>
        </w:rPr>
      </w:pPr>
      <w:r>
        <w:rPr>
          <w:rFonts w:hint="eastAsia"/>
          <w:sz w:val="24"/>
        </w:rPr>
        <w:t>2、投标人应认真审阅招标文件中所有的事项、格式、条款和规范要求等，如果投标人没有按照招标文件要求提交投标文件，或者投标文件没有对招标文件作出实质性响应，其投标将被拒绝或者将作为无效投标，由投标人自行承担责任。</w:t>
      </w:r>
    </w:p>
    <w:p w14:paraId="71DF4041">
      <w:pPr>
        <w:ind w:firstLine="480" w:firstLineChars="200"/>
        <w:rPr>
          <w:sz w:val="24"/>
        </w:rPr>
      </w:pPr>
      <w:r>
        <w:rPr>
          <w:rFonts w:hint="eastAsia"/>
          <w:sz w:val="24"/>
        </w:rPr>
        <w:t>3、招标人有权对发出的招标文件进行必要的澄清或修改。招标人对招标文件的澄清、修改将构成招标文件的一部分，对投标人具有约束力。</w:t>
      </w:r>
    </w:p>
    <w:p w14:paraId="1080A79A">
      <w:pPr>
        <w:ind w:firstLine="480" w:firstLineChars="200"/>
        <w:rPr>
          <w:sz w:val="24"/>
        </w:rPr>
      </w:pPr>
      <w:r>
        <w:rPr>
          <w:rFonts w:hint="eastAsia"/>
          <w:sz w:val="24"/>
        </w:rPr>
        <w:t>4、招标人可视情取消、延长投标截止时间和开标时间，不负责解释。</w:t>
      </w:r>
    </w:p>
    <w:p w14:paraId="47BE840E">
      <w:pPr>
        <w:ind w:firstLine="480" w:firstLineChars="200"/>
        <w:rPr>
          <w:sz w:val="24"/>
        </w:rPr>
      </w:pPr>
      <w:r>
        <w:rPr>
          <w:rFonts w:hint="eastAsia"/>
          <w:sz w:val="24"/>
        </w:rPr>
        <w:t>5、投标人由于对招标文件的任何推论和误解以及招标人对有关问题的口头解释所造成的后果，均由投标人自负。</w:t>
      </w:r>
    </w:p>
    <w:p w14:paraId="21F4AC0A">
      <w:pPr>
        <w:ind w:firstLine="480" w:firstLineChars="200"/>
        <w:rPr>
          <w:sz w:val="24"/>
        </w:rPr>
      </w:pPr>
      <w:r>
        <w:rPr>
          <w:rFonts w:hint="eastAsia"/>
          <w:sz w:val="24"/>
        </w:rPr>
        <w:t>6、招标人视情组织答疑会。</w:t>
      </w:r>
    </w:p>
    <w:p w14:paraId="5E1F7CEE">
      <w:pPr>
        <w:ind w:firstLine="480" w:firstLineChars="200"/>
        <w:rPr>
          <w:sz w:val="24"/>
        </w:rPr>
      </w:pPr>
      <w:r>
        <w:rPr>
          <w:rFonts w:hint="eastAsia"/>
          <w:sz w:val="24"/>
        </w:rPr>
        <w:t>三、投标文件的制作</w:t>
      </w:r>
    </w:p>
    <w:p w14:paraId="008DB1EF">
      <w:pPr>
        <w:ind w:firstLine="480" w:firstLineChars="200"/>
        <w:rPr>
          <w:sz w:val="24"/>
        </w:rPr>
      </w:pPr>
      <w:r>
        <w:rPr>
          <w:rFonts w:hint="eastAsia"/>
          <w:sz w:val="24"/>
        </w:rPr>
        <w:t>1、 原则：</w:t>
      </w:r>
    </w:p>
    <w:p w14:paraId="054E61B2">
      <w:pPr>
        <w:ind w:firstLine="360" w:firstLineChars="150"/>
        <w:rPr>
          <w:sz w:val="24"/>
        </w:rPr>
      </w:pPr>
      <w:r>
        <w:rPr>
          <w:rFonts w:hint="eastAsia"/>
          <w:sz w:val="24"/>
        </w:rPr>
        <w:t>（1）投标人应保证所提供的所有资料的真实性、准确性。</w:t>
      </w:r>
    </w:p>
    <w:p w14:paraId="7E67F250">
      <w:pPr>
        <w:ind w:firstLine="360" w:firstLineChars="150"/>
        <w:rPr>
          <w:sz w:val="24"/>
        </w:rPr>
      </w:pPr>
      <w:r>
        <w:rPr>
          <w:rFonts w:hint="eastAsia"/>
          <w:sz w:val="24"/>
        </w:rPr>
        <w:t>（2）投标人在招标过程中提供不真实的材料，无论其材料是否重要，采购方都将终止其投标资格，投标人需承担相应的后果及法律责任。</w:t>
      </w:r>
    </w:p>
    <w:p w14:paraId="5B6756EF">
      <w:pPr>
        <w:ind w:firstLine="360" w:firstLineChars="150"/>
        <w:rPr>
          <w:sz w:val="24"/>
        </w:rPr>
      </w:pPr>
      <w:r>
        <w:rPr>
          <w:rFonts w:hint="eastAsia"/>
          <w:sz w:val="24"/>
        </w:rPr>
        <w:t>（3）采购方拒绝接受电报、电话或传真形式的投标文件。</w:t>
      </w:r>
    </w:p>
    <w:p w14:paraId="7126CEA5">
      <w:pPr>
        <w:ind w:firstLine="480" w:firstLineChars="200"/>
        <w:rPr>
          <w:sz w:val="24"/>
        </w:rPr>
      </w:pPr>
      <w:r>
        <w:rPr>
          <w:rFonts w:hint="eastAsia"/>
          <w:sz w:val="24"/>
        </w:rPr>
        <w:t>2、 投标文件的组成：见本招标采购文件第六部分“投标文件格式”。</w:t>
      </w:r>
    </w:p>
    <w:p w14:paraId="49134F28">
      <w:pPr>
        <w:rPr>
          <w:sz w:val="24"/>
        </w:rPr>
      </w:pPr>
      <w:r>
        <w:rPr>
          <w:rFonts w:hint="eastAsia"/>
          <w:sz w:val="24"/>
        </w:rPr>
        <w:t>特别提示：请投标人携带相关原件用于备查。不能提供原件的，则需投标人提供经注册地公证机构的公证书或原发证机构出具的相关证明材料。复印件请加盖单位公章。因携带原件不全，由此引起的后果由投标人自负。（须将备查原件放在一个资料袋中，原件资料袋可不密封，但须在资料袋上标明投标单位名称和原件清单目录。）</w:t>
      </w:r>
    </w:p>
    <w:p w14:paraId="0221AFB8">
      <w:pPr>
        <w:ind w:firstLine="360" w:firstLineChars="150"/>
        <w:rPr>
          <w:sz w:val="24"/>
        </w:rPr>
      </w:pPr>
      <w:r>
        <w:rPr>
          <w:rFonts w:hint="eastAsia"/>
          <w:sz w:val="24"/>
        </w:rPr>
        <w:t>3、 投标文件制作要求：</w:t>
      </w:r>
    </w:p>
    <w:p w14:paraId="7BB292D1">
      <w:pPr>
        <w:ind w:firstLine="240" w:firstLineChars="100"/>
        <w:rPr>
          <w:sz w:val="24"/>
        </w:rPr>
      </w:pPr>
      <w:r>
        <w:rPr>
          <w:rFonts w:hint="eastAsia"/>
          <w:sz w:val="24"/>
        </w:rPr>
        <w:t>（1）投标人应按投标文件组成顺序编写、制作投标文件，并牢固装订成册。投标文件均需采用A4纸（图纸等除外</w:t>
      </w:r>
      <w:r>
        <w:rPr>
          <w:rFonts w:hint="eastAsia"/>
          <w:sz w:val="24"/>
          <w:lang w:eastAsia="zh-CN"/>
        </w:rPr>
        <w:t>）</w:t>
      </w:r>
      <w:r>
        <w:rPr>
          <w:rFonts w:hint="eastAsia"/>
          <w:sz w:val="24"/>
        </w:rPr>
        <w:t>。投标文件不得行间插字、涂改、增删，如修改错漏处，须经投标文件签署人签字并加盖公章。</w:t>
      </w:r>
    </w:p>
    <w:p w14:paraId="04F4760A">
      <w:pPr>
        <w:ind w:firstLine="240" w:firstLineChars="100"/>
        <w:rPr>
          <w:sz w:val="24"/>
        </w:rPr>
      </w:pPr>
      <w:r>
        <w:rPr>
          <w:rFonts w:hint="eastAsia"/>
          <w:sz w:val="24"/>
        </w:rPr>
        <w:t>（2）投标文件正本一份、副本二份，在每一份投标文件上要明确标注投标人全称、“正本”、“副本”字样。一旦正本和副本内容有差异，以正本为准。</w:t>
      </w:r>
    </w:p>
    <w:p w14:paraId="45518D56">
      <w:pPr>
        <w:ind w:firstLine="240" w:firstLineChars="100"/>
        <w:rPr>
          <w:sz w:val="24"/>
        </w:rPr>
      </w:pPr>
      <w:r>
        <w:rPr>
          <w:rFonts w:hint="eastAsia"/>
          <w:sz w:val="24"/>
        </w:rPr>
        <w:t>（3）投标文件正本须打印并由法定代表人或授权人签字并加盖单位印章。副本可复印，但须加盖单位印章。</w:t>
      </w:r>
    </w:p>
    <w:p w14:paraId="50B7A59E">
      <w:pPr>
        <w:ind w:firstLine="240" w:firstLineChars="100"/>
        <w:rPr>
          <w:sz w:val="24"/>
        </w:rPr>
      </w:pPr>
      <w:r>
        <w:rPr>
          <w:rFonts w:hint="eastAsia"/>
          <w:sz w:val="24"/>
        </w:rPr>
        <w:t>（4）投标人应将本项目投标文件密封。</w:t>
      </w:r>
    </w:p>
    <w:p w14:paraId="0A793EE5">
      <w:pPr>
        <w:ind w:firstLine="240" w:firstLineChars="100"/>
        <w:rPr>
          <w:sz w:val="24"/>
        </w:rPr>
      </w:pPr>
      <w:r>
        <w:rPr>
          <w:rFonts w:hint="eastAsia"/>
          <w:sz w:val="24"/>
        </w:rPr>
        <w:t>（5）投标报价表一份须单独密封，不得出现于投标文件的正本或副本。</w:t>
      </w:r>
    </w:p>
    <w:p w14:paraId="2B995AF0">
      <w:pPr>
        <w:ind w:firstLine="240" w:firstLineChars="100"/>
        <w:rPr>
          <w:sz w:val="24"/>
        </w:rPr>
      </w:pPr>
      <w:r>
        <w:rPr>
          <w:rFonts w:hint="eastAsia"/>
          <w:sz w:val="24"/>
        </w:rPr>
        <w:t>（6）所有密封文件封套正面须标明项目名称、项目编号、边缝处加盖单位骑缝章或骑缝签字，并注明于开标前不得启封。</w:t>
      </w:r>
    </w:p>
    <w:p w14:paraId="01A93FA9">
      <w:pPr>
        <w:ind w:firstLine="240" w:firstLineChars="100"/>
        <w:rPr>
          <w:sz w:val="24"/>
        </w:rPr>
      </w:pPr>
      <w:r>
        <w:rPr>
          <w:rFonts w:hint="eastAsia"/>
          <w:sz w:val="24"/>
        </w:rPr>
        <w:t>（7）如果投标供应商未加写标记，招标方对投标文件的误投和提前启封不负责任。</w:t>
      </w:r>
    </w:p>
    <w:p w14:paraId="6CC9454C">
      <w:pPr>
        <w:ind w:firstLine="360" w:firstLineChars="150"/>
        <w:rPr>
          <w:sz w:val="24"/>
        </w:rPr>
      </w:pPr>
      <w:r>
        <w:rPr>
          <w:rFonts w:hint="eastAsia"/>
          <w:sz w:val="24"/>
        </w:rPr>
        <w:t>4、 投标报价</w:t>
      </w:r>
    </w:p>
    <w:p w14:paraId="7D559D9B">
      <w:pPr>
        <w:ind w:firstLine="240" w:firstLineChars="100"/>
        <w:rPr>
          <w:sz w:val="24"/>
        </w:rPr>
      </w:pPr>
      <w:r>
        <w:rPr>
          <w:rFonts w:hint="eastAsia"/>
          <w:sz w:val="24"/>
        </w:rPr>
        <w:t>（1）本项目为交钥匙项目。投标报价应包括：设备费（材料费）、运费、安装调试费、施工费、培训费、售后服务费、税费等所有费用。投标报价以人民币为结算货币。</w:t>
      </w:r>
    </w:p>
    <w:p w14:paraId="60E78A79">
      <w:pPr>
        <w:ind w:firstLine="240" w:firstLineChars="100"/>
        <w:rPr>
          <w:sz w:val="24"/>
        </w:rPr>
      </w:pPr>
      <w:r>
        <w:rPr>
          <w:rFonts w:hint="eastAsia"/>
          <w:sz w:val="24"/>
        </w:rPr>
        <w:t>（2）投标人应按《设备清单》 中的全部货物和服务计算单价和总价。《投标报价表》 中的每一单项均应计算并填写单价和总价，并由法定代表人或被授权人签署。</w:t>
      </w:r>
    </w:p>
    <w:p w14:paraId="3E7FEB78">
      <w:pPr>
        <w:ind w:firstLine="240" w:firstLineChars="100"/>
        <w:rPr>
          <w:sz w:val="24"/>
        </w:rPr>
      </w:pPr>
      <w:r>
        <w:rPr>
          <w:rFonts w:hint="eastAsia"/>
          <w:sz w:val="24"/>
        </w:rPr>
        <w:t>（3）投标人应对招标文件内所要采购的全部内容进行报价，只投其中部分内容者，其投标书将被拒绝。</w:t>
      </w:r>
    </w:p>
    <w:p w14:paraId="691F868E">
      <w:pPr>
        <w:ind w:firstLine="240" w:firstLineChars="100"/>
        <w:rPr>
          <w:b/>
          <w:bCs/>
          <w:sz w:val="24"/>
        </w:rPr>
      </w:pPr>
      <w:r>
        <w:rPr>
          <w:rFonts w:hint="eastAsia"/>
          <w:sz w:val="24"/>
        </w:rPr>
        <w:t>（4）</w:t>
      </w:r>
      <w:r>
        <w:rPr>
          <w:rFonts w:hint="eastAsia"/>
          <w:b/>
          <w:bCs/>
          <w:sz w:val="24"/>
        </w:rPr>
        <w:t>本项目最高限价为人民币22万元。</w:t>
      </w:r>
    </w:p>
    <w:p w14:paraId="4BB62AC0">
      <w:pPr>
        <w:ind w:firstLine="360" w:firstLineChars="150"/>
        <w:rPr>
          <w:sz w:val="24"/>
        </w:rPr>
      </w:pPr>
      <w:r>
        <w:rPr>
          <w:rFonts w:hint="eastAsia"/>
          <w:sz w:val="24"/>
        </w:rPr>
        <w:t>5、 投标有效期</w:t>
      </w:r>
    </w:p>
    <w:p w14:paraId="3407E1EB">
      <w:pPr>
        <w:ind w:firstLine="360" w:firstLineChars="150"/>
        <w:rPr>
          <w:sz w:val="24"/>
        </w:rPr>
      </w:pPr>
      <w:r>
        <w:rPr>
          <w:rFonts w:hint="eastAsia"/>
          <w:sz w:val="24"/>
        </w:rPr>
        <w:t>投标文件从开标之日起，投标有效期为3天。</w:t>
      </w:r>
    </w:p>
    <w:p w14:paraId="7C9551DC">
      <w:pPr>
        <w:rPr>
          <w:sz w:val="24"/>
        </w:rPr>
      </w:pPr>
    </w:p>
    <w:p w14:paraId="7AA302AA">
      <w:pPr>
        <w:ind w:firstLine="360" w:firstLineChars="150"/>
        <w:rPr>
          <w:sz w:val="24"/>
        </w:rPr>
      </w:pPr>
      <w:r>
        <w:rPr>
          <w:rFonts w:hint="eastAsia"/>
          <w:sz w:val="24"/>
        </w:rPr>
        <w:t>四、投标文件的递交</w:t>
      </w:r>
    </w:p>
    <w:p w14:paraId="028BCF2B">
      <w:pPr>
        <w:ind w:firstLine="360" w:firstLineChars="150"/>
        <w:rPr>
          <w:sz w:val="24"/>
        </w:rPr>
      </w:pPr>
      <w:r>
        <w:rPr>
          <w:rFonts w:hint="eastAsia"/>
          <w:sz w:val="24"/>
        </w:rPr>
        <w:t>1、招标方于开标地点在投标截止时间前半小时内接受标书。</w:t>
      </w:r>
    </w:p>
    <w:p w14:paraId="656DA0FA">
      <w:pPr>
        <w:ind w:firstLine="360" w:firstLineChars="150"/>
        <w:rPr>
          <w:sz w:val="24"/>
        </w:rPr>
      </w:pPr>
      <w:r>
        <w:rPr>
          <w:rFonts w:hint="eastAsia"/>
          <w:sz w:val="24"/>
        </w:rPr>
        <w:t>2、投标人递交投标文件的方式为专人当面递交的方式。</w:t>
      </w:r>
    </w:p>
    <w:p w14:paraId="306FE1BF">
      <w:pPr>
        <w:ind w:firstLine="360" w:firstLineChars="150"/>
        <w:rPr>
          <w:sz w:val="24"/>
        </w:rPr>
      </w:pPr>
      <w:r>
        <w:rPr>
          <w:rFonts w:hint="eastAsia"/>
          <w:sz w:val="24"/>
        </w:rPr>
        <w:t>3、招标方将拒绝接收递交时间、密封情况等不符合要求的投标文件。</w:t>
      </w:r>
    </w:p>
    <w:p w14:paraId="75BD251A">
      <w:pPr>
        <w:ind w:firstLine="360" w:firstLineChars="150"/>
        <w:rPr>
          <w:sz w:val="24"/>
        </w:rPr>
      </w:pPr>
      <w:r>
        <w:rPr>
          <w:rFonts w:hint="eastAsia"/>
          <w:sz w:val="24"/>
        </w:rPr>
        <w:t>4、投标文件填写字迹必须清楚、工整，对不同文字文本投标文件的解释发生异议的，以中文文本为准。</w:t>
      </w:r>
    </w:p>
    <w:p w14:paraId="363C4383">
      <w:pPr>
        <w:rPr>
          <w:sz w:val="24"/>
        </w:rPr>
      </w:pPr>
    </w:p>
    <w:p w14:paraId="46CA99DA">
      <w:pPr>
        <w:ind w:firstLine="360" w:firstLineChars="150"/>
        <w:rPr>
          <w:sz w:val="24"/>
        </w:rPr>
      </w:pPr>
      <w:r>
        <w:rPr>
          <w:rFonts w:hint="eastAsia"/>
          <w:sz w:val="24"/>
        </w:rPr>
        <w:t>五、无效投标的情形</w:t>
      </w:r>
    </w:p>
    <w:p w14:paraId="70286D25">
      <w:pPr>
        <w:ind w:firstLine="360" w:firstLineChars="150"/>
        <w:rPr>
          <w:sz w:val="24"/>
        </w:rPr>
      </w:pPr>
      <w:r>
        <w:rPr>
          <w:rFonts w:hint="eastAsia"/>
          <w:sz w:val="24"/>
        </w:rPr>
        <w:t>发生下列情况之一的投标文件被视为无效：</w:t>
      </w:r>
    </w:p>
    <w:p w14:paraId="65B5D88C">
      <w:pPr>
        <w:ind w:firstLine="360" w:firstLineChars="150"/>
        <w:rPr>
          <w:sz w:val="24"/>
        </w:rPr>
      </w:pPr>
      <w:r>
        <w:rPr>
          <w:rFonts w:hint="eastAsia"/>
          <w:sz w:val="24"/>
        </w:rPr>
        <w:t>1、投标报价超出项目最高限价的；</w:t>
      </w:r>
    </w:p>
    <w:p w14:paraId="1D42BB97">
      <w:pPr>
        <w:ind w:firstLine="360" w:firstLineChars="150"/>
        <w:rPr>
          <w:sz w:val="24"/>
        </w:rPr>
      </w:pPr>
      <w:r>
        <w:rPr>
          <w:rFonts w:hint="eastAsia"/>
          <w:sz w:val="24"/>
        </w:rPr>
        <w:t>2、由于包装不妥，在送交途中严重破损或失散的投标文件；</w:t>
      </w:r>
    </w:p>
    <w:p w14:paraId="43FA66FC">
      <w:pPr>
        <w:ind w:firstLine="360" w:firstLineChars="150"/>
        <w:rPr>
          <w:sz w:val="24"/>
        </w:rPr>
      </w:pPr>
      <w:r>
        <w:rPr>
          <w:rFonts w:hint="eastAsia"/>
          <w:sz w:val="24"/>
        </w:rPr>
        <w:t>3、未按照招标文件要求盖章、签署姓名；未装订、未按照招标文件规定要求密封；未有效授权；投标承诺函、法定代表人授权书等有涂改的；</w:t>
      </w:r>
    </w:p>
    <w:p w14:paraId="3984907A">
      <w:pPr>
        <w:ind w:firstLine="360" w:firstLineChars="150"/>
        <w:rPr>
          <w:sz w:val="24"/>
        </w:rPr>
      </w:pPr>
      <w:r>
        <w:rPr>
          <w:rFonts w:hint="eastAsia"/>
          <w:sz w:val="24"/>
        </w:rPr>
        <w:t>4、未能提供合格的资格文件；</w:t>
      </w:r>
    </w:p>
    <w:p w14:paraId="2490ECB7">
      <w:pPr>
        <w:ind w:firstLine="360" w:firstLineChars="150"/>
        <w:rPr>
          <w:sz w:val="24"/>
        </w:rPr>
      </w:pPr>
      <w:r>
        <w:rPr>
          <w:rFonts w:hint="eastAsia"/>
          <w:sz w:val="24"/>
        </w:rPr>
        <w:t>5、对一个标项提供两个投标方案的；</w:t>
      </w:r>
    </w:p>
    <w:p w14:paraId="57F6FFF8">
      <w:pPr>
        <w:ind w:firstLine="360" w:firstLineChars="150"/>
        <w:rPr>
          <w:sz w:val="24"/>
        </w:rPr>
      </w:pPr>
      <w:r>
        <w:rPr>
          <w:rFonts w:hint="eastAsia"/>
          <w:sz w:val="24"/>
        </w:rPr>
        <w:t>6、与招标文件有重大偏离的或未能实质性响应技术商务要求的；</w:t>
      </w:r>
    </w:p>
    <w:p w14:paraId="63E754E9">
      <w:pPr>
        <w:ind w:firstLine="360" w:firstLineChars="150"/>
        <w:rPr>
          <w:sz w:val="24"/>
        </w:rPr>
      </w:pPr>
      <w:r>
        <w:rPr>
          <w:rFonts w:hint="eastAsia"/>
          <w:sz w:val="24"/>
        </w:rPr>
        <w:t>7、投标保证金未按规定缴纳或不足的；</w:t>
      </w:r>
    </w:p>
    <w:p w14:paraId="5FAF4AAC">
      <w:pPr>
        <w:ind w:firstLine="360" w:firstLineChars="150"/>
        <w:rPr>
          <w:sz w:val="24"/>
        </w:rPr>
      </w:pPr>
      <w:r>
        <w:rPr>
          <w:rFonts w:hint="eastAsia"/>
          <w:sz w:val="24"/>
        </w:rPr>
        <w:t>8、开标时投标供应商授权代表未到开标现场或授权代表不能提供相应身份证明的；</w:t>
      </w:r>
    </w:p>
    <w:p w14:paraId="7FB1C16B">
      <w:pPr>
        <w:ind w:firstLine="360" w:firstLineChars="150"/>
        <w:rPr>
          <w:sz w:val="24"/>
        </w:rPr>
      </w:pPr>
      <w:r>
        <w:rPr>
          <w:rFonts w:hint="eastAsia"/>
          <w:sz w:val="24"/>
        </w:rPr>
        <w:t>9、投标供应商在投标活动中提供任何虚假材料或从事其他违法活动的；</w:t>
      </w:r>
    </w:p>
    <w:p w14:paraId="46F8FB2E">
      <w:pPr>
        <w:ind w:firstLine="360" w:firstLineChars="150"/>
        <w:rPr>
          <w:sz w:val="24"/>
        </w:rPr>
      </w:pPr>
      <w:r>
        <w:rPr>
          <w:rFonts w:hint="eastAsia"/>
          <w:sz w:val="24"/>
        </w:rPr>
        <w:t>10、评标委员会一致认为报价明显高于市场价或低于成本价的；</w:t>
      </w:r>
    </w:p>
    <w:p w14:paraId="58B8D5BC">
      <w:pPr>
        <w:ind w:firstLine="360" w:firstLineChars="150"/>
        <w:rPr>
          <w:sz w:val="24"/>
        </w:rPr>
      </w:pPr>
      <w:r>
        <w:rPr>
          <w:rFonts w:hint="eastAsia"/>
          <w:sz w:val="24"/>
        </w:rPr>
        <w:t>11、评标委员会认为其他不合理情况的；</w:t>
      </w:r>
    </w:p>
    <w:p w14:paraId="214B639D">
      <w:pPr>
        <w:ind w:firstLine="360" w:firstLineChars="150"/>
        <w:rPr>
          <w:sz w:val="24"/>
        </w:rPr>
      </w:pPr>
      <w:r>
        <w:rPr>
          <w:rFonts w:hint="eastAsia"/>
          <w:sz w:val="24"/>
        </w:rPr>
        <w:t>12、不符合法律、法规和本招标文件规定的其他实质性要求的。</w:t>
      </w:r>
    </w:p>
    <w:p w14:paraId="4F3E2935">
      <w:pPr>
        <w:ind w:firstLine="360" w:firstLineChars="150"/>
        <w:rPr>
          <w:sz w:val="24"/>
        </w:rPr>
      </w:pPr>
      <w:r>
        <w:rPr>
          <w:rFonts w:hint="eastAsia"/>
          <w:sz w:val="24"/>
        </w:rPr>
        <w:t>上述均保留评委会认定可以确定为无效投标或废标的其他情况。</w:t>
      </w:r>
    </w:p>
    <w:p w14:paraId="23E71086">
      <w:pPr>
        <w:ind w:firstLine="360" w:firstLineChars="150"/>
        <w:rPr>
          <w:sz w:val="24"/>
        </w:rPr>
      </w:pPr>
      <w:r>
        <w:rPr>
          <w:rFonts w:hint="eastAsia"/>
          <w:sz w:val="24"/>
        </w:rPr>
        <w:t>六、变更为其他方式采购的情形</w:t>
      </w:r>
    </w:p>
    <w:p w14:paraId="2FBDFAA0">
      <w:pPr>
        <w:ind w:firstLine="360" w:firstLineChars="150"/>
        <w:rPr>
          <w:sz w:val="24"/>
        </w:rPr>
      </w:pPr>
      <w:r>
        <w:rPr>
          <w:rFonts w:hint="eastAsia"/>
          <w:sz w:val="24"/>
        </w:rPr>
        <w:t>投标截止时间出现如下情形的，参加投标的供应商不足3家的，及评标中出现符合专业条件的供应商或对招标文件作实质响应的投标人不足3家的，除采购任务取消外，最终根据参与供应商的数量采取相应的其他方式采购。本次招标文件中对供应商资质、技术等要求，将作为其他方式采购的基本要求和依据。原已经参加投标并符合要求的供应商，根据自愿原则，参加其他方式采购。</w:t>
      </w:r>
    </w:p>
    <w:p w14:paraId="7880EFBD">
      <w:pPr>
        <w:jc w:val="center"/>
        <w:rPr>
          <w:b/>
          <w:sz w:val="32"/>
          <w:szCs w:val="32"/>
        </w:rPr>
      </w:pPr>
    </w:p>
    <w:p w14:paraId="56395C6F">
      <w:pPr>
        <w:jc w:val="center"/>
        <w:rPr>
          <w:b/>
          <w:sz w:val="32"/>
          <w:szCs w:val="32"/>
        </w:rPr>
      </w:pPr>
    </w:p>
    <w:p w14:paraId="1DD1A285">
      <w:pPr>
        <w:jc w:val="center"/>
        <w:rPr>
          <w:b/>
          <w:sz w:val="32"/>
          <w:szCs w:val="32"/>
        </w:rPr>
      </w:pPr>
    </w:p>
    <w:p w14:paraId="48FEAC15">
      <w:pPr>
        <w:jc w:val="center"/>
        <w:rPr>
          <w:b/>
          <w:sz w:val="32"/>
          <w:szCs w:val="32"/>
        </w:rPr>
      </w:pPr>
    </w:p>
    <w:p w14:paraId="0299BDB8">
      <w:pPr>
        <w:jc w:val="center"/>
        <w:rPr>
          <w:b/>
          <w:sz w:val="32"/>
          <w:szCs w:val="32"/>
        </w:rPr>
      </w:pPr>
    </w:p>
    <w:p w14:paraId="2192F0EF">
      <w:pPr>
        <w:jc w:val="center"/>
        <w:rPr>
          <w:b/>
          <w:sz w:val="32"/>
          <w:szCs w:val="32"/>
        </w:rPr>
      </w:pPr>
    </w:p>
    <w:p w14:paraId="5AAA4AE6">
      <w:pPr>
        <w:jc w:val="center"/>
        <w:rPr>
          <w:b/>
          <w:sz w:val="32"/>
          <w:szCs w:val="32"/>
        </w:rPr>
      </w:pPr>
    </w:p>
    <w:p w14:paraId="14442EF0">
      <w:pPr>
        <w:jc w:val="center"/>
        <w:rPr>
          <w:b/>
          <w:sz w:val="32"/>
          <w:szCs w:val="32"/>
        </w:rPr>
      </w:pPr>
    </w:p>
    <w:p w14:paraId="0FB64235">
      <w:pPr>
        <w:jc w:val="center"/>
        <w:rPr>
          <w:b/>
          <w:sz w:val="32"/>
          <w:szCs w:val="32"/>
        </w:rPr>
      </w:pPr>
    </w:p>
    <w:p w14:paraId="24641823">
      <w:pPr>
        <w:jc w:val="center"/>
        <w:rPr>
          <w:b/>
          <w:sz w:val="32"/>
          <w:szCs w:val="32"/>
        </w:rPr>
      </w:pPr>
    </w:p>
    <w:p w14:paraId="6DDFC2EE">
      <w:pPr>
        <w:jc w:val="center"/>
        <w:rPr>
          <w:b/>
          <w:sz w:val="32"/>
          <w:szCs w:val="32"/>
        </w:rPr>
      </w:pPr>
    </w:p>
    <w:p w14:paraId="78D5C464">
      <w:pPr>
        <w:jc w:val="center"/>
        <w:rPr>
          <w:b/>
          <w:sz w:val="32"/>
          <w:szCs w:val="32"/>
        </w:rPr>
      </w:pPr>
    </w:p>
    <w:p w14:paraId="07F649D7">
      <w:pPr>
        <w:jc w:val="center"/>
        <w:rPr>
          <w:b/>
          <w:sz w:val="32"/>
          <w:szCs w:val="32"/>
        </w:rPr>
      </w:pPr>
    </w:p>
    <w:p w14:paraId="23CA25D3">
      <w:pPr>
        <w:jc w:val="center"/>
        <w:rPr>
          <w:b/>
          <w:sz w:val="32"/>
          <w:szCs w:val="32"/>
        </w:rPr>
      </w:pPr>
    </w:p>
    <w:p w14:paraId="36FF4D70">
      <w:pPr>
        <w:jc w:val="center"/>
        <w:rPr>
          <w:b/>
          <w:sz w:val="32"/>
          <w:szCs w:val="32"/>
        </w:rPr>
      </w:pPr>
    </w:p>
    <w:p w14:paraId="215F9C78">
      <w:pPr>
        <w:jc w:val="center"/>
        <w:rPr>
          <w:b/>
          <w:sz w:val="32"/>
          <w:szCs w:val="32"/>
        </w:rPr>
      </w:pPr>
    </w:p>
    <w:p w14:paraId="2F052D0D">
      <w:pPr>
        <w:jc w:val="center"/>
        <w:rPr>
          <w:b/>
          <w:sz w:val="32"/>
          <w:szCs w:val="32"/>
        </w:rPr>
      </w:pPr>
      <w:r>
        <w:rPr>
          <w:rFonts w:hint="eastAsia"/>
          <w:b/>
          <w:sz w:val="32"/>
          <w:szCs w:val="32"/>
        </w:rPr>
        <w:t>第四部分   评标办法</w:t>
      </w:r>
    </w:p>
    <w:p w14:paraId="04C27C4B">
      <w:pPr>
        <w:ind w:firstLine="360" w:firstLineChars="150"/>
        <w:rPr>
          <w:sz w:val="24"/>
        </w:rPr>
      </w:pPr>
      <w:r>
        <w:rPr>
          <w:rFonts w:hint="eastAsia"/>
          <w:sz w:val="24"/>
        </w:rPr>
        <w:t>一、开评标程序</w:t>
      </w:r>
    </w:p>
    <w:p w14:paraId="65AAFE0D">
      <w:pPr>
        <w:ind w:firstLine="360" w:firstLineChars="150"/>
        <w:rPr>
          <w:sz w:val="24"/>
        </w:rPr>
      </w:pPr>
      <w:r>
        <w:rPr>
          <w:rFonts w:hint="eastAsia"/>
          <w:sz w:val="24"/>
        </w:rPr>
        <w:t>1、 招标人组织开标</w:t>
      </w:r>
    </w:p>
    <w:p w14:paraId="6C15F658">
      <w:pPr>
        <w:ind w:firstLine="360" w:firstLineChars="150"/>
        <w:rPr>
          <w:sz w:val="24"/>
        </w:rPr>
      </w:pPr>
      <w:r>
        <w:rPr>
          <w:rFonts w:hint="eastAsia"/>
          <w:sz w:val="24"/>
          <w:lang w:eastAsia="zh-CN"/>
        </w:rPr>
        <w:t>（</w:t>
      </w:r>
      <w:r>
        <w:rPr>
          <w:rFonts w:hint="eastAsia"/>
          <w:sz w:val="24"/>
        </w:rPr>
        <w:t>1）招标方在招标文件规定的时间和地点开标，投标人的法定代表人或授权人须持有效身份证参加开标会。</w:t>
      </w:r>
    </w:p>
    <w:p w14:paraId="183619CA">
      <w:pPr>
        <w:ind w:firstLine="360" w:firstLineChars="150"/>
        <w:rPr>
          <w:sz w:val="24"/>
        </w:rPr>
      </w:pPr>
      <w:r>
        <w:rPr>
          <w:rFonts w:hint="eastAsia"/>
          <w:sz w:val="24"/>
          <w:lang w:eastAsia="zh-CN"/>
        </w:rPr>
        <w:t>（</w:t>
      </w:r>
      <w:r>
        <w:rPr>
          <w:rFonts w:hint="eastAsia"/>
          <w:sz w:val="24"/>
        </w:rPr>
        <w:t>2</w:t>
      </w:r>
      <w:r>
        <w:rPr>
          <w:rFonts w:hint="eastAsia"/>
          <w:sz w:val="24"/>
          <w:lang w:eastAsia="zh-CN"/>
        </w:rPr>
        <w:t>）</w:t>
      </w:r>
      <w:r>
        <w:rPr>
          <w:rFonts w:hint="eastAsia"/>
          <w:sz w:val="24"/>
        </w:rPr>
        <w:t>询标期间，投标供应商法定代表人或授权代表必须在场，负责解答有关事宜。</w:t>
      </w:r>
    </w:p>
    <w:p w14:paraId="604750F1">
      <w:pPr>
        <w:ind w:firstLine="360" w:firstLineChars="150"/>
        <w:rPr>
          <w:sz w:val="24"/>
        </w:rPr>
      </w:pPr>
      <w:r>
        <w:rPr>
          <w:rFonts w:hint="eastAsia"/>
          <w:sz w:val="24"/>
          <w:lang w:eastAsia="zh-CN"/>
        </w:rPr>
        <w:t>（</w:t>
      </w:r>
      <w:r>
        <w:rPr>
          <w:rFonts w:hint="eastAsia"/>
          <w:sz w:val="24"/>
        </w:rPr>
        <w:t>3</w:t>
      </w:r>
      <w:r>
        <w:rPr>
          <w:rFonts w:hint="eastAsia"/>
          <w:sz w:val="24"/>
          <w:lang w:eastAsia="zh-CN"/>
        </w:rPr>
        <w:t>）</w:t>
      </w:r>
      <w:r>
        <w:rPr>
          <w:rFonts w:hint="eastAsia"/>
          <w:sz w:val="24"/>
        </w:rPr>
        <w:t>在投标、开标时间，投标人不得向评委询问情况，不得进行旨在影响评标结果的活动。</w:t>
      </w:r>
    </w:p>
    <w:p w14:paraId="4A12841A">
      <w:pPr>
        <w:ind w:firstLine="360" w:firstLineChars="150"/>
        <w:rPr>
          <w:sz w:val="24"/>
        </w:rPr>
      </w:pPr>
      <w:r>
        <w:rPr>
          <w:rFonts w:hint="eastAsia"/>
          <w:sz w:val="24"/>
          <w:lang w:eastAsia="zh-CN"/>
        </w:rPr>
        <w:t>（</w:t>
      </w:r>
      <w:r>
        <w:rPr>
          <w:rFonts w:hint="eastAsia"/>
          <w:sz w:val="24"/>
        </w:rPr>
        <w:t>4</w:t>
      </w:r>
      <w:r>
        <w:rPr>
          <w:rFonts w:hint="eastAsia"/>
          <w:sz w:val="24"/>
          <w:lang w:eastAsia="zh-CN"/>
        </w:rPr>
        <w:t>）</w:t>
      </w:r>
      <w:r>
        <w:rPr>
          <w:rFonts w:hint="eastAsia"/>
          <w:sz w:val="24"/>
        </w:rPr>
        <w:t>在投标、评标过程中，如果投标人联合故意抬高报价或出现其他不正当行为，招标人有权中止投标或评标。</w:t>
      </w:r>
    </w:p>
    <w:p w14:paraId="42CA8FD2">
      <w:pPr>
        <w:ind w:firstLine="360" w:firstLineChars="150"/>
        <w:rPr>
          <w:sz w:val="24"/>
        </w:rPr>
      </w:pPr>
      <w:r>
        <w:rPr>
          <w:rFonts w:hint="eastAsia"/>
          <w:sz w:val="24"/>
          <w:lang w:eastAsia="zh-CN"/>
        </w:rPr>
        <w:t>（</w:t>
      </w:r>
      <w:r>
        <w:rPr>
          <w:rFonts w:hint="eastAsia"/>
          <w:sz w:val="24"/>
        </w:rPr>
        <w:t>5</w:t>
      </w:r>
      <w:r>
        <w:rPr>
          <w:rFonts w:hint="eastAsia"/>
          <w:sz w:val="24"/>
          <w:lang w:eastAsia="zh-CN"/>
        </w:rPr>
        <w:t>）</w:t>
      </w:r>
      <w:r>
        <w:rPr>
          <w:rFonts w:hint="eastAsia"/>
          <w:sz w:val="24"/>
        </w:rPr>
        <w:t>凡在投标、开标过程中，招标人已提示是否异议的事项，投标人当时没有提出异议的，事后投标人不得针对上述事项提出质疑。</w:t>
      </w:r>
    </w:p>
    <w:p w14:paraId="5FFFD07E">
      <w:pPr>
        <w:ind w:firstLine="360" w:firstLineChars="150"/>
        <w:rPr>
          <w:sz w:val="24"/>
        </w:rPr>
      </w:pPr>
      <w:r>
        <w:rPr>
          <w:rFonts w:hint="eastAsia"/>
          <w:sz w:val="24"/>
          <w:lang w:eastAsia="zh-CN"/>
        </w:rPr>
        <w:t>（</w:t>
      </w:r>
      <w:r>
        <w:rPr>
          <w:rFonts w:hint="eastAsia"/>
          <w:sz w:val="24"/>
        </w:rPr>
        <w:t>6</w:t>
      </w:r>
      <w:r>
        <w:rPr>
          <w:rFonts w:hint="eastAsia"/>
          <w:sz w:val="24"/>
          <w:lang w:eastAsia="zh-CN"/>
        </w:rPr>
        <w:t>）</w:t>
      </w:r>
      <w:r>
        <w:rPr>
          <w:rFonts w:hint="eastAsia"/>
          <w:sz w:val="24"/>
        </w:rPr>
        <w:t>评委会不得向投标人解释落标原因，不退还投标文件。</w:t>
      </w:r>
    </w:p>
    <w:p w14:paraId="1F96ADEC">
      <w:pPr>
        <w:ind w:firstLine="360" w:firstLineChars="150"/>
        <w:rPr>
          <w:sz w:val="24"/>
        </w:rPr>
      </w:pPr>
      <w:r>
        <w:rPr>
          <w:rFonts w:hint="eastAsia"/>
          <w:sz w:val="24"/>
        </w:rPr>
        <w:t>2、评委会由采购单位代表或相关领域的专家组成，对投标文件进行审查、质疑、评估、比较。评委会按照公平、公正、择优的原则进行独立评标。</w:t>
      </w:r>
    </w:p>
    <w:p w14:paraId="425570B7">
      <w:pPr>
        <w:rPr>
          <w:sz w:val="24"/>
        </w:rPr>
      </w:pPr>
      <w:r>
        <w:rPr>
          <w:rFonts w:hint="eastAsia"/>
          <w:sz w:val="24"/>
        </w:rPr>
        <w:t xml:space="preserve">   纪检监察代表将监督开标的全过程。</w:t>
      </w:r>
    </w:p>
    <w:p w14:paraId="3EAFB70B">
      <w:pPr>
        <w:ind w:firstLine="240" w:firstLineChars="100"/>
        <w:rPr>
          <w:sz w:val="24"/>
        </w:rPr>
      </w:pPr>
      <w:r>
        <w:rPr>
          <w:rFonts w:hint="eastAsia"/>
          <w:sz w:val="24"/>
        </w:rPr>
        <w:t xml:space="preserve"> (1</w:t>
      </w:r>
      <w:r>
        <w:rPr>
          <w:rFonts w:hint="eastAsia"/>
          <w:sz w:val="24"/>
          <w:lang w:eastAsia="zh-CN"/>
        </w:rPr>
        <w:t>）</w:t>
      </w:r>
      <w:r>
        <w:rPr>
          <w:rFonts w:hint="eastAsia"/>
          <w:sz w:val="24"/>
        </w:rPr>
        <w:t xml:space="preserve">评审内容    </w:t>
      </w:r>
    </w:p>
    <w:p w14:paraId="035C7A96">
      <w:pPr>
        <w:ind w:firstLine="360" w:firstLineChars="150"/>
        <w:rPr>
          <w:sz w:val="24"/>
        </w:rPr>
      </w:pPr>
      <w:r>
        <w:rPr>
          <w:rFonts w:hint="eastAsia"/>
          <w:sz w:val="24"/>
        </w:rPr>
        <w:t>投标人的投标资格；投标文件是否完整；投标文件是否恰当地签署；是否作出实质性响应；是否有计算错误。评委评标只根据投标文件本身，而不寻求外部证据。</w:t>
      </w:r>
    </w:p>
    <w:p w14:paraId="32AF89E9">
      <w:pPr>
        <w:ind w:firstLine="240" w:firstLineChars="100"/>
        <w:rPr>
          <w:sz w:val="24"/>
        </w:rPr>
      </w:pPr>
      <w:r>
        <w:rPr>
          <w:rFonts w:hint="eastAsia"/>
          <w:sz w:val="24"/>
        </w:rPr>
        <w:t>（2）相应的规定</w:t>
      </w:r>
    </w:p>
    <w:p w14:paraId="4489E142">
      <w:pPr>
        <w:ind w:firstLine="360" w:firstLineChars="150"/>
        <w:rPr>
          <w:sz w:val="24"/>
        </w:rPr>
      </w:pPr>
      <w:r>
        <w:rPr>
          <w:rFonts w:hint="eastAsia"/>
          <w:sz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6F21F305">
      <w:pPr>
        <w:ind w:firstLine="240" w:firstLineChars="100"/>
        <w:rPr>
          <w:sz w:val="24"/>
        </w:rPr>
      </w:pPr>
      <w:r>
        <w:rPr>
          <w:rFonts w:hint="eastAsia"/>
          <w:sz w:val="24"/>
        </w:rPr>
        <w:t>（3）陈述、演示、答疑、澄清</w:t>
      </w:r>
    </w:p>
    <w:p w14:paraId="0B198617">
      <w:pPr>
        <w:ind w:firstLine="480" w:firstLineChars="200"/>
        <w:rPr>
          <w:sz w:val="24"/>
        </w:rPr>
      </w:pPr>
      <w:r>
        <w:rPr>
          <w:rFonts w:hint="eastAsia"/>
          <w:sz w:val="24"/>
        </w:rPr>
        <w:t>如评委会认为有必要，投标人按评委会的要求作陈述、演示、答疑及澄清其投标内容。时间由评委会掌握。重要澄清答复应是书面的，但不得对投标内容进行实质性修改。</w:t>
      </w:r>
    </w:p>
    <w:p w14:paraId="07A72146">
      <w:pPr>
        <w:ind w:firstLine="360" w:firstLineChars="150"/>
        <w:rPr>
          <w:sz w:val="24"/>
        </w:rPr>
      </w:pPr>
      <w:r>
        <w:rPr>
          <w:rFonts w:hint="eastAsia"/>
          <w:sz w:val="24"/>
        </w:rPr>
        <w:t>3、 中标通知</w:t>
      </w:r>
    </w:p>
    <w:p w14:paraId="0DFB4AB9">
      <w:pPr>
        <w:ind w:firstLine="240" w:firstLineChars="100"/>
        <w:rPr>
          <w:sz w:val="24"/>
        </w:rPr>
      </w:pPr>
      <w:r>
        <w:rPr>
          <w:rFonts w:hint="eastAsia"/>
          <w:sz w:val="24"/>
        </w:rPr>
        <w:t>（1）中标结果确定后，将在指定媒体上公示3个工作日。公示期满，如无异议的，由南通市海门区四甲镇中心卫生院向其签发《中标通知书</w:t>
      </w:r>
      <w:r>
        <w:rPr>
          <w:rFonts w:hint="eastAsia"/>
          <w:sz w:val="24"/>
          <w:lang w:eastAsia="zh-CN"/>
        </w:rPr>
        <w:t>》《</w:t>
      </w:r>
      <w:r>
        <w:rPr>
          <w:rFonts w:hint="eastAsia"/>
          <w:sz w:val="24"/>
        </w:rPr>
        <w:t>中标通知书》一经发出，即具有法律效力。采购人和成交供应商依法承担法律责任。</w:t>
      </w:r>
    </w:p>
    <w:p w14:paraId="7F32108C">
      <w:pPr>
        <w:ind w:firstLine="240" w:firstLineChars="100"/>
        <w:rPr>
          <w:sz w:val="24"/>
        </w:rPr>
      </w:pPr>
      <w:r>
        <w:rPr>
          <w:rFonts w:hint="eastAsia"/>
          <w:sz w:val="24"/>
        </w:rPr>
        <w:t>（2）未收到中标通知的投标人默认为未中标人。</w:t>
      </w:r>
    </w:p>
    <w:p w14:paraId="77DFE1FD">
      <w:pPr>
        <w:rPr>
          <w:sz w:val="24"/>
        </w:rPr>
      </w:pPr>
    </w:p>
    <w:p w14:paraId="6A14FFEE">
      <w:pPr>
        <w:ind w:firstLine="360" w:firstLineChars="150"/>
        <w:rPr>
          <w:sz w:val="24"/>
        </w:rPr>
      </w:pPr>
      <w:r>
        <w:rPr>
          <w:rFonts w:hint="eastAsia"/>
          <w:sz w:val="24"/>
        </w:rPr>
        <w:t>二、 评标办法</w:t>
      </w:r>
    </w:p>
    <w:p w14:paraId="40A75F16">
      <w:pPr>
        <w:ind w:firstLine="360" w:firstLineChars="150"/>
        <w:rPr>
          <w:rFonts w:hint="eastAsia" w:ascii="宋体" w:hAnsi="宋体" w:cs="宋体"/>
          <w:color w:val="FF0000"/>
          <w:sz w:val="24"/>
        </w:rPr>
      </w:pPr>
      <w:r>
        <w:rPr>
          <w:rFonts w:hint="eastAsia"/>
          <w:sz w:val="24"/>
        </w:rPr>
        <w:t>1.采用最低价评分法：</w:t>
      </w:r>
      <w:r>
        <w:rPr>
          <w:rFonts w:hint="eastAsia" w:ascii="宋体" w:hAnsi="宋体" w:cs="宋体"/>
          <w:color w:val="000000"/>
          <w:sz w:val="24"/>
        </w:rPr>
        <w:t>即在符合采购需求、质量和服务相等的前提下，以提出最低报价的供应商作为成交供应商。</w:t>
      </w:r>
    </w:p>
    <w:p w14:paraId="6743D79D">
      <w:pPr>
        <w:ind w:firstLine="360" w:firstLineChars="150"/>
        <w:rPr>
          <w:sz w:val="24"/>
        </w:rPr>
      </w:pPr>
      <w:r>
        <w:rPr>
          <w:rFonts w:hint="eastAsia"/>
          <w:sz w:val="24"/>
        </w:rPr>
        <w:t>⑴经本办审查，对三家以上单位投标的招标项目，并且经招标人其额定投标价不高于标底的项目，在保密的情况下进行评标，以最低价原则确定中标人。</w:t>
      </w:r>
    </w:p>
    <w:p w14:paraId="0FD192C6">
      <w:pPr>
        <w:ind w:firstLine="360" w:firstLineChars="150"/>
        <w:rPr>
          <w:sz w:val="24"/>
        </w:rPr>
      </w:pPr>
      <w:r>
        <w:rPr>
          <w:rFonts w:hint="eastAsia"/>
          <w:sz w:val="24"/>
        </w:rPr>
        <w:t>凡出现缺乏竞争性的投标，或者出现投标价高于标底的情况，相关项目的投标全部废除。</w:t>
      </w:r>
    </w:p>
    <w:p w14:paraId="4E8BFC75">
      <w:pPr>
        <w:ind w:firstLine="360" w:firstLineChars="150"/>
        <w:rPr>
          <w:sz w:val="24"/>
        </w:rPr>
      </w:pPr>
      <w:r>
        <w:rPr>
          <w:rFonts w:hint="eastAsia"/>
          <w:sz w:val="24"/>
        </w:rPr>
        <w:t>⑵如果出现以下情况，评标委员会可以采取相应的应对措施和评标标准。</w:t>
      </w:r>
    </w:p>
    <w:p w14:paraId="1C757B72">
      <w:pPr>
        <w:ind w:firstLine="360" w:firstLineChars="150"/>
        <w:rPr>
          <w:sz w:val="24"/>
        </w:rPr>
      </w:pPr>
      <w:r>
        <w:rPr>
          <w:rFonts w:hint="eastAsia"/>
          <w:sz w:val="24"/>
        </w:rPr>
        <w:t>①对投标文件中含义不明确的内容，或者不能直接用价格表述的内容可以要求投标人作必要的澄清或者说明，但是澄清或者说明的内容不得改变投标文件的实质性内容。</w:t>
      </w:r>
    </w:p>
    <w:p w14:paraId="57E9C771">
      <w:pPr>
        <w:ind w:firstLine="360" w:firstLineChars="150"/>
        <w:rPr>
          <w:sz w:val="24"/>
        </w:rPr>
      </w:pPr>
      <w:r>
        <w:rPr>
          <w:rFonts w:hint="eastAsia"/>
          <w:sz w:val="24"/>
        </w:rPr>
        <w:t>②在评标时出现两家以上投标人的报价相等而无法确定最终中标候选人时，招标人可以产品参数性能作比较，以确定最终中标候选人。</w:t>
      </w:r>
    </w:p>
    <w:p w14:paraId="287BBA55">
      <w:pPr>
        <w:ind w:firstLine="360" w:firstLineChars="150"/>
        <w:rPr>
          <w:sz w:val="24"/>
        </w:rPr>
      </w:pPr>
      <w:r>
        <w:rPr>
          <w:rFonts w:hint="eastAsia"/>
          <w:sz w:val="24"/>
        </w:rPr>
        <w:t>③当以上办法都无法确定最优标时，以投票表决法确定最优标，即获得多数票的投票为最优标。</w:t>
      </w:r>
    </w:p>
    <w:p w14:paraId="29C360F8">
      <w:pPr>
        <w:rPr>
          <w:sz w:val="24"/>
        </w:rPr>
      </w:pPr>
    </w:p>
    <w:p w14:paraId="2E85457B">
      <w:pPr>
        <w:rPr>
          <w:sz w:val="24"/>
        </w:rPr>
      </w:pPr>
    </w:p>
    <w:p w14:paraId="49D18147">
      <w:pPr>
        <w:rPr>
          <w:sz w:val="24"/>
        </w:rPr>
      </w:pPr>
    </w:p>
    <w:p w14:paraId="36613BD5">
      <w:pPr>
        <w:jc w:val="center"/>
        <w:rPr>
          <w:b/>
          <w:sz w:val="32"/>
          <w:szCs w:val="32"/>
        </w:rPr>
      </w:pPr>
    </w:p>
    <w:p w14:paraId="530F419C">
      <w:pPr>
        <w:jc w:val="center"/>
        <w:rPr>
          <w:b/>
          <w:sz w:val="32"/>
          <w:szCs w:val="32"/>
        </w:rPr>
      </w:pPr>
    </w:p>
    <w:p w14:paraId="658338EE">
      <w:pPr>
        <w:jc w:val="center"/>
        <w:rPr>
          <w:b/>
          <w:sz w:val="32"/>
          <w:szCs w:val="32"/>
        </w:rPr>
      </w:pPr>
    </w:p>
    <w:p w14:paraId="00082424">
      <w:pPr>
        <w:jc w:val="center"/>
        <w:rPr>
          <w:b/>
          <w:sz w:val="32"/>
          <w:szCs w:val="32"/>
        </w:rPr>
      </w:pPr>
    </w:p>
    <w:p w14:paraId="4F02CE4E">
      <w:pPr>
        <w:jc w:val="center"/>
        <w:rPr>
          <w:b/>
          <w:sz w:val="32"/>
          <w:szCs w:val="32"/>
        </w:rPr>
      </w:pPr>
    </w:p>
    <w:p w14:paraId="700ECAA1">
      <w:pPr>
        <w:jc w:val="center"/>
        <w:rPr>
          <w:b/>
          <w:sz w:val="32"/>
          <w:szCs w:val="32"/>
        </w:rPr>
      </w:pPr>
    </w:p>
    <w:p w14:paraId="24D0BAD5">
      <w:pPr>
        <w:jc w:val="center"/>
        <w:rPr>
          <w:b/>
          <w:sz w:val="32"/>
          <w:szCs w:val="32"/>
        </w:rPr>
      </w:pPr>
    </w:p>
    <w:p w14:paraId="06E4C329">
      <w:pPr>
        <w:jc w:val="center"/>
        <w:rPr>
          <w:b/>
          <w:sz w:val="32"/>
          <w:szCs w:val="32"/>
        </w:rPr>
      </w:pPr>
    </w:p>
    <w:p w14:paraId="1AD5AD26">
      <w:pPr>
        <w:jc w:val="center"/>
        <w:rPr>
          <w:b/>
          <w:sz w:val="32"/>
          <w:szCs w:val="32"/>
        </w:rPr>
      </w:pPr>
    </w:p>
    <w:p w14:paraId="1E11028D">
      <w:pPr>
        <w:jc w:val="center"/>
        <w:rPr>
          <w:b/>
          <w:sz w:val="32"/>
          <w:szCs w:val="32"/>
        </w:rPr>
      </w:pPr>
    </w:p>
    <w:p w14:paraId="7103D451">
      <w:pPr>
        <w:jc w:val="center"/>
        <w:rPr>
          <w:b/>
          <w:sz w:val="32"/>
          <w:szCs w:val="32"/>
        </w:rPr>
      </w:pPr>
    </w:p>
    <w:p w14:paraId="421288D5">
      <w:pPr>
        <w:jc w:val="center"/>
        <w:rPr>
          <w:b/>
          <w:sz w:val="32"/>
          <w:szCs w:val="32"/>
        </w:rPr>
      </w:pPr>
    </w:p>
    <w:p w14:paraId="46208977">
      <w:pPr>
        <w:jc w:val="center"/>
        <w:rPr>
          <w:b/>
          <w:sz w:val="32"/>
          <w:szCs w:val="32"/>
        </w:rPr>
      </w:pPr>
    </w:p>
    <w:p w14:paraId="58B4B47C">
      <w:pPr>
        <w:jc w:val="center"/>
        <w:rPr>
          <w:b/>
          <w:sz w:val="32"/>
          <w:szCs w:val="32"/>
        </w:rPr>
      </w:pPr>
    </w:p>
    <w:p w14:paraId="5E604533">
      <w:pPr>
        <w:jc w:val="center"/>
        <w:rPr>
          <w:b/>
          <w:sz w:val="32"/>
          <w:szCs w:val="32"/>
        </w:rPr>
      </w:pPr>
    </w:p>
    <w:p w14:paraId="51903346">
      <w:pPr>
        <w:jc w:val="center"/>
        <w:rPr>
          <w:b/>
          <w:sz w:val="32"/>
          <w:szCs w:val="32"/>
        </w:rPr>
      </w:pPr>
    </w:p>
    <w:p w14:paraId="4F9566D6">
      <w:pPr>
        <w:jc w:val="center"/>
        <w:rPr>
          <w:b/>
          <w:sz w:val="32"/>
          <w:szCs w:val="32"/>
        </w:rPr>
      </w:pPr>
    </w:p>
    <w:p w14:paraId="4CDC1B9E">
      <w:pPr>
        <w:jc w:val="center"/>
        <w:rPr>
          <w:b/>
          <w:sz w:val="32"/>
          <w:szCs w:val="32"/>
        </w:rPr>
      </w:pPr>
      <w:r>
        <w:rPr>
          <w:rFonts w:hint="eastAsia"/>
          <w:b/>
          <w:sz w:val="32"/>
          <w:szCs w:val="32"/>
        </w:rPr>
        <w:t>第五部分  合同相关要求</w:t>
      </w:r>
    </w:p>
    <w:p w14:paraId="55E49E23">
      <w:pPr>
        <w:ind w:firstLine="480" w:firstLineChars="200"/>
        <w:rPr>
          <w:rFonts w:hint="eastAsia" w:ascii="宋体" w:hAnsi="宋体"/>
          <w:sz w:val="24"/>
        </w:rPr>
      </w:pPr>
      <w:r>
        <w:rPr>
          <w:rFonts w:hint="eastAsia" w:ascii="宋体" w:hAnsi="宋体"/>
          <w:sz w:val="24"/>
        </w:rPr>
        <w:t>1.评标结束后，本办及时将评标结果通知中标人和招标人，中标通知书内容包括中标价及有关的费用承担等。未收到书面通知书的投标人视为口头告知，系非中标单位。</w:t>
      </w:r>
    </w:p>
    <w:p w14:paraId="427FB531">
      <w:pPr>
        <w:ind w:firstLine="480" w:firstLineChars="200"/>
        <w:rPr>
          <w:rFonts w:hint="eastAsia" w:ascii="宋体" w:hAnsi="宋体"/>
          <w:sz w:val="24"/>
        </w:rPr>
      </w:pPr>
      <w:r>
        <w:rPr>
          <w:rFonts w:hint="eastAsia" w:ascii="宋体" w:hAnsi="宋体"/>
          <w:sz w:val="24"/>
        </w:rPr>
        <w:t>2.中标通知书下达后，招标人与中标人应立即开始洽谈签订合同问题。这里所说的洽谈，是指在签订合同前澄清说明或者对一些非实质性或商务性问题的要约。</w:t>
      </w:r>
    </w:p>
    <w:p w14:paraId="381B47A3">
      <w:pPr>
        <w:ind w:firstLine="480" w:firstLineChars="200"/>
        <w:rPr>
          <w:rFonts w:hint="eastAsia" w:ascii="宋体" w:hAnsi="宋体"/>
          <w:sz w:val="24"/>
        </w:rPr>
      </w:pPr>
      <w:r>
        <w:rPr>
          <w:rFonts w:hint="eastAsia" w:ascii="宋体" w:hAnsi="宋体"/>
          <w:sz w:val="24"/>
        </w:rPr>
        <w:t>3.合同条款必须遵守《中华人民共和国合同法》的规定，中标人经征得招标人同意，可以使用本单位的格式化文本，按照一般合同条款签订合同，但就特殊的技术规格、交货款条件，履约保证金，验收与检测具体程序，解决争端具体规定应当有相应的文字约定，如果一般条款与特殊条款出现不一致时，应以特殊条款为准。</w:t>
      </w:r>
    </w:p>
    <w:p w14:paraId="3333F603">
      <w:pPr>
        <w:spacing w:line="360" w:lineRule="auto"/>
        <w:rPr>
          <w:rFonts w:hint="eastAsia" w:ascii="宋体" w:hAnsi="宋体"/>
          <w:b/>
          <w:sz w:val="44"/>
          <w:szCs w:val="44"/>
          <w:lang w:val="en-GB"/>
        </w:rPr>
      </w:pPr>
      <w:bookmarkStart w:id="0" w:name="_Toc52352457"/>
    </w:p>
    <w:bookmarkEnd w:id="0"/>
    <w:p w14:paraId="7D7C6DC6">
      <w:pPr>
        <w:rPr>
          <w:sz w:val="24"/>
        </w:rPr>
      </w:pPr>
    </w:p>
    <w:p w14:paraId="00373822">
      <w:pPr>
        <w:spacing w:line="360" w:lineRule="auto"/>
        <w:jc w:val="center"/>
        <w:rPr>
          <w:rFonts w:hint="eastAsia" w:ascii="宋体" w:hAnsi="宋体"/>
          <w:b/>
          <w:sz w:val="44"/>
          <w:szCs w:val="44"/>
          <w:lang w:val="en-GB"/>
        </w:rPr>
      </w:pPr>
    </w:p>
    <w:p w14:paraId="6171E687">
      <w:pPr>
        <w:spacing w:line="360" w:lineRule="auto"/>
        <w:jc w:val="center"/>
        <w:rPr>
          <w:rFonts w:hint="eastAsia" w:ascii="宋体" w:hAnsi="宋体"/>
          <w:b/>
          <w:sz w:val="44"/>
          <w:szCs w:val="44"/>
          <w:lang w:val="en-GB"/>
        </w:rPr>
      </w:pPr>
    </w:p>
    <w:p w14:paraId="662C79E3">
      <w:pPr>
        <w:spacing w:line="360" w:lineRule="auto"/>
        <w:jc w:val="center"/>
        <w:rPr>
          <w:rFonts w:hint="eastAsia" w:ascii="宋体" w:hAnsi="宋体"/>
          <w:b/>
          <w:sz w:val="44"/>
          <w:szCs w:val="44"/>
          <w:lang w:val="en-GB"/>
        </w:rPr>
      </w:pPr>
    </w:p>
    <w:p w14:paraId="3891CE6F">
      <w:pPr>
        <w:spacing w:line="360" w:lineRule="auto"/>
        <w:jc w:val="center"/>
        <w:rPr>
          <w:rFonts w:hint="eastAsia" w:ascii="宋体" w:hAnsi="宋体"/>
          <w:b/>
          <w:sz w:val="44"/>
          <w:szCs w:val="44"/>
          <w:lang w:val="en-GB"/>
        </w:rPr>
      </w:pPr>
    </w:p>
    <w:p w14:paraId="3DB2BE08">
      <w:pPr>
        <w:spacing w:line="360" w:lineRule="auto"/>
        <w:jc w:val="center"/>
        <w:rPr>
          <w:rFonts w:hint="eastAsia" w:ascii="宋体" w:hAnsi="宋体"/>
          <w:b/>
          <w:sz w:val="44"/>
          <w:szCs w:val="44"/>
          <w:lang w:val="en-GB"/>
        </w:rPr>
      </w:pPr>
    </w:p>
    <w:p w14:paraId="6B1FA054">
      <w:pPr>
        <w:spacing w:line="360" w:lineRule="auto"/>
        <w:jc w:val="center"/>
        <w:rPr>
          <w:rFonts w:hint="eastAsia" w:ascii="宋体" w:hAnsi="宋体"/>
          <w:b/>
          <w:sz w:val="44"/>
          <w:szCs w:val="44"/>
          <w:lang w:val="en-GB"/>
        </w:rPr>
      </w:pPr>
    </w:p>
    <w:p w14:paraId="44649905">
      <w:pPr>
        <w:spacing w:line="360" w:lineRule="auto"/>
        <w:jc w:val="center"/>
        <w:rPr>
          <w:rFonts w:hint="eastAsia" w:ascii="宋体" w:hAnsi="宋体"/>
          <w:b/>
          <w:sz w:val="44"/>
          <w:szCs w:val="44"/>
          <w:lang w:val="en-GB"/>
        </w:rPr>
      </w:pPr>
    </w:p>
    <w:p w14:paraId="499DD6C3">
      <w:pPr>
        <w:spacing w:line="360" w:lineRule="auto"/>
        <w:jc w:val="center"/>
        <w:rPr>
          <w:rFonts w:hint="eastAsia" w:ascii="宋体" w:hAnsi="宋体"/>
          <w:b/>
          <w:sz w:val="44"/>
          <w:szCs w:val="44"/>
          <w:lang w:val="en-GB"/>
        </w:rPr>
      </w:pPr>
    </w:p>
    <w:p w14:paraId="37F646A9">
      <w:pPr>
        <w:spacing w:line="360" w:lineRule="auto"/>
        <w:jc w:val="center"/>
        <w:rPr>
          <w:rFonts w:hint="eastAsia" w:ascii="宋体" w:hAnsi="宋体"/>
          <w:b/>
          <w:sz w:val="44"/>
          <w:szCs w:val="44"/>
          <w:lang w:val="en-GB"/>
        </w:rPr>
      </w:pPr>
    </w:p>
    <w:p w14:paraId="7525DD44">
      <w:pPr>
        <w:spacing w:line="360" w:lineRule="auto"/>
        <w:jc w:val="center"/>
        <w:rPr>
          <w:rFonts w:hint="eastAsia" w:ascii="宋体" w:hAnsi="宋体"/>
          <w:b/>
          <w:sz w:val="44"/>
          <w:szCs w:val="44"/>
          <w:lang w:val="en-GB"/>
        </w:rPr>
      </w:pPr>
    </w:p>
    <w:p w14:paraId="7A2BA366">
      <w:pPr>
        <w:spacing w:line="360" w:lineRule="auto"/>
        <w:jc w:val="center"/>
        <w:rPr>
          <w:rFonts w:hint="eastAsia" w:ascii="宋体" w:hAnsi="宋体"/>
          <w:b/>
          <w:sz w:val="44"/>
          <w:szCs w:val="44"/>
          <w:lang w:val="en-GB"/>
        </w:rPr>
      </w:pPr>
    </w:p>
    <w:p w14:paraId="79CCEA62">
      <w:pPr>
        <w:spacing w:line="360" w:lineRule="auto"/>
        <w:jc w:val="center"/>
        <w:rPr>
          <w:rFonts w:hint="eastAsia" w:ascii="宋体" w:hAnsi="宋体"/>
          <w:b/>
          <w:sz w:val="44"/>
          <w:szCs w:val="44"/>
          <w:lang w:val="en-GB"/>
        </w:rPr>
      </w:pPr>
    </w:p>
    <w:p w14:paraId="0DF92101">
      <w:pPr>
        <w:spacing w:line="360" w:lineRule="auto"/>
        <w:jc w:val="center"/>
        <w:rPr>
          <w:rFonts w:hint="eastAsia" w:ascii="宋体" w:hAnsi="宋体"/>
          <w:b/>
          <w:sz w:val="44"/>
          <w:szCs w:val="44"/>
          <w:lang w:val="en-GB"/>
        </w:rPr>
      </w:pPr>
    </w:p>
    <w:p w14:paraId="4AD06D4F">
      <w:pPr>
        <w:spacing w:line="360" w:lineRule="auto"/>
        <w:jc w:val="center"/>
        <w:rPr>
          <w:rFonts w:hint="eastAsia" w:ascii="宋体" w:hAnsi="宋体"/>
          <w:b/>
          <w:sz w:val="44"/>
          <w:szCs w:val="44"/>
          <w:lang w:val="en-GB"/>
        </w:rPr>
      </w:pPr>
    </w:p>
    <w:p w14:paraId="72E4B153">
      <w:pPr>
        <w:spacing w:line="360" w:lineRule="auto"/>
        <w:jc w:val="center"/>
        <w:rPr>
          <w:rFonts w:hint="eastAsia" w:ascii="宋体" w:hAnsi="宋体"/>
          <w:b/>
          <w:sz w:val="44"/>
          <w:szCs w:val="44"/>
          <w:lang w:val="en-GB"/>
        </w:rPr>
      </w:pPr>
      <w:r>
        <w:rPr>
          <w:rFonts w:hint="eastAsia" w:ascii="宋体" w:hAnsi="宋体"/>
          <w:b/>
          <w:sz w:val="44"/>
          <w:szCs w:val="44"/>
          <w:lang w:val="en-GB"/>
        </w:rPr>
        <w:t>第六部分投标文件格式</w:t>
      </w:r>
    </w:p>
    <w:p w14:paraId="6CA854F5">
      <w:pPr>
        <w:rPr>
          <w:sz w:val="24"/>
        </w:rPr>
      </w:pPr>
    </w:p>
    <w:p w14:paraId="21038914">
      <w:pPr>
        <w:pStyle w:val="3"/>
        <w:keepNext w:val="0"/>
        <w:keepLines w:val="0"/>
        <w:widowControl/>
        <w:shd w:val="clear" w:color="auto" w:fill="FFFFFF"/>
        <w:spacing w:before="0" w:after="360" w:line="13" w:lineRule="atLeast"/>
        <w:rPr>
          <w:rFonts w:hint="eastAsia" w:ascii="仿宋_GB2312" w:hAnsi="仿宋_GB2312" w:eastAsia="仿宋_GB2312" w:cs="仿宋_GB2312"/>
          <w:bCs/>
          <w:color w:val="333333"/>
        </w:rPr>
      </w:pPr>
      <w:r>
        <w:rPr>
          <w:rFonts w:hint="eastAsia" w:ascii="仿宋_GB2312" w:hAnsi="仿宋_GB2312" w:eastAsia="仿宋_GB2312" w:cs="仿宋_GB2312"/>
          <w:bCs/>
          <w:color w:val="333333"/>
          <w:shd w:val="clear" w:color="auto" w:fill="FFFFFF"/>
        </w:rPr>
        <w:t> </w:t>
      </w:r>
      <w:r>
        <w:rPr>
          <w:rStyle w:val="12"/>
          <w:rFonts w:hint="eastAsia" w:ascii="仿宋_GB2312" w:hAnsi="仿宋_GB2312" w:eastAsia="仿宋_GB2312" w:cs="仿宋_GB2312"/>
          <w:b w:val="0"/>
          <w:bCs/>
          <w:color w:val="333333"/>
          <w:shd w:val="clear" w:color="auto" w:fill="FFFFFF"/>
        </w:rPr>
        <w:t>投标资料目录</w:t>
      </w:r>
    </w:p>
    <w:tbl>
      <w:tblPr>
        <w:tblStyle w:val="10"/>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735"/>
        <w:gridCol w:w="2054"/>
        <w:gridCol w:w="1541"/>
        <w:gridCol w:w="2891"/>
      </w:tblGrid>
      <w:tr w14:paraId="410A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14:paraId="61E392AB">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序号</w:t>
            </w:r>
          </w:p>
        </w:tc>
        <w:tc>
          <w:tcPr>
            <w:tcW w:w="2735" w:type="dxa"/>
            <w:vAlign w:val="center"/>
          </w:tcPr>
          <w:p w14:paraId="681640DA">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招标文件要求</w:t>
            </w:r>
          </w:p>
        </w:tc>
        <w:tc>
          <w:tcPr>
            <w:tcW w:w="2054" w:type="dxa"/>
            <w:vAlign w:val="center"/>
          </w:tcPr>
          <w:p w14:paraId="3395A553">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证明材料名称</w:t>
            </w:r>
          </w:p>
        </w:tc>
        <w:tc>
          <w:tcPr>
            <w:tcW w:w="1541" w:type="dxa"/>
            <w:vAlign w:val="center"/>
          </w:tcPr>
          <w:p w14:paraId="55FB798F">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响应文件位置</w:t>
            </w:r>
          </w:p>
        </w:tc>
        <w:tc>
          <w:tcPr>
            <w:tcW w:w="2891" w:type="dxa"/>
            <w:vAlign w:val="center"/>
          </w:tcPr>
          <w:p w14:paraId="3548326F">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说  明</w:t>
            </w:r>
          </w:p>
        </w:tc>
      </w:tr>
      <w:tr w14:paraId="4866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27" w:type="dxa"/>
            <w:vAlign w:val="center"/>
          </w:tcPr>
          <w:p w14:paraId="733AD527">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w:t>
            </w:r>
          </w:p>
        </w:tc>
        <w:tc>
          <w:tcPr>
            <w:tcW w:w="2735" w:type="dxa"/>
            <w:vAlign w:val="center"/>
          </w:tcPr>
          <w:p w14:paraId="4116C45C">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关于资格的声明函</w:t>
            </w:r>
          </w:p>
        </w:tc>
        <w:tc>
          <w:tcPr>
            <w:tcW w:w="2054" w:type="dxa"/>
            <w:vAlign w:val="center"/>
          </w:tcPr>
          <w:p w14:paraId="78B15B6E">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607E5957">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5958B616">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2814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764744A6">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2</w:t>
            </w:r>
          </w:p>
        </w:tc>
        <w:tc>
          <w:tcPr>
            <w:tcW w:w="2735" w:type="dxa"/>
            <w:vAlign w:val="center"/>
          </w:tcPr>
          <w:p w14:paraId="328D91DC">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法定代表人身份证明书</w:t>
            </w:r>
          </w:p>
        </w:tc>
        <w:tc>
          <w:tcPr>
            <w:tcW w:w="2054" w:type="dxa"/>
            <w:vAlign w:val="center"/>
          </w:tcPr>
          <w:p w14:paraId="63E59712">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5C15654D">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62375CCD">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4991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27" w:type="dxa"/>
            <w:vAlign w:val="center"/>
          </w:tcPr>
          <w:p w14:paraId="19ED7BED">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3</w:t>
            </w:r>
          </w:p>
        </w:tc>
        <w:tc>
          <w:tcPr>
            <w:tcW w:w="2735" w:type="dxa"/>
            <w:vAlign w:val="center"/>
          </w:tcPr>
          <w:p w14:paraId="3AB60F0C">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授权委托书</w:t>
            </w:r>
          </w:p>
        </w:tc>
        <w:tc>
          <w:tcPr>
            <w:tcW w:w="2054" w:type="dxa"/>
            <w:vAlign w:val="center"/>
          </w:tcPr>
          <w:p w14:paraId="43D2DE68">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239F02FB">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6C34B890">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法定代表人参加投标的可不提供</w:t>
            </w:r>
          </w:p>
        </w:tc>
      </w:tr>
      <w:tr w14:paraId="0B53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7" w:type="dxa"/>
            <w:vAlign w:val="center"/>
          </w:tcPr>
          <w:p w14:paraId="12034CCF">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4</w:t>
            </w:r>
          </w:p>
        </w:tc>
        <w:tc>
          <w:tcPr>
            <w:tcW w:w="2735" w:type="dxa"/>
            <w:vAlign w:val="center"/>
          </w:tcPr>
          <w:p w14:paraId="5F321A01">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授权代表身份证复印件</w:t>
            </w:r>
          </w:p>
        </w:tc>
        <w:tc>
          <w:tcPr>
            <w:tcW w:w="2054" w:type="dxa"/>
            <w:vAlign w:val="center"/>
          </w:tcPr>
          <w:p w14:paraId="70944F2B">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01C4B0A7">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7BF7365E">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法定代表人参加投标的，提供法定代表人身份证复印件</w:t>
            </w:r>
          </w:p>
        </w:tc>
      </w:tr>
      <w:tr w14:paraId="08BB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27" w:type="dxa"/>
            <w:vAlign w:val="center"/>
          </w:tcPr>
          <w:p w14:paraId="2F71EB5A">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5</w:t>
            </w:r>
          </w:p>
        </w:tc>
        <w:tc>
          <w:tcPr>
            <w:tcW w:w="2735" w:type="dxa"/>
            <w:vAlign w:val="center"/>
          </w:tcPr>
          <w:p w14:paraId="41DB5FCD">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授权代表为投标企业正式人员证明</w:t>
            </w:r>
          </w:p>
        </w:tc>
        <w:tc>
          <w:tcPr>
            <w:tcW w:w="2054" w:type="dxa"/>
            <w:vAlign w:val="center"/>
          </w:tcPr>
          <w:p w14:paraId="595B1042">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须提供有效劳务合同</w:t>
            </w:r>
          </w:p>
        </w:tc>
        <w:tc>
          <w:tcPr>
            <w:tcW w:w="1541" w:type="dxa"/>
            <w:vAlign w:val="center"/>
          </w:tcPr>
          <w:p w14:paraId="320855A7">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26C31152">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法定代表人参加投标的可不提供</w:t>
            </w:r>
          </w:p>
        </w:tc>
      </w:tr>
      <w:tr w14:paraId="0914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27" w:type="dxa"/>
            <w:vAlign w:val="center"/>
          </w:tcPr>
          <w:p w14:paraId="649972E9">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6</w:t>
            </w:r>
          </w:p>
        </w:tc>
        <w:tc>
          <w:tcPr>
            <w:tcW w:w="2735" w:type="dxa"/>
            <w:vAlign w:val="center"/>
          </w:tcPr>
          <w:p w14:paraId="2C0ABCC7">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营业执照</w:t>
            </w:r>
          </w:p>
        </w:tc>
        <w:tc>
          <w:tcPr>
            <w:tcW w:w="2054" w:type="dxa"/>
            <w:vAlign w:val="center"/>
          </w:tcPr>
          <w:p w14:paraId="1B7E8A96">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7314C8E0">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3F15E17D">
            <w:pPr>
              <w:tabs>
                <w:tab w:val="left" w:pos="3375"/>
              </w:tabs>
              <w:autoSpaceDE w:val="0"/>
              <w:autoSpaceDN w:val="0"/>
              <w:adjustRightInd w:val="0"/>
              <w:snapToGrid w:val="0"/>
              <w:jc w:val="center"/>
              <w:rPr>
                <w:rFonts w:hint="eastAsia" w:ascii="宋体" w:hAnsi="宋体" w:cs="宋体"/>
                <w:szCs w:val="21"/>
              </w:rPr>
            </w:pPr>
          </w:p>
        </w:tc>
      </w:tr>
      <w:tr w14:paraId="59F6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vAlign w:val="center"/>
          </w:tcPr>
          <w:p w14:paraId="390FA818">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7</w:t>
            </w:r>
          </w:p>
        </w:tc>
        <w:tc>
          <w:tcPr>
            <w:tcW w:w="2735" w:type="dxa"/>
            <w:vAlign w:val="center"/>
          </w:tcPr>
          <w:p w14:paraId="2C2C52EC">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依法缴纳税收和社会保障资金的相关材料</w:t>
            </w:r>
          </w:p>
        </w:tc>
        <w:tc>
          <w:tcPr>
            <w:tcW w:w="2054" w:type="dxa"/>
            <w:vAlign w:val="center"/>
          </w:tcPr>
          <w:p w14:paraId="22E6E2D6">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0961C264">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0F4A395E">
            <w:pPr>
              <w:tabs>
                <w:tab w:val="left" w:pos="3375"/>
              </w:tabs>
              <w:autoSpaceDE w:val="0"/>
              <w:autoSpaceDN w:val="0"/>
              <w:adjustRightInd w:val="0"/>
              <w:snapToGrid w:val="0"/>
              <w:jc w:val="center"/>
              <w:rPr>
                <w:rFonts w:hint="eastAsia" w:ascii="宋体" w:hAnsi="宋体" w:cs="宋体"/>
                <w:szCs w:val="21"/>
              </w:rPr>
            </w:pPr>
          </w:p>
        </w:tc>
      </w:tr>
      <w:tr w14:paraId="0E10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vAlign w:val="center"/>
          </w:tcPr>
          <w:p w14:paraId="6F0A893F">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8</w:t>
            </w:r>
          </w:p>
        </w:tc>
        <w:tc>
          <w:tcPr>
            <w:tcW w:w="2735" w:type="dxa"/>
            <w:vAlign w:val="center"/>
          </w:tcPr>
          <w:p w14:paraId="75C3E089">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具备履行合同所必需设备和专业技术能力</w:t>
            </w:r>
          </w:p>
        </w:tc>
        <w:tc>
          <w:tcPr>
            <w:tcW w:w="2054" w:type="dxa"/>
            <w:vAlign w:val="center"/>
          </w:tcPr>
          <w:p w14:paraId="741CEB67">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2C40D789">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4021D0C1">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22C5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vAlign w:val="center"/>
          </w:tcPr>
          <w:p w14:paraId="7C92A6C7">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9</w:t>
            </w:r>
          </w:p>
        </w:tc>
        <w:tc>
          <w:tcPr>
            <w:tcW w:w="2735" w:type="dxa"/>
            <w:vAlign w:val="center"/>
          </w:tcPr>
          <w:p w14:paraId="342F8715">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参加政府采购活动前三年内在经营活动中没有重大违法记录的书面声明</w:t>
            </w:r>
          </w:p>
        </w:tc>
        <w:tc>
          <w:tcPr>
            <w:tcW w:w="2054" w:type="dxa"/>
            <w:vAlign w:val="center"/>
          </w:tcPr>
          <w:p w14:paraId="33D6AF10">
            <w:pPr>
              <w:tabs>
                <w:tab w:val="left" w:pos="3375"/>
              </w:tabs>
              <w:autoSpaceDE w:val="0"/>
              <w:autoSpaceDN w:val="0"/>
              <w:adjustRightInd w:val="0"/>
              <w:snapToGrid w:val="0"/>
              <w:jc w:val="center"/>
              <w:rPr>
                <w:rFonts w:hint="eastAsia" w:ascii="宋体" w:hAnsi="宋体" w:cs="宋体"/>
                <w:szCs w:val="21"/>
              </w:rPr>
            </w:pPr>
          </w:p>
        </w:tc>
        <w:tc>
          <w:tcPr>
            <w:tcW w:w="1541" w:type="dxa"/>
            <w:vAlign w:val="center"/>
          </w:tcPr>
          <w:p w14:paraId="0B87E23E">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第    页</w:t>
            </w:r>
          </w:p>
        </w:tc>
        <w:tc>
          <w:tcPr>
            <w:tcW w:w="2891" w:type="dxa"/>
            <w:vAlign w:val="center"/>
          </w:tcPr>
          <w:p w14:paraId="4DF70516">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见附件</w:t>
            </w:r>
          </w:p>
        </w:tc>
      </w:tr>
      <w:tr w14:paraId="022F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7" w:type="dxa"/>
            <w:vAlign w:val="center"/>
          </w:tcPr>
          <w:p w14:paraId="6EE41E2A">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10</w:t>
            </w:r>
          </w:p>
        </w:tc>
        <w:tc>
          <w:tcPr>
            <w:tcW w:w="2735" w:type="dxa"/>
            <w:vAlign w:val="center"/>
          </w:tcPr>
          <w:p w14:paraId="3A78D8AF">
            <w:pPr>
              <w:tabs>
                <w:tab w:val="left" w:pos="3375"/>
              </w:tabs>
              <w:autoSpaceDE w:val="0"/>
              <w:autoSpaceDN w:val="0"/>
              <w:adjustRightInd w:val="0"/>
              <w:snapToGrid w:val="0"/>
              <w:jc w:val="center"/>
              <w:rPr>
                <w:rFonts w:hint="eastAsia" w:ascii="宋体" w:hAnsi="宋体" w:cs="宋体"/>
                <w:szCs w:val="21"/>
                <w:lang w:val="en-GB"/>
              </w:rPr>
            </w:pPr>
            <w:r>
              <w:rPr>
                <w:rFonts w:hint="eastAsia" w:ascii="宋体" w:hAnsi="宋体"/>
                <w:szCs w:val="21"/>
              </w:rPr>
              <w:t>技术部分正负偏离表</w:t>
            </w:r>
          </w:p>
        </w:tc>
        <w:tc>
          <w:tcPr>
            <w:tcW w:w="2054" w:type="dxa"/>
            <w:vAlign w:val="center"/>
          </w:tcPr>
          <w:p w14:paraId="6E450C38">
            <w:pPr>
              <w:tabs>
                <w:tab w:val="left" w:pos="3375"/>
              </w:tabs>
              <w:autoSpaceDE w:val="0"/>
              <w:autoSpaceDN w:val="0"/>
              <w:adjustRightInd w:val="0"/>
              <w:snapToGrid w:val="0"/>
              <w:jc w:val="center"/>
              <w:rPr>
                <w:rFonts w:hint="eastAsia" w:ascii="宋体" w:hAnsi="宋体" w:cs="宋体"/>
                <w:szCs w:val="21"/>
                <w:lang w:val="en-GB"/>
              </w:rPr>
            </w:pPr>
          </w:p>
        </w:tc>
        <w:tc>
          <w:tcPr>
            <w:tcW w:w="1541" w:type="dxa"/>
            <w:vAlign w:val="center"/>
          </w:tcPr>
          <w:p w14:paraId="21A63CC8">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2891" w:type="dxa"/>
            <w:vAlign w:val="center"/>
          </w:tcPr>
          <w:p w14:paraId="6E813B1A">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见附件</w:t>
            </w:r>
          </w:p>
        </w:tc>
      </w:tr>
      <w:tr w14:paraId="6A44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27" w:type="dxa"/>
            <w:vAlign w:val="center"/>
          </w:tcPr>
          <w:p w14:paraId="3C8F0E93">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11</w:t>
            </w:r>
          </w:p>
        </w:tc>
        <w:tc>
          <w:tcPr>
            <w:tcW w:w="2735" w:type="dxa"/>
            <w:vAlign w:val="center"/>
          </w:tcPr>
          <w:p w14:paraId="5C7D6345">
            <w:pPr>
              <w:tabs>
                <w:tab w:val="left" w:pos="3375"/>
              </w:tabs>
              <w:autoSpaceDE w:val="0"/>
              <w:autoSpaceDN w:val="0"/>
              <w:adjustRightInd w:val="0"/>
              <w:snapToGrid w:val="0"/>
              <w:jc w:val="center"/>
              <w:rPr>
                <w:rFonts w:hint="eastAsia" w:ascii="宋体" w:hAnsi="宋体" w:cs="宋体"/>
                <w:szCs w:val="21"/>
                <w:lang w:val="en-GB"/>
              </w:rPr>
            </w:pPr>
            <w:r>
              <w:rPr>
                <w:rFonts w:hint="eastAsia" w:ascii="宋体" w:hAnsi="宋体" w:cs="宋体"/>
                <w:szCs w:val="21"/>
                <w:lang w:val="en-GB"/>
              </w:rPr>
              <w:t>商务条款响应及偏离表</w:t>
            </w:r>
          </w:p>
        </w:tc>
        <w:tc>
          <w:tcPr>
            <w:tcW w:w="2054" w:type="dxa"/>
            <w:vAlign w:val="center"/>
          </w:tcPr>
          <w:p w14:paraId="72183C62">
            <w:pPr>
              <w:tabs>
                <w:tab w:val="left" w:pos="3375"/>
              </w:tabs>
              <w:autoSpaceDE w:val="0"/>
              <w:autoSpaceDN w:val="0"/>
              <w:adjustRightInd w:val="0"/>
              <w:snapToGrid w:val="0"/>
              <w:jc w:val="center"/>
              <w:rPr>
                <w:rFonts w:hint="eastAsia" w:ascii="宋体" w:hAnsi="宋体" w:cs="宋体"/>
                <w:szCs w:val="21"/>
                <w:lang w:val="en-GB"/>
              </w:rPr>
            </w:pPr>
          </w:p>
        </w:tc>
        <w:tc>
          <w:tcPr>
            <w:tcW w:w="1541" w:type="dxa"/>
            <w:vAlign w:val="center"/>
          </w:tcPr>
          <w:p w14:paraId="62EA7AE6">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2891" w:type="dxa"/>
            <w:vAlign w:val="center"/>
          </w:tcPr>
          <w:p w14:paraId="5D709715">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见附件</w:t>
            </w:r>
          </w:p>
        </w:tc>
      </w:tr>
      <w:tr w14:paraId="1CFF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7" w:type="dxa"/>
            <w:vAlign w:val="center"/>
          </w:tcPr>
          <w:p w14:paraId="30874591">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12</w:t>
            </w:r>
          </w:p>
        </w:tc>
        <w:tc>
          <w:tcPr>
            <w:tcW w:w="2735" w:type="dxa"/>
            <w:vAlign w:val="center"/>
          </w:tcPr>
          <w:p w14:paraId="78596862">
            <w:pPr>
              <w:tabs>
                <w:tab w:val="left" w:pos="3375"/>
              </w:tabs>
              <w:autoSpaceDE w:val="0"/>
              <w:autoSpaceDN w:val="0"/>
              <w:adjustRightInd w:val="0"/>
              <w:snapToGrid w:val="0"/>
              <w:jc w:val="center"/>
              <w:rPr>
                <w:rFonts w:hint="eastAsia" w:ascii="宋体" w:hAnsi="宋体"/>
                <w:szCs w:val="21"/>
              </w:rPr>
            </w:pPr>
            <w:r>
              <w:rPr>
                <w:rFonts w:hint="eastAsia" w:ascii="宋体" w:hAnsi="宋体"/>
              </w:rPr>
              <w:t>投标人认为需要提交的其他资料</w:t>
            </w:r>
          </w:p>
        </w:tc>
        <w:tc>
          <w:tcPr>
            <w:tcW w:w="2054" w:type="dxa"/>
            <w:vAlign w:val="center"/>
          </w:tcPr>
          <w:p w14:paraId="32B9F77D">
            <w:pPr>
              <w:tabs>
                <w:tab w:val="left" w:pos="3375"/>
              </w:tabs>
              <w:autoSpaceDE w:val="0"/>
              <w:autoSpaceDN w:val="0"/>
              <w:adjustRightInd w:val="0"/>
              <w:snapToGrid w:val="0"/>
              <w:jc w:val="center"/>
              <w:rPr>
                <w:rFonts w:hint="eastAsia" w:ascii="宋体" w:hAnsi="宋体" w:cs="宋体"/>
                <w:szCs w:val="21"/>
                <w:lang w:val="en-GB"/>
              </w:rPr>
            </w:pPr>
          </w:p>
        </w:tc>
        <w:tc>
          <w:tcPr>
            <w:tcW w:w="1541" w:type="dxa"/>
            <w:vAlign w:val="center"/>
          </w:tcPr>
          <w:p w14:paraId="25DDCB7E">
            <w:pPr>
              <w:tabs>
                <w:tab w:val="left" w:pos="3375"/>
              </w:tabs>
              <w:autoSpaceDE w:val="0"/>
              <w:autoSpaceDN w:val="0"/>
              <w:adjustRightInd w:val="0"/>
              <w:snapToGrid w:val="0"/>
              <w:jc w:val="center"/>
              <w:rPr>
                <w:rFonts w:hint="eastAsia" w:ascii="宋体" w:hAnsi="宋体"/>
                <w:szCs w:val="21"/>
              </w:rPr>
            </w:pPr>
            <w:r>
              <w:rPr>
                <w:rFonts w:hint="eastAsia" w:ascii="宋体" w:hAnsi="宋体"/>
                <w:szCs w:val="21"/>
              </w:rPr>
              <w:t>第    页</w:t>
            </w:r>
          </w:p>
        </w:tc>
        <w:tc>
          <w:tcPr>
            <w:tcW w:w="2891" w:type="dxa"/>
            <w:vAlign w:val="center"/>
          </w:tcPr>
          <w:p w14:paraId="6ADDA08C">
            <w:pPr>
              <w:tabs>
                <w:tab w:val="left" w:pos="3375"/>
              </w:tabs>
              <w:autoSpaceDE w:val="0"/>
              <w:autoSpaceDN w:val="0"/>
              <w:adjustRightInd w:val="0"/>
              <w:snapToGrid w:val="0"/>
              <w:jc w:val="center"/>
              <w:rPr>
                <w:rFonts w:hint="eastAsia" w:ascii="宋体" w:hAnsi="宋体"/>
                <w:szCs w:val="21"/>
              </w:rPr>
            </w:pPr>
          </w:p>
        </w:tc>
      </w:tr>
      <w:tr w14:paraId="2986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57" w:type="dxa"/>
            <w:gridSpan w:val="4"/>
            <w:vAlign w:val="center"/>
          </w:tcPr>
          <w:p w14:paraId="10B64AA5">
            <w:pPr>
              <w:tabs>
                <w:tab w:val="left" w:pos="3375"/>
              </w:tabs>
              <w:autoSpaceDE w:val="0"/>
              <w:autoSpaceDN w:val="0"/>
              <w:adjustRightInd w:val="0"/>
              <w:snapToGrid w:val="0"/>
              <w:jc w:val="center"/>
              <w:rPr>
                <w:rFonts w:hint="eastAsia" w:ascii="宋体" w:hAnsi="宋体" w:cs="宋体"/>
                <w:b/>
                <w:bCs/>
                <w:sz w:val="24"/>
              </w:rPr>
            </w:pPr>
            <w:r>
              <w:rPr>
                <w:rFonts w:hint="eastAsia" w:ascii="宋体" w:hAnsi="宋体" w:cs="宋体"/>
                <w:b/>
                <w:bCs/>
                <w:sz w:val="24"/>
              </w:rPr>
              <w:t>价格响应文件</w:t>
            </w:r>
          </w:p>
        </w:tc>
        <w:tc>
          <w:tcPr>
            <w:tcW w:w="2891" w:type="dxa"/>
            <w:vAlign w:val="center"/>
          </w:tcPr>
          <w:p w14:paraId="08647EC7">
            <w:pPr>
              <w:tabs>
                <w:tab w:val="left" w:pos="3375"/>
              </w:tabs>
              <w:autoSpaceDE w:val="0"/>
              <w:autoSpaceDN w:val="0"/>
              <w:adjustRightInd w:val="0"/>
              <w:snapToGrid w:val="0"/>
              <w:jc w:val="center"/>
              <w:rPr>
                <w:rFonts w:hint="eastAsia" w:ascii="宋体" w:hAnsi="宋体" w:cs="宋体"/>
                <w:b/>
                <w:bCs/>
                <w:sz w:val="24"/>
              </w:rPr>
            </w:pPr>
            <w:r>
              <w:rPr>
                <w:rFonts w:hint="eastAsia" w:ascii="宋体" w:hAnsi="宋体" w:cs="宋体"/>
                <w:b/>
                <w:bCs/>
                <w:sz w:val="24"/>
              </w:rPr>
              <w:t>见附件</w:t>
            </w:r>
          </w:p>
        </w:tc>
      </w:tr>
    </w:tbl>
    <w:p w14:paraId="17DD6703">
      <w:pPr>
        <w:rPr>
          <w:rFonts w:hint="eastAsia" w:ascii="宋体" w:hAnsi="宋体"/>
          <w:bCs/>
          <w:szCs w:val="21"/>
        </w:rPr>
      </w:pPr>
    </w:p>
    <w:p w14:paraId="60033D6E">
      <w:pPr>
        <w:spacing w:line="440" w:lineRule="atLeast"/>
        <w:rPr>
          <w:rFonts w:hint="eastAsia" w:ascii="宋体" w:hAnsi="宋体" w:cs="宋体"/>
          <w:szCs w:val="21"/>
        </w:rPr>
      </w:pPr>
      <w:r>
        <w:rPr>
          <w:rFonts w:hint="eastAsia" w:ascii="宋体" w:hAnsi="宋体"/>
          <w:bCs/>
          <w:szCs w:val="21"/>
        </w:rPr>
        <w:t>（1）</w:t>
      </w:r>
      <w:r>
        <w:rPr>
          <w:rFonts w:hint="eastAsia" w:ascii="宋体" w:hAnsi="宋体" w:cs="宋体"/>
          <w:szCs w:val="21"/>
        </w:rPr>
        <w:t>《授权书》及相关《</w:t>
      </w:r>
      <w:r>
        <w:rPr>
          <w:rFonts w:hint="eastAsia" w:ascii="宋体" w:hAnsi="宋体" w:cs="宋体"/>
          <w:szCs w:val="21"/>
          <w:lang w:val="en-GB"/>
        </w:rPr>
        <w:t>承诺函》、《</w:t>
      </w:r>
      <w:r>
        <w:rPr>
          <w:rFonts w:hint="eastAsia" w:ascii="宋体" w:hAnsi="宋体"/>
          <w:szCs w:val="21"/>
        </w:rPr>
        <w:t>价格响应文件</w:t>
      </w:r>
      <w:r>
        <w:rPr>
          <w:rFonts w:hint="eastAsia" w:ascii="宋体" w:hAnsi="宋体" w:cs="宋体"/>
          <w:szCs w:val="21"/>
          <w:lang w:val="en-GB"/>
        </w:rPr>
        <w:t>》等格</w:t>
      </w:r>
      <w:r>
        <w:rPr>
          <w:rFonts w:hint="eastAsia" w:ascii="宋体" w:hAnsi="宋体" w:cs="宋体"/>
          <w:szCs w:val="21"/>
        </w:rPr>
        <w:t>式详见附件。</w:t>
      </w:r>
    </w:p>
    <w:p w14:paraId="60B0B586">
      <w:pPr>
        <w:pStyle w:val="3"/>
        <w:jc w:val="left"/>
        <w:rPr>
          <w:rFonts w:hint="eastAsia" w:ascii="黑体" w:hAnsi="黑体"/>
          <w:sz w:val="24"/>
          <w:szCs w:val="24"/>
        </w:rPr>
      </w:pPr>
      <w:r>
        <w:rPr>
          <w:rFonts w:hint="eastAsia" w:ascii="黑体" w:hAnsi="黑体"/>
          <w:sz w:val="24"/>
          <w:szCs w:val="24"/>
        </w:rPr>
        <w:br w:type="page"/>
      </w:r>
      <w:r>
        <w:rPr>
          <w:rFonts w:hint="eastAsia" w:ascii="黑体" w:hAnsi="黑体"/>
          <w:sz w:val="24"/>
          <w:szCs w:val="24"/>
        </w:rPr>
        <w:t>附件：</w:t>
      </w:r>
    </w:p>
    <w:p w14:paraId="2FDB392E">
      <w:pPr>
        <w:pStyle w:val="19"/>
        <w:widowControl/>
        <w:snapToGrid w:val="0"/>
        <w:spacing w:line="300" w:lineRule="auto"/>
        <w:ind w:firstLine="0" w:firstLineChars="0"/>
        <w:jc w:val="center"/>
        <w:rPr>
          <w:rFonts w:hint="eastAsia" w:ascii="宋体" w:eastAsia="宋体" w:cs="宋体"/>
          <w:b/>
          <w:sz w:val="36"/>
          <w:szCs w:val="36"/>
        </w:rPr>
      </w:pPr>
      <w:r>
        <w:rPr>
          <w:rFonts w:ascii="宋体" w:eastAsia="宋体" w:cs="宋体"/>
          <w:b/>
          <w:sz w:val="36"/>
          <w:szCs w:val="36"/>
        </w:rPr>
        <w:t>关于资格的声明函</w:t>
      </w:r>
    </w:p>
    <w:p w14:paraId="34AEDEB4">
      <w:pPr>
        <w:spacing w:line="360" w:lineRule="auto"/>
        <w:jc w:val="center"/>
        <w:rPr>
          <w:rFonts w:hint="eastAsia" w:ascii="宋体" w:hAnsi="宋体" w:cs="宋体"/>
          <w:b/>
          <w:szCs w:val="21"/>
        </w:rPr>
      </w:pPr>
    </w:p>
    <w:p w14:paraId="073340AA">
      <w:pPr>
        <w:pStyle w:val="9"/>
        <w:snapToGrid w:val="0"/>
        <w:spacing w:line="300" w:lineRule="auto"/>
        <w:rPr>
          <w:rFonts w:ascii="仿宋_GB2312" w:eastAsia="仿宋_GB2312" w:cs="仿宋_GB2312"/>
          <w:b/>
          <w:sz w:val="28"/>
          <w:szCs w:val="28"/>
        </w:rPr>
      </w:pPr>
      <w:r>
        <w:rPr>
          <w:rFonts w:hint="eastAsia" w:ascii="仿宋_GB2312" w:eastAsia="仿宋_GB2312" w:cs="仿宋_GB2312"/>
          <w:b/>
          <w:sz w:val="28"/>
          <w:szCs w:val="28"/>
        </w:rPr>
        <w:t>南通市海门区四甲镇中心卫生院：</w:t>
      </w:r>
    </w:p>
    <w:p w14:paraId="0B27D400">
      <w:pPr>
        <w:pStyle w:val="9"/>
        <w:snapToGrid w:val="0"/>
        <w:spacing w:line="30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我公司认真对照招标公告，符合贵方提出的资格要求，自愿报名参加投标，并保证提供的资料文件是准确的和真实的。提供虚假材料的愿意承担相应的法律责任。</w:t>
      </w:r>
    </w:p>
    <w:p w14:paraId="1D176867">
      <w:pPr>
        <w:pStyle w:val="9"/>
        <w:snapToGrid w:val="0"/>
        <w:spacing w:before="0" w:beforeAutospacing="0" w:after="0" w:afterAutospacing="0" w:line="300" w:lineRule="auto"/>
        <w:ind w:firstLine="280" w:firstLineChars="100"/>
        <w:rPr>
          <w:rFonts w:ascii="仿宋_GB2312" w:eastAsia="仿宋_GB2312" w:cs="仿宋_GB2312"/>
          <w:sz w:val="28"/>
          <w:szCs w:val="28"/>
        </w:rPr>
      </w:pPr>
      <w:r>
        <w:rPr>
          <w:rFonts w:hint="eastAsia" w:ascii="仿宋_GB2312" w:hAnsi="Courier New" w:eastAsia="仿宋_GB2312" w:cs="仿宋_GB2312"/>
          <w:kern w:val="2"/>
          <w:sz w:val="28"/>
          <w:szCs w:val="28"/>
        </w:rPr>
        <w:t xml:space="preserve">   附：公司投标之前3年内有无受各级管理部门的处分或处罚（含其授权服务的子公司、分公司等），如果不主动填报而被事后发现的，将取消其投标资格，并按有关规定从重处理</w:t>
      </w:r>
      <w:r>
        <w:rPr>
          <w:rFonts w:hint="eastAsia" w:ascii="仿宋_GB2312" w:eastAsia="仿宋_GB2312" w:cs="仿宋_GB2312"/>
          <w:kern w:val="2"/>
          <w:sz w:val="28"/>
          <w:szCs w:val="28"/>
        </w:rPr>
        <w:t>；没有受处罚的投标人，要填写“没有受到任何处罚”，此表不能空白</w:t>
      </w:r>
      <w:r>
        <w:rPr>
          <w:rFonts w:hint="eastAsia" w:ascii="仿宋_GB2312" w:hAnsi="Courier New" w:eastAsia="仿宋_GB2312" w:cs="仿宋_GB2312"/>
          <w:kern w:val="2"/>
          <w:sz w:val="28"/>
          <w:szCs w:val="28"/>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14:paraId="56F3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29B6DE66">
            <w:pPr>
              <w:pStyle w:val="9"/>
              <w:snapToGrid w:val="0"/>
              <w:spacing w:line="300" w:lineRule="auto"/>
              <w:jc w:val="center"/>
              <w:rPr>
                <w:rFonts w:ascii="仿宋_GB2312" w:eastAsia="仿宋_GB2312" w:cs="仿宋_GB2312"/>
                <w:b/>
                <w:kern w:val="2"/>
                <w:sz w:val="28"/>
                <w:szCs w:val="28"/>
              </w:rPr>
            </w:pPr>
            <w:r>
              <w:rPr>
                <w:rFonts w:hint="eastAsia" w:ascii="仿宋_GB2312" w:eastAsia="仿宋_GB2312" w:cs="仿宋_GB2312"/>
                <w:b/>
                <w:kern w:val="2"/>
                <w:sz w:val="28"/>
                <w:szCs w:val="28"/>
              </w:rPr>
              <w:t>时 间</w:t>
            </w:r>
          </w:p>
        </w:tc>
        <w:tc>
          <w:tcPr>
            <w:tcW w:w="2977" w:type="dxa"/>
            <w:tcBorders>
              <w:top w:val="single" w:color="auto" w:sz="4" w:space="0"/>
              <w:left w:val="single" w:color="auto" w:sz="4" w:space="0"/>
              <w:bottom w:val="single" w:color="auto" w:sz="4" w:space="0"/>
              <w:right w:val="single" w:color="auto" w:sz="4" w:space="0"/>
            </w:tcBorders>
            <w:vAlign w:val="center"/>
          </w:tcPr>
          <w:p w14:paraId="0838DA08">
            <w:pPr>
              <w:pStyle w:val="9"/>
              <w:snapToGrid w:val="0"/>
              <w:spacing w:line="300" w:lineRule="auto"/>
              <w:jc w:val="center"/>
              <w:rPr>
                <w:rFonts w:ascii="仿宋_GB2312" w:eastAsia="仿宋_GB2312" w:cs="仿宋_GB2312"/>
                <w:b/>
                <w:kern w:val="2"/>
                <w:sz w:val="28"/>
                <w:szCs w:val="28"/>
              </w:rPr>
            </w:pPr>
            <w:r>
              <w:rPr>
                <w:rFonts w:hint="eastAsia" w:ascii="仿宋_GB2312" w:eastAsia="仿宋_GB2312" w:cs="仿宋_GB2312"/>
                <w:b/>
                <w:kern w:val="2"/>
                <w:sz w:val="28"/>
                <w:szCs w:val="28"/>
              </w:rPr>
              <w:t>受处理的原因</w:t>
            </w:r>
          </w:p>
          <w:p w14:paraId="0650660F">
            <w:pPr>
              <w:pStyle w:val="9"/>
              <w:snapToGrid w:val="0"/>
              <w:spacing w:line="300" w:lineRule="auto"/>
              <w:jc w:val="center"/>
              <w:rPr>
                <w:rFonts w:ascii="仿宋_GB2312" w:eastAsia="仿宋_GB2312" w:cs="仿宋_GB2312"/>
                <w:kern w:val="2"/>
                <w:sz w:val="28"/>
                <w:szCs w:val="28"/>
              </w:rPr>
            </w:pPr>
            <w:r>
              <w:rPr>
                <w:rFonts w:hint="eastAsia" w:ascii="仿宋_GB2312" w:eastAsia="仿宋_GB2312" w:cs="仿宋_GB2312"/>
                <w:kern w:val="2"/>
                <w:sz w:val="28"/>
                <w:szCs w:val="28"/>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vAlign w:val="center"/>
          </w:tcPr>
          <w:p w14:paraId="714AE050">
            <w:pPr>
              <w:pStyle w:val="9"/>
              <w:snapToGrid w:val="0"/>
              <w:spacing w:line="300" w:lineRule="auto"/>
              <w:jc w:val="center"/>
              <w:rPr>
                <w:rFonts w:ascii="仿宋_GB2312" w:eastAsia="仿宋_GB2312" w:cs="仿宋_GB2312"/>
                <w:b/>
                <w:kern w:val="2"/>
                <w:sz w:val="28"/>
                <w:szCs w:val="28"/>
              </w:rPr>
            </w:pPr>
            <w:r>
              <w:rPr>
                <w:rFonts w:hint="eastAsia" w:ascii="仿宋_GB2312" w:eastAsia="仿宋_GB2312" w:cs="仿宋_GB2312"/>
                <w:b/>
                <w:kern w:val="2"/>
                <w:sz w:val="28"/>
                <w:szCs w:val="28"/>
              </w:rPr>
              <w:t>处理的内容</w:t>
            </w:r>
          </w:p>
          <w:p w14:paraId="3C2B35BF">
            <w:pPr>
              <w:pStyle w:val="9"/>
              <w:snapToGrid w:val="0"/>
              <w:spacing w:line="300" w:lineRule="auto"/>
              <w:jc w:val="center"/>
              <w:rPr>
                <w:rFonts w:ascii="仿宋_GB2312" w:eastAsia="仿宋_GB2312" w:cs="仿宋_GB2312"/>
                <w:kern w:val="2"/>
                <w:sz w:val="28"/>
                <w:szCs w:val="28"/>
              </w:rPr>
            </w:pPr>
            <w:r>
              <w:rPr>
                <w:rFonts w:hint="eastAsia" w:ascii="仿宋_GB2312" w:eastAsia="仿宋_GB2312" w:cs="仿宋_GB2312"/>
                <w:kern w:val="2"/>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14:paraId="17F147D7">
            <w:pPr>
              <w:pStyle w:val="9"/>
              <w:snapToGrid w:val="0"/>
              <w:spacing w:line="300" w:lineRule="auto"/>
              <w:jc w:val="center"/>
              <w:rPr>
                <w:rFonts w:ascii="仿宋_GB2312" w:eastAsia="仿宋_GB2312" w:cs="仿宋_GB2312"/>
                <w:b/>
                <w:kern w:val="2"/>
                <w:sz w:val="28"/>
                <w:szCs w:val="28"/>
              </w:rPr>
            </w:pPr>
            <w:r>
              <w:rPr>
                <w:rFonts w:hint="eastAsia" w:ascii="仿宋_GB2312" w:eastAsia="仿宋_GB2312" w:cs="仿宋_GB2312"/>
                <w:b/>
                <w:kern w:val="2"/>
                <w:sz w:val="28"/>
                <w:szCs w:val="28"/>
              </w:rPr>
              <w:t>备 注</w:t>
            </w:r>
          </w:p>
        </w:tc>
      </w:tr>
      <w:tr w14:paraId="0BD4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tcPr>
          <w:p w14:paraId="6BBCC994">
            <w:pPr>
              <w:pStyle w:val="9"/>
              <w:snapToGrid w:val="0"/>
              <w:spacing w:line="300" w:lineRule="auto"/>
              <w:rPr>
                <w:rFonts w:ascii="仿宋_GB2312" w:eastAsia="仿宋_GB2312" w:cs="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tcPr>
          <w:p w14:paraId="06D84C9C">
            <w:pPr>
              <w:pStyle w:val="9"/>
              <w:snapToGrid w:val="0"/>
              <w:spacing w:line="300" w:lineRule="auto"/>
              <w:rPr>
                <w:rFonts w:ascii="仿宋_GB2312" w:eastAsia="仿宋_GB2312" w:cs="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tcPr>
          <w:p w14:paraId="021D6BD2">
            <w:pPr>
              <w:pStyle w:val="9"/>
              <w:snapToGrid w:val="0"/>
              <w:spacing w:line="300" w:lineRule="auto"/>
              <w:rPr>
                <w:rFonts w:ascii="仿宋_GB2312" w:eastAsia="仿宋_GB2312" w:cs="仿宋_GB2312"/>
                <w:kern w:val="2"/>
                <w:sz w:val="28"/>
                <w:szCs w:val="28"/>
              </w:rPr>
            </w:pPr>
          </w:p>
        </w:tc>
        <w:tc>
          <w:tcPr>
            <w:tcW w:w="1276" w:type="dxa"/>
            <w:tcBorders>
              <w:top w:val="single" w:color="auto" w:sz="4" w:space="0"/>
              <w:left w:val="single" w:color="auto" w:sz="4" w:space="0"/>
              <w:bottom w:val="single" w:color="auto" w:sz="4" w:space="0"/>
              <w:right w:val="single" w:color="auto" w:sz="4" w:space="0"/>
            </w:tcBorders>
          </w:tcPr>
          <w:p w14:paraId="63E6E924">
            <w:pPr>
              <w:pStyle w:val="9"/>
              <w:snapToGrid w:val="0"/>
              <w:spacing w:line="300" w:lineRule="auto"/>
              <w:rPr>
                <w:rFonts w:ascii="仿宋_GB2312" w:eastAsia="仿宋_GB2312" w:cs="仿宋_GB2312"/>
                <w:kern w:val="2"/>
                <w:sz w:val="28"/>
                <w:szCs w:val="28"/>
              </w:rPr>
            </w:pPr>
          </w:p>
        </w:tc>
      </w:tr>
    </w:tbl>
    <w:p w14:paraId="69D9EB32"/>
    <w:p w14:paraId="542C6D3D">
      <w:pPr>
        <w:pStyle w:val="9"/>
        <w:spacing w:before="0" w:beforeAutospacing="0" w:after="0" w:afterAutospacing="0" w:line="560" w:lineRule="exact"/>
        <w:jc w:val="center"/>
        <w:rPr>
          <w:b/>
          <w:sz w:val="32"/>
          <w:szCs w:val="32"/>
        </w:rPr>
      </w:pPr>
      <w:r>
        <w:rPr>
          <w:rFonts w:hint="eastAsia" w:ascii="黑体" w:hAnsi="黑体" w:cs="黑体"/>
          <w:sz w:val="30"/>
          <w:szCs w:val="30"/>
          <w:lang w:val="en-GB"/>
        </w:rPr>
        <w:br w:type="page"/>
      </w:r>
      <w:r>
        <w:rPr>
          <w:rFonts w:hint="eastAsia"/>
          <w:b/>
          <w:kern w:val="2"/>
          <w:sz w:val="32"/>
          <w:szCs w:val="32"/>
        </w:rPr>
        <w:t>法定代表人身份证明</w:t>
      </w:r>
    </w:p>
    <w:p w14:paraId="19DABED8">
      <w:pPr>
        <w:spacing w:line="480" w:lineRule="exact"/>
        <w:rPr>
          <w:rFonts w:eastAsia="仿宋_GB2312"/>
          <w:sz w:val="24"/>
        </w:rPr>
      </w:pPr>
    </w:p>
    <w:p w14:paraId="461E8F18">
      <w:pPr>
        <w:spacing w:line="480" w:lineRule="exact"/>
        <w:ind w:firstLine="480" w:firstLineChars="200"/>
        <w:rPr>
          <w:rFonts w:eastAsia="仿宋_GB2312"/>
          <w:sz w:val="24"/>
        </w:rPr>
      </w:pPr>
      <w:r>
        <w:rPr>
          <w:rFonts w:hint="eastAsia" w:eastAsia="仿宋_GB2312" w:cs="仿宋_GB2312"/>
          <w:sz w:val="24"/>
          <w:highlight w:val="white"/>
        </w:rPr>
        <w:t>先生</w:t>
      </w:r>
      <w:r>
        <w:rPr>
          <w:rFonts w:eastAsia="仿宋_GB2312"/>
          <w:sz w:val="24"/>
          <w:highlight w:val="white"/>
        </w:rPr>
        <w:t>/</w:t>
      </w:r>
      <w:r>
        <w:rPr>
          <w:rFonts w:hint="eastAsia" w:eastAsia="仿宋_GB2312" w:cs="仿宋_GB2312"/>
          <w:sz w:val="24"/>
          <w:highlight w:val="white"/>
        </w:rPr>
        <w:t>女士：现任我单位职务，为法定代表人，特此证明。</w:t>
      </w:r>
    </w:p>
    <w:p w14:paraId="6ECDC045">
      <w:pPr>
        <w:spacing w:line="480" w:lineRule="exact"/>
        <w:ind w:firstLine="480"/>
        <w:rPr>
          <w:rFonts w:eastAsia="仿宋_GB2312"/>
          <w:sz w:val="24"/>
          <w:u w:val="single"/>
        </w:rPr>
      </w:pPr>
      <w:r>
        <w:rPr>
          <w:rFonts w:hint="eastAsia" w:eastAsia="仿宋_GB2312" w:cs="仿宋_GB2312"/>
          <w:sz w:val="24"/>
        </w:rPr>
        <w:t>身份证号码：</w:t>
      </w:r>
    </w:p>
    <w:p w14:paraId="7815ADE7">
      <w:pPr>
        <w:spacing w:line="480" w:lineRule="exact"/>
        <w:ind w:firstLine="480"/>
        <w:rPr>
          <w:rFonts w:eastAsia="仿宋_GB2312"/>
          <w:sz w:val="24"/>
        </w:rPr>
      </w:pPr>
    </w:p>
    <w:p w14:paraId="13E71E7F">
      <w:pPr>
        <w:pStyle w:val="20"/>
        <w:widowControl/>
        <w:spacing w:line="600" w:lineRule="exact"/>
        <w:rPr>
          <w:rFonts w:ascii="仿宋_GB2312" w:eastAsia="仿宋_GB2312" w:cs="仿宋_GB2312"/>
          <w:b/>
          <w:sz w:val="24"/>
        </w:rPr>
      </w:pPr>
      <w:r>
        <w:rPr>
          <w:rFonts w:hint="eastAsia" w:ascii="仿宋_GB2312" w:eastAsia="仿宋_GB2312" w:cs="仿宋_GB2312"/>
          <w:b/>
          <w:sz w:val="24"/>
        </w:rPr>
        <w:t>注：提供法定代表人的身份证复印件盖公章</w:t>
      </w:r>
    </w:p>
    <w:p w14:paraId="5FB40ED7">
      <w:pPr>
        <w:spacing w:line="480" w:lineRule="exact"/>
        <w:ind w:firstLine="480" w:firstLineChars="200"/>
        <w:rPr>
          <w:rFonts w:eastAsia="仿宋_GB2312"/>
          <w:sz w:val="24"/>
        </w:rPr>
      </w:pPr>
    </w:p>
    <w:p w14:paraId="23960ABE"/>
    <w:p w14:paraId="665C2B59">
      <w:pPr>
        <w:pStyle w:val="21"/>
        <w:widowControl/>
        <w:spacing w:line="560" w:lineRule="exact"/>
        <w:jc w:val="center"/>
        <w:rPr>
          <w:rFonts w:ascii="宋体" w:cs="宋体"/>
          <w:b/>
          <w:sz w:val="32"/>
          <w:szCs w:val="32"/>
        </w:rPr>
      </w:pPr>
      <w:r>
        <w:rPr>
          <w:rFonts w:hint="eastAsia" w:ascii="黑体" w:hAnsi="黑体" w:cs="黑体"/>
          <w:sz w:val="30"/>
          <w:szCs w:val="30"/>
          <w:lang w:val="en-GB"/>
        </w:rPr>
        <w:br w:type="page"/>
      </w:r>
      <w:r>
        <w:rPr>
          <w:rFonts w:hint="eastAsia" w:ascii="宋体" w:cs="宋体"/>
          <w:b/>
          <w:sz w:val="32"/>
          <w:szCs w:val="32"/>
        </w:rPr>
        <w:t>授权委托书</w:t>
      </w:r>
    </w:p>
    <w:p w14:paraId="203DCF4D">
      <w:pPr>
        <w:pStyle w:val="21"/>
        <w:widowControl/>
        <w:spacing w:line="600" w:lineRule="exact"/>
        <w:rPr>
          <w:rFonts w:hint="eastAsia" w:ascii="方正大标宋简体" w:hAnsi="方正大标宋简体" w:eastAsia="方正大标宋简体" w:cs="方正大标宋简体"/>
          <w:sz w:val="32"/>
        </w:rPr>
      </w:pPr>
    </w:p>
    <w:p w14:paraId="136788A6">
      <w:pPr>
        <w:pStyle w:val="22"/>
        <w:widowControl/>
        <w:tabs>
          <w:tab w:val="left" w:pos="360"/>
        </w:tabs>
        <w:spacing w:line="360" w:lineRule="auto"/>
        <w:ind w:firstLine="480"/>
        <w:rPr>
          <w:rFonts w:hint="eastAsia" w:ascii="宋体" w:hAnsi="宋体" w:cs="宋体"/>
          <w:szCs w:val="24"/>
        </w:rPr>
      </w:pPr>
      <w:r>
        <w:rPr>
          <w:rFonts w:hint="eastAsia" w:ascii="宋体" w:hAnsi="宋体" w:cs="宋体"/>
          <w:szCs w:val="24"/>
        </w:rPr>
        <w:t>本授权书声明：____________（供应商名称）授权________________（被授权人的姓名）为我方就        （项目编号）项目采购活动的合法代理人，以本公司名义全权处理一切与该项目采购有关的事务。</w:t>
      </w:r>
    </w:p>
    <w:p w14:paraId="3427501C">
      <w:pPr>
        <w:pStyle w:val="22"/>
        <w:widowControl/>
        <w:tabs>
          <w:tab w:val="left" w:pos="360"/>
        </w:tabs>
        <w:spacing w:line="360" w:lineRule="auto"/>
        <w:ind w:firstLine="480"/>
        <w:rPr>
          <w:rFonts w:hint="eastAsia" w:ascii="宋体" w:hAnsi="宋体" w:cs="宋体"/>
          <w:szCs w:val="24"/>
        </w:rPr>
      </w:pPr>
      <w:r>
        <w:rPr>
          <w:rFonts w:hint="eastAsia" w:ascii="宋体" w:hAnsi="宋体" w:cs="宋体"/>
          <w:szCs w:val="24"/>
        </w:rPr>
        <w:t>本授权书于______年____月____日起生效，特此声明。</w:t>
      </w:r>
    </w:p>
    <w:p w14:paraId="266DAB59">
      <w:pPr>
        <w:pStyle w:val="22"/>
        <w:widowControl/>
        <w:tabs>
          <w:tab w:val="left" w:pos="360"/>
        </w:tabs>
        <w:spacing w:line="360" w:lineRule="auto"/>
        <w:ind w:firstLine="480"/>
        <w:rPr>
          <w:rFonts w:hint="eastAsia" w:ascii="宋体" w:hAnsi="宋体" w:cs="宋体"/>
          <w:szCs w:val="24"/>
        </w:rPr>
      </w:pPr>
    </w:p>
    <w:p w14:paraId="63560A99">
      <w:pPr>
        <w:pStyle w:val="22"/>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代理人（被授权人）：_______________________</w:t>
      </w:r>
    </w:p>
    <w:p w14:paraId="05A4FD1F">
      <w:pPr>
        <w:pStyle w:val="22"/>
        <w:widowControl/>
        <w:tabs>
          <w:tab w:val="left" w:pos="360"/>
        </w:tabs>
        <w:spacing w:line="360" w:lineRule="auto"/>
        <w:ind w:firstLine="480"/>
        <w:rPr>
          <w:rFonts w:hint="eastAsia" w:ascii="宋体" w:hAnsi="宋体" w:cs="宋体"/>
          <w:szCs w:val="24"/>
        </w:rPr>
      </w:pPr>
    </w:p>
    <w:p w14:paraId="6CC65299">
      <w:pPr>
        <w:pStyle w:val="22"/>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单位名称：_____________________________________</w:t>
      </w:r>
    </w:p>
    <w:p w14:paraId="7D684A95">
      <w:pPr>
        <w:pStyle w:val="22"/>
        <w:widowControl/>
        <w:tabs>
          <w:tab w:val="left" w:pos="360"/>
        </w:tabs>
        <w:spacing w:line="360" w:lineRule="auto"/>
        <w:ind w:firstLine="480"/>
        <w:rPr>
          <w:rFonts w:hint="eastAsia" w:ascii="宋体" w:hAnsi="宋体" w:cs="宋体"/>
          <w:szCs w:val="24"/>
        </w:rPr>
      </w:pPr>
    </w:p>
    <w:p w14:paraId="50DEBAEE">
      <w:pPr>
        <w:pStyle w:val="22"/>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授权单位盖章：_________________________________</w:t>
      </w:r>
    </w:p>
    <w:p w14:paraId="5BD37F04">
      <w:pPr>
        <w:pStyle w:val="22"/>
        <w:widowControl/>
        <w:tabs>
          <w:tab w:val="left" w:pos="360"/>
        </w:tabs>
        <w:spacing w:line="360" w:lineRule="auto"/>
        <w:ind w:firstLine="480"/>
        <w:rPr>
          <w:rFonts w:hint="eastAsia" w:ascii="宋体" w:hAnsi="宋体" w:cs="宋体"/>
          <w:szCs w:val="24"/>
        </w:rPr>
      </w:pPr>
    </w:p>
    <w:p w14:paraId="26802E1E">
      <w:pPr>
        <w:pStyle w:val="22"/>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单位名称：_____________________________________</w:t>
      </w:r>
    </w:p>
    <w:p w14:paraId="3F8CD9D0">
      <w:pPr>
        <w:pStyle w:val="22"/>
        <w:widowControl/>
        <w:tabs>
          <w:tab w:val="left" w:pos="360"/>
        </w:tabs>
        <w:spacing w:line="360" w:lineRule="auto"/>
        <w:ind w:firstLine="480"/>
        <w:rPr>
          <w:rFonts w:hint="eastAsia" w:ascii="宋体" w:hAnsi="宋体" w:cs="宋体"/>
          <w:szCs w:val="24"/>
        </w:rPr>
      </w:pPr>
    </w:p>
    <w:p w14:paraId="612447A0">
      <w:pPr>
        <w:pStyle w:val="22"/>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地址：_____________________________________</w:t>
      </w:r>
    </w:p>
    <w:p w14:paraId="01D61C91">
      <w:pPr>
        <w:pStyle w:val="22"/>
        <w:widowControl/>
        <w:tabs>
          <w:tab w:val="left" w:pos="360"/>
        </w:tabs>
        <w:spacing w:line="360" w:lineRule="auto"/>
        <w:rPr>
          <w:rFonts w:hint="eastAsia" w:ascii="宋体" w:hAnsi="宋体" w:cs="宋体"/>
          <w:szCs w:val="24"/>
        </w:rPr>
      </w:pPr>
    </w:p>
    <w:p w14:paraId="016750A2">
      <w:pPr>
        <w:pStyle w:val="22"/>
        <w:widowControl/>
        <w:tabs>
          <w:tab w:val="left" w:pos="360"/>
        </w:tabs>
        <w:spacing w:line="360" w:lineRule="auto"/>
        <w:ind w:firstLine="480"/>
        <w:rPr>
          <w:rFonts w:hint="eastAsia" w:ascii="宋体" w:hAnsi="宋体" w:cs="宋体"/>
          <w:szCs w:val="24"/>
        </w:rPr>
      </w:pPr>
      <w:r>
        <w:rPr>
          <w:rFonts w:hint="eastAsia" w:ascii="宋体" w:hAnsi="宋体" w:cs="宋体"/>
          <w:szCs w:val="24"/>
        </w:rPr>
        <w:t xml:space="preserve">          日期：                    </w:t>
      </w:r>
    </w:p>
    <w:p w14:paraId="23E53C16">
      <w:pPr>
        <w:pStyle w:val="4"/>
        <w:spacing w:line="360" w:lineRule="auto"/>
        <w:rPr>
          <w:rFonts w:hint="eastAsia" w:ascii="宋体" w:hAnsi="宋体"/>
          <w:b/>
        </w:rPr>
      </w:pPr>
    </w:p>
    <w:p w14:paraId="42C4B521">
      <w:pPr>
        <w:pStyle w:val="20"/>
        <w:widowControl/>
        <w:spacing w:line="600" w:lineRule="exact"/>
        <w:rPr>
          <w:rFonts w:ascii="仿宋_GB2312" w:eastAsia="仿宋_GB2312" w:cs="仿宋_GB2312"/>
          <w:b/>
          <w:sz w:val="24"/>
        </w:rPr>
      </w:pPr>
      <w:r>
        <w:rPr>
          <w:rFonts w:hint="eastAsia" w:ascii="仿宋_GB2312" w:eastAsia="仿宋_GB2312" w:cs="仿宋_GB2312"/>
          <w:b/>
          <w:sz w:val="24"/>
        </w:rPr>
        <w:t>注：提供被授权人的身份证复印件盖公章</w:t>
      </w:r>
    </w:p>
    <w:p w14:paraId="022013C3">
      <w:pPr>
        <w:pStyle w:val="4"/>
        <w:spacing w:line="360" w:lineRule="auto"/>
        <w:rPr>
          <w:rFonts w:hint="eastAsia" w:ascii="宋体" w:hAnsi="宋体"/>
          <w:b/>
        </w:rPr>
      </w:pPr>
    </w:p>
    <w:p w14:paraId="7CC4EB5E">
      <w:pPr>
        <w:pStyle w:val="23"/>
        <w:spacing w:line="560" w:lineRule="atLeast"/>
        <w:jc w:val="center"/>
        <w:rPr>
          <w:rFonts w:hint="eastAsia" w:ascii="宋体" w:hAnsi="宋体" w:cs="宋体"/>
          <w:b/>
          <w:bCs/>
          <w:sz w:val="36"/>
          <w:szCs w:val="36"/>
        </w:rPr>
      </w:pPr>
      <w:r>
        <w:rPr>
          <w:rFonts w:hint="eastAsia" w:ascii="宋体" w:hAnsi="宋体"/>
        </w:rPr>
        <w:br w:type="page"/>
      </w:r>
      <w:r>
        <w:rPr>
          <w:rFonts w:hint="eastAsia" w:ascii="宋体" w:hAnsi="宋体" w:cs="宋体"/>
          <w:b/>
          <w:bCs/>
          <w:sz w:val="36"/>
          <w:szCs w:val="36"/>
        </w:rPr>
        <w:t>履行合同所必需的设备和专业技术能力承诺函</w:t>
      </w:r>
    </w:p>
    <w:p w14:paraId="466E12F4">
      <w:pPr>
        <w:jc w:val="center"/>
        <w:rPr>
          <w:rFonts w:hint="eastAsia" w:ascii="宋体" w:hAnsi="宋体" w:cs="宋体"/>
          <w:b/>
          <w:bCs/>
          <w:sz w:val="36"/>
          <w:szCs w:val="36"/>
        </w:rPr>
      </w:pPr>
    </w:p>
    <w:p w14:paraId="3D5A8D34">
      <w:pPr>
        <w:spacing w:line="480" w:lineRule="auto"/>
        <w:jc w:val="left"/>
        <w:rPr>
          <w:rFonts w:hint="eastAsia" w:ascii="宋体" w:hAnsi="宋体" w:cs="宋体"/>
          <w:sz w:val="28"/>
          <w:szCs w:val="28"/>
        </w:rPr>
      </w:pPr>
      <w:r>
        <w:rPr>
          <w:rFonts w:hint="eastAsia" w:ascii="宋体" w:hAnsi="宋体" w:cs="宋体"/>
          <w:sz w:val="28"/>
          <w:szCs w:val="28"/>
        </w:rPr>
        <w:t>南通市海门区四甲镇中心卫生院：</w:t>
      </w:r>
    </w:p>
    <w:p w14:paraId="01F08CF8">
      <w:pPr>
        <w:spacing w:line="480" w:lineRule="auto"/>
        <w:ind w:firstLine="560"/>
        <w:jc w:val="left"/>
        <w:rPr>
          <w:rFonts w:hint="eastAsia" w:ascii="宋体" w:hAnsi="宋体" w:cs="宋体"/>
          <w:sz w:val="28"/>
          <w:szCs w:val="28"/>
        </w:rPr>
      </w:pPr>
      <w:r>
        <w:rPr>
          <w:rFonts w:hint="eastAsia" w:ascii="宋体" w:hAnsi="宋体" w:cs="宋体"/>
          <w:sz w:val="28"/>
          <w:szCs w:val="28"/>
        </w:rPr>
        <w:t>我单位（供应商名称）郑重承诺：</w:t>
      </w:r>
    </w:p>
    <w:p w14:paraId="5FBD9911">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lang w:eastAsia="zh-CN"/>
        </w:rPr>
        <w:t>（</w:t>
      </w:r>
      <w:r>
        <w:rPr>
          <w:rFonts w:hint="eastAsia" w:ascii="宋体" w:hAnsi="宋体" w:cs="宋体"/>
          <w:sz w:val="28"/>
          <w:szCs w:val="28"/>
        </w:rPr>
        <w:t>项目名称），我单位</w:t>
      </w:r>
      <w:r>
        <w:rPr>
          <w:rFonts w:hint="eastAsia" w:ascii="宋体" w:hAnsi="宋体" w:cs="宋体"/>
          <w:sz w:val="28"/>
          <w:szCs w:val="28"/>
          <w:lang w:eastAsia="zh-CN"/>
        </w:rPr>
        <w:t>（</w:t>
      </w:r>
      <w:r>
        <w:rPr>
          <w:rFonts w:hint="eastAsia" w:ascii="宋体" w:hAnsi="宋体" w:cs="宋体"/>
          <w:sz w:val="28"/>
          <w:szCs w:val="28"/>
        </w:rPr>
        <w:t>在下划线上如实填写：有或没有）履行合同所必需的设备和专业技术能力。</w:t>
      </w:r>
    </w:p>
    <w:p w14:paraId="2C8F8EC3">
      <w:pPr>
        <w:spacing w:line="480" w:lineRule="auto"/>
        <w:ind w:firstLine="560"/>
        <w:jc w:val="left"/>
        <w:rPr>
          <w:rFonts w:hint="eastAsia" w:ascii="宋体" w:hAnsi="宋体" w:cs="宋体"/>
          <w:sz w:val="24"/>
        </w:rPr>
      </w:pPr>
    </w:p>
    <w:p w14:paraId="210EBF87">
      <w:pPr>
        <w:spacing w:line="480" w:lineRule="auto"/>
        <w:ind w:firstLine="560"/>
        <w:jc w:val="left"/>
        <w:rPr>
          <w:rFonts w:hint="eastAsia" w:ascii="宋体" w:hAnsi="宋体" w:cs="宋体"/>
          <w:sz w:val="28"/>
          <w:szCs w:val="28"/>
        </w:rPr>
      </w:pPr>
    </w:p>
    <w:p w14:paraId="4B623BB0">
      <w:pPr>
        <w:spacing w:line="480" w:lineRule="auto"/>
        <w:ind w:firstLine="560"/>
        <w:jc w:val="left"/>
        <w:rPr>
          <w:rFonts w:hint="eastAsia" w:ascii="宋体" w:hAnsi="宋体" w:cs="宋体"/>
          <w:sz w:val="28"/>
          <w:szCs w:val="28"/>
        </w:rPr>
      </w:pPr>
    </w:p>
    <w:p w14:paraId="3E2F8527">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14:paraId="2E870F9C">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年    月   日</w:t>
      </w:r>
    </w:p>
    <w:p w14:paraId="7BDA32FB">
      <w:pPr>
        <w:spacing w:line="360" w:lineRule="auto"/>
        <w:jc w:val="center"/>
        <w:rPr>
          <w:rFonts w:hint="eastAsia" w:ascii="宋体" w:hAnsi="宋体" w:cs="宋体"/>
          <w:b/>
          <w:bCs/>
          <w:sz w:val="36"/>
          <w:szCs w:val="36"/>
        </w:rPr>
      </w:pPr>
    </w:p>
    <w:p w14:paraId="67435C0F">
      <w:pPr>
        <w:spacing w:line="360" w:lineRule="auto"/>
        <w:jc w:val="center"/>
        <w:rPr>
          <w:rFonts w:hint="eastAsia" w:ascii="宋体" w:hAnsi="宋体" w:cs="宋体"/>
          <w:b/>
          <w:sz w:val="32"/>
          <w:szCs w:val="32"/>
          <w:u w:val="single"/>
        </w:rPr>
      </w:pPr>
    </w:p>
    <w:p w14:paraId="78542CB9">
      <w:pPr>
        <w:spacing w:line="360" w:lineRule="auto"/>
        <w:jc w:val="center"/>
        <w:rPr>
          <w:rFonts w:hint="eastAsia" w:ascii="宋体" w:hAnsi="宋体" w:cs="宋体"/>
          <w:b/>
          <w:sz w:val="32"/>
          <w:szCs w:val="32"/>
          <w:u w:val="single"/>
        </w:rPr>
      </w:pPr>
    </w:p>
    <w:p w14:paraId="1ED365B1">
      <w:pPr>
        <w:spacing w:line="360" w:lineRule="auto"/>
        <w:jc w:val="center"/>
        <w:rPr>
          <w:rFonts w:hint="eastAsia" w:ascii="宋体" w:hAnsi="宋体" w:cs="宋体"/>
          <w:b/>
          <w:sz w:val="32"/>
          <w:szCs w:val="32"/>
          <w:u w:val="single"/>
        </w:rPr>
      </w:pPr>
    </w:p>
    <w:p w14:paraId="4AD9C3EC">
      <w:pPr>
        <w:spacing w:line="360" w:lineRule="auto"/>
        <w:jc w:val="center"/>
        <w:rPr>
          <w:rFonts w:hint="eastAsia" w:ascii="宋体" w:hAnsi="宋体" w:cs="宋体"/>
          <w:b/>
          <w:sz w:val="32"/>
          <w:szCs w:val="32"/>
          <w:u w:val="single"/>
        </w:rPr>
      </w:pPr>
    </w:p>
    <w:p w14:paraId="51DD37AD">
      <w:pPr>
        <w:spacing w:line="360" w:lineRule="auto"/>
        <w:jc w:val="center"/>
        <w:rPr>
          <w:rFonts w:hint="eastAsia" w:ascii="宋体" w:hAnsi="宋体" w:cs="宋体"/>
          <w:b/>
          <w:sz w:val="32"/>
          <w:szCs w:val="32"/>
          <w:u w:val="single"/>
        </w:rPr>
      </w:pPr>
    </w:p>
    <w:p w14:paraId="09DEDE01">
      <w:pPr>
        <w:spacing w:line="360" w:lineRule="auto"/>
        <w:jc w:val="center"/>
        <w:rPr>
          <w:rFonts w:hint="eastAsia" w:ascii="宋体" w:hAnsi="宋体" w:cs="宋体"/>
          <w:b/>
          <w:sz w:val="32"/>
          <w:szCs w:val="32"/>
          <w:u w:val="single"/>
        </w:rPr>
      </w:pPr>
    </w:p>
    <w:p w14:paraId="7720A07C">
      <w:pPr>
        <w:spacing w:line="360" w:lineRule="auto"/>
        <w:jc w:val="center"/>
        <w:rPr>
          <w:rFonts w:hint="eastAsia" w:ascii="宋体" w:hAnsi="宋体" w:cs="宋体"/>
          <w:b/>
          <w:sz w:val="32"/>
          <w:szCs w:val="32"/>
          <w:u w:val="single"/>
        </w:rPr>
      </w:pPr>
    </w:p>
    <w:p w14:paraId="5E4874F5">
      <w:pPr>
        <w:pStyle w:val="9"/>
        <w:spacing w:before="0" w:beforeAutospacing="0" w:after="0" w:afterAutospacing="0"/>
        <w:jc w:val="center"/>
        <w:rPr>
          <w:b/>
        </w:rPr>
      </w:pPr>
      <w:r>
        <w:rPr>
          <w:rFonts w:hint="eastAsia"/>
          <w:b/>
          <w:kern w:val="2"/>
          <w:sz w:val="30"/>
          <w:szCs w:val="30"/>
        </w:rPr>
        <w:br w:type="page"/>
      </w:r>
      <w:r>
        <w:rPr>
          <w:rFonts w:hint="eastAsia"/>
          <w:b/>
          <w:kern w:val="2"/>
          <w:sz w:val="30"/>
          <w:szCs w:val="30"/>
        </w:rPr>
        <w:t>参加政府采购活动前 3 年内在经营活动中没有重大违法记</w:t>
      </w:r>
      <w:r>
        <w:rPr>
          <w:rFonts w:hint="eastAsia"/>
          <w:b/>
          <w:bCs/>
          <w:kern w:val="2"/>
          <w:sz w:val="30"/>
          <w:szCs w:val="30"/>
        </w:rPr>
        <w:t>录和失信记录的书面声明</w:t>
      </w:r>
    </w:p>
    <w:p w14:paraId="6B16829D">
      <w:pPr>
        <w:spacing w:line="460" w:lineRule="exact"/>
        <w:rPr>
          <w:rFonts w:hint="eastAsia" w:ascii="宋体" w:hAnsi="宋体" w:cs="宋体"/>
          <w:b/>
          <w:sz w:val="44"/>
          <w:szCs w:val="44"/>
        </w:rPr>
      </w:pPr>
    </w:p>
    <w:p w14:paraId="72A5C2D0">
      <w:pPr>
        <w:spacing w:line="460" w:lineRule="exact"/>
        <w:jc w:val="center"/>
        <w:rPr>
          <w:rFonts w:hint="eastAsia" w:ascii="宋体" w:hAnsi="宋体" w:cs="宋体"/>
          <w:b/>
          <w:sz w:val="44"/>
          <w:szCs w:val="44"/>
        </w:rPr>
      </w:pPr>
      <w:r>
        <w:rPr>
          <w:rFonts w:hint="eastAsia" w:ascii="宋体" w:hAnsi="宋体" w:cs="宋体"/>
          <w:b/>
          <w:sz w:val="44"/>
          <w:szCs w:val="44"/>
        </w:rPr>
        <w:t>声  明</w:t>
      </w:r>
    </w:p>
    <w:p w14:paraId="3048172D">
      <w:pPr>
        <w:spacing w:line="460" w:lineRule="exact"/>
        <w:ind w:firstLine="881"/>
        <w:jc w:val="center"/>
        <w:rPr>
          <w:rFonts w:hint="eastAsia" w:ascii="宋体" w:hAnsi="宋体" w:cs="宋体"/>
          <w:b/>
          <w:sz w:val="44"/>
          <w:szCs w:val="44"/>
        </w:rPr>
      </w:pPr>
    </w:p>
    <w:p w14:paraId="47D603E5">
      <w:p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我公司郑重声明：参加本次政府采购活动前 3 年内，我公司在经营活动中没有因违法经营受到刑事处罚或者责令停产停业、吊销许可证或者执照、较大数额罚款等行政处罚。</w:t>
      </w:r>
    </w:p>
    <w:p w14:paraId="3EAE3E74">
      <w:p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在投标截止时间节点，没有被“信用中国”网站（www.creditchina.gov.cn）列入失信被执行人、重大税收违法案件当事人名单、政府采购严重失信行为记录名单。</w:t>
      </w:r>
    </w:p>
    <w:p w14:paraId="095E71A7">
      <w:pPr>
        <w:spacing w:line="480" w:lineRule="auto"/>
        <w:ind w:firstLine="560" w:firstLineChars="200"/>
        <w:jc w:val="left"/>
        <w:rPr>
          <w:rFonts w:hint="eastAsia" w:ascii="宋体" w:hAnsi="宋体" w:cs="宋体"/>
          <w:sz w:val="28"/>
          <w:szCs w:val="28"/>
        </w:rPr>
      </w:pPr>
    </w:p>
    <w:p w14:paraId="504DD058">
      <w:pPr>
        <w:spacing w:line="480" w:lineRule="auto"/>
        <w:jc w:val="left"/>
        <w:rPr>
          <w:rFonts w:hint="eastAsia" w:ascii="宋体" w:hAnsi="宋体" w:cs="宋体"/>
          <w:sz w:val="28"/>
          <w:szCs w:val="28"/>
        </w:rPr>
      </w:pPr>
      <w:r>
        <w:rPr>
          <w:rFonts w:hint="eastAsia" w:ascii="宋体" w:hAnsi="宋体" w:cs="宋体"/>
          <w:sz w:val="28"/>
          <w:szCs w:val="28"/>
        </w:rPr>
        <w:t xml:space="preserve">                                 供应商名称（公章）：</w:t>
      </w:r>
    </w:p>
    <w:p w14:paraId="092DC86A">
      <w:pPr>
        <w:spacing w:line="480" w:lineRule="auto"/>
        <w:jc w:val="left"/>
        <w:rPr>
          <w:rFonts w:hint="eastAsia" w:ascii="宋体" w:hAnsi="宋体" w:cs="宋体"/>
          <w:sz w:val="28"/>
          <w:szCs w:val="28"/>
        </w:rPr>
      </w:pPr>
    </w:p>
    <w:p w14:paraId="74364A2D">
      <w:pPr>
        <w:spacing w:line="480" w:lineRule="auto"/>
        <w:jc w:val="left"/>
        <w:rPr>
          <w:rFonts w:hint="eastAsia" w:ascii="宋体" w:hAnsi="宋体" w:cs="宋体"/>
          <w:sz w:val="28"/>
          <w:szCs w:val="28"/>
        </w:rPr>
      </w:pPr>
      <w:r>
        <w:rPr>
          <w:rFonts w:hint="eastAsia" w:ascii="宋体" w:hAnsi="宋体" w:cs="宋体"/>
          <w:sz w:val="28"/>
          <w:szCs w:val="28"/>
        </w:rPr>
        <w:t xml:space="preserve">                                 日期：______年    月    日</w:t>
      </w:r>
    </w:p>
    <w:p w14:paraId="71066F0F">
      <w:pPr>
        <w:spacing w:line="480" w:lineRule="auto"/>
        <w:jc w:val="left"/>
        <w:rPr>
          <w:rFonts w:hint="eastAsia" w:ascii="宋体" w:hAnsi="宋体" w:cs="宋体"/>
          <w:sz w:val="28"/>
          <w:szCs w:val="28"/>
        </w:rPr>
      </w:pPr>
    </w:p>
    <w:p w14:paraId="33C96D47">
      <w:pPr>
        <w:ind w:firstLine="560"/>
        <w:jc w:val="left"/>
        <w:rPr>
          <w:rFonts w:hint="eastAsia" w:ascii="宋体" w:hAnsi="宋体" w:cs="宋体"/>
          <w:sz w:val="28"/>
          <w:szCs w:val="28"/>
        </w:rPr>
      </w:pPr>
    </w:p>
    <w:p w14:paraId="1AC57800">
      <w:pPr>
        <w:ind w:firstLine="641"/>
        <w:jc w:val="center"/>
        <w:rPr>
          <w:rFonts w:hint="eastAsia" w:ascii="宋体" w:hAnsi="宋体" w:cs="宋体"/>
          <w:b/>
          <w:sz w:val="32"/>
          <w:szCs w:val="32"/>
        </w:rPr>
      </w:pPr>
      <w:r>
        <w:rPr>
          <w:rFonts w:hint="eastAsia"/>
        </w:rPr>
        <w:br w:type="page"/>
      </w:r>
      <w:r>
        <w:rPr>
          <w:rFonts w:hint="eastAsia" w:ascii="宋体" w:hAnsi="宋体" w:cs="宋体"/>
          <w:b/>
          <w:sz w:val="32"/>
          <w:szCs w:val="32"/>
        </w:rPr>
        <w:t>技术部分正负偏离表</w:t>
      </w:r>
    </w:p>
    <w:p w14:paraId="3D43AF4B">
      <w:pPr>
        <w:ind w:firstLine="641"/>
        <w:jc w:val="center"/>
        <w:rPr>
          <w:rFonts w:hint="eastAsia" w:ascii="宋体" w:hAnsi="宋体" w:cs="宋体"/>
          <w:b/>
          <w:sz w:val="32"/>
          <w:szCs w:val="32"/>
        </w:rPr>
      </w:pPr>
    </w:p>
    <w:p w14:paraId="72F6F258">
      <w:pPr>
        <w:rPr>
          <w:rFonts w:hint="eastAsia" w:ascii="宋体" w:hAnsi="宋体" w:cs="宋体"/>
          <w:sz w:val="24"/>
        </w:rPr>
      </w:pPr>
      <w:r>
        <w:rPr>
          <w:rFonts w:hint="eastAsia" w:ascii="宋体" w:hAnsi="宋体" w:cs="宋体"/>
          <w:sz w:val="24"/>
        </w:rPr>
        <w:t xml:space="preserve">投标人全称（加盖公章）：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7"/>
        <w:gridCol w:w="1174"/>
      </w:tblGrid>
      <w:tr w14:paraId="3CB5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14:paraId="46898FAF">
            <w:pPr>
              <w:jc w:val="center"/>
              <w:rPr>
                <w:rFonts w:hint="eastAsia" w:ascii="宋体" w:hAnsi="宋体" w:cs="宋体"/>
                <w:sz w:val="24"/>
              </w:rPr>
            </w:pPr>
            <w:r>
              <w:rPr>
                <w:rFonts w:hint="eastAsia" w:ascii="宋体" w:hAnsi="宋体" w:cs="宋体"/>
                <w:sz w:val="24"/>
              </w:rPr>
              <w:t>序号</w:t>
            </w:r>
          </w:p>
        </w:tc>
        <w:tc>
          <w:tcPr>
            <w:tcW w:w="2852" w:type="dxa"/>
            <w:tcBorders>
              <w:top w:val="single" w:color="auto" w:sz="4" w:space="0"/>
              <w:left w:val="single" w:color="auto" w:sz="4" w:space="0"/>
              <w:bottom w:val="single" w:color="auto" w:sz="4" w:space="0"/>
              <w:right w:val="single" w:color="auto" w:sz="4" w:space="0"/>
            </w:tcBorders>
            <w:vAlign w:val="center"/>
          </w:tcPr>
          <w:p w14:paraId="6155B1F9">
            <w:pPr>
              <w:rPr>
                <w:rFonts w:hint="eastAsia" w:ascii="宋体" w:hAnsi="宋体" w:cs="宋体"/>
                <w:sz w:val="24"/>
              </w:rPr>
            </w:pPr>
            <w:r>
              <w:rPr>
                <w:rFonts w:hint="eastAsia" w:ascii="宋体" w:hAnsi="宋体" w:cs="宋体"/>
                <w:sz w:val="24"/>
              </w:rPr>
              <w:t>招标要求</w:t>
            </w:r>
          </w:p>
        </w:tc>
        <w:tc>
          <w:tcPr>
            <w:tcW w:w="2852" w:type="dxa"/>
            <w:tcBorders>
              <w:top w:val="single" w:color="auto" w:sz="4" w:space="0"/>
              <w:left w:val="single" w:color="auto" w:sz="4" w:space="0"/>
              <w:bottom w:val="single" w:color="auto" w:sz="4" w:space="0"/>
              <w:right w:val="single" w:color="auto" w:sz="4" w:space="0"/>
            </w:tcBorders>
            <w:vAlign w:val="center"/>
          </w:tcPr>
          <w:p w14:paraId="0AA4E2A5">
            <w:pPr>
              <w:rPr>
                <w:rFonts w:hint="eastAsia" w:ascii="宋体" w:hAnsi="宋体" w:cs="宋体"/>
                <w:sz w:val="24"/>
              </w:rPr>
            </w:pPr>
            <w:r>
              <w:rPr>
                <w:rFonts w:hint="eastAsia" w:ascii="宋体" w:hAnsi="宋体" w:cs="宋体"/>
                <w:sz w:val="24"/>
              </w:rPr>
              <w:t>投标响应</w:t>
            </w:r>
          </w:p>
        </w:tc>
        <w:tc>
          <w:tcPr>
            <w:tcW w:w="1307" w:type="dxa"/>
            <w:tcBorders>
              <w:top w:val="single" w:color="auto" w:sz="4" w:space="0"/>
              <w:left w:val="single" w:color="auto" w:sz="4" w:space="0"/>
              <w:bottom w:val="single" w:color="auto" w:sz="4" w:space="0"/>
              <w:right w:val="single" w:color="auto" w:sz="4" w:space="0"/>
            </w:tcBorders>
            <w:vAlign w:val="center"/>
          </w:tcPr>
          <w:p w14:paraId="706D11FC">
            <w:pPr>
              <w:rPr>
                <w:rFonts w:hint="eastAsia" w:ascii="宋体" w:hAnsi="宋体" w:cs="宋体"/>
                <w:sz w:val="24"/>
              </w:rPr>
            </w:pPr>
            <w:r>
              <w:rPr>
                <w:rFonts w:hint="eastAsia" w:ascii="宋体" w:hAnsi="宋体" w:cs="宋体"/>
                <w:sz w:val="24"/>
              </w:rPr>
              <w:t>超出、符合或偏离</w:t>
            </w:r>
          </w:p>
        </w:tc>
        <w:tc>
          <w:tcPr>
            <w:tcW w:w="1174" w:type="dxa"/>
            <w:tcBorders>
              <w:top w:val="single" w:color="auto" w:sz="4" w:space="0"/>
              <w:left w:val="single" w:color="auto" w:sz="4" w:space="0"/>
              <w:bottom w:val="single" w:color="auto" w:sz="4" w:space="0"/>
              <w:right w:val="single" w:color="auto" w:sz="4" w:space="0"/>
            </w:tcBorders>
            <w:vAlign w:val="center"/>
          </w:tcPr>
          <w:p w14:paraId="1D7FE5E3">
            <w:pPr>
              <w:jc w:val="center"/>
              <w:rPr>
                <w:rFonts w:hint="eastAsia" w:ascii="宋体" w:hAnsi="宋体" w:cs="宋体"/>
                <w:sz w:val="24"/>
              </w:rPr>
            </w:pPr>
            <w:r>
              <w:rPr>
                <w:rFonts w:hint="eastAsia" w:ascii="宋体" w:hAnsi="宋体" w:cs="宋体"/>
                <w:sz w:val="24"/>
              </w:rPr>
              <w:t>原因</w:t>
            </w:r>
          </w:p>
        </w:tc>
      </w:tr>
      <w:tr w14:paraId="3D12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4DE51918">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510103A8">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4B3CB78F">
            <w:pPr>
              <w:jc w:val="center"/>
              <w:rPr>
                <w:rFonts w:hint="eastAsia" w:ascii="宋体" w:hAnsi="宋体" w:cs="宋体"/>
                <w:sz w:val="24"/>
              </w:rPr>
            </w:pPr>
          </w:p>
        </w:tc>
        <w:tc>
          <w:tcPr>
            <w:tcW w:w="1307" w:type="dxa"/>
            <w:tcBorders>
              <w:top w:val="single" w:color="auto" w:sz="4" w:space="0"/>
              <w:left w:val="single" w:color="auto" w:sz="4" w:space="0"/>
              <w:bottom w:val="single" w:color="auto" w:sz="4" w:space="0"/>
              <w:right w:val="single" w:color="auto" w:sz="4" w:space="0"/>
            </w:tcBorders>
          </w:tcPr>
          <w:p w14:paraId="0728B080">
            <w:pPr>
              <w:jc w:val="center"/>
              <w:rPr>
                <w:rFonts w:hint="eastAsia" w:ascii="宋体" w:hAnsi="宋体" w:cs="宋体"/>
                <w:sz w:val="24"/>
              </w:rPr>
            </w:pPr>
          </w:p>
        </w:tc>
        <w:tc>
          <w:tcPr>
            <w:tcW w:w="1174" w:type="dxa"/>
            <w:tcBorders>
              <w:top w:val="single" w:color="auto" w:sz="4" w:space="0"/>
              <w:left w:val="single" w:color="auto" w:sz="4" w:space="0"/>
              <w:bottom w:val="single" w:color="auto" w:sz="4" w:space="0"/>
              <w:right w:val="single" w:color="auto" w:sz="4" w:space="0"/>
            </w:tcBorders>
          </w:tcPr>
          <w:p w14:paraId="5B04D927">
            <w:pPr>
              <w:jc w:val="center"/>
              <w:rPr>
                <w:rFonts w:hint="eastAsia" w:ascii="宋体" w:hAnsi="宋体" w:cs="宋体"/>
                <w:sz w:val="24"/>
              </w:rPr>
            </w:pPr>
          </w:p>
        </w:tc>
      </w:tr>
      <w:tr w14:paraId="7300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7B9DCB4B">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5BC64397">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3135D333">
            <w:pPr>
              <w:jc w:val="center"/>
              <w:rPr>
                <w:rFonts w:hint="eastAsia" w:ascii="宋体" w:hAnsi="宋体" w:cs="宋体"/>
                <w:sz w:val="24"/>
              </w:rPr>
            </w:pPr>
          </w:p>
        </w:tc>
        <w:tc>
          <w:tcPr>
            <w:tcW w:w="1307" w:type="dxa"/>
            <w:tcBorders>
              <w:top w:val="single" w:color="auto" w:sz="4" w:space="0"/>
              <w:left w:val="single" w:color="auto" w:sz="4" w:space="0"/>
              <w:bottom w:val="single" w:color="auto" w:sz="4" w:space="0"/>
              <w:right w:val="single" w:color="auto" w:sz="4" w:space="0"/>
            </w:tcBorders>
          </w:tcPr>
          <w:p w14:paraId="15865DF8">
            <w:pPr>
              <w:jc w:val="center"/>
              <w:rPr>
                <w:rFonts w:hint="eastAsia" w:ascii="宋体" w:hAnsi="宋体" w:cs="宋体"/>
                <w:sz w:val="24"/>
              </w:rPr>
            </w:pPr>
          </w:p>
        </w:tc>
        <w:tc>
          <w:tcPr>
            <w:tcW w:w="1174" w:type="dxa"/>
            <w:tcBorders>
              <w:top w:val="single" w:color="auto" w:sz="4" w:space="0"/>
              <w:left w:val="single" w:color="auto" w:sz="4" w:space="0"/>
              <w:bottom w:val="single" w:color="auto" w:sz="4" w:space="0"/>
              <w:right w:val="single" w:color="auto" w:sz="4" w:space="0"/>
            </w:tcBorders>
          </w:tcPr>
          <w:p w14:paraId="2FE666FC">
            <w:pPr>
              <w:jc w:val="center"/>
              <w:rPr>
                <w:rFonts w:hint="eastAsia" w:ascii="宋体" w:hAnsi="宋体" w:cs="宋体"/>
                <w:sz w:val="24"/>
              </w:rPr>
            </w:pPr>
          </w:p>
        </w:tc>
      </w:tr>
      <w:tr w14:paraId="7246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13CB0C2F">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51630844">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00F03738">
            <w:pPr>
              <w:jc w:val="center"/>
              <w:rPr>
                <w:rFonts w:hint="eastAsia" w:ascii="宋体" w:hAnsi="宋体" w:cs="宋体"/>
                <w:sz w:val="24"/>
              </w:rPr>
            </w:pPr>
          </w:p>
        </w:tc>
        <w:tc>
          <w:tcPr>
            <w:tcW w:w="1307" w:type="dxa"/>
            <w:tcBorders>
              <w:top w:val="single" w:color="auto" w:sz="4" w:space="0"/>
              <w:left w:val="single" w:color="auto" w:sz="4" w:space="0"/>
              <w:bottom w:val="single" w:color="auto" w:sz="4" w:space="0"/>
              <w:right w:val="single" w:color="auto" w:sz="4" w:space="0"/>
            </w:tcBorders>
          </w:tcPr>
          <w:p w14:paraId="09663E15">
            <w:pPr>
              <w:jc w:val="center"/>
              <w:rPr>
                <w:rFonts w:hint="eastAsia" w:ascii="宋体" w:hAnsi="宋体" w:cs="宋体"/>
                <w:sz w:val="24"/>
              </w:rPr>
            </w:pPr>
          </w:p>
        </w:tc>
        <w:tc>
          <w:tcPr>
            <w:tcW w:w="1174" w:type="dxa"/>
            <w:tcBorders>
              <w:top w:val="single" w:color="auto" w:sz="4" w:space="0"/>
              <w:left w:val="single" w:color="auto" w:sz="4" w:space="0"/>
              <w:bottom w:val="single" w:color="auto" w:sz="4" w:space="0"/>
              <w:right w:val="single" w:color="auto" w:sz="4" w:space="0"/>
            </w:tcBorders>
          </w:tcPr>
          <w:p w14:paraId="59935472">
            <w:pPr>
              <w:jc w:val="center"/>
              <w:rPr>
                <w:rFonts w:hint="eastAsia" w:ascii="宋体" w:hAnsi="宋体" w:cs="宋体"/>
                <w:sz w:val="24"/>
              </w:rPr>
            </w:pPr>
          </w:p>
        </w:tc>
      </w:tr>
      <w:tr w14:paraId="25EC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17A92F29">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398B57FE">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6CF4EA17">
            <w:pPr>
              <w:jc w:val="center"/>
              <w:rPr>
                <w:rFonts w:hint="eastAsia" w:ascii="宋体" w:hAnsi="宋体" w:cs="宋体"/>
                <w:sz w:val="24"/>
              </w:rPr>
            </w:pPr>
          </w:p>
        </w:tc>
        <w:tc>
          <w:tcPr>
            <w:tcW w:w="1307" w:type="dxa"/>
            <w:tcBorders>
              <w:top w:val="single" w:color="auto" w:sz="4" w:space="0"/>
              <w:left w:val="single" w:color="auto" w:sz="4" w:space="0"/>
              <w:bottom w:val="single" w:color="auto" w:sz="4" w:space="0"/>
              <w:right w:val="single" w:color="auto" w:sz="4" w:space="0"/>
            </w:tcBorders>
          </w:tcPr>
          <w:p w14:paraId="2976FA59">
            <w:pPr>
              <w:jc w:val="center"/>
              <w:rPr>
                <w:rFonts w:hint="eastAsia" w:ascii="宋体" w:hAnsi="宋体" w:cs="宋体"/>
                <w:sz w:val="24"/>
              </w:rPr>
            </w:pPr>
          </w:p>
        </w:tc>
        <w:tc>
          <w:tcPr>
            <w:tcW w:w="1174" w:type="dxa"/>
            <w:tcBorders>
              <w:top w:val="single" w:color="auto" w:sz="4" w:space="0"/>
              <w:left w:val="single" w:color="auto" w:sz="4" w:space="0"/>
              <w:bottom w:val="single" w:color="auto" w:sz="4" w:space="0"/>
              <w:right w:val="single" w:color="auto" w:sz="4" w:space="0"/>
            </w:tcBorders>
          </w:tcPr>
          <w:p w14:paraId="14461F88">
            <w:pPr>
              <w:jc w:val="center"/>
              <w:rPr>
                <w:rFonts w:hint="eastAsia" w:ascii="宋体" w:hAnsi="宋体" w:cs="宋体"/>
                <w:sz w:val="24"/>
              </w:rPr>
            </w:pPr>
          </w:p>
        </w:tc>
      </w:tr>
      <w:tr w14:paraId="0FCF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6528334A">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11DAF24B">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7DFAD27B">
            <w:pPr>
              <w:jc w:val="center"/>
              <w:rPr>
                <w:rFonts w:hint="eastAsia" w:ascii="宋体" w:hAnsi="宋体" w:cs="宋体"/>
                <w:sz w:val="24"/>
              </w:rPr>
            </w:pPr>
          </w:p>
        </w:tc>
        <w:tc>
          <w:tcPr>
            <w:tcW w:w="1307" w:type="dxa"/>
            <w:tcBorders>
              <w:top w:val="single" w:color="auto" w:sz="4" w:space="0"/>
              <w:left w:val="single" w:color="auto" w:sz="4" w:space="0"/>
              <w:bottom w:val="single" w:color="auto" w:sz="4" w:space="0"/>
              <w:right w:val="single" w:color="auto" w:sz="4" w:space="0"/>
            </w:tcBorders>
          </w:tcPr>
          <w:p w14:paraId="58A2FE8E">
            <w:pPr>
              <w:jc w:val="center"/>
              <w:rPr>
                <w:rFonts w:hint="eastAsia" w:ascii="宋体" w:hAnsi="宋体" w:cs="宋体"/>
                <w:sz w:val="24"/>
              </w:rPr>
            </w:pPr>
          </w:p>
        </w:tc>
        <w:tc>
          <w:tcPr>
            <w:tcW w:w="1174" w:type="dxa"/>
            <w:tcBorders>
              <w:top w:val="single" w:color="auto" w:sz="4" w:space="0"/>
              <w:left w:val="single" w:color="auto" w:sz="4" w:space="0"/>
              <w:bottom w:val="single" w:color="auto" w:sz="4" w:space="0"/>
              <w:right w:val="single" w:color="auto" w:sz="4" w:space="0"/>
            </w:tcBorders>
          </w:tcPr>
          <w:p w14:paraId="4101AA08">
            <w:pPr>
              <w:jc w:val="center"/>
              <w:rPr>
                <w:rFonts w:hint="eastAsia" w:ascii="宋体" w:hAnsi="宋体" w:cs="宋体"/>
                <w:sz w:val="24"/>
              </w:rPr>
            </w:pPr>
          </w:p>
        </w:tc>
      </w:tr>
      <w:tr w14:paraId="652E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2D7DB372">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6B40B9D7">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602823E7">
            <w:pPr>
              <w:jc w:val="center"/>
              <w:rPr>
                <w:rFonts w:hint="eastAsia" w:ascii="宋体" w:hAnsi="宋体" w:cs="宋体"/>
                <w:sz w:val="24"/>
              </w:rPr>
            </w:pPr>
          </w:p>
        </w:tc>
        <w:tc>
          <w:tcPr>
            <w:tcW w:w="1307" w:type="dxa"/>
            <w:tcBorders>
              <w:top w:val="single" w:color="auto" w:sz="4" w:space="0"/>
              <w:left w:val="single" w:color="auto" w:sz="4" w:space="0"/>
              <w:bottom w:val="single" w:color="auto" w:sz="4" w:space="0"/>
              <w:right w:val="single" w:color="auto" w:sz="4" w:space="0"/>
            </w:tcBorders>
          </w:tcPr>
          <w:p w14:paraId="271CA7AA">
            <w:pPr>
              <w:jc w:val="center"/>
              <w:rPr>
                <w:rFonts w:hint="eastAsia" w:ascii="宋体" w:hAnsi="宋体" w:cs="宋体"/>
                <w:sz w:val="24"/>
              </w:rPr>
            </w:pPr>
          </w:p>
        </w:tc>
        <w:tc>
          <w:tcPr>
            <w:tcW w:w="1174" w:type="dxa"/>
            <w:tcBorders>
              <w:top w:val="single" w:color="auto" w:sz="4" w:space="0"/>
              <w:left w:val="single" w:color="auto" w:sz="4" w:space="0"/>
              <w:bottom w:val="single" w:color="auto" w:sz="4" w:space="0"/>
              <w:right w:val="single" w:color="auto" w:sz="4" w:space="0"/>
            </w:tcBorders>
          </w:tcPr>
          <w:p w14:paraId="7E8F42F8">
            <w:pPr>
              <w:jc w:val="center"/>
              <w:rPr>
                <w:rFonts w:hint="eastAsia" w:ascii="宋体" w:hAnsi="宋体" w:cs="宋体"/>
                <w:sz w:val="24"/>
              </w:rPr>
            </w:pPr>
          </w:p>
        </w:tc>
      </w:tr>
      <w:tr w14:paraId="5CA8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58629335">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34857D30">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41B7FD74">
            <w:pPr>
              <w:jc w:val="center"/>
              <w:rPr>
                <w:rFonts w:hint="eastAsia" w:ascii="宋体" w:hAnsi="宋体" w:cs="宋体"/>
                <w:sz w:val="24"/>
              </w:rPr>
            </w:pPr>
          </w:p>
        </w:tc>
        <w:tc>
          <w:tcPr>
            <w:tcW w:w="1307" w:type="dxa"/>
            <w:tcBorders>
              <w:top w:val="single" w:color="auto" w:sz="4" w:space="0"/>
              <w:left w:val="single" w:color="auto" w:sz="4" w:space="0"/>
              <w:bottom w:val="single" w:color="auto" w:sz="4" w:space="0"/>
              <w:right w:val="single" w:color="auto" w:sz="4" w:space="0"/>
            </w:tcBorders>
          </w:tcPr>
          <w:p w14:paraId="68FBE7E6">
            <w:pPr>
              <w:jc w:val="center"/>
              <w:rPr>
                <w:rFonts w:hint="eastAsia" w:ascii="宋体" w:hAnsi="宋体" w:cs="宋体"/>
                <w:sz w:val="24"/>
              </w:rPr>
            </w:pPr>
          </w:p>
        </w:tc>
        <w:tc>
          <w:tcPr>
            <w:tcW w:w="1174" w:type="dxa"/>
            <w:tcBorders>
              <w:top w:val="single" w:color="auto" w:sz="4" w:space="0"/>
              <w:left w:val="single" w:color="auto" w:sz="4" w:space="0"/>
              <w:bottom w:val="single" w:color="auto" w:sz="4" w:space="0"/>
              <w:right w:val="single" w:color="auto" w:sz="4" w:space="0"/>
            </w:tcBorders>
          </w:tcPr>
          <w:p w14:paraId="6FECB970">
            <w:pPr>
              <w:jc w:val="center"/>
              <w:rPr>
                <w:rFonts w:hint="eastAsia" w:ascii="宋体" w:hAnsi="宋体" w:cs="宋体"/>
                <w:sz w:val="24"/>
              </w:rPr>
            </w:pPr>
          </w:p>
        </w:tc>
      </w:tr>
      <w:tr w14:paraId="0031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14:paraId="6FF1A193">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56F2FE32">
            <w:pPr>
              <w:jc w:val="center"/>
              <w:rPr>
                <w:rFonts w:hint="eastAsia" w:ascii="宋体" w:hAnsi="宋体" w:cs="宋体"/>
                <w:sz w:val="24"/>
              </w:rPr>
            </w:pPr>
          </w:p>
        </w:tc>
        <w:tc>
          <w:tcPr>
            <w:tcW w:w="2852" w:type="dxa"/>
            <w:tcBorders>
              <w:top w:val="single" w:color="auto" w:sz="4" w:space="0"/>
              <w:left w:val="single" w:color="auto" w:sz="4" w:space="0"/>
              <w:bottom w:val="single" w:color="auto" w:sz="4" w:space="0"/>
              <w:right w:val="single" w:color="auto" w:sz="4" w:space="0"/>
            </w:tcBorders>
          </w:tcPr>
          <w:p w14:paraId="252D8236">
            <w:pPr>
              <w:jc w:val="center"/>
              <w:rPr>
                <w:rFonts w:hint="eastAsia" w:ascii="宋体" w:hAnsi="宋体" w:cs="宋体"/>
                <w:sz w:val="24"/>
              </w:rPr>
            </w:pPr>
          </w:p>
        </w:tc>
        <w:tc>
          <w:tcPr>
            <w:tcW w:w="1307" w:type="dxa"/>
            <w:tcBorders>
              <w:top w:val="single" w:color="auto" w:sz="4" w:space="0"/>
              <w:left w:val="single" w:color="auto" w:sz="4" w:space="0"/>
              <w:bottom w:val="single" w:color="auto" w:sz="4" w:space="0"/>
              <w:right w:val="single" w:color="auto" w:sz="4" w:space="0"/>
            </w:tcBorders>
          </w:tcPr>
          <w:p w14:paraId="186AE324">
            <w:pPr>
              <w:jc w:val="center"/>
              <w:rPr>
                <w:rFonts w:hint="eastAsia" w:ascii="宋体" w:hAnsi="宋体" w:cs="宋体"/>
                <w:sz w:val="24"/>
              </w:rPr>
            </w:pPr>
          </w:p>
        </w:tc>
        <w:tc>
          <w:tcPr>
            <w:tcW w:w="1174" w:type="dxa"/>
            <w:tcBorders>
              <w:top w:val="single" w:color="auto" w:sz="4" w:space="0"/>
              <w:left w:val="single" w:color="auto" w:sz="4" w:space="0"/>
              <w:bottom w:val="single" w:color="auto" w:sz="4" w:space="0"/>
              <w:right w:val="single" w:color="auto" w:sz="4" w:space="0"/>
            </w:tcBorders>
          </w:tcPr>
          <w:p w14:paraId="151BC92A">
            <w:pPr>
              <w:jc w:val="center"/>
              <w:rPr>
                <w:rFonts w:hint="eastAsia" w:ascii="宋体" w:hAnsi="宋体" w:cs="宋体"/>
                <w:sz w:val="24"/>
              </w:rPr>
            </w:pPr>
          </w:p>
        </w:tc>
      </w:tr>
    </w:tbl>
    <w:p w14:paraId="7CDF8F7C">
      <w:pPr>
        <w:rPr>
          <w:rFonts w:hint="eastAsia" w:ascii="宋体" w:hAnsi="宋体" w:cs="宋体"/>
          <w:sz w:val="24"/>
        </w:rPr>
      </w:pPr>
      <w:r>
        <w:rPr>
          <w:rFonts w:hint="eastAsia" w:ascii="宋体" w:hAnsi="宋体" w:cs="宋体"/>
          <w:sz w:val="24"/>
        </w:rPr>
        <w:t>法定代表人或授权代表签字：</w:t>
      </w:r>
    </w:p>
    <w:p w14:paraId="7C656393">
      <w:pPr>
        <w:rPr>
          <w:rFonts w:hint="eastAsia" w:ascii="宋体" w:hAnsi="宋体" w:cs="宋体"/>
          <w:sz w:val="24"/>
        </w:rPr>
      </w:pPr>
    </w:p>
    <w:p w14:paraId="23284E23">
      <w:pPr>
        <w:rPr>
          <w:rFonts w:hint="eastAsia" w:ascii="宋体" w:hAnsi="宋体" w:cs="宋体"/>
          <w:sz w:val="24"/>
        </w:rPr>
      </w:pPr>
    </w:p>
    <w:p w14:paraId="05737903">
      <w:pPr>
        <w:rPr>
          <w:rFonts w:hint="eastAsia" w:ascii="宋体" w:hAnsi="宋体" w:cs="宋体"/>
          <w:sz w:val="24"/>
        </w:rPr>
      </w:pPr>
      <w:r>
        <w:rPr>
          <w:rFonts w:hint="eastAsia" w:ascii="宋体" w:hAnsi="宋体" w:cs="宋体"/>
          <w:sz w:val="24"/>
        </w:rPr>
        <w:t>注：1、按照基本技术要求详细填列。</w:t>
      </w:r>
    </w:p>
    <w:p w14:paraId="0759DD63">
      <w:pPr>
        <w:ind w:firstLine="480" w:firstLineChars="200"/>
        <w:rPr>
          <w:rFonts w:hint="eastAsia" w:ascii="宋体" w:hAnsi="宋体" w:cs="宋体"/>
          <w:sz w:val="24"/>
        </w:rPr>
      </w:pPr>
      <w:r>
        <w:rPr>
          <w:rFonts w:hint="eastAsia" w:ascii="宋体" w:hAnsi="宋体" w:cs="宋体"/>
          <w:sz w:val="24"/>
        </w:rPr>
        <w:t>2、行数不够，可自行添加。</w:t>
      </w:r>
    </w:p>
    <w:p w14:paraId="619017BB">
      <w:pPr>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全空表示完全响应招标文件技术参数要求。</w:t>
      </w:r>
    </w:p>
    <w:p w14:paraId="6D587576"/>
    <w:p w14:paraId="61445859">
      <w:pPr>
        <w:pStyle w:val="23"/>
        <w:spacing w:line="560" w:lineRule="atLeast"/>
      </w:pPr>
    </w:p>
    <w:p w14:paraId="4BAACA40">
      <w:pPr>
        <w:pStyle w:val="23"/>
        <w:spacing w:line="560" w:lineRule="atLeast"/>
      </w:pPr>
    </w:p>
    <w:p w14:paraId="56E114BB">
      <w:pPr>
        <w:spacing w:line="360" w:lineRule="auto"/>
        <w:jc w:val="center"/>
        <w:rPr>
          <w:rFonts w:hint="eastAsia" w:ascii="宋体" w:hAnsi="宋体" w:cs="宋体"/>
          <w:b/>
          <w:sz w:val="32"/>
          <w:szCs w:val="32"/>
          <w:u w:val="single"/>
        </w:rPr>
      </w:pPr>
    </w:p>
    <w:p w14:paraId="5E7F1C4F">
      <w:pPr>
        <w:spacing w:line="360" w:lineRule="auto"/>
        <w:jc w:val="center"/>
        <w:rPr>
          <w:rFonts w:hint="eastAsia" w:ascii="宋体" w:hAnsi="宋体" w:cs="宋体"/>
          <w:b/>
          <w:sz w:val="32"/>
          <w:szCs w:val="32"/>
          <w:u w:val="single"/>
        </w:rPr>
      </w:pPr>
    </w:p>
    <w:p w14:paraId="324B42C3">
      <w:pPr>
        <w:spacing w:line="360" w:lineRule="auto"/>
        <w:jc w:val="center"/>
        <w:rPr>
          <w:rFonts w:hint="eastAsia" w:ascii="宋体" w:hAnsi="宋体" w:cs="宋体"/>
          <w:b/>
          <w:sz w:val="32"/>
          <w:szCs w:val="32"/>
          <w:u w:val="single"/>
        </w:rPr>
      </w:pPr>
    </w:p>
    <w:p w14:paraId="0E587C03">
      <w:pPr>
        <w:jc w:val="center"/>
        <w:rPr>
          <w:rFonts w:hint="eastAsia" w:ascii="宋体" w:hAnsi="宋体" w:cs="宋体"/>
          <w:b/>
          <w:sz w:val="32"/>
          <w:szCs w:val="32"/>
        </w:rPr>
      </w:pPr>
      <w:r>
        <w:rPr>
          <w:rFonts w:ascii="微软雅黑" w:hAnsi="微软雅黑" w:eastAsia="微软雅黑" w:cs="微软雅黑"/>
          <w:b/>
          <w:sz w:val="32"/>
          <w:szCs w:val="32"/>
          <w:shd w:val="clear" w:color="auto" w:fill="FFFFFF"/>
        </w:rPr>
        <w:br w:type="page"/>
      </w:r>
      <w:r>
        <w:rPr>
          <w:rFonts w:hint="eastAsia" w:ascii="宋体" w:hAnsi="宋体" w:cs="宋体"/>
          <w:b/>
          <w:sz w:val="32"/>
          <w:szCs w:val="32"/>
        </w:rPr>
        <w:t>商务部分正负偏离表</w:t>
      </w:r>
    </w:p>
    <w:p w14:paraId="630890C1">
      <w:pPr>
        <w:jc w:val="center"/>
        <w:rPr>
          <w:rFonts w:hint="eastAsia" w:ascii="宋体" w:hAnsi="宋体" w:cs="宋体"/>
          <w:sz w:val="24"/>
        </w:rPr>
      </w:pPr>
    </w:p>
    <w:p w14:paraId="485FE334">
      <w:pPr>
        <w:rPr>
          <w:rFonts w:hint="eastAsia" w:ascii="宋体" w:hAnsi="宋体" w:cs="宋体"/>
          <w:sz w:val="24"/>
        </w:rPr>
      </w:pPr>
      <w:r>
        <w:rPr>
          <w:rFonts w:hint="eastAsia" w:ascii="宋体" w:hAnsi="宋体" w:cs="宋体"/>
          <w:sz w:val="24"/>
        </w:rPr>
        <w:t xml:space="preserve">投标人全称（加盖公章）：        </w:t>
      </w:r>
    </w:p>
    <w:tbl>
      <w:tblPr>
        <w:tblStyle w:val="10"/>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7"/>
        <w:gridCol w:w="2698"/>
        <w:gridCol w:w="1259"/>
        <w:gridCol w:w="3018"/>
      </w:tblGrid>
      <w:tr w14:paraId="0A791D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jc w:val="center"/>
        </w:trPr>
        <w:tc>
          <w:tcPr>
            <w:tcW w:w="1547" w:type="dxa"/>
            <w:tcBorders>
              <w:top w:val="single" w:color="auto" w:sz="4" w:space="0"/>
              <w:left w:val="single" w:color="auto" w:sz="4" w:space="0"/>
              <w:bottom w:val="single" w:color="auto" w:sz="4" w:space="0"/>
              <w:right w:val="single" w:color="auto" w:sz="4" w:space="0"/>
            </w:tcBorders>
          </w:tcPr>
          <w:p w14:paraId="47FE741F">
            <w:pPr>
              <w:snapToGrid w:val="0"/>
              <w:spacing w:before="156" w:beforeLines="50"/>
              <w:rPr>
                <w:rFonts w:hint="eastAsia" w:ascii="仿宋_GB2312" w:hAnsi="宋体" w:eastAsia="仿宋_GB2312" w:cs="仿宋_GB2312"/>
                <w:sz w:val="24"/>
              </w:rPr>
            </w:pPr>
            <w:r>
              <w:rPr>
                <w:rFonts w:hint="eastAsia" w:ascii="仿宋_GB2312" w:hAnsi="宋体" w:cs="宋体"/>
                <w:sz w:val="24"/>
                <w:szCs w:val="21"/>
              </w:rPr>
              <w:t>项目</w:t>
            </w:r>
          </w:p>
        </w:tc>
        <w:tc>
          <w:tcPr>
            <w:tcW w:w="2698" w:type="dxa"/>
            <w:tcBorders>
              <w:top w:val="single" w:color="auto" w:sz="4" w:space="0"/>
              <w:left w:val="single" w:color="auto" w:sz="4" w:space="0"/>
              <w:bottom w:val="single" w:color="auto" w:sz="4" w:space="0"/>
              <w:right w:val="single" w:color="auto" w:sz="4" w:space="0"/>
            </w:tcBorders>
          </w:tcPr>
          <w:p w14:paraId="09621197">
            <w:pPr>
              <w:snapToGrid w:val="0"/>
              <w:spacing w:before="156" w:beforeLines="50"/>
              <w:rPr>
                <w:rFonts w:hint="eastAsia" w:ascii="仿宋_GB2312" w:hAnsi="宋体" w:eastAsia="仿宋_GB2312" w:cs="仿宋_GB2312"/>
                <w:sz w:val="24"/>
              </w:rPr>
            </w:pPr>
            <w:r>
              <w:rPr>
                <w:rFonts w:hint="eastAsia" w:ascii="仿宋_GB2312" w:hAnsi="宋体" w:cs="宋体"/>
                <w:sz w:val="24"/>
                <w:szCs w:val="21"/>
              </w:rPr>
              <w:t>招标文件要求</w:t>
            </w:r>
          </w:p>
        </w:tc>
        <w:tc>
          <w:tcPr>
            <w:tcW w:w="1259" w:type="dxa"/>
            <w:tcBorders>
              <w:top w:val="single" w:color="auto" w:sz="4" w:space="0"/>
              <w:left w:val="single" w:color="auto" w:sz="4" w:space="0"/>
              <w:bottom w:val="single" w:color="auto" w:sz="4" w:space="0"/>
              <w:right w:val="single" w:color="auto" w:sz="4" w:space="0"/>
            </w:tcBorders>
          </w:tcPr>
          <w:p w14:paraId="2A0C235D">
            <w:pPr>
              <w:snapToGrid w:val="0"/>
              <w:spacing w:before="156" w:beforeLines="50"/>
              <w:rPr>
                <w:rFonts w:hint="eastAsia" w:ascii="仿宋_GB2312" w:hAnsi="宋体" w:eastAsia="仿宋_GB2312" w:cs="仿宋_GB2312"/>
                <w:sz w:val="24"/>
              </w:rPr>
            </w:pPr>
            <w:r>
              <w:rPr>
                <w:rFonts w:hint="eastAsia" w:ascii="仿宋_GB2312" w:hAnsi="宋体" w:cs="宋体"/>
                <w:sz w:val="24"/>
                <w:szCs w:val="21"/>
              </w:rPr>
              <w:t>是否响应</w:t>
            </w:r>
          </w:p>
        </w:tc>
        <w:tc>
          <w:tcPr>
            <w:tcW w:w="3018" w:type="dxa"/>
            <w:tcBorders>
              <w:top w:val="single" w:color="auto" w:sz="4" w:space="0"/>
              <w:left w:val="single" w:color="auto" w:sz="4" w:space="0"/>
              <w:bottom w:val="single" w:color="auto" w:sz="4" w:space="0"/>
              <w:right w:val="single" w:color="auto" w:sz="4" w:space="0"/>
            </w:tcBorders>
          </w:tcPr>
          <w:p w14:paraId="2679DF18">
            <w:pPr>
              <w:snapToGrid w:val="0"/>
              <w:spacing w:before="156" w:beforeLines="50"/>
              <w:rPr>
                <w:rFonts w:hint="eastAsia" w:ascii="仿宋_GB2312" w:hAnsi="宋体" w:eastAsia="仿宋_GB2312" w:cs="仿宋_GB2312"/>
                <w:sz w:val="24"/>
              </w:rPr>
            </w:pPr>
            <w:r>
              <w:rPr>
                <w:rFonts w:hint="eastAsia" w:ascii="仿宋_GB2312" w:hAnsi="宋体" w:cs="宋体"/>
                <w:sz w:val="24"/>
                <w:szCs w:val="21"/>
              </w:rPr>
              <w:t>投标人的承诺或说明</w:t>
            </w:r>
          </w:p>
        </w:tc>
      </w:tr>
      <w:tr w14:paraId="6AAAE7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jc w:val="center"/>
        </w:trPr>
        <w:tc>
          <w:tcPr>
            <w:tcW w:w="1547" w:type="dxa"/>
            <w:tcBorders>
              <w:top w:val="single" w:color="auto" w:sz="4" w:space="0"/>
              <w:left w:val="single" w:color="auto" w:sz="4" w:space="0"/>
              <w:bottom w:val="single" w:color="auto" w:sz="4" w:space="0"/>
              <w:right w:val="single" w:color="auto" w:sz="4" w:space="0"/>
            </w:tcBorders>
          </w:tcPr>
          <w:p w14:paraId="5FF10BD7">
            <w:pPr>
              <w:snapToGrid w:val="0"/>
              <w:spacing w:before="156" w:beforeLines="50"/>
              <w:rPr>
                <w:rFonts w:hint="eastAsia" w:ascii="仿宋_GB2312" w:hAnsi="宋体" w:eastAsia="仿宋_GB2312" w:cs="仿宋_GB2312"/>
                <w:sz w:val="24"/>
              </w:rPr>
            </w:pPr>
            <w:r>
              <w:rPr>
                <w:rFonts w:hint="eastAsia" w:ascii="仿宋_GB2312" w:hAnsi="宋体" w:cs="宋体"/>
                <w:sz w:val="24"/>
                <w:szCs w:val="21"/>
              </w:rPr>
              <w:t>质保期</w:t>
            </w:r>
          </w:p>
        </w:tc>
        <w:tc>
          <w:tcPr>
            <w:tcW w:w="2698" w:type="dxa"/>
            <w:tcBorders>
              <w:top w:val="single" w:color="auto" w:sz="4" w:space="0"/>
              <w:left w:val="single" w:color="auto" w:sz="4" w:space="0"/>
              <w:bottom w:val="single" w:color="auto" w:sz="4" w:space="0"/>
              <w:right w:val="single" w:color="auto" w:sz="4" w:space="0"/>
            </w:tcBorders>
          </w:tcPr>
          <w:p w14:paraId="77D7F033">
            <w:pPr>
              <w:snapToGrid w:val="0"/>
              <w:spacing w:before="156" w:beforeLines="50"/>
              <w:rPr>
                <w:rFonts w:hint="eastAsia" w:ascii="仿宋_GB2312" w:hAnsi="宋体" w:eastAsia="仿宋_GB2312" w:cs="仿宋_GB2312"/>
                <w:sz w:val="24"/>
              </w:rPr>
            </w:pPr>
          </w:p>
        </w:tc>
        <w:tc>
          <w:tcPr>
            <w:tcW w:w="1259" w:type="dxa"/>
            <w:tcBorders>
              <w:top w:val="single" w:color="auto" w:sz="4" w:space="0"/>
              <w:left w:val="single" w:color="auto" w:sz="4" w:space="0"/>
              <w:bottom w:val="single" w:color="auto" w:sz="4" w:space="0"/>
              <w:right w:val="single" w:color="auto" w:sz="4" w:space="0"/>
            </w:tcBorders>
          </w:tcPr>
          <w:p w14:paraId="6D801215">
            <w:pPr>
              <w:snapToGrid w:val="0"/>
              <w:spacing w:before="156" w:beforeLines="50"/>
              <w:rPr>
                <w:rFonts w:hint="eastAsia" w:ascii="仿宋_GB2312" w:hAnsi="宋体" w:eastAsia="仿宋_GB2312" w:cs="仿宋_GB2312"/>
                <w:sz w:val="24"/>
              </w:rPr>
            </w:pPr>
          </w:p>
        </w:tc>
        <w:tc>
          <w:tcPr>
            <w:tcW w:w="3018" w:type="dxa"/>
            <w:tcBorders>
              <w:top w:val="single" w:color="auto" w:sz="4" w:space="0"/>
              <w:left w:val="single" w:color="auto" w:sz="4" w:space="0"/>
              <w:bottom w:val="single" w:color="auto" w:sz="4" w:space="0"/>
              <w:right w:val="single" w:color="auto" w:sz="4" w:space="0"/>
            </w:tcBorders>
          </w:tcPr>
          <w:p w14:paraId="245EB9DE">
            <w:pPr>
              <w:snapToGrid w:val="0"/>
              <w:spacing w:before="156" w:beforeLines="50"/>
              <w:rPr>
                <w:rFonts w:hint="eastAsia" w:ascii="仿宋_GB2312" w:hAnsi="宋体" w:eastAsia="仿宋_GB2312" w:cs="仿宋_GB2312"/>
                <w:sz w:val="24"/>
              </w:rPr>
            </w:pPr>
          </w:p>
        </w:tc>
      </w:tr>
      <w:tr w14:paraId="5B3341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jc w:val="center"/>
        </w:trPr>
        <w:tc>
          <w:tcPr>
            <w:tcW w:w="1547" w:type="dxa"/>
            <w:tcBorders>
              <w:top w:val="single" w:color="auto" w:sz="4" w:space="0"/>
              <w:left w:val="single" w:color="auto" w:sz="4" w:space="0"/>
              <w:bottom w:val="single" w:color="auto" w:sz="4" w:space="0"/>
              <w:right w:val="single" w:color="auto" w:sz="4" w:space="0"/>
            </w:tcBorders>
          </w:tcPr>
          <w:p w14:paraId="522DAD07">
            <w:pPr>
              <w:snapToGrid w:val="0"/>
              <w:spacing w:before="156" w:beforeLines="50"/>
              <w:rPr>
                <w:rFonts w:hint="eastAsia" w:ascii="仿宋_GB2312" w:hAnsi="宋体" w:eastAsia="仿宋_GB2312" w:cs="仿宋_GB2312"/>
                <w:sz w:val="24"/>
              </w:rPr>
            </w:pPr>
            <w:r>
              <w:rPr>
                <w:rFonts w:hint="eastAsia" w:ascii="仿宋_GB2312" w:cs="宋体"/>
                <w:sz w:val="24"/>
                <w:szCs w:val="21"/>
              </w:rPr>
              <w:t>售后技术服务要求</w:t>
            </w:r>
          </w:p>
        </w:tc>
        <w:tc>
          <w:tcPr>
            <w:tcW w:w="2698" w:type="dxa"/>
            <w:tcBorders>
              <w:top w:val="single" w:color="auto" w:sz="4" w:space="0"/>
              <w:left w:val="single" w:color="auto" w:sz="4" w:space="0"/>
              <w:bottom w:val="single" w:color="auto" w:sz="4" w:space="0"/>
              <w:right w:val="single" w:color="auto" w:sz="4" w:space="0"/>
            </w:tcBorders>
          </w:tcPr>
          <w:p w14:paraId="3101A706">
            <w:pPr>
              <w:snapToGrid w:val="0"/>
              <w:spacing w:before="156" w:beforeLines="50"/>
              <w:rPr>
                <w:rFonts w:hint="eastAsia" w:ascii="仿宋_GB2312" w:hAnsi="宋体" w:eastAsia="仿宋_GB2312" w:cs="仿宋_GB2312"/>
                <w:sz w:val="24"/>
              </w:rPr>
            </w:pPr>
          </w:p>
        </w:tc>
        <w:tc>
          <w:tcPr>
            <w:tcW w:w="1259" w:type="dxa"/>
            <w:tcBorders>
              <w:top w:val="single" w:color="auto" w:sz="4" w:space="0"/>
              <w:left w:val="single" w:color="auto" w:sz="4" w:space="0"/>
              <w:bottom w:val="single" w:color="auto" w:sz="4" w:space="0"/>
              <w:right w:val="single" w:color="auto" w:sz="4" w:space="0"/>
            </w:tcBorders>
          </w:tcPr>
          <w:p w14:paraId="7A43B678">
            <w:pPr>
              <w:snapToGrid w:val="0"/>
              <w:spacing w:before="156" w:beforeLines="50"/>
              <w:rPr>
                <w:rFonts w:hint="eastAsia" w:ascii="仿宋_GB2312" w:hAnsi="宋体" w:eastAsia="仿宋_GB2312" w:cs="仿宋_GB2312"/>
                <w:sz w:val="24"/>
              </w:rPr>
            </w:pPr>
          </w:p>
        </w:tc>
        <w:tc>
          <w:tcPr>
            <w:tcW w:w="3018" w:type="dxa"/>
            <w:tcBorders>
              <w:top w:val="single" w:color="auto" w:sz="4" w:space="0"/>
              <w:left w:val="single" w:color="auto" w:sz="4" w:space="0"/>
              <w:bottom w:val="single" w:color="auto" w:sz="4" w:space="0"/>
              <w:right w:val="single" w:color="auto" w:sz="4" w:space="0"/>
            </w:tcBorders>
          </w:tcPr>
          <w:p w14:paraId="4AC383E4">
            <w:pPr>
              <w:snapToGrid w:val="0"/>
              <w:spacing w:before="156" w:beforeLines="50"/>
              <w:rPr>
                <w:rFonts w:hint="eastAsia" w:ascii="仿宋_GB2312" w:hAnsi="宋体" w:eastAsia="仿宋_GB2312" w:cs="仿宋_GB2312"/>
                <w:sz w:val="24"/>
              </w:rPr>
            </w:pPr>
          </w:p>
        </w:tc>
      </w:tr>
      <w:tr w14:paraId="0BC86D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0" w:hRule="atLeast"/>
          <w:jc w:val="center"/>
        </w:trPr>
        <w:tc>
          <w:tcPr>
            <w:tcW w:w="1547" w:type="dxa"/>
            <w:tcBorders>
              <w:top w:val="single" w:color="auto" w:sz="4" w:space="0"/>
              <w:left w:val="single" w:color="auto" w:sz="4" w:space="0"/>
              <w:bottom w:val="single" w:color="auto" w:sz="4" w:space="0"/>
              <w:right w:val="single" w:color="auto" w:sz="4" w:space="0"/>
            </w:tcBorders>
          </w:tcPr>
          <w:p w14:paraId="760C9B7F">
            <w:pPr>
              <w:snapToGrid w:val="0"/>
              <w:spacing w:before="156" w:beforeLines="50"/>
              <w:rPr>
                <w:rFonts w:hint="eastAsia" w:ascii="仿宋_GB2312" w:hAnsi="宋体" w:eastAsia="仿宋_GB2312" w:cs="仿宋_GB2312"/>
                <w:sz w:val="24"/>
              </w:rPr>
            </w:pPr>
            <w:r>
              <w:rPr>
                <w:rFonts w:hint="eastAsia" w:ascii="仿宋_GB2312" w:cs="宋体"/>
                <w:sz w:val="24"/>
                <w:szCs w:val="21"/>
              </w:rPr>
              <w:t>交货时间</w:t>
            </w:r>
          </w:p>
        </w:tc>
        <w:tc>
          <w:tcPr>
            <w:tcW w:w="2698" w:type="dxa"/>
            <w:tcBorders>
              <w:top w:val="single" w:color="auto" w:sz="4" w:space="0"/>
              <w:left w:val="single" w:color="auto" w:sz="4" w:space="0"/>
              <w:bottom w:val="single" w:color="auto" w:sz="4" w:space="0"/>
              <w:right w:val="single" w:color="auto" w:sz="4" w:space="0"/>
            </w:tcBorders>
          </w:tcPr>
          <w:p w14:paraId="6F4944C5">
            <w:pPr>
              <w:snapToGrid w:val="0"/>
              <w:spacing w:before="156" w:beforeLines="50"/>
              <w:rPr>
                <w:rFonts w:hint="eastAsia" w:ascii="仿宋_GB2312" w:hAnsi="宋体" w:eastAsia="仿宋_GB2312" w:cs="仿宋_GB2312"/>
                <w:sz w:val="24"/>
              </w:rPr>
            </w:pPr>
            <w:r>
              <w:rPr>
                <w:rFonts w:hint="eastAsia" w:ascii="仿宋_GB2312" w:hAnsi="宋体" w:cs="宋体"/>
                <w:sz w:val="24"/>
                <w:szCs w:val="21"/>
              </w:rPr>
              <w:t>合同签订后天内</w:t>
            </w:r>
          </w:p>
        </w:tc>
        <w:tc>
          <w:tcPr>
            <w:tcW w:w="1259" w:type="dxa"/>
            <w:tcBorders>
              <w:top w:val="single" w:color="auto" w:sz="4" w:space="0"/>
              <w:left w:val="single" w:color="auto" w:sz="4" w:space="0"/>
              <w:bottom w:val="single" w:color="auto" w:sz="4" w:space="0"/>
              <w:right w:val="single" w:color="auto" w:sz="4" w:space="0"/>
            </w:tcBorders>
          </w:tcPr>
          <w:p w14:paraId="17121ABB">
            <w:pPr>
              <w:snapToGrid w:val="0"/>
              <w:spacing w:before="156" w:beforeLines="50"/>
              <w:ind w:left="43"/>
              <w:rPr>
                <w:rFonts w:hint="eastAsia" w:ascii="仿宋_GB2312" w:hAnsi="宋体" w:eastAsia="仿宋_GB2312" w:cs="仿宋_GB2312"/>
                <w:sz w:val="24"/>
              </w:rPr>
            </w:pPr>
          </w:p>
        </w:tc>
        <w:tc>
          <w:tcPr>
            <w:tcW w:w="3018" w:type="dxa"/>
            <w:tcBorders>
              <w:top w:val="single" w:color="auto" w:sz="4" w:space="0"/>
              <w:left w:val="single" w:color="auto" w:sz="4" w:space="0"/>
              <w:bottom w:val="single" w:color="auto" w:sz="4" w:space="0"/>
              <w:right w:val="single" w:color="auto" w:sz="4" w:space="0"/>
            </w:tcBorders>
          </w:tcPr>
          <w:p w14:paraId="2B96354C">
            <w:pPr>
              <w:snapToGrid w:val="0"/>
              <w:spacing w:before="156" w:beforeLines="50"/>
              <w:ind w:left="43"/>
              <w:rPr>
                <w:rFonts w:hint="eastAsia" w:ascii="仿宋_GB2312" w:hAnsi="宋体" w:eastAsia="仿宋_GB2312" w:cs="仿宋_GB2312"/>
                <w:sz w:val="24"/>
              </w:rPr>
            </w:pPr>
          </w:p>
        </w:tc>
      </w:tr>
      <w:tr w14:paraId="6DDE73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0" w:hRule="atLeast"/>
          <w:jc w:val="center"/>
        </w:trPr>
        <w:tc>
          <w:tcPr>
            <w:tcW w:w="1547" w:type="dxa"/>
            <w:tcBorders>
              <w:top w:val="single" w:color="auto" w:sz="4" w:space="0"/>
              <w:left w:val="single" w:color="auto" w:sz="4" w:space="0"/>
              <w:bottom w:val="single" w:color="auto" w:sz="4" w:space="0"/>
              <w:right w:val="single" w:color="auto" w:sz="4" w:space="0"/>
            </w:tcBorders>
          </w:tcPr>
          <w:p w14:paraId="0AE342C1">
            <w:pPr>
              <w:snapToGrid w:val="0"/>
              <w:spacing w:before="156" w:beforeLines="50"/>
              <w:rPr>
                <w:rFonts w:ascii="仿宋_GB2312" w:cs="仿宋_GB2312"/>
                <w:sz w:val="24"/>
                <w:szCs w:val="21"/>
              </w:rPr>
            </w:pPr>
            <w:r>
              <w:rPr>
                <w:rFonts w:hint="eastAsia" w:ascii="仿宋_GB2312" w:cs="宋体"/>
                <w:sz w:val="24"/>
                <w:szCs w:val="21"/>
              </w:rPr>
              <w:t>交货方式</w:t>
            </w:r>
          </w:p>
        </w:tc>
        <w:tc>
          <w:tcPr>
            <w:tcW w:w="2698" w:type="dxa"/>
            <w:tcBorders>
              <w:top w:val="single" w:color="auto" w:sz="4" w:space="0"/>
              <w:left w:val="single" w:color="auto" w:sz="4" w:space="0"/>
              <w:bottom w:val="single" w:color="auto" w:sz="4" w:space="0"/>
              <w:right w:val="single" w:color="auto" w:sz="4" w:space="0"/>
            </w:tcBorders>
          </w:tcPr>
          <w:p w14:paraId="5BAC9903">
            <w:pPr>
              <w:snapToGrid w:val="0"/>
              <w:spacing w:before="156" w:beforeLines="50"/>
              <w:rPr>
                <w:rFonts w:hint="eastAsia" w:ascii="仿宋_GB2312" w:hAnsi="宋体" w:cs="仿宋_GB2312"/>
                <w:sz w:val="24"/>
                <w:szCs w:val="21"/>
              </w:rPr>
            </w:pPr>
          </w:p>
          <w:p w14:paraId="4CC14D75">
            <w:pPr>
              <w:snapToGrid w:val="0"/>
              <w:spacing w:before="156" w:beforeLines="50"/>
              <w:rPr>
                <w:rFonts w:hint="eastAsia" w:ascii="仿宋_GB2312" w:hAnsi="宋体" w:cs="仿宋_GB2312"/>
                <w:sz w:val="24"/>
                <w:szCs w:val="21"/>
              </w:rPr>
            </w:pPr>
          </w:p>
        </w:tc>
        <w:tc>
          <w:tcPr>
            <w:tcW w:w="1259" w:type="dxa"/>
            <w:tcBorders>
              <w:top w:val="single" w:color="auto" w:sz="4" w:space="0"/>
              <w:left w:val="single" w:color="auto" w:sz="4" w:space="0"/>
              <w:bottom w:val="single" w:color="auto" w:sz="4" w:space="0"/>
              <w:right w:val="single" w:color="auto" w:sz="4" w:space="0"/>
            </w:tcBorders>
          </w:tcPr>
          <w:p w14:paraId="37A87FF9">
            <w:pPr>
              <w:snapToGrid w:val="0"/>
              <w:spacing w:before="156" w:beforeLines="50"/>
              <w:ind w:left="43"/>
              <w:rPr>
                <w:rFonts w:hint="eastAsia" w:ascii="仿宋_GB2312" w:hAnsi="宋体" w:eastAsia="仿宋_GB2312" w:cs="仿宋_GB2312"/>
                <w:sz w:val="24"/>
              </w:rPr>
            </w:pPr>
          </w:p>
        </w:tc>
        <w:tc>
          <w:tcPr>
            <w:tcW w:w="3018" w:type="dxa"/>
            <w:tcBorders>
              <w:top w:val="single" w:color="auto" w:sz="4" w:space="0"/>
              <w:left w:val="single" w:color="auto" w:sz="4" w:space="0"/>
              <w:bottom w:val="single" w:color="auto" w:sz="4" w:space="0"/>
              <w:right w:val="single" w:color="auto" w:sz="4" w:space="0"/>
            </w:tcBorders>
          </w:tcPr>
          <w:p w14:paraId="4522037C">
            <w:pPr>
              <w:snapToGrid w:val="0"/>
              <w:spacing w:before="156" w:beforeLines="50"/>
              <w:ind w:left="43"/>
              <w:rPr>
                <w:rFonts w:hint="eastAsia" w:ascii="仿宋_GB2312" w:hAnsi="宋体" w:eastAsia="仿宋_GB2312" w:cs="仿宋_GB2312"/>
                <w:sz w:val="24"/>
              </w:rPr>
            </w:pPr>
          </w:p>
        </w:tc>
      </w:tr>
      <w:tr w14:paraId="552A07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0" w:hRule="atLeast"/>
          <w:jc w:val="center"/>
        </w:trPr>
        <w:tc>
          <w:tcPr>
            <w:tcW w:w="1547" w:type="dxa"/>
            <w:tcBorders>
              <w:top w:val="single" w:color="auto" w:sz="4" w:space="0"/>
              <w:left w:val="single" w:color="auto" w:sz="4" w:space="0"/>
              <w:bottom w:val="single" w:color="auto" w:sz="4" w:space="0"/>
              <w:right w:val="single" w:color="auto" w:sz="4" w:space="0"/>
            </w:tcBorders>
          </w:tcPr>
          <w:p w14:paraId="21671EEF">
            <w:pPr>
              <w:snapToGrid w:val="0"/>
              <w:spacing w:before="156" w:beforeLines="50"/>
              <w:rPr>
                <w:rFonts w:ascii="仿宋_GB2312" w:cs="仿宋_GB2312"/>
                <w:sz w:val="24"/>
                <w:szCs w:val="21"/>
              </w:rPr>
            </w:pPr>
            <w:r>
              <w:rPr>
                <w:rFonts w:hint="eastAsia" w:ascii="仿宋_GB2312" w:cs="宋体"/>
                <w:sz w:val="24"/>
                <w:szCs w:val="21"/>
              </w:rPr>
              <w:t>交货地点</w:t>
            </w:r>
          </w:p>
        </w:tc>
        <w:tc>
          <w:tcPr>
            <w:tcW w:w="2698" w:type="dxa"/>
            <w:tcBorders>
              <w:top w:val="single" w:color="auto" w:sz="4" w:space="0"/>
              <w:left w:val="single" w:color="auto" w:sz="4" w:space="0"/>
              <w:bottom w:val="single" w:color="auto" w:sz="4" w:space="0"/>
              <w:right w:val="single" w:color="auto" w:sz="4" w:space="0"/>
            </w:tcBorders>
          </w:tcPr>
          <w:p w14:paraId="14188C64">
            <w:pPr>
              <w:snapToGrid w:val="0"/>
              <w:spacing w:before="156" w:beforeLines="50"/>
              <w:rPr>
                <w:rFonts w:hint="eastAsia" w:ascii="仿宋_GB2312" w:hAnsi="宋体" w:cs="仿宋_GB2312"/>
                <w:sz w:val="24"/>
                <w:szCs w:val="21"/>
              </w:rPr>
            </w:pPr>
          </w:p>
          <w:p w14:paraId="000E18C0">
            <w:pPr>
              <w:snapToGrid w:val="0"/>
              <w:spacing w:before="156" w:beforeLines="50"/>
              <w:rPr>
                <w:rFonts w:hint="eastAsia" w:ascii="仿宋_GB2312" w:hAnsi="宋体" w:cs="仿宋_GB2312"/>
                <w:sz w:val="24"/>
                <w:szCs w:val="21"/>
              </w:rPr>
            </w:pPr>
          </w:p>
        </w:tc>
        <w:tc>
          <w:tcPr>
            <w:tcW w:w="1259" w:type="dxa"/>
            <w:tcBorders>
              <w:top w:val="single" w:color="auto" w:sz="4" w:space="0"/>
              <w:left w:val="single" w:color="auto" w:sz="4" w:space="0"/>
              <w:bottom w:val="single" w:color="auto" w:sz="4" w:space="0"/>
              <w:right w:val="single" w:color="auto" w:sz="4" w:space="0"/>
            </w:tcBorders>
          </w:tcPr>
          <w:p w14:paraId="4916061F">
            <w:pPr>
              <w:snapToGrid w:val="0"/>
              <w:spacing w:before="156" w:beforeLines="50"/>
              <w:ind w:left="43"/>
              <w:rPr>
                <w:rFonts w:hint="eastAsia" w:ascii="仿宋_GB2312" w:hAnsi="宋体" w:eastAsia="仿宋_GB2312" w:cs="仿宋_GB2312"/>
                <w:sz w:val="24"/>
              </w:rPr>
            </w:pPr>
          </w:p>
        </w:tc>
        <w:tc>
          <w:tcPr>
            <w:tcW w:w="3018" w:type="dxa"/>
            <w:tcBorders>
              <w:top w:val="single" w:color="auto" w:sz="4" w:space="0"/>
              <w:left w:val="single" w:color="auto" w:sz="4" w:space="0"/>
              <w:bottom w:val="single" w:color="auto" w:sz="4" w:space="0"/>
              <w:right w:val="single" w:color="auto" w:sz="4" w:space="0"/>
            </w:tcBorders>
          </w:tcPr>
          <w:p w14:paraId="2331F7B2">
            <w:pPr>
              <w:snapToGrid w:val="0"/>
              <w:spacing w:before="156" w:beforeLines="50"/>
              <w:ind w:left="43"/>
              <w:rPr>
                <w:rFonts w:hint="eastAsia" w:ascii="仿宋_GB2312" w:hAnsi="宋体" w:eastAsia="仿宋_GB2312" w:cs="仿宋_GB2312"/>
                <w:sz w:val="24"/>
              </w:rPr>
            </w:pPr>
          </w:p>
        </w:tc>
      </w:tr>
      <w:tr w14:paraId="764B87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jc w:val="center"/>
        </w:trPr>
        <w:tc>
          <w:tcPr>
            <w:tcW w:w="1547" w:type="dxa"/>
            <w:tcBorders>
              <w:top w:val="single" w:color="auto" w:sz="4" w:space="0"/>
              <w:left w:val="single" w:color="auto" w:sz="4" w:space="0"/>
              <w:bottom w:val="single" w:color="auto" w:sz="4" w:space="0"/>
              <w:right w:val="single" w:color="auto" w:sz="4" w:space="0"/>
            </w:tcBorders>
          </w:tcPr>
          <w:p w14:paraId="12C71DE0">
            <w:pPr>
              <w:snapToGrid w:val="0"/>
              <w:spacing w:before="156" w:beforeLines="50"/>
              <w:rPr>
                <w:rFonts w:hint="eastAsia" w:ascii="仿宋_GB2312" w:hAnsi="宋体" w:eastAsia="仿宋_GB2312" w:cs="仿宋_GB2312"/>
                <w:sz w:val="24"/>
              </w:rPr>
            </w:pPr>
            <w:r>
              <w:rPr>
                <w:rFonts w:hint="eastAsia" w:ascii="仿宋_GB2312" w:hAnsi="宋体" w:cs="宋体"/>
                <w:sz w:val="24"/>
                <w:szCs w:val="21"/>
              </w:rPr>
              <w:t>付款方式</w:t>
            </w:r>
          </w:p>
        </w:tc>
        <w:tc>
          <w:tcPr>
            <w:tcW w:w="2698" w:type="dxa"/>
            <w:tcBorders>
              <w:top w:val="single" w:color="auto" w:sz="4" w:space="0"/>
              <w:left w:val="single" w:color="auto" w:sz="4" w:space="0"/>
              <w:bottom w:val="single" w:color="auto" w:sz="4" w:space="0"/>
              <w:right w:val="single" w:color="auto" w:sz="4" w:space="0"/>
            </w:tcBorders>
          </w:tcPr>
          <w:p w14:paraId="44EE93B5">
            <w:pPr>
              <w:snapToGrid w:val="0"/>
              <w:spacing w:before="156" w:beforeLines="50"/>
              <w:rPr>
                <w:rFonts w:hint="eastAsia" w:ascii="仿宋_GB2312" w:hAnsi="宋体" w:eastAsia="仿宋_GB2312" w:cs="仿宋_GB2312"/>
                <w:sz w:val="24"/>
              </w:rPr>
            </w:pPr>
          </w:p>
        </w:tc>
        <w:tc>
          <w:tcPr>
            <w:tcW w:w="1259" w:type="dxa"/>
            <w:tcBorders>
              <w:top w:val="single" w:color="auto" w:sz="4" w:space="0"/>
              <w:left w:val="single" w:color="auto" w:sz="4" w:space="0"/>
              <w:bottom w:val="single" w:color="auto" w:sz="4" w:space="0"/>
              <w:right w:val="single" w:color="auto" w:sz="4" w:space="0"/>
            </w:tcBorders>
          </w:tcPr>
          <w:p w14:paraId="391371A5">
            <w:pPr>
              <w:snapToGrid w:val="0"/>
              <w:spacing w:before="156" w:beforeLines="50"/>
              <w:rPr>
                <w:rFonts w:hint="eastAsia" w:ascii="仿宋_GB2312" w:hAnsi="宋体" w:eastAsia="仿宋_GB2312" w:cs="仿宋_GB2312"/>
                <w:sz w:val="24"/>
              </w:rPr>
            </w:pPr>
          </w:p>
        </w:tc>
        <w:tc>
          <w:tcPr>
            <w:tcW w:w="3018" w:type="dxa"/>
            <w:tcBorders>
              <w:top w:val="single" w:color="auto" w:sz="4" w:space="0"/>
              <w:left w:val="single" w:color="auto" w:sz="4" w:space="0"/>
              <w:bottom w:val="single" w:color="auto" w:sz="4" w:space="0"/>
              <w:right w:val="single" w:color="auto" w:sz="4" w:space="0"/>
            </w:tcBorders>
          </w:tcPr>
          <w:p w14:paraId="6C67BC30">
            <w:pPr>
              <w:snapToGrid w:val="0"/>
              <w:spacing w:before="156" w:beforeLines="50"/>
              <w:rPr>
                <w:rFonts w:hint="eastAsia" w:ascii="仿宋_GB2312" w:hAnsi="宋体" w:eastAsia="仿宋_GB2312" w:cs="仿宋_GB2312"/>
                <w:sz w:val="24"/>
              </w:rPr>
            </w:pPr>
          </w:p>
        </w:tc>
      </w:tr>
      <w:tr w14:paraId="7D8522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0" w:hRule="atLeast"/>
          <w:jc w:val="center"/>
        </w:trPr>
        <w:tc>
          <w:tcPr>
            <w:tcW w:w="1547" w:type="dxa"/>
            <w:tcBorders>
              <w:top w:val="single" w:color="auto" w:sz="4" w:space="0"/>
              <w:left w:val="single" w:color="auto" w:sz="4" w:space="0"/>
              <w:bottom w:val="single" w:color="auto" w:sz="4" w:space="0"/>
              <w:right w:val="single" w:color="auto" w:sz="4" w:space="0"/>
            </w:tcBorders>
          </w:tcPr>
          <w:p w14:paraId="62BA0611">
            <w:pPr>
              <w:snapToGrid w:val="0"/>
              <w:spacing w:before="156" w:beforeLines="50"/>
              <w:rPr>
                <w:rFonts w:hint="eastAsia" w:ascii="宋体" w:hAnsi="宋体" w:cs="宋体"/>
                <w:sz w:val="24"/>
              </w:rPr>
            </w:pPr>
            <w:r>
              <w:rPr>
                <w:rFonts w:hint="eastAsia" w:ascii="宋体" w:hAnsi="宋体" w:cs="宋体"/>
                <w:sz w:val="24"/>
              </w:rPr>
              <w:t>投标货币</w:t>
            </w:r>
          </w:p>
        </w:tc>
        <w:tc>
          <w:tcPr>
            <w:tcW w:w="2698" w:type="dxa"/>
            <w:tcBorders>
              <w:top w:val="single" w:color="auto" w:sz="4" w:space="0"/>
              <w:left w:val="single" w:color="auto" w:sz="4" w:space="0"/>
              <w:bottom w:val="single" w:color="auto" w:sz="4" w:space="0"/>
              <w:right w:val="single" w:color="auto" w:sz="4" w:space="0"/>
            </w:tcBorders>
          </w:tcPr>
          <w:p w14:paraId="50B25C27">
            <w:pPr>
              <w:snapToGrid w:val="0"/>
              <w:spacing w:before="156" w:beforeLines="50"/>
              <w:rPr>
                <w:rFonts w:hint="eastAsia" w:ascii="仿宋_GB2312" w:hAnsi="宋体" w:eastAsia="仿宋_GB2312" w:cs="仿宋_GB2312"/>
                <w:sz w:val="24"/>
              </w:rPr>
            </w:pPr>
          </w:p>
          <w:p w14:paraId="76D0E461">
            <w:pPr>
              <w:snapToGrid w:val="0"/>
              <w:spacing w:before="156" w:beforeLines="50"/>
              <w:rPr>
                <w:rFonts w:hint="eastAsia" w:ascii="仿宋_GB2312" w:hAnsi="宋体" w:eastAsia="仿宋_GB2312" w:cs="仿宋_GB2312"/>
                <w:sz w:val="24"/>
              </w:rPr>
            </w:pPr>
          </w:p>
        </w:tc>
        <w:tc>
          <w:tcPr>
            <w:tcW w:w="1259" w:type="dxa"/>
            <w:tcBorders>
              <w:top w:val="single" w:color="auto" w:sz="4" w:space="0"/>
              <w:left w:val="single" w:color="auto" w:sz="4" w:space="0"/>
              <w:bottom w:val="single" w:color="auto" w:sz="4" w:space="0"/>
              <w:right w:val="single" w:color="auto" w:sz="4" w:space="0"/>
            </w:tcBorders>
          </w:tcPr>
          <w:p w14:paraId="38EA9AD1">
            <w:pPr>
              <w:snapToGrid w:val="0"/>
              <w:spacing w:before="156" w:beforeLines="50"/>
              <w:rPr>
                <w:rFonts w:hint="eastAsia" w:ascii="仿宋_GB2312" w:hAnsi="宋体" w:eastAsia="仿宋_GB2312" w:cs="仿宋_GB2312"/>
                <w:sz w:val="24"/>
              </w:rPr>
            </w:pPr>
          </w:p>
        </w:tc>
        <w:tc>
          <w:tcPr>
            <w:tcW w:w="3018" w:type="dxa"/>
            <w:tcBorders>
              <w:top w:val="single" w:color="auto" w:sz="4" w:space="0"/>
              <w:left w:val="single" w:color="auto" w:sz="4" w:space="0"/>
              <w:bottom w:val="single" w:color="auto" w:sz="4" w:space="0"/>
              <w:right w:val="single" w:color="auto" w:sz="4" w:space="0"/>
            </w:tcBorders>
          </w:tcPr>
          <w:p w14:paraId="798DA09D">
            <w:pPr>
              <w:snapToGrid w:val="0"/>
              <w:spacing w:before="156" w:beforeLines="50"/>
              <w:rPr>
                <w:rFonts w:hint="eastAsia" w:ascii="仿宋_GB2312" w:hAnsi="宋体" w:eastAsia="仿宋_GB2312" w:cs="仿宋_GB2312"/>
                <w:sz w:val="24"/>
              </w:rPr>
            </w:pPr>
          </w:p>
        </w:tc>
      </w:tr>
      <w:tr w14:paraId="439F3E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0" w:hRule="atLeast"/>
          <w:jc w:val="center"/>
        </w:trPr>
        <w:tc>
          <w:tcPr>
            <w:tcW w:w="1547" w:type="dxa"/>
            <w:tcBorders>
              <w:top w:val="single" w:color="auto" w:sz="4" w:space="0"/>
              <w:left w:val="single" w:color="auto" w:sz="4" w:space="0"/>
              <w:bottom w:val="single" w:color="auto" w:sz="4" w:space="0"/>
              <w:right w:val="single" w:color="auto" w:sz="4" w:space="0"/>
            </w:tcBorders>
          </w:tcPr>
          <w:p w14:paraId="33385A73">
            <w:pPr>
              <w:snapToGrid w:val="0"/>
              <w:spacing w:before="156" w:beforeLines="50"/>
              <w:rPr>
                <w:rFonts w:ascii="仿宋_GB2312" w:cs="仿宋_GB2312"/>
                <w:sz w:val="24"/>
                <w:szCs w:val="21"/>
              </w:rPr>
            </w:pPr>
            <w:r>
              <w:rPr>
                <w:rFonts w:hint="eastAsia" w:ascii="仿宋_GB2312" w:cs="宋体"/>
                <w:sz w:val="24"/>
                <w:szCs w:val="21"/>
              </w:rPr>
              <w:t>备品备件及耗材等要求</w:t>
            </w:r>
          </w:p>
        </w:tc>
        <w:tc>
          <w:tcPr>
            <w:tcW w:w="2698" w:type="dxa"/>
            <w:tcBorders>
              <w:top w:val="single" w:color="auto" w:sz="4" w:space="0"/>
              <w:left w:val="single" w:color="auto" w:sz="4" w:space="0"/>
              <w:bottom w:val="single" w:color="auto" w:sz="4" w:space="0"/>
              <w:right w:val="single" w:color="auto" w:sz="4" w:space="0"/>
            </w:tcBorders>
          </w:tcPr>
          <w:p w14:paraId="2117253F">
            <w:pPr>
              <w:snapToGrid w:val="0"/>
              <w:spacing w:before="156" w:beforeLines="50"/>
              <w:rPr>
                <w:rFonts w:hint="eastAsia" w:ascii="仿宋_GB2312" w:hAnsi="宋体" w:eastAsia="仿宋_GB2312" w:cs="仿宋_GB2312"/>
                <w:sz w:val="24"/>
              </w:rPr>
            </w:pPr>
          </w:p>
        </w:tc>
        <w:tc>
          <w:tcPr>
            <w:tcW w:w="1259" w:type="dxa"/>
            <w:tcBorders>
              <w:top w:val="single" w:color="auto" w:sz="4" w:space="0"/>
              <w:left w:val="single" w:color="auto" w:sz="4" w:space="0"/>
              <w:bottom w:val="single" w:color="auto" w:sz="4" w:space="0"/>
              <w:right w:val="single" w:color="auto" w:sz="4" w:space="0"/>
            </w:tcBorders>
          </w:tcPr>
          <w:p w14:paraId="6ACD0770">
            <w:pPr>
              <w:snapToGrid w:val="0"/>
              <w:spacing w:before="156" w:beforeLines="50"/>
              <w:rPr>
                <w:rFonts w:hint="eastAsia" w:ascii="仿宋_GB2312" w:hAnsi="宋体" w:eastAsia="仿宋_GB2312" w:cs="仿宋_GB2312"/>
                <w:sz w:val="24"/>
              </w:rPr>
            </w:pPr>
          </w:p>
        </w:tc>
        <w:tc>
          <w:tcPr>
            <w:tcW w:w="3018" w:type="dxa"/>
            <w:tcBorders>
              <w:top w:val="single" w:color="auto" w:sz="4" w:space="0"/>
              <w:left w:val="single" w:color="auto" w:sz="4" w:space="0"/>
              <w:bottom w:val="single" w:color="auto" w:sz="4" w:space="0"/>
              <w:right w:val="single" w:color="auto" w:sz="4" w:space="0"/>
            </w:tcBorders>
          </w:tcPr>
          <w:p w14:paraId="04D1E405">
            <w:pPr>
              <w:snapToGrid w:val="0"/>
              <w:spacing w:before="156" w:beforeLines="50"/>
              <w:rPr>
                <w:rFonts w:hint="eastAsia" w:ascii="仿宋_GB2312" w:hAnsi="宋体" w:eastAsia="仿宋_GB2312" w:cs="仿宋_GB2312"/>
                <w:sz w:val="24"/>
              </w:rPr>
            </w:pPr>
          </w:p>
        </w:tc>
      </w:tr>
      <w:tr w14:paraId="4D257A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547" w:type="dxa"/>
            <w:tcBorders>
              <w:top w:val="single" w:color="auto" w:sz="4" w:space="0"/>
              <w:left w:val="single" w:color="auto" w:sz="4" w:space="0"/>
              <w:bottom w:val="single" w:color="auto" w:sz="4" w:space="0"/>
              <w:right w:val="single" w:color="auto" w:sz="4" w:space="0"/>
            </w:tcBorders>
          </w:tcPr>
          <w:p w14:paraId="2AEC03E4">
            <w:pPr>
              <w:snapToGrid w:val="0"/>
              <w:spacing w:before="156" w:beforeLines="50"/>
              <w:rPr>
                <w:rFonts w:hint="eastAsia" w:ascii="仿宋_GB2312" w:hAnsi="宋体" w:eastAsia="仿宋_GB2312" w:cs="仿宋_GB2312"/>
                <w:sz w:val="24"/>
              </w:rPr>
            </w:pPr>
            <w:r>
              <w:rPr>
                <w:rFonts w:hint="eastAsia" w:ascii="仿宋_GB2312" w:hAnsi="宋体" w:cs="宋体"/>
                <w:sz w:val="24"/>
                <w:szCs w:val="21"/>
              </w:rPr>
              <w:t>其他</w:t>
            </w:r>
          </w:p>
        </w:tc>
        <w:tc>
          <w:tcPr>
            <w:tcW w:w="2698" w:type="dxa"/>
            <w:tcBorders>
              <w:top w:val="single" w:color="auto" w:sz="4" w:space="0"/>
              <w:left w:val="single" w:color="auto" w:sz="4" w:space="0"/>
              <w:bottom w:val="single" w:color="auto" w:sz="4" w:space="0"/>
              <w:right w:val="single" w:color="auto" w:sz="4" w:space="0"/>
            </w:tcBorders>
          </w:tcPr>
          <w:p w14:paraId="2B5F4E90">
            <w:pPr>
              <w:snapToGrid w:val="0"/>
              <w:spacing w:before="156" w:beforeLines="50"/>
              <w:rPr>
                <w:rFonts w:hint="eastAsia" w:ascii="仿宋_GB2312" w:hAnsi="宋体" w:eastAsia="仿宋_GB2312" w:cs="仿宋_GB2312"/>
                <w:sz w:val="24"/>
              </w:rPr>
            </w:pPr>
          </w:p>
        </w:tc>
        <w:tc>
          <w:tcPr>
            <w:tcW w:w="1259" w:type="dxa"/>
            <w:tcBorders>
              <w:top w:val="single" w:color="auto" w:sz="4" w:space="0"/>
              <w:left w:val="single" w:color="auto" w:sz="4" w:space="0"/>
              <w:bottom w:val="single" w:color="auto" w:sz="4" w:space="0"/>
              <w:right w:val="single" w:color="auto" w:sz="4" w:space="0"/>
            </w:tcBorders>
          </w:tcPr>
          <w:p w14:paraId="2C47B082">
            <w:pPr>
              <w:snapToGrid w:val="0"/>
              <w:spacing w:before="156" w:beforeLines="50"/>
              <w:rPr>
                <w:rFonts w:hint="eastAsia" w:ascii="仿宋_GB2312" w:hAnsi="宋体" w:eastAsia="仿宋_GB2312" w:cs="仿宋_GB2312"/>
                <w:sz w:val="24"/>
              </w:rPr>
            </w:pPr>
          </w:p>
        </w:tc>
        <w:tc>
          <w:tcPr>
            <w:tcW w:w="3018" w:type="dxa"/>
            <w:tcBorders>
              <w:top w:val="single" w:color="auto" w:sz="4" w:space="0"/>
              <w:left w:val="single" w:color="auto" w:sz="4" w:space="0"/>
              <w:bottom w:val="single" w:color="auto" w:sz="4" w:space="0"/>
              <w:right w:val="single" w:color="auto" w:sz="4" w:space="0"/>
            </w:tcBorders>
          </w:tcPr>
          <w:p w14:paraId="08510495">
            <w:pPr>
              <w:snapToGrid w:val="0"/>
              <w:spacing w:before="156" w:beforeLines="50"/>
              <w:rPr>
                <w:rFonts w:hint="eastAsia" w:ascii="仿宋_GB2312" w:hAnsi="宋体" w:eastAsia="仿宋_GB2312" w:cs="仿宋_GB2312"/>
                <w:sz w:val="24"/>
              </w:rPr>
            </w:pPr>
          </w:p>
        </w:tc>
      </w:tr>
    </w:tbl>
    <w:p w14:paraId="06466FB4">
      <w:pPr>
        <w:rPr>
          <w:rFonts w:hint="eastAsia" w:ascii="宋体" w:hAnsi="宋体" w:cs="宋体"/>
          <w:sz w:val="24"/>
        </w:rPr>
      </w:pPr>
      <w:r>
        <w:rPr>
          <w:rFonts w:hint="eastAsia" w:ascii="宋体" w:hAnsi="宋体" w:cs="宋体"/>
          <w:sz w:val="24"/>
        </w:rPr>
        <w:t>法定代表人或授权代表签字：</w:t>
      </w:r>
    </w:p>
    <w:p w14:paraId="4BB47E7D">
      <w:pPr>
        <w:pStyle w:val="9"/>
        <w:wordWrap w:val="0"/>
        <w:spacing w:before="0" w:beforeAutospacing="0" w:after="0" w:afterAutospacing="0" w:line="390" w:lineRule="atLeast"/>
        <w:jc w:val="center"/>
        <w:rPr>
          <w:rFonts w:hint="eastAsia" w:ascii="微软雅黑" w:hAnsi="微软雅黑" w:eastAsia="微软雅黑" w:cs="微软雅黑"/>
          <w:b/>
          <w:sz w:val="32"/>
          <w:szCs w:val="32"/>
          <w:shd w:val="clear" w:color="auto" w:fill="FFFFFF"/>
        </w:rPr>
      </w:pPr>
    </w:p>
    <w:p w14:paraId="5F99A4E7">
      <w:pPr>
        <w:pStyle w:val="9"/>
        <w:wordWrap w:val="0"/>
        <w:spacing w:before="0" w:beforeAutospacing="0" w:after="0" w:afterAutospacing="0" w:line="390" w:lineRule="atLeast"/>
        <w:jc w:val="center"/>
        <w:rPr>
          <w:rFonts w:hint="eastAsia" w:ascii="微软雅黑" w:hAnsi="微软雅黑" w:eastAsia="微软雅黑" w:cs="微软雅黑"/>
          <w:b/>
          <w:sz w:val="32"/>
          <w:szCs w:val="32"/>
          <w:shd w:val="clear" w:color="auto" w:fill="FFFFFF"/>
        </w:rPr>
      </w:pPr>
    </w:p>
    <w:p w14:paraId="11633869">
      <w:pPr>
        <w:pStyle w:val="9"/>
        <w:wordWrap w:val="0"/>
        <w:spacing w:before="0" w:beforeAutospacing="0" w:after="0" w:afterAutospacing="0" w:line="390" w:lineRule="atLeast"/>
        <w:jc w:val="center"/>
        <w:rPr>
          <w:rFonts w:hint="eastAsia" w:ascii="微软雅黑" w:hAnsi="微软雅黑" w:eastAsia="微软雅黑" w:cs="微软雅黑"/>
          <w:b/>
          <w:sz w:val="32"/>
          <w:szCs w:val="32"/>
          <w:shd w:val="clear" w:color="auto" w:fill="FFFFFF"/>
        </w:rPr>
      </w:pPr>
    </w:p>
    <w:p w14:paraId="1764AE3F">
      <w:pPr>
        <w:pStyle w:val="9"/>
        <w:wordWrap w:val="0"/>
        <w:spacing w:before="0" w:beforeAutospacing="0" w:after="0" w:afterAutospacing="0" w:line="390" w:lineRule="atLeast"/>
        <w:jc w:val="center"/>
        <w:rPr>
          <w:rFonts w:hint="eastAsia" w:ascii="微软雅黑" w:hAnsi="微软雅黑" w:eastAsia="微软雅黑" w:cs="微软雅黑"/>
          <w:b/>
          <w:sz w:val="32"/>
          <w:szCs w:val="32"/>
          <w:shd w:val="clear" w:color="auto" w:fill="FFFFFF"/>
        </w:rPr>
      </w:pPr>
    </w:p>
    <w:p w14:paraId="319A4806">
      <w:pPr>
        <w:pStyle w:val="23"/>
        <w:spacing w:line="360" w:lineRule="auto"/>
        <w:ind w:firstLine="3675" w:firstLineChars="1225"/>
        <w:rPr>
          <w:sz w:val="32"/>
          <w:szCs w:val="32"/>
        </w:rPr>
      </w:pPr>
      <w:bookmarkStart w:id="1" w:name="_三、诚信承诺函"/>
      <w:bookmarkStart w:id="2" w:name="_Toc29991"/>
      <w:r>
        <w:rPr>
          <w:rFonts w:hint="eastAsia" w:ascii="黑体" w:hAnsi="黑体" w:cs="黑体"/>
          <w:sz w:val="30"/>
          <w:szCs w:val="30"/>
          <w:lang w:val="en-GB"/>
        </w:rPr>
        <w:br w:type="page"/>
      </w:r>
      <w:bookmarkEnd w:id="1"/>
      <w:bookmarkEnd w:id="2"/>
      <w:r>
        <w:rPr>
          <w:rFonts w:ascii="微软雅黑" w:hAnsi="微软雅黑" w:eastAsia="微软雅黑" w:cs="微软雅黑"/>
          <w:b/>
          <w:sz w:val="32"/>
          <w:szCs w:val="32"/>
          <w:shd w:val="clear" w:color="auto" w:fill="FFFFFF"/>
        </w:rPr>
        <w:t>开  标 一 览  表</w:t>
      </w:r>
    </w:p>
    <w:p w14:paraId="132F599D">
      <w:pPr>
        <w:spacing w:line="360" w:lineRule="auto"/>
        <w:ind w:firstLine="641"/>
        <w:jc w:val="left"/>
        <w:rPr>
          <w:rFonts w:hint="eastAsia" w:ascii="宋体" w:hAnsi="宋体" w:cs="宋体"/>
          <w:b/>
          <w:sz w:val="32"/>
          <w:szCs w:val="32"/>
          <w:u w:val="single"/>
        </w:rPr>
      </w:pPr>
      <w:r>
        <w:rPr>
          <w:rFonts w:hint="eastAsia" w:ascii="微软雅黑" w:hAnsi="微软雅黑" w:eastAsia="微软雅黑" w:cs="微软雅黑"/>
          <w:sz w:val="19"/>
          <w:szCs w:val="19"/>
          <w:shd w:val="clear" w:color="auto" w:fill="FFFFFF"/>
        </w:rPr>
        <w:t>投标人全称（加盖公章）：</w:t>
      </w:r>
    </w:p>
    <w:p w14:paraId="478FEC5A">
      <w:pPr>
        <w:spacing w:line="360" w:lineRule="auto"/>
        <w:ind w:firstLine="641"/>
        <w:jc w:val="left"/>
        <w:rPr>
          <w:rFonts w:hint="eastAsia"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shd w:val="clear" w:color="auto" w:fill="FFFFFF"/>
        </w:rPr>
        <w:t xml:space="preserve">项目名称： </w:t>
      </w:r>
    </w:p>
    <w:p w14:paraId="265A0ECB">
      <w:pPr>
        <w:spacing w:line="360" w:lineRule="auto"/>
        <w:ind w:firstLine="641"/>
        <w:jc w:val="left"/>
        <w:rPr>
          <w:rFonts w:hint="eastAsia" w:ascii="微软雅黑" w:hAnsi="微软雅黑" w:eastAsia="微软雅黑" w:cs="微软雅黑"/>
          <w:sz w:val="19"/>
          <w:szCs w:val="19"/>
          <w:u w:val="single"/>
          <w:shd w:val="clear" w:color="auto" w:fill="FFFFFF"/>
        </w:rPr>
      </w:pPr>
      <w:r>
        <w:rPr>
          <w:rFonts w:hint="eastAsia" w:ascii="微软雅黑" w:hAnsi="微软雅黑" w:eastAsia="微软雅黑" w:cs="微软雅黑"/>
          <w:sz w:val="19"/>
          <w:szCs w:val="19"/>
          <w:shd w:val="clear" w:color="auto" w:fill="FFFFFF"/>
        </w:rPr>
        <w:t>项目编号：      分包号：</w:t>
      </w:r>
    </w:p>
    <w:p w14:paraId="758C3C34">
      <w:pPr>
        <w:spacing w:line="360" w:lineRule="auto"/>
        <w:ind w:firstLine="641"/>
        <w:jc w:val="left"/>
        <w:rPr>
          <w:rFonts w:hint="eastAsia" w:ascii="微软雅黑" w:hAnsi="微软雅黑" w:eastAsia="微软雅黑" w:cs="微软雅黑"/>
          <w:sz w:val="19"/>
          <w:szCs w:val="19"/>
          <w:shd w:val="clear" w:color="auto" w:fill="FFFFFF"/>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0"/>
        <w:gridCol w:w="4940"/>
      </w:tblGrid>
      <w:tr w14:paraId="119E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940" w:type="dxa"/>
          </w:tcPr>
          <w:p w14:paraId="2C383D57">
            <w:pPr>
              <w:spacing w:line="360" w:lineRule="auto"/>
              <w:jc w:val="left"/>
              <w:rPr>
                <w:rFonts w:hint="eastAsia"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rPr>
              <w:t xml:space="preserve">投标货物、服务名称 </w:t>
            </w:r>
          </w:p>
        </w:tc>
        <w:tc>
          <w:tcPr>
            <w:tcW w:w="4940" w:type="dxa"/>
          </w:tcPr>
          <w:p w14:paraId="410B69D6">
            <w:pPr>
              <w:spacing w:line="360" w:lineRule="auto"/>
              <w:jc w:val="left"/>
              <w:rPr>
                <w:rFonts w:hint="eastAsia"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rPr>
              <w:t xml:space="preserve">投标总报价 </w:t>
            </w:r>
          </w:p>
        </w:tc>
      </w:tr>
      <w:tr w14:paraId="7FDA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940" w:type="dxa"/>
          </w:tcPr>
          <w:p w14:paraId="6FD3F56F">
            <w:pPr>
              <w:spacing w:line="360" w:lineRule="auto"/>
              <w:jc w:val="left"/>
              <w:rPr>
                <w:rFonts w:hint="eastAsia" w:ascii="微软雅黑" w:hAnsi="微软雅黑" w:eastAsia="微软雅黑" w:cs="微软雅黑"/>
                <w:sz w:val="19"/>
                <w:szCs w:val="19"/>
                <w:shd w:val="clear" w:color="auto" w:fill="FFFFFF"/>
              </w:rPr>
            </w:pPr>
          </w:p>
          <w:p w14:paraId="066D8EAF">
            <w:pPr>
              <w:spacing w:line="360" w:lineRule="auto"/>
              <w:jc w:val="left"/>
              <w:rPr>
                <w:rFonts w:hint="eastAsia" w:ascii="微软雅黑" w:hAnsi="微软雅黑" w:eastAsia="微软雅黑" w:cs="微软雅黑"/>
                <w:sz w:val="19"/>
                <w:szCs w:val="19"/>
                <w:shd w:val="clear" w:color="auto" w:fill="FFFFFF"/>
              </w:rPr>
            </w:pPr>
          </w:p>
        </w:tc>
        <w:tc>
          <w:tcPr>
            <w:tcW w:w="4940" w:type="dxa"/>
          </w:tcPr>
          <w:p w14:paraId="409AB778">
            <w:pPr>
              <w:spacing w:line="360" w:lineRule="auto"/>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大写：</w:t>
            </w:r>
          </w:p>
          <w:p w14:paraId="7653BD2E">
            <w:pPr>
              <w:spacing w:line="360" w:lineRule="auto"/>
              <w:jc w:val="left"/>
              <w:rPr>
                <w:rFonts w:hint="eastAsia" w:ascii="微软雅黑" w:hAnsi="微软雅黑" w:eastAsia="微软雅黑" w:cs="微软雅黑"/>
                <w:sz w:val="19"/>
                <w:szCs w:val="19"/>
              </w:rPr>
            </w:pPr>
            <w:r>
              <w:rPr>
                <w:rFonts w:hint="eastAsia" w:ascii="微软雅黑" w:hAnsi="微软雅黑" w:eastAsia="微软雅黑" w:cs="微软雅黑"/>
                <w:sz w:val="19"/>
                <w:szCs w:val="19"/>
              </w:rPr>
              <w:t xml:space="preserve">小写：                元（人民币）   </w:t>
            </w:r>
          </w:p>
        </w:tc>
      </w:tr>
      <w:tr w14:paraId="7196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940" w:type="dxa"/>
          </w:tcPr>
          <w:p w14:paraId="0D956829">
            <w:pPr>
              <w:spacing w:line="360" w:lineRule="auto"/>
              <w:jc w:val="left"/>
              <w:rPr>
                <w:rFonts w:hint="eastAsia"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rPr>
              <w:t>主要货物、服务制造商及产地</w:t>
            </w:r>
          </w:p>
        </w:tc>
        <w:tc>
          <w:tcPr>
            <w:tcW w:w="4940" w:type="dxa"/>
          </w:tcPr>
          <w:p w14:paraId="52DEF77B">
            <w:pPr>
              <w:spacing w:line="360" w:lineRule="auto"/>
              <w:jc w:val="left"/>
              <w:rPr>
                <w:rFonts w:hint="eastAsia" w:ascii="微软雅黑" w:hAnsi="微软雅黑" w:eastAsia="微软雅黑" w:cs="微软雅黑"/>
                <w:sz w:val="19"/>
                <w:szCs w:val="19"/>
                <w:shd w:val="clear" w:color="auto" w:fill="FFFFFF"/>
              </w:rPr>
            </w:pPr>
          </w:p>
        </w:tc>
      </w:tr>
      <w:tr w14:paraId="6A1B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940" w:type="dxa"/>
          </w:tcPr>
          <w:p w14:paraId="2F002F67">
            <w:pPr>
              <w:spacing w:line="360" w:lineRule="auto"/>
              <w:jc w:val="left"/>
              <w:rPr>
                <w:rFonts w:hint="eastAsia" w:ascii="微软雅黑" w:hAnsi="微软雅黑" w:eastAsia="微软雅黑" w:cs="微软雅黑"/>
                <w:sz w:val="19"/>
                <w:szCs w:val="19"/>
                <w:shd w:val="clear" w:color="auto" w:fill="FFFFFF"/>
              </w:rPr>
            </w:pPr>
          </w:p>
        </w:tc>
        <w:tc>
          <w:tcPr>
            <w:tcW w:w="4940" w:type="dxa"/>
          </w:tcPr>
          <w:p w14:paraId="36F73E73">
            <w:pPr>
              <w:spacing w:line="360" w:lineRule="auto"/>
              <w:jc w:val="left"/>
              <w:rPr>
                <w:rFonts w:hint="eastAsia" w:ascii="微软雅黑" w:hAnsi="微软雅黑" w:eastAsia="微软雅黑" w:cs="微软雅黑"/>
                <w:sz w:val="19"/>
                <w:szCs w:val="19"/>
                <w:shd w:val="clear" w:color="auto" w:fill="FFFFFF"/>
              </w:rPr>
            </w:pPr>
          </w:p>
        </w:tc>
      </w:tr>
    </w:tbl>
    <w:p w14:paraId="150DE001">
      <w:pPr>
        <w:spacing w:line="360" w:lineRule="auto"/>
        <w:ind w:firstLine="641"/>
        <w:jc w:val="left"/>
        <w:rPr>
          <w:rFonts w:hint="eastAsia" w:ascii="微软雅黑" w:hAnsi="微软雅黑" w:eastAsia="微软雅黑" w:cs="微软雅黑"/>
          <w:sz w:val="19"/>
          <w:szCs w:val="19"/>
          <w:shd w:val="clear" w:color="auto" w:fill="FFFFFF"/>
        </w:rPr>
      </w:pPr>
    </w:p>
    <w:p w14:paraId="335701F7">
      <w:pPr>
        <w:pStyle w:val="9"/>
        <w:wordWrap w:val="0"/>
        <w:spacing w:before="0" w:beforeAutospacing="0" w:after="0" w:afterAutospacing="0" w:line="360" w:lineRule="auto"/>
        <w:ind w:firstLine="3230" w:firstLineChars="1700"/>
      </w:pPr>
      <w:r>
        <w:rPr>
          <w:rFonts w:ascii="微软雅黑" w:hAnsi="微软雅黑" w:eastAsia="微软雅黑" w:cs="微软雅黑"/>
          <w:sz w:val="19"/>
          <w:szCs w:val="19"/>
          <w:shd w:val="clear" w:color="auto" w:fill="FFFFFF"/>
        </w:rPr>
        <w:t>日期：</w:t>
      </w:r>
    </w:p>
    <w:p w14:paraId="132B69F1">
      <w:pPr>
        <w:spacing w:line="360" w:lineRule="auto"/>
        <w:ind w:firstLine="641"/>
        <w:jc w:val="center"/>
        <w:rPr>
          <w:rFonts w:hint="eastAsia" w:ascii="宋体" w:hAnsi="宋体" w:cs="宋体"/>
          <w:b/>
          <w:sz w:val="32"/>
          <w:szCs w:val="32"/>
        </w:rPr>
      </w:pPr>
    </w:p>
    <w:p w14:paraId="79EF7D17">
      <w:pPr>
        <w:spacing w:line="360" w:lineRule="auto"/>
        <w:ind w:firstLine="641"/>
        <w:jc w:val="center"/>
        <w:rPr>
          <w:rFonts w:hint="eastAsia" w:ascii="宋体" w:hAnsi="宋体" w:cs="宋体"/>
          <w:b/>
          <w:sz w:val="32"/>
          <w:szCs w:val="32"/>
        </w:rPr>
      </w:pPr>
    </w:p>
    <w:p w14:paraId="3A644B0D">
      <w:pPr>
        <w:pStyle w:val="9"/>
        <w:wordWrap w:val="0"/>
        <w:spacing w:before="0" w:beforeAutospacing="0" w:after="0" w:afterAutospacing="0" w:line="360" w:lineRule="auto"/>
        <w:rPr>
          <w:b/>
          <w:sz w:val="32"/>
          <w:szCs w:val="32"/>
        </w:rPr>
      </w:pPr>
      <w:r>
        <w:rPr>
          <w:rFonts w:ascii="微软雅黑" w:hAnsi="微软雅黑" w:eastAsia="微软雅黑" w:cs="微软雅黑"/>
          <w:sz w:val="19"/>
          <w:szCs w:val="19"/>
          <w:shd w:val="clear" w:color="auto" w:fill="FFFFFF"/>
        </w:rPr>
        <w:t>填写说明：</w:t>
      </w:r>
      <w:r>
        <w:rPr>
          <w:rFonts w:hint="eastAsia" w:ascii="微软雅黑" w:hAnsi="微软雅黑" w:eastAsia="微软雅黑" w:cs="微软雅黑"/>
          <w:sz w:val="19"/>
          <w:szCs w:val="19"/>
          <w:shd w:val="clear" w:color="auto" w:fill="FFFFFF"/>
        </w:rPr>
        <w:t>开标一览表必须加盖投标单位公章（复印件无效）。</w:t>
      </w:r>
    </w:p>
    <w:p w14:paraId="1B4C7941">
      <w:pPr>
        <w:ind w:firstLine="641"/>
        <w:jc w:val="center"/>
        <w:rPr>
          <w:rFonts w:hint="eastAsia" w:ascii="宋体" w:hAnsi="宋体" w:cs="宋体"/>
          <w:b/>
          <w:sz w:val="32"/>
          <w:szCs w:val="32"/>
        </w:rPr>
      </w:pPr>
    </w:p>
    <w:p w14:paraId="48CB7819">
      <w:pPr>
        <w:ind w:firstLine="641"/>
        <w:jc w:val="center"/>
        <w:rPr>
          <w:rFonts w:hint="eastAsia" w:ascii="宋体" w:hAnsi="宋体" w:cs="宋体"/>
          <w:b/>
          <w:sz w:val="32"/>
          <w:szCs w:val="32"/>
        </w:rPr>
      </w:pPr>
    </w:p>
    <w:p w14:paraId="11B2271C">
      <w:pPr>
        <w:ind w:firstLine="420" w:firstLineChars="2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21E9C"/>
    <w:multiLevelType w:val="singleLevel"/>
    <w:tmpl w:val="5A321E9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ZTE4ZDhjYTM0NzIxYWY5MThmYTgxZmE2ZjQ2OWMifQ=="/>
  </w:docVars>
  <w:rsids>
    <w:rsidRoot w:val="00964351"/>
    <w:rsid w:val="00025AC3"/>
    <w:rsid w:val="00062C71"/>
    <w:rsid w:val="000F3EED"/>
    <w:rsid w:val="00166E87"/>
    <w:rsid w:val="001D523B"/>
    <w:rsid w:val="001E1B66"/>
    <w:rsid w:val="001F1FF6"/>
    <w:rsid w:val="001F530D"/>
    <w:rsid w:val="001F77F7"/>
    <w:rsid w:val="0023608B"/>
    <w:rsid w:val="002559B7"/>
    <w:rsid w:val="00290EAA"/>
    <w:rsid w:val="002D6645"/>
    <w:rsid w:val="00317315"/>
    <w:rsid w:val="00322F7E"/>
    <w:rsid w:val="003246A2"/>
    <w:rsid w:val="00391CD1"/>
    <w:rsid w:val="003B1DE5"/>
    <w:rsid w:val="00422E0C"/>
    <w:rsid w:val="00447D05"/>
    <w:rsid w:val="0061615C"/>
    <w:rsid w:val="006370D9"/>
    <w:rsid w:val="00652DDB"/>
    <w:rsid w:val="006D1470"/>
    <w:rsid w:val="00772E80"/>
    <w:rsid w:val="007F6DD4"/>
    <w:rsid w:val="00831770"/>
    <w:rsid w:val="00831CD2"/>
    <w:rsid w:val="008606C2"/>
    <w:rsid w:val="00880977"/>
    <w:rsid w:val="00964351"/>
    <w:rsid w:val="00973895"/>
    <w:rsid w:val="00991652"/>
    <w:rsid w:val="009C4A3D"/>
    <w:rsid w:val="009F5227"/>
    <w:rsid w:val="00A65B29"/>
    <w:rsid w:val="00A80A72"/>
    <w:rsid w:val="00AA1353"/>
    <w:rsid w:val="00AB130B"/>
    <w:rsid w:val="00AC0945"/>
    <w:rsid w:val="00B014CA"/>
    <w:rsid w:val="00BD32DF"/>
    <w:rsid w:val="00C1672E"/>
    <w:rsid w:val="00C21D33"/>
    <w:rsid w:val="00C91666"/>
    <w:rsid w:val="00D302D8"/>
    <w:rsid w:val="00D40569"/>
    <w:rsid w:val="00D50250"/>
    <w:rsid w:val="00D72F7B"/>
    <w:rsid w:val="00E02579"/>
    <w:rsid w:val="00E81C97"/>
    <w:rsid w:val="00EE4052"/>
    <w:rsid w:val="00F004C7"/>
    <w:rsid w:val="00FB69A2"/>
    <w:rsid w:val="00FF776B"/>
    <w:rsid w:val="031858D4"/>
    <w:rsid w:val="03855549"/>
    <w:rsid w:val="03C255BA"/>
    <w:rsid w:val="06187C8D"/>
    <w:rsid w:val="06AA446D"/>
    <w:rsid w:val="071638C9"/>
    <w:rsid w:val="0E6D5A66"/>
    <w:rsid w:val="0FFF6A88"/>
    <w:rsid w:val="1102396E"/>
    <w:rsid w:val="11BE50DE"/>
    <w:rsid w:val="18A6329E"/>
    <w:rsid w:val="19E7214F"/>
    <w:rsid w:val="1B2D793D"/>
    <w:rsid w:val="1B415DFC"/>
    <w:rsid w:val="1D1D63D2"/>
    <w:rsid w:val="1DD45815"/>
    <w:rsid w:val="20A30867"/>
    <w:rsid w:val="247D4A64"/>
    <w:rsid w:val="26134921"/>
    <w:rsid w:val="26E352E6"/>
    <w:rsid w:val="288B320D"/>
    <w:rsid w:val="28937F3B"/>
    <w:rsid w:val="295419DA"/>
    <w:rsid w:val="2C790B47"/>
    <w:rsid w:val="2CD14796"/>
    <w:rsid w:val="2D4E49B7"/>
    <w:rsid w:val="2F244C7C"/>
    <w:rsid w:val="2FCD4B65"/>
    <w:rsid w:val="329C1497"/>
    <w:rsid w:val="334C0525"/>
    <w:rsid w:val="35A23084"/>
    <w:rsid w:val="35F75996"/>
    <w:rsid w:val="36D036DA"/>
    <w:rsid w:val="37FA5D1B"/>
    <w:rsid w:val="39360158"/>
    <w:rsid w:val="3A577D39"/>
    <w:rsid w:val="3D6553FC"/>
    <w:rsid w:val="406B6F9E"/>
    <w:rsid w:val="41891B15"/>
    <w:rsid w:val="427020CD"/>
    <w:rsid w:val="43487D9D"/>
    <w:rsid w:val="437D001E"/>
    <w:rsid w:val="445B0420"/>
    <w:rsid w:val="457E09C7"/>
    <w:rsid w:val="469A2FBA"/>
    <w:rsid w:val="49291B75"/>
    <w:rsid w:val="4A212263"/>
    <w:rsid w:val="4A8D03F2"/>
    <w:rsid w:val="4B7A78E5"/>
    <w:rsid w:val="4C1213DD"/>
    <w:rsid w:val="4EFD7BCB"/>
    <w:rsid w:val="5062103A"/>
    <w:rsid w:val="50E6284A"/>
    <w:rsid w:val="51BD64E0"/>
    <w:rsid w:val="552E6168"/>
    <w:rsid w:val="565E68F3"/>
    <w:rsid w:val="580C7901"/>
    <w:rsid w:val="58A545FC"/>
    <w:rsid w:val="5A3A4657"/>
    <w:rsid w:val="5C3270B7"/>
    <w:rsid w:val="602B0DF8"/>
    <w:rsid w:val="60601EBE"/>
    <w:rsid w:val="607E716C"/>
    <w:rsid w:val="61F12F2E"/>
    <w:rsid w:val="62DF6BE4"/>
    <w:rsid w:val="64821DAA"/>
    <w:rsid w:val="65711C9F"/>
    <w:rsid w:val="65C91E0B"/>
    <w:rsid w:val="67127912"/>
    <w:rsid w:val="69215BFA"/>
    <w:rsid w:val="6AB20461"/>
    <w:rsid w:val="6C3E3A89"/>
    <w:rsid w:val="6CFE1B7F"/>
    <w:rsid w:val="6D4F563E"/>
    <w:rsid w:val="6E3B148B"/>
    <w:rsid w:val="6F147227"/>
    <w:rsid w:val="6F7B6948"/>
    <w:rsid w:val="70931939"/>
    <w:rsid w:val="737056D2"/>
    <w:rsid w:val="7437670A"/>
    <w:rsid w:val="76331B3F"/>
    <w:rsid w:val="76B15A74"/>
    <w:rsid w:val="78C8272B"/>
    <w:rsid w:val="791253C7"/>
    <w:rsid w:val="791B17C9"/>
    <w:rsid w:val="79646857"/>
    <w:rsid w:val="7A2D6D03"/>
    <w:rsid w:val="7D1C059E"/>
    <w:rsid w:val="7DE41949"/>
    <w:rsid w:val="7E3A797E"/>
    <w:rsid w:val="7E48533D"/>
    <w:rsid w:val="7EC254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120" w:after="120"/>
      <w:jc w:val="center"/>
      <w:outlineLvl w:val="1"/>
    </w:pPr>
    <w:rPr>
      <w:rFonts w:ascii="Arial" w:hAnsi="Arial" w:eastAsia="黑体"/>
      <w:b/>
      <w:sz w:val="28"/>
      <w:szCs w:val="28"/>
    </w:rPr>
  </w:style>
  <w:style w:type="paragraph" w:styleId="5">
    <w:name w:val="heading 4"/>
    <w:basedOn w:val="1"/>
    <w:next w:val="1"/>
    <w:qFormat/>
    <w:uiPriority w:val="0"/>
    <w:pPr>
      <w:keepNext/>
      <w:keepLines/>
      <w:spacing w:before="120" w:after="120"/>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4">
    <w:name w:val="Normal Indent"/>
    <w:basedOn w:val="1"/>
    <w:link w:val="14"/>
    <w:qFormat/>
    <w:uiPriority w:val="0"/>
    <w:pPr>
      <w:ind w:firstLine="420"/>
    </w:pPr>
    <w:rPr>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qFormat/>
    <w:uiPriority w:val="0"/>
    <w:rPr>
      <w:b/>
    </w:rPr>
  </w:style>
  <w:style w:type="character" w:styleId="13">
    <w:name w:val="page number"/>
    <w:qFormat/>
    <w:uiPriority w:val="0"/>
    <w:rPr>
      <w:rFonts w:ascii="Times New Roman" w:hAnsi="Times New Roman" w:eastAsia="宋体" w:cs="Times New Roman"/>
    </w:rPr>
  </w:style>
  <w:style w:type="character" w:customStyle="1" w:styleId="14">
    <w:name w:val="正文缩进 字符"/>
    <w:link w:val="4"/>
    <w:qFormat/>
    <w:uiPriority w:val="0"/>
    <w:rPr>
      <w:rFonts w:eastAsia="宋体"/>
      <w:kern w:val="2"/>
      <w:sz w:val="21"/>
      <w:lang w:val="en-US" w:eastAsia="zh-CN" w:bidi="ar-SA"/>
    </w:rPr>
  </w:style>
  <w:style w:type="paragraph" w:customStyle="1" w:styleId="1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styleId="16">
    <w:name w:val="List Paragraph"/>
    <w:basedOn w:val="1"/>
    <w:qFormat/>
    <w:uiPriority w:val="34"/>
    <w:pPr>
      <w:ind w:firstLine="420" w:firstLineChars="200"/>
    </w:pPr>
  </w:style>
  <w:style w:type="paragraph" w:customStyle="1" w:styleId="17">
    <w:name w:val="列出段落1"/>
    <w:basedOn w:val="1"/>
    <w:qFormat/>
    <w:uiPriority w:val="34"/>
    <w:pPr>
      <w:ind w:firstLine="420" w:firstLineChars="200"/>
    </w:pPr>
  </w:style>
  <w:style w:type="paragraph" w:customStyle="1" w:styleId="18">
    <w:name w:val="Char Char1 Char Char Char Char Char Char Char"/>
    <w:basedOn w:val="1"/>
    <w:qFormat/>
    <w:uiPriority w:val="0"/>
    <w:rPr>
      <w:szCs w:val="20"/>
    </w:rPr>
  </w:style>
  <w:style w:type="paragraph" w:customStyle="1" w:styleId="1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0">
    <w:name w:val="正文_0_0"/>
    <w:basedOn w:val="1"/>
    <w:qFormat/>
    <w:uiPriority w:val="0"/>
  </w:style>
  <w:style w:type="paragraph" w:customStyle="1" w:styleId="21">
    <w:name w:val="正文_1_0"/>
    <w:basedOn w:val="1"/>
    <w:qFormat/>
    <w:uiPriority w:val="0"/>
  </w:style>
  <w:style w:type="paragraph" w:customStyle="1" w:styleId="22">
    <w:name w:val="Char"/>
    <w:basedOn w:val="1"/>
    <w:qFormat/>
    <w:uiPriority w:val="0"/>
    <w:rPr>
      <w:rFonts w:ascii="Tahoma" w:hAnsi="Tahoma"/>
      <w:sz w:val="24"/>
      <w:szCs w:val="20"/>
    </w:rPr>
  </w:style>
  <w:style w:type="paragraph" w:customStyle="1" w:styleId="23">
    <w:name w:val="p0"/>
    <w:qFormat/>
    <w:uiPriority w:val="0"/>
    <w:rPr>
      <w:rFonts w:ascii="Times New Roman" w:hAnsi="Times New Roman" w:eastAsia="宋体" w:cs="Times New Roman"/>
      <w:szCs w:val="21"/>
      <w:lang w:val="en-US" w:eastAsia="zh-CN" w:bidi="ar-SA"/>
    </w:rPr>
  </w:style>
  <w:style w:type="paragraph" w:customStyle="1" w:styleId="24">
    <w:name w:val="列出段落2"/>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8170</Words>
  <Characters>8883</Characters>
  <Lines>71</Lines>
  <Paragraphs>20</Paragraphs>
  <TotalTime>63</TotalTime>
  <ScaleCrop>false</ScaleCrop>
  <LinksUpToDate>false</LinksUpToDate>
  <CharactersWithSpaces>9376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2024-11-08T02:12:00Z</dcterms:created>
  <dc:creator>微软用户</dc:creator>
  <cp:lastModifiedBy>静栀心</cp:lastModifiedBy>
  <cp:lastPrinted>2019-04-29T08:01:00Z</cp:lastPrinted>
  <dcterms:modified xsi:type="dcterms:W3CDTF">2024-11-19T02:28:04Z</dcterms:modified>
  <dc:title>海门市二院采购招标文件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4DD9815161534AB4BA453F4254D02F9B_13</vt:lpwstr>
  </property>
</Properties>
</file>