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689D">
      <w:pPr>
        <w:jc w:val="center"/>
        <w:rPr>
          <w:rFonts w:cs="宋体" w:asciiTheme="majorEastAsia" w:hAnsiTheme="majorEastAsia" w:eastAsiaTheme="majorEastAsia"/>
          <w:kern w:val="0"/>
          <w:sz w:val="52"/>
          <w:szCs w:val="52"/>
        </w:rPr>
      </w:pPr>
      <w:r>
        <w:rPr>
          <w:rFonts w:hint="eastAsia" w:cs="宋体" w:asciiTheme="majorEastAsia" w:hAnsiTheme="majorEastAsia" w:eastAsiaTheme="majorEastAsia"/>
          <w:b/>
          <w:bCs/>
          <w:color w:val="000000"/>
          <w:kern w:val="0"/>
          <w:sz w:val="52"/>
          <w:szCs w:val="52"/>
        </w:rPr>
        <w:t>竞争性磋商文件</w:t>
      </w:r>
    </w:p>
    <w:p w14:paraId="50B24B5C">
      <w:pPr>
        <w:ind w:firstLine="602"/>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59DBD8A1">
      <w:pPr>
        <w:spacing w:line="360" w:lineRule="auto"/>
        <w:ind w:left="2693" w:hanging="1500"/>
        <w:jc w:val="left"/>
        <w:rPr>
          <w:rFonts w:cs="宋体" w:asciiTheme="majorEastAsia" w:hAnsiTheme="majorEastAsia" w:eastAsiaTheme="majorEastAsia"/>
          <w:kern w:val="0"/>
          <w:sz w:val="24"/>
          <w:szCs w:val="24"/>
        </w:rPr>
      </w:pPr>
    </w:p>
    <w:p w14:paraId="5984DA2D">
      <w:pPr>
        <w:spacing w:line="360" w:lineRule="auto"/>
        <w:ind w:left="2693" w:hanging="1500"/>
        <w:jc w:val="left"/>
        <w:rPr>
          <w:rFonts w:cs="宋体" w:asciiTheme="majorEastAsia" w:hAnsiTheme="majorEastAsia" w:eastAsiaTheme="majorEastAsia"/>
          <w:kern w:val="0"/>
          <w:sz w:val="24"/>
          <w:szCs w:val="24"/>
        </w:rPr>
      </w:pPr>
    </w:p>
    <w:p w14:paraId="40D3FD0D">
      <w:pPr>
        <w:spacing w:line="360" w:lineRule="auto"/>
        <w:ind w:left="2693" w:hanging="1500"/>
        <w:jc w:val="left"/>
        <w:rPr>
          <w:rFonts w:cs="宋体" w:asciiTheme="majorEastAsia" w:hAnsiTheme="majorEastAsia" w:eastAsiaTheme="majorEastAsia"/>
          <w:kern w:val="0"/>
          <w:sz w:val="24"/>
          <w:szCs w:val="24"/>
        </w:rPr>
      </w:pPr>
    </w:p>
    <w:p w14:paraId="3D3DDAEC">
      <w:pPr>
        <w:spacing w:line="360" w:lineRule="auto"/>
        <w:jc w:val="center"/>
        <w:rPr>
          <w:rFonts w:cs="宋体" w:asciiTheme="majorEastAsia" w:hAnsiTheme="majorEastAsia" w:eastAsiaTheme="majorEastAsia"/>
          <w:color w:val="000000"/>
          <w:kern w:val="0"/>
          <w:sz w:val="24"/>
          <w:szCs w:val="24"/>
        </w:rPr>
      </w:pPr>
    </w:p>
    <w:p w14:paraId="47B33050">
      <w:pPr>
        <w:spacing w:line="360" w:lineRule="auto"/>
        <w:jc w:val="center"/>
        <w:rPr>
          <w:rFonts w:cs="宋体" w:asciiTheme="majorEastAsia" w:hAnsiTheme="majorEastAsia" w:eastAsiaTheme="majorEastAsia"/>
          <w:color w:val="000000"/>
          <w:kern w:val="0"/>
          <w:sz w:val="24"/>
          <w:szCs w:val="24"/>
        </w:rPr>
      </w:pPr>
    </w:p>
    <w:p w14:paraId="0C91D503">
      <w:pPr>
        <w:spacing w:line="360" w:lineRule="auto"/>
        <w:jc w:val="center"/>
        <w:rPr>
          <w:rFonts w:cs="宋体" w:asciiTheme="majorEastAsia" w:hAnsiTheme="majorEastAsia" w:eastAsiaTheme="majorEastAsia"/>
          <w:b/>
          <w:kern w:val="0"/>
          <w:sz w:val="30"/>
          <w:szCs w:val="30"/>
        </w:rPr>
      </w:pPr>
      <w:r>
        <w:rPr>
          <w:rFonts w:hint="eastAsia" w:cs="宋体" w:asciiTheme="majorEastAsia" w:hAnsiTheme="majorEastAsia" w:eastAsiaTheme="majorEastAsia"/>
          <w:b/>
          <w:color w:val="000000"/>
          <w:kern w:val="0"/>
          <w:sz w:val="30"/>
          <w:szCs w:val="30"/>
        </w:rPr>
        <w:t>项目名称：</w:t>
      </w:r>
      <w:bookmarkStart w:id="0" w:name="OLE_LINK33"/>
      <w:bookmarkStart w:id="1" w:name="OLE_LINK34"/>
      <w:r>
        <w:rPr>
          <w:rFonts w:hint="eastAsia" w:cs="宋体" w:asciiTheme="majorEastAsia" w:hAnsiTheme="majorEastAsia" w:eastAsiaTheme="majorEastAsia"/>
          <w:b/>
          <w:color w:val="000000"/>
          <w:kern w:val="0"/>
          <w:sz w:val="30"/>
          <w:szCs w:val="30"/>
          <w:u w:val="single"/>
        </w:rPr>
        <w:t>南通市海门区三厂街道中心卫生院采购安保服务</w:t>
      </w:r>
    </w:p>
    <w:bookmarkEnd w:id="0"/>
    <w:bookmarkEnd w:id="1"/>
    <w:p w14:paraId="4647A714">
      <w:pPr>
        <w:spacing w:line="360" w:lineRule="auto"/>
        <w:ind w:firstLine="1200"/>
        <w:rPr>
          <w:rFonts w:cs="宋体" w:asciiTheme="majorEastAsia" w:hAnsiTheme="majorEastAsia" w:eastAsiaTheme="majorEastAsia"/>
          <w:b/>
          <w:kern w:val="0"/>
          <w:sz w:val="30"/>
          <w:szCs w:val="30"/>
        </w:rPr>
      </w:pPr>
      <w:r>
        <w:rPr>
          <w:rFonts w:hint="eastAsia" w:cs="宋体" w:asciiTheme="majorEastAsia" w:hAnsiTheme="majorEastAsia" w:eastAsiaTheme="majorEastAsia"/>
          <w:b/>
          <w:color w:val="000000"/>
          <w:kern w:val="0"/>
          <w:sz w:val="30"/>
          <w:szCs w:val="30"/>
        </w:rPr>
        <w:t>采购单位：</w:t>
      </w:r>
      <w:r>
        <w:rPr>
          <w:rFonts w:hint="eastAsia" w:cs="宋体" w:asciiTheme="majorEastAsia" w:hAnsiTheme="majorEastAsia" w:eastAsiaTheme="majorEastAsia"/>
          <w:b/>
          <w:color w:val="000000"/>
          <w:kern w:val="0"/>
          <w:sz w:val="30"/>
          <w:szCs w:val="30"/>
          <w:u w:val="single"/>
        </w:rPr>
        <w:t>南通市海门区三厂街道中心卫生院</w:t>
      </w:r>
    </w:p>
    <w:p w14:paraId="187EE049">
      <w:pPr>
        <w:spacing w:after="120"/>
        <w:ind w:firstLine="640"/>
        <w:rPr>
          <w:rFonts w:cs="宋体" w:asciiTheme="majorEastAsia" w:hAnsiTheme="majorEastAsia" w:eastAsiaTheme="majorEastAsia"/>
          <w:kern w:val="0"/>
          <w:sz w:val="24"/>
          <w:szCs w:val="24"/>
        </w:rPr>
      </w:pPr>
    </w:p>
    <w:p w14:paraId="261D8D2E">
      <w:pPr>
        <w:ind w:firstLine="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4BA158F8">
      <w:pP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44997099">
      <w:pPr>
        <w:ind w:firstLine="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379424CA">
      <w:pPr>
        <w:jc w:val="center"/>
        <w:rPr>
          <w:rFonts w:cs="宋体" w:asciiTheme="majorEastAsia" w:hAnsiTheme="majorEastAsia" w:eastAsiaTheme="majorEastAsia"/>
          <w:b/>
          <w:bCs/>
          <w:color w:val="000000"/>
          <w:kern w:val="0"/>
          <w:sz w:val="24"/>
          <w:szCs w:val="24"/>
        </w:rPr>
      </w:pPr>
      <w:bookmarkStart w:id="2" w:name="OLE_LINK3"/>
    </w:p>
    <w:p w14:paraId="4AC7C08B">
      <w:pPr>
        <w:jc w:val="center"/>
        <w:rPr>
          <w:rFonts w:cs="宋体" w:asciiTheme="majorEastAsia" w:hAnsiTheme="majorEastAsia" w:eastAsiaTheme="majorEastAsia"/>
          <w:b/>
          <w:bCs/>
          <w:color w:val="000000"/>
          <w:kern w:val="0"/>
          <w:sz w:val="24"/>
          <w:szCs w:val="24"/>
        </w:rPr>
      </w:pPr>
    </w:p>
    <w:p w14:paraId="42109D2C">
      <w:pPr>
        <w:jc w:val="center"/>
        <w:rPr>
          <w:rFonts w:cs="宋体" w:asciiTheme="majorEastAsia" w:hAnsiTheme="majorEastAsia" w:eastAsiaTheme="majorEastAsia"/>
          <w:b/>
          <w:bCs/>
          <w:color w:val="000000"/>
          <w:kern w:val="0"/>
          <w:sz w:val="24"/>
          <w:szCs w:val="24"/>
        </w:rPr>
      </w:pPr>
    </w:p>
    <w:p w14:paraId="10BBEC1D">
      <w:pPr>
        <w:jc w:val="center"/>
        <w:rPr>
          <w:rFonts w:cs="宋体" w:asciiTheme="majorEastAsia" w:hAnsiTheme="majorEastAsia" w:eastAsiaTheme="majorEastAsia"/>
          <w:b/>
          <w:bCs/>
          <w:color w:val="000000"/>
          <w:kern w:val="0"/>
          <w:sz w:val="24"/>
          <w:szCs w:val="24"/>
        </w:rPr>
      </w:pPr>
    </w:p>
    <w:p w14:paraId="02C904F1">
      <w:pPr>
        <w:jc w:val="center"/>
        <w:rPr>
          <w:rFonts w:cs="宋体" w:asciiTheme="majorEastAsia" w:hAnsiTheme="majorEastAsia" w:eastAsiaTheme="majorEastAsia"/>
          <w:b/>
          <w:bCs/>
          <w:color w:val="000000"/>
          <w:kern w:val="0"/>
          <w:sz w:val="24"/>
          <w:szCs w:val="24"/>
        </w:rPr>
      </w:pPr>
    </w:p>
    <w:p w14:paraId="65EADA4E">
      <w:pPr>
        <w:jc w:val="center"/>
        <w:rPr>
          <w:rFonts w:cs="宋体" w:asciiTheme="majorEastAsia" w:hAnsiTheme="majorEastAsia" w:eastAsiaTheme="majorEastAsia"/>
          <w:b/>
          <w:bCs/>
          <w:color w:val="000000"/>
          <w:kern w:val="0"/>
          <w:sz w:val="24"/>
          <w:szCs w:val="24"/>
        </w:rPr>
      </w:pPr>
    </w:p>
    <w:p w14:paraId="6083F114">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b/>
          <w:bCs/>
          <w:color w:val="000000"/>
          <w:kern w:val="0"/>
          <w:sz w:val="24"/>
          <w:szCs w:val="24"/>
        </w:rPr>
        <w:t>二○二五年四月七日</w:t>
      </w:r>
      <w:bookmarkEnd w:id="2"/>
    </w:p>
    <w:p w14:paraId="27EE704A">
      <w:pPr>
        <w:spacing w:after="146"/>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color w:val="000000"/>
          <w:kern w:val="0"/>
          <w:sz w:val="24"/>
          <w:szCs w:val="24"/>
        </w:rPr>
        <w:t>南通市海门区人民政府官网（http://www.haimen.gov.cn/）—政府信息公开—部门（单位）信息公开—</w:t>
      </w:r>
      <w:bookmarkStart w:id="3" w:name="OLE_LINK11"/>
      <w:bookmarkStart w:id="4" w:name="OLE_LINK12"/>
      <w:r>
        <w:rPr>
          <w:rFonts w:hint="eastAsia" w:cs="宋体" w:asciiTheme="majorEastAsia" w:hAnsiTheme="majorEastAsia" w:eastAsiaTheme="majorEastAsia"/>
          <w:color w:val="000000"/>
          <w:kern w:val="0"/>
          <w:sz w:val="24"/>
          <w:szCs w:val="24"/>
        </w:rPr>
        <w:t>南通市海门区卫生健康委员会</w:t>
      </w:r>
      <w:bookmarkEnd w:id="3"/>
      <w:bookmarkEnd w:id="4"/>
      <w:r>
        <w:rPr>
          <w:rFonts w:hint="eastAsia" w:cs="宋体" w:asciiTheme="majorEastAsia" w:hAnsiTheme="majorEastAsia" w:eastAsiaTheme="majorEastAsia"/>
          <w:color w:val="000000"/>
          <w:kern w:val="0"/>
          <w:sz w:val="24"/>
          <w:szCs w:val="24"/>
        </w:rPr>
        <w:t>—法定主动公开内容—政府采购栏</w:t>
      </w:r>
    </w:p>
    <w:p w14:paraId="2050E024">
      <w:pPr>
        <w:spacing w:after="146"/>
        <w:jc w:val="center"/>
        <w:rPr>
          <w:rFonts w:cs="宋体" w:asciiTheme="majorEastAsia" w:hAnsiTheme="majorEastAsia" w:eastAsiaTheme="majorEastAsia"/>
          <w:b/>
          <w:bCs/>
          <w:color w:val="000000"/>
          <w:kern w:val="0"/>
          <w:sz w:val="24"/>
          <w:szCs w:val="24"/>
        </w:rPr>
      </w:pPr>
    </w:p>
    <w:p w14:paraId="3FD5ABC6">
      <w:pPr>
        <w:adjustRightInd w:val="0"/>
        <w:snapToGrid w:val="0"/>
        <w:spacing w:line="360" w:lineRule="auto"/>
        <w:jc w:val="center"/>
        <w:rPr>
          <w:rFonts w:cs="宋体" w:asciiTheme="majorEastAsia" w:hAnsiTheme="majorEastAsia" w:eastAsiaTheme="majorEastAsia"/>
          <w:sz w:val="24"/>
          <w:szCs w:val="24"/>
        </w:rPr>
      </w:pPr>
    </w:p>
    <w:p w14:paraId="22908FF1">
      <w:pPr>
        <w:adjustRightInd w:val="0"/>
        <w:snapToGrid w:val="0"/>
        <w:spacing w:line="360" w:lineRule="auto"/>
        <w:jc w:val="center"/>
        <w:rPr>
          <w:rFonts w:cs="宋体" w:asciiTheme="majorEastAsia" w:hAnsiTheme="majorEastAsia" w:eastAsiaTheme="majorEastAsia"/>
          <w:sz w:val="24"/>
          <w:szCs w:val="24"/>
        </w:rPr>
      </w:pPr>
    </w:p>
    <w:p w14:paraId="4B7EB6A0">
      <w:pPr>
        <w:adjustRightInd w:val="0"/>
        <w:snapToGrid w:val="0"/>
        <w:spacing w:line="360" w:lineRule="auto"/>
        <w:jc w:val="center"/>
        <w:rPr>
          <w:rFonts w:cs="宋体" w:asciiTheme="majorEastAsia" w:hAnsiTheme="majorEastAsia" w:eastAsiaTheme="majorEastAsia"/>
          <w:sz w:val="24"/>
          <w:szCs w:val="24"/>
        </w:rPr>
      </w:pPr>
    </w:p>
    <w:p w14:paraId="0424DB6E">
      <w:pPr>
        <w:adjustRightInd w:val="0"/>
        <w:snapToGrid w:val="0"/>
        <w:spacing w:line="360" w:lineRule="auto"/>
        <w:jc w:val="center"/>
        <w:rPr>
          <w:rFonts w:cs="宋体" w:asciiTheme="majorEastAsia" w:hAnsiTheme="majorEastAsia" w:eastAsiaTheme="majorEastAsia"/>
          <w:sz w:val="24"/>
          <w:szCs w:val="24"/>
        </w:rPr>
      </w:pPr>
    </w:p>
    <w:p w14:paraId="46C329E1">
      <w:pPr>
        <w:adjustRightInd w:val="0"/>
        <w:snapToGrid w:val="0"/>
        <w:spacing w:line="360" w:lineRule="auto"/>
        <w:jc w:val="center"/>
        <w:rPr>
          <w:rFonts w:cs="宋体" w:asciiTheme="majorEastAsia" w:hAnsiTheme="majorEastAsia" w:eastAsiaTheme="majorEastAsia"/>
          <w:sz w:val="24"/>
          <w:szCs w:val="24"/>
        </w:rPr>
      </w:pPr>
    </w:p>
    <w:p w14:paraId="41B32A42">
      <w:pPr>
        <w:adjustRightInd w:val="0"/>
        <w:snapToGrid w:val="0"/>
        <w:spacing w:line="360" w:lineRule="auto"/>
        <w:jc w:val="center"/>
        <w:rPr>
          <w:rFonts w:cs="宋体" w:asciiTheme="majorEastAsia" w:hAnsiTheme="majorEastAsia" w:eastAsiaTheme="majorEastAsia"/>
          <w:sz w:val="24"/>
          <w:szCs w:val="24"/>
        </w:rPr>
      </w:pPr>
    </w:p>
    <w:p w14:paraId="36FB14E4">
      <w:pPr>
        <w:adjustRightInd w:val="0"/>
        <w:snapToGrid w:val="0"/>
        <w:spacing w:line="360" w:lineRule="auto"/>
        <w:jc w:val="center"/>
        <w:rPr>
          <w:rFonts w:cs="宋体" w:asciiTheme="majorEastAsia" w:hAnsiTheme="majorEastAsia" w:eastAsiaTheme="majorEastAsia"/>
          <w:sz w:val="24"/>
          <w:szCs w:val="24"/>
        </w:rPr>
      </w:pPr>
    </w:p>
    <w:p w14:paraId="1FBAD7B5">
      <w:pPr>
        <w:adjustRightInd w:val="0"/>
        <w:snapToGrid w:val="0"/>
        <w:spacing w:line="360" w:lineRule="auto"/>
        <w:jc w:val="center"/>
        <w:rPr>
          <w:rFonts w:cs="宋体" w:asciiTheme="majorEastAsia" w:hAnsiTheme="majorEastAsia" w:eastAsiaTheme="majorEastAsia"/>
          <w:sz w:val="24"/>
          <w:szCs w:val="24"/>
        </w:rPr>
      </w:pPr>
    </w:p>
    <w:p w14:paraId="7B83E27E">
      <w:pPr>
        <w:adjustRightInd w:val="0"/>
        <w:snapToGrid w:val="0"/>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目 录</w:t>
      </w:r>
    </w:p>
    <w:p w14:paraId="7D050CA6">
      <w:pPr>
        <w:adjustRightInd w:val="0"/>
        <w:snapToGrid w:val="0"/>
        <w:spacing w:line="360" w:lineRule="auto"/>
        <w:jc w:val="center"/>
        <w:rPr>
          <w:rFonts w:cs="宋体" w:asciiTheme="majorEastAsia" w:hAnsiTheme="majorEastAsia" w:eastAsiaTheme="majorEastAsia"/>
          <w:sz w:val="28"/>
          <w:szCs w:val="28"/>
        </w:rPr>
      </w:pPr>
    </w:p>
    <w:p w14:paraId="37FDF138">
      <w:pPr>
        <w:tabs>
          <w:tab w:val="left" w:pos="7740"/>
        </w:tabs>
        <w:adjustRightInd w:val="0"/>
        <w:snapToGrid w:val="0"/>
        <w:spacing w:line="360" w:lineRule="auto"/>
        <w:ind w:firstLine="560" w:firstLineChars="200"/>
        <w:rPr>
          <w:rFonts w:cs="宋体" w:asciiTheme="majorEastAsia" w:hAnsiTheme="majorEastAsia" w:eastAsiaTheme="majorEastAsia"/>
          <w:b/>
          <w:bCs/>
          <w:color w:val="000000"/>
          <w:kern w:val="0"/>
          <w:sz w:val="28"/>
          <w:szCs w:val="28"/>
        </w:rPr>
      </w:pPr>
      <w:r>
        <w:rPr>
          <w:rFonts w:hint="eastAsia" w:cs="宋体" w:asciiTheme="majorEastAsia" w:hAnsiTheme="majorEastAsia" w:eastAsiaTheme="majorEastAsia"/>
          <w:bCs/>
          <w:sz w:val="28"/>
          <w:szCs w:val="28"/>
        </w:rPr>
        <w:t xml:space="preserve">第一部分  </w:t>
      </w:r>
      <w:r>
        <w:rPr>
          <w:rFonts w:hint="eastAsia" w:cs="宋体" w:asciiTheme="majorEastAsia" w:hAnsiTheme="majorEastAsia" w:eastAsiaTheme="majorEastAsia"/>
          <w:bCs/>
          <w:color w:val="000000"/>
          <w:kern w:val="0"/>
          <w:sz w:val="28"/>
          <w:szCs w:val="28"/>
        </w:rPr>
        <w:t>竞争性磋商公告</w:t>
      </w:r>
    </w:p>
    <w:p w14:paraId="33727217">
      <w:pPr>
        <w:tabs>
          <w:tab w:val="left" w:pos="7740"/>
        </w:tabs>
        <w:adjustRightInd w:val="0"/>
        <w:snapToGrid w:val="0"/>
        <w:spacing w:line="360" w:lineRule="auto"/>
        <w:ind w:firstLine="560" w:firstLineChars="200"/>
        <w:rPr>
          <w:rFonts w:cs="宋体" w:asciiTheme="majorEastAsia" w:hAnsiTheme="majorEastAsia" w:eastAsiaTheme="majorEastAsia"/>
          <w:spacing w:val="2"/>
          <w:sz w:val="28"/>
          <w:szCs w:val="28"/>
        </w:rPr>
      </w:pPr>
      <w:r>
        <w:rPr>
          <w:rFonts w:hint="eastAsia" w:cs="宋体" w:asciiTheme="majorEastAsia" w:hAnsiTheme="majorEastAsia" w:eastAsiaTheme="majorEastAsia"/>
          <w:bCs/>
          <w:sz w:val="28"/>
          <w:szCs w:val="28"/>
        </w:rPr>
        <w:t xml:space="preserve">第二部分  </w:t>
      </w:r>
      <w:r>
        <w:rPr>
          <w:rFonts w:hint="eastAsia" w:cs="宋体" w:asciiTheme="majorEastAsia" w:hAnsiTheme="majorEastAsia" w:eastAsiaTheme="majorEastAsia"/>
          <w:bCs/>
          <w:color w:val="000000"/>
          <w:kern w:val="0"/>
          <w:sz w:val="28"/>
          <w:szCs w:val="28"/>
        </w:rPr>
        <w:t>竞争性磋商</w:t>
      </w:r>
      <w:r>
        <w:rPr>
          <w:rFonts w:hint="eastAsia" w:cs="宋体" w:asciiTheme="majorEastAsia" w:hAnsiTheme="majorEastAsia" w:eastAsiaTheme="majorEastAsia"/>
          <w:bCs/>
          <w:sz w:val="28"/>
          <w:szCs w:val="28"/>
        </w:rPr>
        <w:t>须知</w:t>
      </w:r>
    </w:p>
    <w:p w14:paraId="289F4552">
      <w:pPr>
        <w:tabs>
          <w:tab w:val="left" w:pos="7740"/>
        </w:tabs>
        <w:adjustRightInd w:val="0"/>
        <w:snapToGrid w:val="0"/>
        <w:spacing w:line="360" w:lineRule="auto"/>
        <w:ind w:firstLine="560" w:firstLineChars="200"/>
        <w:rPr>
          <w:rFonts w:cs="宋体" w:asciiTheme="majorEastAsia" w:hAnsiTheme="majorEastAsia" w:eastAsiaTheme="majorEastAsia"/>
          <w:spacing w:val="2"/>
          <w:sz w:val="28"/>
          <w:szCs w:val="28"/>
        </w:rPr>
      </w:pPr>
      <w:r>
        <w:rPr>
          <w:rFonts w:hint="eastAsia" w:cs="宋体" w:asciiTheme="majorEastAsia" w:hAnsiTheme="majorEastAsia" w:eastAsiaTheme="majorEastAsia"/>
          <w:bCs/>
          <w:sz w:val="28"/>
          <w:szCs w:val="28"/>
        </w:rPr>
        <w:t>第三部分  采购项目需求</w:t>
      </w:r>
    </w:p>
    <w:p w14:paraId="527BEED9">
      <w:pPr>
        <w:tabs>
          <w:tab w:val="left" w:pos="7740"/>
        </w:tabs>
        <w:adjustRightInd w:val="0"/>
        <w:snapToGrid w:val="0"/>
        <w:spacing w:line="360" w:lineRule="auto"/>
        <w:ind w:firstLine="560" w:firstLineChars="200"/>
        <w:rPr>
          <w:rFonts w:cs="宋体" w:asciiTheme="majorEastAsia" w:hAnsiTheme="majorEastAsia" w:eastAsiaTheme="majorEastAsia"/>
          <w:spacing w:val="2"/>
          <w:sz w:val="28"/>
          <w:szCs w:val="28"/>
        </w:rPr>
      </w:pPr>
      <w:r>
        <w:rPr>
          <w:rFonts w:hint="eastAsia" w:cs="宋体" w:asciiTheme="majorEastAsia" w:hAnsiTheme="majorEastAsia" w:eastAsiaTheme="majorEastAsia"/>
          <w:sz w:val="28"/>
          <w:szCs w:val="28"/>
        </w:rPr>
        <w:t xml:space="preserve">第四部分 </w:t>
      </w:r>
      <w:r>
        <w:rPr>
          <w:rFonts w:hint="eastAsia" w:cs="宋体" w:asciiTheme="majorEastAsia" w:hAnsiTheme="majorEastAsia" w:eastAsiaTheme="majorEastAsia"/>
          <w:color w:val="000000" w:themeColor="text1"/>
          <w:sz w:val="28"/>
          <w:szCs w:val="28"/>
          <w14:textFill>
            <w14:solidFill>
              <w14:schemeClr w14:val="tx1"/>
            </w14:solidFill>
          </w14:textFill>
        </w:rPr>
        <w:t xml:space="preserve"> </w:t>
      </w:r>
      <w:r>
        <w:rPr>
          <w:rFonts w:hint="eastAsia" w:cs="宋体" w:asciiTheme="majorEastAsia" w:hAnsiTheme="majorEastAsia" w:eastAsiaTheme="majorEastAsia"/>
          <w:bCs/>
          <w:color w:val="000000" w:themeColor="text1"/>
          <w:sz w:val="28"/>
          <w:szCs w:val="28"/>
          <w14:textFill>
            <w14:solidFill>
              <w14:schemeClr w14:val="tx1"/>
            </w14:solidFill>
          </w14:textFill>
        </w:rPr>
        <w:t>评审方法和评审标准</w:t>
      </w:r>
    </w:p>
    <w:p w14:paraId="1A8E1D5B">
      <w:pPr>
        <w:tabs>
          <w:tab w:val="left" w:pos="7740"/>
        </w:tabs>
        <w:adjustRightInd w:val="0"/>
        <w:snapToGrid w:val="0"/>
        <w:spacing w:line="360" w:lineRule="auto"/>
        <w:ind w:firstLine="560" w:firstLineChars="200"/>
        <w:rPr>
          <w:rFonts w:cs="宋体" w:asciiTheme="majorEastAsia" w:hAnsiTheme="majorEastAsia" w:eastAsiaTheme="majorEastAsia"/>
          <w:spacing w:val="2"/>
          <w:sz w:val="28"/>
          <w:szCs w:val="28"/>
        </w:rPr>
      </w:pPr>
      <w:r>
        <w:rPr>
          <w:rFonts w:hint="eastAsia" w:cs="宋体" w:asciiTheme="majorEastAsia" w:hAnsiTheme="majorEastAsia" w:eastAsiaTheme="majorEastAsia"/>
          <w:bCs/>
          <w:sz w:val="28"/>
          <w:szCs w:val="28"/>
        </w:rPr>
        <w:t>第五部分  磋商文件组成</w:t>
      </w:r>
    </w:p>
    <w:p w14:paraId="77BB6703">
      <w:pPr>
        <w:spacing w:after="146"/>
        <w:jc w:val="center"/>
        <w:rPr>
          <w:rFonts w:cs="宋体" w:asciiTheme="majorEastAsia" w:hAnsiTheme="majorEastAsia" w:eastAsiaTheme="majorEastAsia"/>
          <w:b/>
          <w:bCs/>
          <w:color w:val="000000"/>
          <w:kern w:val="0"/>
          <w:sz w:val="24"/>
          <w:szCs w:val="24"/>
        </w:rPr>
      </w:pPr>
    </w:p>
    <w:p w14:paraId="5DFA999C">
      <w:pPr>
        <w:spacing w:after="146"/>
        <w:jc w:val="center"/>
        <w:rPr>
          <w:rFonts w:cs="宋体" w:asciiTheme="majorEastAsia" w:hAnsiTheme="majorEastAsia" w:eastAsiaTheme="majorEastAsia"/>
          <w:b/>
          <w:bCs/>
          <w:color w:val="000000"/>
          <w:kern w:val="0"/>
          <w:sz w:val="24"/>
          <w:szCs w:val="24"/>
        </w:rPr>
      </w:pPr>
    </w:p>
    <w:p w14:paraId="098B6997">
      <w:pPr>
        <w:spacing w:after="146"/>
        <w:jc w:val="center"/>
        <w:rPr>
          <w:rFonts w:cs="宋体" w:asciiTheme="majorEastAsia" w:hAnsiTheme="majorEastAsia" w:eastAsiaTheme="majorEastAsia"/>
          <w:b/>
          <w:bCs/>
          <w:color w:val="000000"/>
          <w:kern w:val="0"/>
          <w:sz w:val="24"/>
          <w:szCs w:val="24"/>
        </w:rPr>
      </w:pPr>
    </w:p>
    <w:p w14:paraId="14D8CC9A">
      <w:pPr>
        <w:spacing w:after="146"/>
        <w:jc w:val="center"/>
        <w:rPr>
          <w:rFonts w:cs="宋体" w:asciiTheme="majorEastAsia" w:hAnsiTheme="majorEastAsia" w:eastAsiaTheme="majorEastAsia"/>
          <w:b/>
          <w:bCs/>
          <w:color w:val="000000"/>
          <w:kern w:val="0"/>
          <w:sz w:val="24"/>
          <w:szCs w:val="24"/>
        </w:rPr>
      </w:pPr>
    </w:p>
    <w:p w14:paraId="0583A873">
      <w:pPr>
        <w:spacing w:after="146"/>
        <w:jc w:val="center"/>
        <w:rPr>
          <w:rFonts w:cs="宋体" w:asciiTheme="majorEastAsia" w:hAnsiTheme="majorEastAsia" w:eastAsiaTheme="majorEastAsia"/>
          <w:b/>
          <w:bCs/>
          <w:color w:val="000000"/>
          <w:kern w:val="0"/>
          <w:sz w:val="24"/>
          <w:szCs w:val="24"/>
        </w:rPr>
      </w:pPr>
    </w:p>
    <w:p w14:paraId="5600D2A5">
      <w:pPr>
        <w:spacing w:after="146"/>
        <w:jc w:val="center"/>
        <w:rPr>
          <w:rFonts w:cs="宋体" w:asciiTheme="majorEastAsia" w:hAnsiTheme="majorEastAsia" w:eastAsiaTheme="majorEastAsia"/>
          <w:b/>
          <w:bCs/>
          <w:color w:val="000000"/>
          <w:kern w:val="0"/>
          <w:sz w:val="24"/>
          <w:szCs w:val="24"/>
        </w:rPr>
      </w:pPr>
    </w:p>
    <w:p w14:paraId="390DA495">
      <w:pPr>
        <w:spacing w:after="146"/>
        <w:jc w:val="center"/>
        <w:rPr>
          <w:rFonts w:cs="宋体" w:asciiTheme="majorEastAsia" w:hAnsiTheme="majorEastAsia" w:eastAsiaTheme="majorEastAsia"/>
          <w:b/>
          <w:bCs/>
          <w:color w:val="000000"/>
          <w:kern w:val="0"/>
          <w:sz w:val="24"/>
          <w:szCs w:val="24"/>
        </w:rPr>
      </w:pPr>
    </w:p>
    <w:p w14:paraId="4E122290">
      <w:pPr>
        <w:spacing w:after="146"/>
        <w:jc w:val="center"/>
        <w:rPr>
          <w:rFonts w:cs="宋体" w:asciiTheme="majorEastAsia" w:hAnsiTheme="majorEastAsia" w:eastAsiaTheme="majorEastAsia"/>
          <w:b/>
          <w:bCs/>
          <w:color w:val="000000"/>
          <w:kern w:val="0"/>
          <w:sz w:val="24"/>
          <w:szCs w:val="24"/>
        </w:rPr>
      </w:pPr>
    </w:p>
    <w:p w14:paraId="6835D318">
      <w:pPr>
        <w:spacing w:after="146"/>
        <w:jc w:val="center"/>
        <w:rPr>
          <w:rFonts w:cs="宋体" w:asciiTheme="majorEastAsia" w:hAnsiTheme="majorEastAsia" w:eastAsiaTheme="majorEastAsia"/>
          <w:b/>
          <w:bCs/>
          <w:color w:val="000000"/>
          <w:kern w:val="0"/>
          <w:sz w:val="24"/>
          <w:szCs w:val="24"/>
        </w:rPr>
      </w:pPr>
    </w:p>
    <w:p w14:paraId="37093F1D">
      <w:pPr>
        <w:spacing w:after="146"/>
        <w:jc w:val="center"/>
        <w:rPr>
          <w:rFonts w:cs="宋体" w:asciiTheme="majorEastAsia" w:hAnsiTheme="majorEastAsia" w:eastAsiaTheme="majorEastAsia"/>
          <w:b/>
          <w:bCs/>
          <w:color w:val="000000"/>
          <w:kern w:val="0"/>
          <w:sz w:val="24"/>
          <w:szCs w:val="24"/>
        </w:rPr>
      </w:pPr>
    </w:p>
    <w:p w14:paraId="2782D921">
      <w:pPr>
        <w:spacing w:after="146"/>
        <w:jc w:val="center"/>
        <w:rPr>
          <w:rFonts w:cs="宋体" w:asciiTheme="majorEastAsia" w:hAnsiTheme="majorEastAsia" w:eastAsiaTheme="majorEastAsia"/>
          <w:b/>
          <w:bCs/>
          <w:color w:val="000000"/>
          <w:kern w:val="0"/>
          <w:sz w:val="36"/>
          <w:szCs w:val="36"/>
        </w:rPr>
      </w:pPr>
    </w:p>
    <w:p w14:paraId="3DC0DA1A">
      <w:pPr>
        <w:spacing w:after="146"/>
        <w:jc w:val="center"/>
        <w:rPr>
          <w:rFonts w:cs="宋体" w:asciiTheme="majorEastAsia" w:hAnsiTheme="majorEastAsia" w:eastAsiaTheme="majorEastAsia"/>
          <w:b/>
          <w:bCs/>
          <w:color w:val="000000"/>
          <w:kern w:val="0"/>
          <w:sz w:val="36"/>
          <w:szCs w:val="36"/>
        </w:rPr>
      </w:pPr>
    </w:p>
    <w:p w14:paraId="7A7C1278">
      <w:pPr>
        <w:spacing w:after="146"/>
        <w:jc w:val="center"/>
        <w:rPr>
          <w:rFonts w:cs="宋体" w:asciiTheme="majorEastAsia" w:hAnsiTheme="majorEastAsia" w:eastAsiaTheme="majorEastAsia"/>
          <w:b/>
          <w:bCs/>
          <w:color w:val="000000"/>
          <w:kern w:val="0"/>
          <w:sz w:val="36"/>
          <w:szCs w:val="36"/>
        </w:rPr>
      </w:pPr>
    </w:p>
    <w:p w14:paraId="50B1EE5C">
      <w:pPr>
        <w:spacing w:after="146"/>
        <w:jc w:val="center"/>
        <w:rPr>
          <w:rFonts w:cs="宋体" w:asciiTheme="majorEastAsia" w:hAnsiTheme="majorEastAsia" w:eastAsiaTheme="majorEastAsia"/>
          <w:b/>
          <w:bCs/>
          <w:color w:val="000000"/>
          <w:kern w:val="0"/>
          <w:sz w:val="36"/>
          <w:szCs w:val="36"/>
        </w:rPr>
      </w:pPr>
    </w:p>
    <w:p w14:paraId="136DEA06">
      <w:pPr>
        <w:spacing w:after="146"/>
        <w:jc w:val="center"/>
        <w:rPr>
          <w:rFonts w:cs="宋体" w:asciiTheme="majorEastAsia" w:hAnsiTheme="majorEastAsia" w:eastAsiaTheme="majorEastAsia"/>
          <w:b/>
          <w:bCs/>
          <w:color w:val="000000"/>
          <w:kern w:val="0"/>
          <w:sz w:val="36"/>
          <w:szCs w:val="36"/>
        </w:rPr>
      </w:pPr>
    </w:p>
    <w:p w14:paraId="1D0BB496">
      <w:pPr>
        <w:spacing w:after="146"/>
        <w:jc w:val="center"/>
        <w:rPr>
          <w:rFonts w:cs="宋体" w:asciiTheme="majorEastAsia" w:hAnsiTheme="majorEastAsia" w:eastAsiaTheme="majorEastAsia"/>
          <w:b/>
          <w:bCs/>
          <w:color w:val="000000"/>
          <w:kern w:val="0"/>
          <w:sz w:val="36"/>
          <w:szCs w:val="36"/>
        </w:rPr>
      </w:pPr>
    </w:p>
    <w:p w14:paraId="24325B2F">
      <w:pPr>
        <w:spacing w:after="146"/>
        <w:jc w:val="center"/>
        <w:rPr>
          <w:rFonts w:cs="宋体" w:asciiTheme="majorEastAsia" w:hAnsiTheme="majorEastAsia" w:eastAsiaTheme="majorEastAsia"/>
          <w:b/>
          <w:bCs/>
          <w:color w:val="000000"/>
          <w:kern w:val="0"/>
          <w:sz w:val="36"/>
          <w:szCs w:val="36"/>
        </w:rPr>
      </w:pPr>
    </w:p>
    <w:p w14:paraId="24D1CB5C">
      <w:pPr>
        <w:spacing w:after="146"/>
        <w:jc w:val="center"/>
        <w:rPr>
          <w:rFonts w:cs="宋体" w:asciiTheme="majorEastAsia" w:hAnsiTheme="majorEastAsia" w:eastAsiaTheme="majorEastAsia"/>
          <w:kern w:val="0"/>
          <w:sz w:val="36"/>
          <w:szCs w:val="36"/>
        </w:rPr>
      </w:pPr>
      <w:r>
        <w:rPr>
          <w:rFonts w:hint="eastAsia" w:cs="宋体" w:asciiTheme="majorEastAsia" w:hAnsiTheme="majorEastAsia" w:eastAsiaTheme="majorEastAsia"/>
          <w:b/>
          <w:bCs/>
          <w:color w:val="000000"/>
          <w:kern w:val="0"/>
          <w:sz w:val="36"/>
          <w:szCs w:val="36"/>
        </w:rPr>
        <w:t xml:space="preserve">第一部分 </w:t>
      </w:r>
      <w:bookmarkStart w:id="5" w:name="OLE_LINK4"/>
      <w:bookmarkEnd w:id="5"/>
      <w:bookmarkStart w:id="6" w:name="OLE_LINK7"/>
      <w:bookmarkEnd w:id="6"/>
      <w:bookmarkStart w:id="7" w:name="OLE_LINK6"/>
      <w:bookmarkEnd w:id="7"/>
      <w:bookmarkStart w:id="8" w:name="_Toc28359011"/>
      <w:bookmarkEnd w:id="8"/>
      <w:bookmarkStart w:id="9" w:name="OLE_LINK1"/>
      <w:bookmarkEnd w:id="9"/>
      <w:bookmarkStart w:id="10" w:name="OLE_LINK5"/>
      <w:bookmarkEnd w:id="10"/>
      <w:bookmarkStart w:id="11" w:name="_Toc35393797"/>
      <w:bookmarkEnd w:id="11"/>
      <w:bookmarkStart w:id="12" w:name="OLE_LINK2"/>
      <w:bookmarkEnd w:id="12"/>
      <w:bookmarkStart w:id="13" w:name="OLE_LINK8"/>
      <w:r>
        <w:rPr>
          <w:rFonts w:hint="eastAsia" w:cs="宋体" w:asciiTheme="majorEastAsia" w:hAnsiTheme="majorEastAsia" w:eastAsiaTheme="majorEastAsia"/>
          <w:b/>
          <w:bCs/>
          <w:color w:val="000000"/>
          <w:kern w:val="0"/>
          <w:sz w:val="36"/>
          <w:szCs w:val="36"/>
        </w:rPr>
        <w:t>竞争性磋商公告</w:t>
      </w:r>
      <w:bookmarkEnd w:id="13"/>
    </w:p>
    <w:p w14:paraId="23458430">
      <w:pPr>
        <w:ind w:firstLine="560"/>
        <w:rPr>
          <w:rFonts w:cs="宋体" w:asciiTheme="majorEastAsia" w:hAnsiTheme="majorEastAsia" w:eastAsiaTheme="majorEastAsia"/>
          <w:kern w:val="0"/>
          <w:sz w:val="24"/>
          <w:szCs w:val="24"/>
        </w:rPr>
      </w:pPr>
      <w:r>
        <w:rPr>
          <w:rFonts w:hint="eastAsia" w:asciiTheme="majorEastAsia" w:hAnsiTheme="majorEastAsia" w:eastAsiaTheme="majorEastAsia"/>
          <w:color w:val="000000"/>
          <w:sz w:val="24"/>
          <w:szCs w:val="24"/>
        </w:rPr>
        <w:t>根据政府采购相关法律法规规定，</w:t>
      </w:r>
      <w:r>
        <w:rPr>
          <w:rFonts w:hint="eastAsia" w:cs="宋体" w:asciiTheme="majorEastAsia" w:hAnsiTheme="majorEastAsia" w:eastAsiaTheme="majorEastAsia"/>
          <w:color w:val="000000"/>
          <w:kern w:val="0"/>
          <w:sz w:val="24"/>
          <w:szCs w:val="24"/>
        </w:rPr>
        <w:t>南通市海门区三厂街道中心卫生院采购安保服务项目进行竞争性磋商，</w:t>
      </w:r>
      <w:r>
        <w:rPr>
          <w:rFonts w:hint="eastAsia" w:asciiTheme="majorEastAsia" w:hAnsiTheme="majorEastAsia" w:eastAsiaTheme="majorEastAsia"/>
          <w:color w:val="000000"/>
          <w:sz w:val="24"/>
          <w:szCs w:val="24"/>
        </w:rPr>
        <w:t>欢迎符合要求的供应商前来参与磋商，</w:t>
      </w:r>
      <w:r>
        <w:rPr>
          <w:rFonts w:hint="eastAsia" w:cs="宋体" w:asciiTheme="majorEastAsia" w:hAnsiTheme="majorEastAsia" w:eastAsiaTheme="majorEastAsia"/>
          <w:color w:val="000000"/>
          <w:kern w:val="0"/>
          <w:sz w:val="24"/>
          <w:szCs w:val="24"/>
        </w:rPr>
        <w:t>潜在供应商可登录南通市海门区人民政府官网—政府信息公开—部门（单位）信息公开—南通市海门区卫生健康委员会—法定主动公开内容—政府采购栏获取采购文件，并</w:t>
      </w:r>
      <w:r>
        <w:rPr>
          <w:rFonts w:hint="eastAsia" w:cs="宋体" w:asciiTheme="majorEastAsia" w:hAnsiTheme="majorEastAsia" w:eastAsiaTheme="majorEastAsia"/>
          <w:color w:val="000000" w:themeColor="text1"/>
          <w:kern w:val="0"/>
          <w:sz w:val="24"/>
          <w:szCs w:val="24"/>
          <w14:textFill>
            <w14:solidFill>
              <w14:schemeClr w14:val="tx1"/>
            </w14:solidFill>
          </w14:textFill>
        </w:rPr>
        <w:t>于</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2025年4月10日14点30分</w:t>
      </w:r>
      <w:r>
        <w:rPr>
          <w:rFonts w:hint="eastAsia" w:cs="宋体" w:asciiTheme="majorEastAsia" w:hAnsiTheme="majorEastAsia" w:eastAsiaTheme="majorEastAsia"/>
          <w:color w:val="000000"/>
          <w:kern w:val="0"/>
          <w:sz w:val="24"/>
          <w:szCs w:val="24"/>
        </w:rPr>
        <w:t>（北京时间）前提交磋商文件。</w:t>
      </w:r>
    </w:p>
    <w:p w14:paraId="2C7E322D">
      <w:pPr>
        <w:ind w:firstLine="562"/>
        <w:rPr>
          <w:rFonts w:cs="宋体" w:asciiTheme="majorEastAsia" w:hAnsiTheme="majorEastAsia" w:eastAsiaTheme="majorEastAsia"/>
          <w:kern w:val="0"/>
          <w:sz w:val="24"/>
          <w:szCs w:val="24"/>
        </w:rPr>
      </w:pPr>
      <w:r>
        <w:rPr>
          <w:rFonts w:hint="eastAsia" w:cs="宋体" w:asciiTheme="majorEastAsia" w:hAnsiTheme="majorEastAsia" w:eastAsiaTheme="majorEastAsia"/>
          <w:b/>
          <w:bCs/>
          <w:color w:val="000000"/>
          <w:kern w:val="0"/>
          <w:sz w:val="24"/>
          <w:szCs w:val="24"/>
        </w:rPr>
        <w:t>一、项目基本情况</w:t>
      </w:r>
    </w:p>
    <w:p w14:paraId="2C0A160C">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1、项目名称：南通市海门区三厂街道中心卫生院采购安保服务</w:t>
      </w:r>
    </w:p>
    <w:p w14:paraId="408A5890">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2、采购方式：竞争性磋商</w:t>
      </w:r>
    </w:p>
    <w:p w14:paraId="0461B4C3">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3、项目类型：服务</w:t>
      </w:r>
    </w:p>
    <w:p w14:paraId="6EC4D69A">
      <w:pPr>
        <w:ind w:firstLine="48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4、所属行业：</w:t>
      </w:r>
      <w:r>
        <w:rPr>
          <w:rFonts w:hint="eastAsia" w:cs="宋体" w:asciiTheme="majorEastAsia" w:hAnsiTheme="majorEastAsia" w:eastAsiaTheme="majorEastAsia"/>
          <w:color w:val="000000" w:themeColor="text1"/>
          <w:sz w:val="24"/>
          <w:szCs w:val="24"/>
          <w14:textFill>
            <w14:solidFill>
              <w14:schemeClr w14:val="tx1"/>
            </w14:solidFill>
          </w14:textFill>
        </w:rPr>
        <w:t>租赁和商务服务业</w:t>
      </w:r>
    </w:p>
    <w:p w14:paraId="3000CFE8">
      <w:pPr>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5、预算金额：</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bookmarkStart w:id="14" w:name="OLE_LINK9"/>
      <w:bookmarkStart w:id="15" w:name="OLE_LINK10"/>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309600</w:t>
      </w:r>
      <w:bookmarkEnd w:id="14"/>
      <w:bookmarkEnd w:id="15"/>
      <w:r>
        <w:rPr>
          <w:rFonts w:hint="eastAsia" w:cs="宋体" w:asciiTheme="majorEastAsia" w:hAnsiTheme="majorEastAsia" w:eastAsiaTheme="majorEastAsia"/>
          <w:b/>
          <w:bCs/>
          <w:color w:val="000000" w:themeColor="text1"/>
          <w:kern w:val="0"/>
          <w:sz w:val="24"/>
          <w:szCs w:val="24"/>
          <w14:textFill>
            <w14:solidFill>
              <w14:schemeClr w14:val="tx1"/>
            </w14:solidFill>
          </w14:textFill>
        </w:rPr>
        <w:t>元（大写</w:t>
      </w:r>
      <w:r>
        <w:rPr>
          <w:rFonts w:hint="eastAsia" w:cs="宋体" w:asciiTheme="majorEastAsia" w:hAnsiTheme="majorEastAsia" w:eastAsiaTheme="majorEastAsia"/>
          <w:b/>
          <w:bCs/>
          <w:color w:val="000000" w:themeColor="text1"/>
          <w:kern w:val="0"/>
          <w:sz w:val="24"/>
          <w:szCs w:val="24"/>
          <w:u w:val="single"/>
          <w14:textFill>
            <w14:solidFill>
              <w14:schemeClr w14:val="tx1"/>
            </w14:solidFill>
          </w14:textFill>
        </w:rPr>
        <w:t>：</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叁拾万玖仟陆佰元</w:t>
      </w:r>
      <w:r>
        <w:rPr>
          <w:rFonts w:hint="eastAsia" w:cs="宋体" w:asciiTheme="majorEastAsia" w:hAnsiTheme="majorEastAsia" w:eastAsiaTheme="majorEastAsia"/>
          <w:color w:val="000000" w:themeColor="text1"/>
          <w:kern w:val="0"/>
          <w:sz w:val="24"/>
          <w:szCs w:val="24"/>
          <w14:textFill>
            <w14:solidFill>
              <w14:schemeClr w14:val="tx1"/>
            </w14:solidFill>
          </w14:textFill>
        </w:rPr>
        <w:t>整</w:t>
      </w:r>
      <w:r>
        <w:rPr>
          <w:rFonts w:hint="eastAsia" w:cs="宋体" w:asciiTheme="majorEastAsia" w:hAnsiTheme="majorEastAsia" w:eastAsiaTheme="majorEastAsia"/>
          <w:b/>
          <w:bCs/>
          <w:color w:val="000000" w:themeColor="text1"/>
          <w:kern w:val="0"/>
          <w:sz w:val="24"/>
          <w:szCs w:val="24"/>
          <w14:textFill>
            <w14:solidFill>
              <w14:schemeClr w14:val="tx1"/>
            </w14:solidFill>
          </w14:textFill>
        </w:rPr>
        <w:t>）</w:t>
      </w:r>
      <w:r>
        <w:rPr>
          <w:rFonts w:hint="eastAsia" w:cs="宋体" w:asciiTheme="majorEastAsia" w:hAnsiTheme="majorEastAsia" w:eastAsiaTheme="majorEastAsia"/>
          <w:color w:val="000000" w:themeColor="text1"/>
          <w:kern w:val="0"/>
          <w:sz w:val="24"/>
          <w:szCs w:val="24"/>
          <w14:textFill>
            <w14:solidFill>
              <w14:schemeClr w14:val="tx1"/>
            </w14:solidFill>
          </w14:textFill>
        </w:rPr>
        <w:t>元</w:t>
      </w:r>
    </w:p>
    <w:p w14:paraId="0FB4D489">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6、最高限额：</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309600</w:t>
      </w:r>
      <w:r>
        <w:rPr>
          <w:rFonts w:hint="eastAsia" w:cs="宋体" w:asciiTheme="majorEastAsia" w:hAnsiTheme="majorEastAsia" w:eastAsiaTheme="majorEastAsia"/>
          <w:color w:val="000000" w:themeColor="text1"/>
          <w:kern w:val="0"/>
          <w:sz w:val="24"/>
          <w:szCs w:val="24"/>
          <w14:textFill>
            <w14:solidFill>
              <w14:schemeClr w14:val="tx1"/>
            </w14:solidFill>
          </w14:textFill>
        </w:rPr>
        <w:t>元，磋商报价超过最高限额的为无效磋商。</w:t>
      </w:r>
    </w:p>
    <w:p w14:paraId="497C2BFD">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7、采购需求：详见采购项目需求，请仔细研究。</w:t>
      </w:r>
    </w:p>
    <w:p w14:paraId="2E1BE519">
      <w:pPr>
        <w:adjustRightInd w:val="0"/>
        <w:snapToGrid w:val="0"/>
        <w:spacing w:line="360" w:lineRule="auto"/>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8、合同履行期限：详见采购项目需求，请仔细研究</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w:t>
      </w:r>
    </w:p>
    <w:p w14:paraId="7A337B22">
      <w:pPr>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9、本项目</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不接受</w:t>
      </w:r>
      <w:r>
        <w:rPr>
          <w:rFonts w:hint="eastAsia" w:cs="宋体" w:asciiTheme="majorEastAsia" w:hAnsiTheme="majorEastAsia" w:eastAsiaTheme="majorEastAsia"/>
          <w:color w:val="000000" w:themeColor="text1"/>
          <w:kern w:val="0"/>
          <w:sz w:val="24"/>
          <w:szCs w:val="24"/>
          <w14:textFill>
            <w14:solidFill>
              <w14:schemeClr w14:val="tx1"/>
            </w14:solidFill>
          </w14:textFill>
        </w:rPr>
        <w:t>联合体。</w:t>
      </w:r>
      <w:bookmarkStart w:id="16" w:name="_Toc28359090"/>
      <w:bookmarkEnd w:id="16"/>
      <w:bookmarkStart w:id="17" w:name="_Toc35393799"/>
      <w:bookmarkEnd w:id="17"/>
      <w:bookmarkStart w:id="18" w:name="_Toc35393630"/>
      <w:bookmarkEnd w:id="18"/>
      <w:bookmarkStart w:id="19" w:name="_Toc28359013"/>
      <w:bookmarkEnd w:id="19"/>
    </w:p>
    <w:p w14:paraId="443F2332">
      <w:pPr>
        <w:ind w:firstLine="56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二、申请人的资格要求</w:t>
      </w:r>
    </w:p>
    <w:p w14:paraId="3378E62A">
      <w:pPr>
        <w:spacing w:line="520" w:lineRule="exact"/>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1、符合《中华人民共和国政府采购法》第二十二条对供应商的资格要求；</w:t>
      </w:r>
    </w:p>
    <w:p w14:paraId="1E6F589B">
      <w:pPr>
        <w:spacing w:line="520" w:lineRule="exact"/>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hint="eastAsia" w:asciiTheme="majorEastAsia" w:hAnsiTheme="majorEastAsia" w:eastAsiaTheme="majorEastAsia"/>
          <w:color w:val="000000" w:themeColor="text1"/>
          <w:sz w:val="24"/>
          <w:szCs w:val="24"/>
          <w14:textFill>
            <w14:solidFill>
              <w14:schemeClr w14:val="tx1"/>
            </w14:solidFill>
          </w14:textFill>
        </w:rPr>
        <w:t>具备有效的经营资质，如：经年检的营业执照副本、注册机构代码证、税务登记副本等；</w:t>
      </w:r>
    </w:p>
    <w:p w14:paraId="1E9521A8">
      <w:pPr>
        <w:spacing w:line="520" w:lineRule="exact"/>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3.未被“信用中国”网站（www.creditchina.gov.cn）列入失信被执行人、重大税收违法案件当事人名单、政府采购严重失信行为记录名单；</w:t>
      </w:r>
    </w:p>
    <w:p w14:paraId="73E1AFC8">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bookmarkStart w:id="20" w:name="_Toc28359091"/>
      <w:bookmarkEnd w:id="20"/>
      <w:bookmarkStart w:id="21" w:name="_Toc28359014"/>
      <w:r>
        <w:rPr>
          <w:rFonts w:hint="eastAsia" w:cs="宋体" w:asciiTheme="majorEastAsia" w:hAnsiTheme="majorEastAsia" w:eastAsiaTheme="majorEastAsia"/>
          <w:color w:val="000000" w:themeColor="text1"/>
          <w:kern w:val="0"/>
          <w:sz w:val="24"/>
          <w:szCs w:val="24"/>
          <w14:textFill>
            <w14:solidFill>
              <w14:schemeClr w14:val="tx1"/>
            </w14:solidFill>
          </w14:textFill>
        </w:rPr>
        <w:t>4、落实政府采购政策需满足的资格要求：</w:t>
      </w:r>
      <w:bookmarkEnd w:id="21"/>
      <w:r>
        <w:rPr>
          <w:rFonts w:hint="eastAsia" w:cs="宋体" w:asciiTheme="majorEastAsia" w:hAnsiTheme="majorEastAsia" w:eastAsiaTheme="majorEastAsia"/>
          <w:color w:val="000000" w:themeColor="text1"/>
          <w:kern w:val="0"/>
          <w:sz w:val="24"/>
          <w:szCs w:val="24"/>
          <w14:textFill>
            <w14:solidFill>
              <w14:schemeClr w14:val="tx1"/>
            </w14:solidFill>
          </w14:textFill>
        </w:rPr>
        <w:t>无。</w:t>
      </w:r>
    </w:p>
    <w:p w14:paraId="7E2FD58A">
      <w:pPr>
        <w:adjustRightInd w:val="0"/>
        <w:snapToGrid w:val="0"/>
        <w:spacing w:line="360" w:lineRule="auto"/>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5、本项目的特定资格要求：</w:t>
      </w:r>
      <w:bookmarkStart w:id="22" w:name="_Toc35393631"/>
      <w:bookmarkEnd w:id="22"/>
      <w:bookmarkStart w:id="23" w:name="_Toc35393800"/>
      <w:bookmarkEnd w:id="23"/>
      <w:bookmarkStart w:id="24" w:name="_Hlk135665232"/>
      <w:r>
        <w:rPr>
          <w:rFonts w:hint="eastAsia" w:cs="宋体" w:asciiTheme="majorEastAsia" w:hAnsiTheme="majorEastAsia" w:eastAsiaTheme="majorEastAsia"/>
          <w:color w:val="000000" w:themeColor="text1"/>
          <w:sz w:val="24"/>
          <w:szCs w:val="24"/>
          <w14:textFill>
            <w14:solidFill>
              <w14:schemeClr w14:val="tx1"/>
            </w14:solidFill>
          </w14:textFill>
        </w:rPr>
        <w:t>供应商具有</w:t>
      </w:r>
      <w:bookmarkEnd w:id="24"/>
      <w:r>
        <w:rPr>
          <w:rFonts w:hint="eastAsia" w:cs="宋体" w:asciiTheme="majorEastAsia" w:hAnsiTheme="majorEastAsia" w:eastAsiaTheme="majorEastAsia"/>
          <w:color w:val="000000" w:themeColor="text1"/>
          <w:sz w:val="24"/>
          <w:szCs w:val="24"/>
          <w14:textFill>
            <w14:solidFill>
              <w14:schemeClr w14:val="tx1"/>
            </w14:solidFill>
          </w14:textFill>
        </w:rPr>
        <w:t>公安部门核发的有效的《保安服务许可证》。</w:t>
      </w:r>
    </w:p>
    <w:p w14:paraId="09CA244A">
      <w:pPr>
        <w:widowControl/>
        <w:ind w:firstLine="598" w:firstLineChars="248"/>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三、获取采购文件</w:t>
      </w:r>
    </w:p>
    <w:p w14:paraId="3A6B95AD">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时间：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2025</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4</w:t>
      </w:r>
      <w:r>
        <w:rPr>
          <w:rFonts w:hint="eastAsia" w:cs="宋体" w:asciiTheme="majorEastAsia" w:hAnsiTheme="majorEastAsia" w:eastAsiaTheme="majorEastAsia"/>
          <w:color w:val="000000" w:themeColor="text1"/>
          <w:kern w:val="0"/>
          <w:sz w:val="24"/>
          <w:szCs w:val="24"/>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7 </w:t>
      </w:r>
      <w:r>
        <w:rPr>
          <w:rFonts w:hint="eastAsia" w:cs="宋体" w:asciiTheme="majorEastAsia" w:hAnsiTheme="majorEastAsia" w:eastAsiaTheme="majorEastAsia"/>
          <w:color w:val="000000" w:themeColor="text1"/>
          <w:kern w:val="0"/>
          <w:sz w:val="24"/>
          <w:szCs w:val="24"/>
          <w14:textFill>
            <w14:solidFill>
              <w14:schemeClr w14:val="tx1"/>
            </w14:solidFill>
          </w14:textFill>
        </w:rPr>
        <w:t>日至</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2025</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4月9日</w:t>
      </w:r>
      <w:r>
        <w:rPr>
          <w:rFonts w:hint="eastAsia" w:cs="宋体" w:asciiTheme="majorEastAsia" w:hAnsiTheme="majorEastAsia" w:eastAsiaTheme="majorEastAsia"/>
          <w:color w:val="000000" w:themeColor="text1"/>
          <w:kern w:val="0"/>
          <w:sz w:val="24"/>
          <w:szCs w:val="24"/>
          <w14:textFill>
            <w14:solidFill>
              <w14:schemeClr w14:val="tx1"/>
            </w14:solidFill>
          </w14:textFill>
        </w:rPr>
        <w:t>止。</w:t>
      </w:r>
    </w:p>
    <w:p w14:paraId="449A63DF">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地点：供应商登录南通市海门区人民政府官网—政府信息公开—部门（单位）信息公开—南通市海门区卫生健康委员会—法定主动公开内容—政府采购栏，自行下载磋商文件等资料。</w:t>
      </w:r>
    </w:p>
    <w:p w14:paraId="23E2F309">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方式：自行下载</w:t>
      </w:r>
      <w:bookmarkStart w:id="25" w:name="_Toc35393801"/>
      <w:bookmarkEnd w:id="25"/>
      <w:bookmarkStart w:id="26" w:name="_Toc35393632"/>
      <w:bookmarkEnd w:id="26"/>
      <w:bookmarkStart w:id="27" w:name="_Toc28359015"/>
      <w:bookmarkEnd w:id="27"/>
      <w:bookmarkStart w:id="28" w:name="_Toc28359092"/>
      <w:bookmarkEnd w:id="28"/>
    </w:p>
    <w:p w14:paraId="4A69E7F1">
      <w:pPr>
        <w:ind w:firstLine="56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四、磋商文件提交</w:t>
      </w:r>
    </w:p>
    <w:p w14:paraId="0C42ECCA">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bookmarkStart w:id="29" w:name="_Toc35393802"/>
      <w:bookmarkEnd w:id="29"/>
      <w:bookmarkStart w:id="30" w:name="_Toc28359093"/>
      <w:bookmarkEnd w:id="30"/>
      <w:bookmarkStart w:id="31" w:name="_Toc35393633"/>
      <w:bookmarkEnd w:id="31"/>
      <w:bookmarkStart w:id="32" w:name="_Toc28359016"/>
      <w:r>
        <w:rPr>
          <w:rFonts w:hint="eastAsia" w:cs="宋体" w:asciiTheme="majorEastAsia" w:hAnsiTheme="majorEastAsia" w:eastAsiaTheme="majorEastAsia"/>
          <w:color w:val="000000" w:themeColor="text1"/>
          <w:kern w:val="0"/>
          <w:sz w:val="24"/>
          <w:szCs w:val="24"/>
          <w14:textFill>
            <w14:solidFill>
              <w14:schemeClr w14:val="tx1"/>
            </w14:solidFill>
          </w14:textFill>
        </w:rPr>
        <w:t>接收时间：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2025</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4月10日 14 </w:t>
      </w:r>
      <w:r>
        <w:rPr>
          <w:rFonts w:hint="eastAsia" w:cs="宋体" w:asciiTheme="majorEastAsia" w:hAnsiTheme="majorEastAsia" w:eastAsiaTheme="majorEastAsia"/>
          <w:color w:val="000000" w:themeColor="text1"/>
          <w:kern w:val="0"/>
          <w:sz w:val="24"/>
          <w:szCs w:val="24"/>
          <w14:textFill>
            <w14:solidFill>
              <w14:schemeClr w14:val="tx1"/>
            </w14:solidFill>
          </w14:textFill>
        </w:rPr>
        <w:t>点</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00</w:t>
      </w:r>
      <w:r>
        <w:rPr>
          <w:rFonts w:hint="eastAsia" w:cs="宋体" w:asciiTheme="majorEastAsia" w:hAnsiTheme="majorEastAsia" w:eastAsiaTheme="majorEastAsia"/>
          <w:color w:val="000000" w:themeColor="text1"/>
          <w:kern w:val="0"/>
          <w:sz w:val="24"/>
          <w:szCs w:val="24"/>
          <w14:textFill>
            <w14:solidFill>
              <w14:schemeClr w14:val="tx1"/>
            </w14:solidFill>
          </w14:textFill>
        </w:rPr>
        <w:t>分至</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14点30分</w:t>
      </w:r>
      <w:r>
        <w:rPr>
          <w:rFonts w:hint="eastAsia" w:cs="宋体" w:asciiTheme="majorEastAsia" w:hAnsiTheme="majorEastAsia" w:eastAsiaTheme="majorEastAsia"/>
          <w:color w:val="000000" w:themeColor="text1"/>
          <w:kern w:val="0"/>
          <w:sz w:val="24"/>
          <w:szCs w:val="24"/>
          <w14:textFill>
            <w14:solidFill>
              <w14:schemeClr w14:val="tx1"/>
            </w14:solidFill>
          </w14:textFill>
        </w:rPr>
        <w:t>（北京时间）</w:t>
      </w:r>
      <w:bookmarkEnd w:id="32"/>
    </w:p>
    <w:p w14:paraId="2294370E">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截止时间：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2025</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4月10日 14 点30分</w:t>
      </w:r>
      <w:r>
        <w:rPr>
          <w:rFonts w:hint="eastAsia" w:cs="宋体" w:asciiTheme="majorEastAsia" w:hAnsiTheme="majorEastAsia" w:eastAsiaTheme="majorEastAsia"/>
          <w:color w:val="000000" w:themeColor="text1"/>
          <w:kern w:val="0"/>
          <w:sz w:val="24"/>
          <w:szCs w:val="24"/>
          <w14:textFill>
            <w14:solidFill>
              <w14:schemeClr w14:val="tx1"/>
            </w14:solidFill>
          </w14:textFill>
        </w:rPr>
        <w:t>（北京时间）</w:t>
      </w:r>
    </w:p>
    <w:p w14:paraId="514F0431">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接收文件地点：南通市海门区公共卫生中心（张謇大道889号）1419会议室</w:t>
      </w:r>
    </w:p>
    <w:p w14:paraId="71BFCB47">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特别提醒：逾期送达将拒收。</w:t>
      </w:r>
    </w:p>
    <w:p w14:paraId="06E587BB">
      <w:pPr>
        <w:ind w:firstLine="54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联系人：施先生 联系电话：13814683066</w:t>
      </w:r>
    </w:p>
    <w:p w14:paraId="2AE170BE">
      <w:pPr>
        <w:ind w:firstLine="56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五、磋商文件开启时间与地点</w:t>
      </w:r>
    </w:p>
    <w:p w14:paraId="5ADA328A">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时间：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2025</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4月10日 14</w:t>
      </w:r>
      <w:r>
        <w:rPr>
          <w:rFonts w:hint="eastAsia" w:cs="宋体" w:asciiTheme="majorEastAsia" w:hAnsiTheme="majorEastAsia" w:eastAsiaTheme="majorEastAsia"/>
          <w:color w:val="000000" w:themeColor="text1"/>
          <w:kern w:val="0"/>
          <w:sz w:val="24"/>
          <w:szCs w:val="24"/>
          <w14:textFill>
            <w14:solidFill>
              <w14:schemeClr w14:val="tx1"/>
            </w14:solidFill>
          </w14:textFill>
        </w:rPr>
        <w:t>点</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30 </w:t>
      </w:r>
      <w:r>
        <w:rPr>
          <w:rFonts w:hint="eastAsia" w:cs="宋体" w:asciiTheme="majorEastAsia" w:hAnsiTheme="majorEastAsia" w:eastAsiaTheme="majorEastAsia"/>
          <w:color w:val="000000" w:themeColor="text1"/>
          <w:kern w:val="0"/>
          <w:sz w:val="24"/>
          <w:szCs w:val="24"/>
          <w14:textFill>
            <w14:solidFill>
              <w14:schemeClr w14:val="tx1"/>
            </w14:solidFill>
          </w14:textFill>
        </w:rPr>
        <w:t>分（北京时间）</w:t>
      </w:r>
    </w:p>
    <w:p w14:paraId="4D0528C2">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地点</w:t>
      </w:r>
      <w:bookmarkStart w:id="33" w:name="_Toc35393803"/>
      <w:bookmarkEnd w:id="33"/>
      <w:bookmarkStart w:id="34" w:name="_Toc35393634"/>
      <w:bookmarkEnd w:id="34"/>
      <w:bookmarkStart w:id="35" w:name="_Toc28359094"/>
      <w:bookmarkEnd w:id="35"/>
      <w:r>
        <w:rPr>
          <w:rFonts w:hint="eastAsia" w:cs="宋体" w:asciiTheme="majorEastAsia" w:hAnsiTheme="majorEastAsia" w:eastAsiaTheme="majorEastAsia"/>
          <w:color w:val="000000" w:themeColor="text1"/>
          <w:kern w:val="0"/>
          <w:sz w:val="24"/>
          <w:szCs w:val="24"/>
          <w14:textFill>
            <w14:solidFill>
              <w14:schemeClr w14:val="tx1"/>
            </w14:solidFill>
          </w14:textFill>
        </w:rPr>
        <w:t>：南通市海门区公共卫生中心（张謇大道889号）1419会议室</w:t>
      </w:r>
    </w:p>
    <w:p w14:paraId="136D5789">
      <w:pPr>
        <w:ind w:firstLine="56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六、公告期限</w:t>
      </w:r>
    </w:p>
    <w:p w14:paraId="02F1E4D5">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自本公告发布之日起3个工作日。</w:t>
      </w:r>
      <w:bookmarkStart w:id="36" w:name="_Toc35393804"/>
      <w:bookmarkEnd w:id="36"/>
      <w:bookmarkStart w:id="37" w:name="_Toc35393635"/>
      <w:bookmarkEnd w:id="37"/>
    </w:p>
    <w:p w14:paraId="1BF11E82">
      <w:pPr>
        <w:ind w:firstLine="56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七、其他补充事宜</w:t>
      </w:r>
    </w:p>
    <w:p w14:paraId="7C8CD4B7">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1、请各供应商连续关注本网站可能发生的相关变化等信息。如没有及时获悉相关变化而引起的后果由供应商自负。</w:t>
      </w:r>
    </w:p>
    <w:p w14:paraId="6AC1F992">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2、请各供应商认真阅读磋商磋商文件，严格遵守时间、资料提供等相关约定。</w:t>
      </w:r>
    </w:p>
    <w:p w14:paraId="3D78A183">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3、请各供应商认真对照资格要求，如不符合要求，无意或故意参与报名、磋商所产生的一切后果由供应商自行承担。</w:t>
      </w:r>
      <w:bookmarkStart w:id="38" w:name="_Toc28359018"/>
      <w:bookmarkEnd w:id="38"/>
      <w:bookmarkStart w:id="39" w:name="_Toc35393636"/>
      <w:bookmarkEnd w:id="39"/>
      <w:bookmarkStart w:id="40" w:name="_Toc35393805"/>
      <w:bookmarkEnd w:id="40"/>
      <w:bookmarkStart w:id="41" w:name="_Toc28359095"/>
      <w:bookmarkEnd w:id="41"/>
    </w:p>
    <w:p w14:paraId="2A19BF11">
      <w:pPr>
        <w:ind w:firstLine="56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八、凡对本次采购提出询问，请按以下方式联系。</w:t>
      </w:r>
      <w:bookmarkStart w:id="42" w:name="_Toc35393637"/>
      <w:bookmarkEnd w:id="42"/>
      <w:bookmarkStart w:id="43" w:name="_Toc35393806"/>
      <w:bookmarkEnd w:id="43"/>
      <w:bookmarkStart w:id="44" w:name="_Toc28359019"/>
      <w:bookmarkEnd w:id="44"/>
      <w:bookmarkStart w:id="45" w:name="_Toc28359096"/>
      <w:bookmarkEnd w:id="45"/>
    </w:p>
    <w:p w14:paraId="20D44582">
      <w:pPr>
        <w:ind w:firstLine="530" w:firstLineChars="221"/>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单位名称：南通市海门区三厂街道中心卫生院</w:t>
      </w:r>
    </w:p>
    <w:p w14:paraId="18771250">
      <w:pPr>
        <w:widowControl/>
        <w:shd w:val="clear" w:color="auto" w:fill="FFFFFF"/>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联系方式：施先生  联系电话：13814683066</w:t>
      </w:r>
    </w:p>
    <w:p w14:paraId="58C98595">
      <w:pPr>
        <w:ind w:firstLine="410" w:firstLineChars="171"/>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单位地址：</w:t>
      </w:r>
      <w:r>
        <w:rPr>
          <w:rFonts w:hint="eastAsia" w:cs="宋体" w:asciiTheme="majorEastAsia" w:hAnsiTheme="majorEastAsia" w:eastAsiaTheme="majorEastAsia"/>
          <w:color w:val="000000" w:themeColor="text1"/>
          <w:kern w:val="0"/>
          <w:sz w:val="24"/>
          <w:szCs w:val="24"/>
          <w:shd w:val="clear" w:color="auto" w:fill="FFFFFF"/>
          <w14:textFill>
            <w14:solidFill>
              <w14:schemeClr w14:val="tx1"/>
            </w14:solidFill>
          </w14:textFill>
        </w:rPr>
        <w:t>南通市海门区三厂街道中华中路189号</w:t>
      </w:r>
    </w:p>
    <w:p w14:paraId="7EC75078">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769620A">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63E516CC">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693E2AF">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07C6B315">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27DD3B0E">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50B06550">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0050BB7F">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1C8760FE">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5A355FEB">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70321B87">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195A76FB">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47A3B7CF">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102DE347">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01F6BE01">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p>
    <w:p w14:paraId="500EFEFA">
      <w:pPr>
        <w:adjustRightInd w:val="0"/>
        <w:snapToGrid w:val="0"/>
        <w:spacing w:line="360" w:lineRule="auto"/>
        <w:jc w:val="center"/>
        <w:rPr>
          <w:rFonts w:cs="宋体" w:asciiTheme="majorEastAsia" w:hAnsiTheme="majorEastAsia" w:eastAsiaTheme="majorEastAsia"/>
          <w:b/>
          <w:color w:val="000000" w:themeColor="text1"/>
          <w:sz w:val="36"/>
          <w:szCs w:val="36"/>
          <w14:textFill>
            <w14:solidFill>
              <w14:schemeClr w14:val="tx1"/>
            </w14:solidFill>
          </w14:textFill>
        </w:rPr>
      </w:pPr>
      <w:r>
        <w:rPr>
          <w:rFonts w:hint="eastAsia" w:cs="宋体" w:asciiTheme="majorEastAsia" w:hAnsiTheme="majorEastAsia" w:eastAsiaTheme="majorEastAsia"/>
          <w:b/>
          <w:color w:val="000000" w:themeColor="text1"/>
          <w:sz w:val="36"/>
          <w:szCs w:val="36"/>
          <w14:textFill>
            <w14:solidFill>
              <w14:schemeClr w14:val="tx1"/>
            </w14:solidFill>
          </w14:textFill>
        </w:rPr>
        <w:t>第二部分  竞争性磋商须知</w:t>
      </w:r>
    </w:p>
    <w:p w14:paraId="07FF3AE8">
      <w:pPr>
        <w:keepNext/>
        <w:keepLines/>
        <w:adjustRightInd w:val="0"/>
        <w:snapToGrid w:val="0"/>
        <w:spacing w:line="500" w:lineRule="exact"/>
        <w:outlineLvl w:val="2"/>
        <w:rPr>
          <w:rFonts w:cs="宋体" w:asciiTheme="majorEastAsia" w:hAnsiTheme="majorEastAsia" w:eastAsiaTheme="majorEastAsia"/>
          <w:b/>
          <w:bCs/>
          <w:color w:val="000000" w:themeColor="text1"/>
          <w:kern w:val="0"/>
          <w:sz w:val="28"/>
          <w:szCs w:val="28"/>
          <w14:textFill>
            <w14:solidFill>
              <w14:schemeClr w14:val="tx1"/>
            </w14:solidFill>
          </w14:textFill>
        </w:rPr>
      </w:pPr>
      <w:bookmarkStart w:id="46" w:name="_Toc20823275"/>
      <w:bookmarkStart w:id="47" w:name="_Toc513029203"/>
      <w:bookmarkStart w:id="48" w:name="_Toc120614214"/>
      <w:bookmarkStart w:id="49" w:name="_Toc16938519"/>
      <w:r>
        <w:rPr>
          <w:rFonts w:hint="eastAsia" w:cs="宋体" w:asciiTheme="majorEastAsia" w:hAnsiTheme="majorEastAsia" w:eastAsiaTheme="majorEastAsia"/>
          <w:b/>
          <w:bCs/>
          <w:color w:val="000000" w:themeColor="text1"/>
          <w:kern w:val="0"/>
          <w:sz w:val="28"/>
          <w:szCs w:val="28"/>
          <w14:textFill>
            <w14:solidFill>
              <w14:schemeClr w14:val="tx1"/>
            </w14:solidFill>
          </w14:textFill>
        </w:rPr>
        <w:t>（一）总则</w:t>
      </w:r>
      <w:bookmarkEnd w:id="46"/>
      <w:bookmarkEnd w:id="47"/>
      <w:bookmarkEnd w:id="48"/>
      <w:bookmarkEnd w:id="49"/>
    </w:p>
    <w:p w14:paraId="5481CD97">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bookmarkStart w:id="50" w:name="_Hlt16619475"/>
      <w:bookmarkEnd w:id="50"/>
      <w:bookmarkStart w:id="51" w:name="_Toc458694821"/>
      <w:bookmarkStart w:id="52" w:name="_Toc20823276"/>
      <w:bookmarkStart w:id="53" w:name="_Toc513029204"/>
      <w:bookmarkStart w:id="54" w:name="_Toc16938520"/>
      <w:r>
        <w:rPr>
          <w:rFonts w:hint="eastAsia" w:cs="宋体" w:asciiTheme="majorEastAsia" w:hAnsiTheme="majorEastAsia" w:eastAsiaTheme="majorEastAsia"/>
          <w:color w:val="000000" w:themeColor="text1"/>
          <w:sz w:val="24"/>
          <w:szCs w:val="24"/>
          <w14:textFill>
            <w14:solidFill>
              <w14:schemeClr w14:val="tx1"/>
            </w14:solidFill>
          </w14:textFill>
        </w:rPr>
        <w:t>1</w:t>
      </w:r>
      <w:bookmarkEnd w:id="51"/>
      <w:r>
        <w:rPr>
          <w:rFonts w:hint="eastAsia" w:cs="宋体" w:asciiTheme="majorEastAsia" w:hAnsiTheme="majorEastAsia" w:eastAsiaTheme="majorEastAsia"/>
          <w:color w:val="000000" w:themeColor="text1"/>
          <w:sz w:val="24"/>
          <w:szCs w:val="24"/>
          <w14:textFill>
            <w14:solidFill>
              <w14:schemeClr w14:val="tx1"/>
            </w14:solidFill>
          </w14:textFill>
        </w:rPr>
        <w:t>.采购方式</w:t>
      </w:r>
      <w:bookmarkEnd w:id="52"/>
      <w:bookmarkEnd w:id="53"/>
      <w:bookmarkEnd w:id="54"/>
    </w:p>
    <w:p w14:paraId="703C905C">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1.1 本次采取竞争性磋商方式，本磋商文件仅适用于磋商公告中所述项目。</w:t>
      </w:r>
    </w:p>
    <w:p w14:paraId="03A4F0CB">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bookmarkStart w:id="55" w:name="_Toc20823277"/>
      <w:bookmarkStart w:id="56" w:name="_Toc513029205"/>
      <w:bookmarkStart w:id="57" w:name="_Toc16938521"/>
      <w:r>
        <w:rPr>
          <w:rFonts w:hint="eastAsia" w:cs="宋体" w:asciiTheme="majorEastAsia" w:hAnsiTheme="majorEastAsia" w:eastAsiaTheme="majorEastAsia"/>
          <w:color w:val="000000" w:themeColor="text1"/>
          <w:sz w:val="24"/>
          <w:szCs w:val="24"/>
          <w14:textFill>
            <w14:solidFill>
              <w14:schemeClr w14:val="tx1"/>
            </w14:solidFill>
          </w14:textFill>
        </w:rPr>
        <w:t>2.合格的</w:t>
      </w:r>
      <w:bookmarkEnd w:id="55"/>
      <w:bookmarkEnd w:id="56"/>
      <w:bookmarkEnd w:id="57"/>
      <w:r>
        <w:rPr>
          <w:rFonts w:hint="eastAsia" w:cs="宋体" w:asciiTheme="majorEastAsia" w:hAnsiTheme="majorEastAsia" w:eastAsiaTheme="majorEastAsia"/>
          <w:color w:val="000000" w:themeColor="text1"/>
          <w:sz w:val="24"/>
          <w:szCs w:val="24"/>
          <w14:textFill>
            <w14:solidFill>
              <w14:schemeClr w14:val="tx1"/>
            </w14:solidFill>
          </w14:textFill>
        </w:rPr>
        <w:t>供应商</w:t>
      </w:r>
    </w:p>
    <w:p w14:paraId="64921F59">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2.1满足磋商公告中供应商的资格要求的规定。</w:t>
      </w:r>
    </w:p>
    <w:p w14:paraId="6C70D770">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2.2 满足本文件实质性条款的规定。</w:t>
      </w:r>
    </w:p>
    <w:p w14:paraId="29D9BC40">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bookmarkStart w:id="58" w:name="_Toc20823278"/>
      <w:bookmarkStart w:id="59" w:name="_Toc16938522"/>
      <w:bookmarkStart w:id="60" w:name="_Toc513029206"/>
      <w:r>
        <w:rPr>
          <w:rFonts w:hint="eastAsia" w:cs="宋体" w:asciiTheme="majorEastAsia" w:hAnsiTheme="majorEastAsia" w:eastAsiaTheme="majorEastAsia"/>
          <w:color w:val="000000" w:themeColor="text1"/>
          <w:sz w:val="24"/>
          <w:szCs w:val="24"/>
          <w14:textFill>
            <w14:solidFill>
              <w14:schemeClr w14:val="tx1"/>
            </w14:solidFill>
          </w14:textFill>
        </w:rPr>
        <w:t>3.适用法律</w:t>
      </w:r>
      <w:bookmarkEnd w:id="58"/>
      <w:bookmarkEnd w:id="59"/>
      <w:bookmarkEnd w:id="60"/>
    </w:p>
    <w:p w14:paraId="2634AB24">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3.1 本次采购及由此产生的合同受中华人民共和国有关的法律法规制约和保护。</w:t>
      </w:r>
    </w:p>
    <w:p w14:paraId="342D13BD">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bookmarkStart w:id="61" w:name="_Toc513029207"/>
      <w:bookmarkStart w:id="62" w:name="_Toc16938523"/>
      <w:bookmarkStart w:id="63" w:name="_Toc462564067"/>
      <w:bookmarkStart w:id="64" w:name="_Toc20823279"/>
      <w:r>
        <w:rPr>
          <w:rFonts w:hint="eastAsia" w:cs="宋体" w:asciiTheme="majorEastAsia" w:hAnsiTheme="majorEastAsia" w:eastAsiaTheme="majorEastAsia"/>
          <w:color w:val="000000" w:themeColor="text1"/>
          <w:sz w:val="24"/>
          <w:szCs w:val="24"/>
          <w14:textFill>
            <w14:solidFill>
              <w14:schemeClr w14:val="tx1"/>
            </w14:solidFill>
          </w14:textFill>
        </w:rPr>
        <w:t>4.磋商费用</w:t>
      </w:r>
      <w:bookmarkEnd w:id="61"/>
      <w:bookmarkEnd w:id="62"/>
      <w:bookmarkEnd w:id="63"/>
      <w:bookmarkEnd w:id="64"/>
    </w:p>
    <w:p w14:paraId="635068DD">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4.1 供应商应自行承担所有与参加磋商有关的费用，无论磋商过程中的做法和结果如何，采购人在任何情况下均无义务和责任承担这些费用。</w:t>
      </w:r>
    </w:p>
    <w:p w14:paraId="6B84C55D">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4.2本次磋商采购人不收取标书工本费与中标服务费。</w:t>
      </w:r>
    </w:p>
    <w:p w14:paraId="43C46B03">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5.磋商文件的约束力</w:t>
      </w:r>
    </w:p>
    <w:p w14:paraId="0F13D51D">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5.1 供应商一旦参加本项目采购活动，即被认为接受了本磋商文件的规定和约束。</w:t>
      </w:r>
    </w:p>
    <w:p w14:paraId="63B35E05">
      <w:pPr>
        <w:keepNext/>
        <w:keepLines/>
        <w:adjustRightInd w:val="0"/>
        <w:snapToGrid w:val="0"/>
        <w:spacing w:line="500" w:lineRule="exact"/>
        <w:outlineLvl w:val="2"/>
        <w:rPr>
          <w:rFonts w:cs="宋体" w:asciiTheme="majorEastAsia" w:hAnsiTheme="majorEastAsia" w:eastAsiaTheme="majorEastAsia"/>
          <w:b/>
          <w:bCs/>
          <w:color w:val="000000" w:themeColor="text1"/>
          <w:kern w:val="0"/>
          <w:sz w:val="28"/>
          <w:szCs w:val="28"/>
          <w14:textFill>
            <w14:solidFill>
              <w14:schemeClr w14:val="tx1"/>
            </w14:solidFill>
          </w14:textFill>
        </w:rPr>
      </w:pPr>
      <w:bookmarkStart w:id="65" w:name="_Toc120614215"/>
      <w:bookmarkStart w:id="66" w:name="_Toc16938525"/>
      <w:bookmarkStart w:id="67" w:name="_Toc20823281"/>
      <w:bookmarkStart w:id="68" w:name="_Toc513029209"/>
      <w:r>
        <w:rPr>
          <w:rFonts w:hint="eastAsia" w:cs="宋体" w:asciiTheme="majorEastAsia" w:hAnsiTheme="majorEastAsia" w:eastAsiaTheme="majorEastAsia"/>
          <w:b/>
          <w:bCs/>
          <w:color w:val="000000" w:themeColor="text1"/>
          <w:kern w:val="0"/>
          <w:sz w:val="28"/>
          <w:szCs w:val="28"/>
          <w14:textFill>
            <w14:solidFill>
              <w14:schemeClr w14:val="tx1"/>
            </w14:solidFill>
          </w14:textFill>
        </w:rPr>
        <w:t>（二）磋商文件</w:t>
      </w:r>
      <w:bookmarkEnd w:id="65"/>
      <w:bookmarkEnd w:id="66"/>
      <w:bookmarkEnd w:id="67"/>
      <w:bookmarkEnd w:id="68"/>
    </w:p>
    <w:p w14:paraId="4711E272">
      <w:pPr>
        <w:keepNext/>
        <w:adjustRightInd w:val="0"/>
        <w:snapToGrid w:val="0"/>
        <w:spacing w:line="500" w:lineRule="exact"/>
        <w:outlineLvl w:val="3"/>
        <w:rPr>
          <w:rFonts w:cs="宋体" w:asciiTheme="majorEastAsia" w:hAnsiTheme="majorEastAsia" w:eastAsiaTheme="majorEastAsia"/>
          <w:b/>
          <w:bCs/>
          <w:color w:val="000000" w:themeColor="text1"/>
          <w:kern w:val="0"/>
          <w:sz w:val="24"/>
          <w:szCs w:val="24"/>
          <w14:textFill>
            <w14:solidFill>
              <w14:schemeClr w14:val="tx1"/>
            </w14:solidFill>
          </w14:textFill>
        </w:rPr>
      </w:pPr>
      <w:bookmarkStart w:id="69" w:name="_Toc20823282"/>
      <w:bookmarkStart w:id="70" w:name="_Toc513029210"/>
      <w:bookmarkStart w:id="71" w:name="_Toc16938526"/>
      <w:r>
        <w:rPr>
          <w:rFonts w:hint="eastAsia" w:cs="宋体" w:asciiTheme="majorEastAsia" w:hAnsiTheme="majorEastAsia" w:eastAsiaTheme="majorEastAsia"/>
          <w:color w:val="000000" w:themeColor="text1"/>
          <w:kern w:val="0"/>
          <w:sz w:val="24"/>
          <w:szCs w:val="24"/>
          <w14:textFill>
            <w14:solidFill>
              <w14:schemeClr w14:val="tx1"/>
            </w14:solidFill>
          </w14:textFill>
        </w:rPr>
        <w:t>1.磋商文件构成</w:t>
      </w:r>
      <w:bookmarkEnd w:id="69"/>
      <w:bookmarkEnd w:id="70"/>
      <w:bookmarkEnd w:id="71"/>
    </w:p>
    <w:p w14:paraId="7E8817B6">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1.1</w:t>
      </w:r>
      <w:r>
        <w:rPr>
          <w:rFonts w:hint="eastAsia" w:cs="宋体" w:asciiTheme="majorEastAsia" w:hAnsiTheme="majorEastAsia" w:eastAsiaTheme="majorEastAsia"/>
          <w:color w:val="000000" w:themeColor="text1"/>
          <w:sz w:val="24"/>
          <w:szCs w:val="24"/>
          <w14:textFill>
            <w14:solidFill>
              <w14:schemeClr w14:val="tx1"/>
            </w14:solidFill>
          </w14:textFill>
        </w:rPr>
        <w:t>磋商文件由以下部分组成：</w:t>
      </w:r>
    </w:p>
    <w:p w14:paraId="57D248D8">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（1）竞争性磋商公告</w:t>
      </w:r>
    </w:p>
    <w:p w14:paraId="18D6E497">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（2）竞争性磋商须知</w:t>
      </w:r>
    </w:p>
    <w:p w14:paraId="46470DDB">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（3）采购项目需求</w:t>
      </w:r>
    </w:p>
    <w:p w14:paraId="0763AC6B">
      <w:pPr>
        <w:pStyle w:val="18"/>
        <w:snapToGrid w:val="0"/>
        <w:spacing w:before="0" w:after="0" w:line="500" w:lineRule="exact"/>
        <w:ind w:left="0" w:right="0" w:firstLineChars="200"/>
        <w:jc w:val="left"/>
        <w:rPr>
          <w:rFonts w:cs="宋体" w:asciiTheme="majorEastAsia" w:hAnsiTheme="majorEastAsia" w:eastAsiaTheme="majorEastAsia"/>
          <w:bCs/>
          <w:color w:val="000000" w:themeColor="text1"/>
          <w:sz w:val="36"/>
          <w:szCs w:val="36"/>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（4）</w:t>
      </w:r>
      <w:r>
        <w:rPr>
          <w:rFonts w:hint="eastAsia" w:cs="宋体" w:asciiTheme="majorEastAsia" w:hAnsiTheme="majorEastAsia" w:eastAsiaTheme="majorEastAsia"/>
          <w:bCs/>
          <w:color w:val="000000" w:themeColor="text1"/>
          <w14:textFill>
            <w14:solidFill>
              <w14:schemeClr w14:val="tx1"/>
            </w14:solidFill>
          </w14:textFill>
        </w:rPr>
        <w:t>评审方法和评审标准</w:t>
      </w:r>
    </w:p>
    <w:p w14:paraId="0A6B7662">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（5）磋商文件组成</w:t>
      </w:r>
    </w:p>
    <w:p w14:paraId="507826C9">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请仔细检查磋商文件是否齐全，如有缺漏请立即与总务科联系解决。</w:t>
      </w:r>
    </w:p>
    <w:p w14:paraId="025626E0">
      <w:pPr>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供应商应认真阅读磋商文件中所有的事项、格式、条款和规范等要求。按磋商文件要求和规定编制磋商文件，并保证所提供的全部资料的真实性，以使其磋商文件作出实质性响应，否则其风险由供应商自行承担。</w:t>
      </w:r>
      <w:r>
        <w:rPr>
          <w:rFonts w:hint="eastAsia" w:cs="宋体" w:asciiTheme="majorEastAsia" w:hAnsiTheme="majorEastAsia" w:eastAsiaTheme="majorEastAsia"/>
          <w:color w:val="000000" w:themeColor="text1"/>
          <w:kern w:val="0"/>
          <w:sz w:val="24"/>
          <w:szCs w:val="24"/>
          <w14:textFill>
            <w14:solidFill>
              <w14:schemeClr w14:val="tx1"/>
            </w14:solidFill>
          </w14:textFill>
        </w:rPr>
        <w:t>如果供应商没有按照磋商文件要求提交磋商文件，或者磋商文件没有做出实质性响应，将被拒绝参与磋商。</w:t>
      </w:r>
    </w:p>
    <w:p w14:paraId="4DA7A73B">
      <w:pPr>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1.3</w:t>
      </w:r>
      <w:r>
        <w:rPr>
          <w:rFonts w:hint="eastAsia" w:cs="宋体" w:asciiTheme="majorEastAsia" w:hAnsiTheme="majorEastAsia" w:eastAsiaTheme="majorEastAsia"/>
          <w:color w:val="000000" w:themeColor="text1"/>
          <w:kern w:val="0"/>
          <w:sz w:val="24"/>
          <w:szCs w:val="24"/>
          <w14:textFill>
            <w14:solidFill>
              <w14:schemeClr w14:val="tx1"/>
            </w14:solidFill>
          </w14:textFill>
        </w:rPr>
        <w:t>供应商在网上下载磋商文件后，应仔细检查磋商文件的所有内容，如对政府采购活动事项有疑问的，应在磋商2日前向采购人以书面形式提出，否则视同供应商理解并接受本磋商文件所有内容，并由此引起的损失自负。供应商不得在谈判结束后针对磋商文件所有内容提出质疑事项。</w:t>
      </w:r>
    </w:p>
    <w:p w14:paraId="3318CFCA">
      <w:pPr>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1.4供应商由于对磋商文件的任何推论和误解以及采购人对有关问题的口头解释所造成的后果，均由供应商自负。</w:t>
      </w:r>
    </w:p>
    <w:p w14:paraId="046D54BB">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p>
    <w:p w14:paraId="44729631">
      <w:pPr>
        <w:keepNext/>
        <w:adjustRightInd w:val="0"/>
        <w:snapToGrid w:val="0"/>
        <w:spacing w:line="500" w:lineRule="exact"/>
        <w:outlineLvl w:val="3"/>
        <w:rPr>
          <w:rFonts w:cs="宋体" w:asciiTheme="majorEastAsia" w:hAnsiTheme="majorEastAsia" w:eastAsiaTheme="majorEastAsia"/>
          <w:b/>
          <w:bCs/>
          <w:color w:val="000000" w:themeColor="text1"/>
          <w:kern w:val="0"/>
          <w:sz w:val="24"/>
          <w:szCs w:val="24"/>
          <w14:textFill>
            <w14:solidFill>
              <w14:schemeClr w14:val="tx1"/>
            </w14:solidFill>
          </w14:textFill>
        </w:rPr>
      </w:pPr>
      <w:bookmarkStart w:id="72" w:name="_Toc16938527"/>
      <w:bookmarkStart w:id="73" w:name="_Toc20823283"/>
      <w:bookmarkStart w:id="74" w:name="_Toc513029211"/>
      <w:bookmarkStart w:id="75" w:name="_Toc462564070"/>
      <w:r>
        <w:rPr>
          <w:rFonts w:hint="eastAsia" w:cs="宋体" w:asciiTheme="majorEastAsia" w:hAnsiTheme="majorEastAsia" w:eastAsiaTheme="majorEastAsia"/>
          <w:color w:val="000000" w:themeColor="text1"/>
          <w:kern w:val="0"/>
          <w:sz w:val="24"/>
          <w:szCs w:val="24"/>
          <w14:textFill>
            <w14:solidFill>
              <w14:schemeClr w14:val="tx1"/>
            </w14:solidFill>
          </w14:textFill>
        </w:rPr>
        <w:t>2.磋商文件的澄清</w:t>
      </w:r>
      <w:bookmarkEnd w:id="72"/>
      <w:bookmarkEnd w:id="73"/>
      <w:bookmarkEnd w:id="74"/>
      <w:bookmarkEnd w:id="75"/>
    </w:p>
    <w:p w14:paraId="1A81F61C">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2.1</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任何要求对磋商文件进行澄清的供应商，应在提交首次磋商文件截止时间2日前按磋商公告中的通讯地址，以书面形式通知采购人。采购人有权对发出的磋商文件进行必要的澄清或修改。</w:t>
      </w:r>
    </w:p>
    <w:p w14:paraId="4DDFBDFE">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2.2采购人视情组织答疑会。</w:t>
      </w:r>
    </w:p>
    <w:p w14:paraId="24981F8B">
      <w:pPr>
        <w:keepNext/>
        <w:adjustRightInd w:val="0"/>
        <w:snapToGrid w:val="0"/>
        <w:spacing w:line="500" w:lineRule="exact"/>
        <w:outlineLvl w:val="3"/>
        <w:rPr>
          <w:rFonts w:cs="宋体" w:asciiTheme="majorEastAsia" w:hAnsiTheme="majorEastAsia" w:eastAsiaTheme="majorEastAsia"/>
          <w:b/>
          <w:bCs/>
          <w:color w:val="000000" w:themeColor="text1"/>
          <w:kern w:val="0"/>
          <w:sz w:val="24"/>
          <w:szCs w:val="24"/>
          <w14:textFill>
            <w14:solidFill>
              <w14:schemeClr w14:val="tx1"/>
            </w14:solidFill>
          </w14:textFill>
        </w:rPr>
      </w:pPr>
      <w:bookmarkStart w:id="76" w:name="_Toc16938528"/>
      <w:bookmarkStart w:id="77" w:name="_Toc513029212"/>
      <w:bookmarkStart w:id="78" w:name="_Toc20823284"/>
      <w:bookmarkStart w:id="79" w:name="_Toc462564071"/>
      <w:r>
        <w:rPr>
          <w:rFonts w:hint="eastAsia" w:cs="宋体" w:asciiTheme="majorEastAsia" w:hAnsiTheme="majorEastAsia" w:eastAsiaTheme="majorEastAsia"/>
          <w:color w:val="000000" w:themeColor="text1"/>
          <w:kern w:val="0"/>
          <w:sz w:val="24"/>
          <w:szCs w:val="24"/>
          <w14:textFill>
            <w14:solidFill>
              <w14:schemeClr w14:val="tx1"/>
            </w14:solidFill>
          </w14:textFill>
        </w:rPr>
        <w:t>3.磋商文件的修改</w:t>
      </w:r>
      <w:bookmarkEnd w:id="76"/>
      <w:bookmarkEnd w:id="77"/>
      <w:bookmarkEnd w:id="78"/>
      <w:bookmarkEnd w:id="79"/>
    </w:p>
    <w:p w14:paraId="4622C9CE">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3.1</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在磋商文件提交截止时间前，采购人可以对磋商文件进行修改。</w:t>
      </w:r>
    </w:p>
    <w:p w14:paraId="7D2BB6DF">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3.2采购人</w:t>
      </w:r>
      <w:r>
        <w:rPr>
          <w:rFonts w:hint="eastAsia" w:cs="宋体" w:asciiTheme="majorEastAsia" w:hAnsiTheme="majorEastAsia" w:eastAsiaTheme="majorEastAsia"/>
          <w:color w:val="000000" w:themeColor="text1"/>
          <w:sz w:val="24"/>
          <w:szCs w:val="24"/>
          <w14:textFill>
            <w14:solidFill>
              <w14:schemeClr w14:val="tx1"/>
            </w14:solidFill>
          </w14:textFill>
        </w:rPr>
        <w:t>有权按照法定的要求推迟磋商文件提交截止日期和磋商日期。</w:t>
      </w:r>
    </w:p>
    <w:p w14:paraId="3A9B4401">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3.3 </w:t>
      </w:r>
      <w:r>
        <w:rPr>
          <w:rFonts w:hint="eastAsia" w:cs="宋体" w:asciiTheme="majorEastAsia" w:hAnsiTheme="majorEastAsia" w:eastAsiaTheme="majorEastAsia"/>
          <w:color w:val="000000" w:themeColor="text1"/>
          <w:sz w:val="24"/>
          <w:szCs w:val="24"/>
          <w14:textFill>
            <w14:solidFill>
              <w14:schemeClr w14:val="tx1"/>
            </w14:solidFill>
          </w14:textFill>
        </w:rPr>
        <w:t>磋商文件的修改将在卫生健康委员会官网公布，补充文件将作为磋商文件的组成部分，并对供应商具有约束力。</w:t>
      </w:r>
    </w:p>
    <w:p w14:paraId="20B6D5B0">
      <w:pPr>
        <w:keepNext/>
        <w:keepLines/>
        <w:adjustRightInd w:val="0"/>
        <w:snapToGrid w:val="0"/>
        <w:spacing w:line="500" w:lineRule="exact"/>
        <w:outlineLvl w:val="2"/>
        <w:rPr>
          <w:rFonts w:cs="宋体" w:asciiTheme="majorEastAsia" w:hAnsiTheme="majorEastAsia" w:eastAsiaTheme="majorEastAsia"/>
          <w:b/>
          <w:bCs/>
          <w:color w:val="000000" w:themeColor="text1"/>
          <w:kern w:val="0"/>
          <w:sz w:val="28"/>
          <w:szCs w:val="28"/>
          <w14:textFill>
            <w14:solidFill>
              <w14:schemeClr w14:val="tx1"/>
            </w14:solidFill>
          </w14:textFill>
        </w:rPr>
      </w:pPr>
      <w:bookmarkStart w:id="80" w:name="_Toc513029213"/>
      <w:bookmarkStart w:id="81" w:name="_Toc120614216"/>
      <w:bookmarkStart w:id="82" w:name="_Toc16938529"/>
      <w:bookmarkStart w:id="83" w:name="_Toc462564072"/>
      <w:bookmarkStart w:id="84" w:name="_Toc20823285"/>
      <w:r>
        <w:rPr>
          <w:rFonts w:hint="eastAsia" w:cs="宋体" w:asciiTheme="majorEastAsia" w:hAnsiTheme="majorEastAsia" w:eastAsiaTheme="majorEastAsia"/>
          <w:b/>
          <w:bCs/>
          <w:color w:val="000000" w:themeColor="text1"/>
          <w:kern w:val="0"/>
          <w:sz w:val="28"/>
          <w:szCs w:val="28"/>
          <w14:textFill>
            <w14:solidFill>
              <w14:schemeClr w14:val="tx1"/>
            </w14:solidFill>
          </w14:textFill>
        </w:rPr>
        <w:t>（三）磋商文件的编制</w:t>
      </w:r>
      <w:bookmarkEnd w:id="80"/>
      <w:bookmarkEnd w:id="81"/>
      <w:bookmarkEnd w:id="82"/>
      <w:bookmarkEnd w:id="83"/>
      <w:bookmarkEnd w:id="84"/>
    </w:p>
    <w:p w14:paraId="41D5C4C6">
      <w:pPr>
        <w:adjustRightInd w:val="0"/>
        <w:snapToGrid w:val="0"/>
        <w:spacing w:line="500" w:lineRule="exact"/>
        <w:ind w:firstLine="482"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1、</w:t>
      </w:r>
      <w:r>
        <w:rPr>
          <w:rFonts w:hint="eastAsia" w:cs="宋体" w:asciiTheme="majorEastAsia" w:hAnsiTheme="majorEastAsia" w:eastAsiaTheme="majorEastAsia"/>
          <w:bCs/>
          <w:color w:val="000000" w:themeColor="text1"/>
          <w:sz w:val="24"/>
          <w:szCs w:val="24"/>
          <w14:textFill>
            <w14:solidFill>
              <w14:schemeClr w14:val="tx1"/>
            </w14:solidFill>
          </w14:textFill>
        </w:rPr>
        <w:t>原则：</w:t>
      </w:r>
    </w:p>
    <w:p w14:paraId="15FA771D">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1.1供应商应保证所提供的所有资料的真实性、准确性。</w:t>
      </w:r>
    </w:p>
    <w:p w14:paraId="15D90A1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1.2供应商在磋商过程中提供不真实的材料，无论其材料是否重要，采购方都将终止其磋商资格，供应商需承担相应的后果及法律责任。</w:t>
      </w:r>
    </w:p>
    <w:p w14:paraId="4F346F15">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1.3采购方拒绝接受电报、电话或传真形式的磋商文件。</w:t>
      </w:r>
    </w:p>
    <w:p w14:paraId="4C682FB9">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2、磋商文件的组成：见本磋商采购文件第五部分“磋商文件组成”。</w:t>
      </w:r>
    </w:p>
    <w:p w14:paraId="110F2D6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特别提示：请供应商提供相关原件用于现场磋商时备查。不能提供原件的，则需供应商提供经注册地公证机构的公证书或原发证机构出具的相关证明材料。复印件请加盖单位公章。因携带原件不全，由此引起的后果供应商自负。</w:t>
      </w:r>
    </w:p>
    <w:p w14:paraId="0296B8E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3、磋商文件制作要求：</w:t>
      </w:r>
    </w:p>
    <w:p w14:paraId="472E8992">
      <w:pPr>
        <w:pStyle w:val="3"/>
        <w:adjustRightInd w:val="0"/>
        <w:snapToGrid w:val="0"/>
        <w:spacing w:line="500" w:lineRule="exact"/>
        <w:ind w:firstLine="720" w:firstLineChars="300"/>
        <w:rPr>
          <w:rFonts w:ascii="宋体" w:hAnsi="宋体" w:cs="宋体"/>
          <w:b w:val="0"/>
          <w:color w:val="000000" w:themeColor="text1"/>
          <w:sz w:val="24"/>
          <w:szCs w:val="24"/>
          <w14:textFill>
            <w14:solidFill>
              <w14:schemeClr w14:val="tx1"/>
            </w14:solidFill>
          </w14:textFill>
        </w:rPr>
      </w:pPr>
      <w:r>
        <w:rPr>
          <w:rFonts w:hint="eastAsia" w:cs="宋体" w:asciiTheme="majorEastAsia" w:hAnsiTheme="majorEastAsia"/>
          <w:b w:val="0"/>
          <w:bCs w:val="0"/>
          <w:color w:val="000000" w:themeColor="text1"/>
          <w:sz w:val="24"/>
          <w:szCs w:val="24"/>
          <w14:textFill>
            <w14:solidFill>
              <w14:schemeClr w14:val="tx1"/>
            </w14:solidFill>
          </w14:textFill>
        </w:rPr>
        <w:t>3.1供应商应按磋商文件组成顺序编写、制作磋商文件，并牢固装订成册。磋商文件均需采用A4（图纸等除外），磋商文件不得行间插字、涂改、增删，如修改错漏处，须经磋商文件签署人签字并加盖公章。所有需要提交的资料须加盖投标单位公章。供应商</w:t>
      </w:r>
      <w:r>
        <w:rPr>
          <w:rFonts w:hint="eastAsia" w:ascii="宋体" w:hAnsi="宋体" w:cs="宋体"/>
          <w:b w:val="0"/>
          <w:color w:val="000000" w:themeColor="text1"/>
          <w:sz w:val="24"/>
          <w:szCs w:val="24"/>
          <w14:textFill>
            <w14:solidFill>
              <w14:schemeClr w14:val="tx1"/>
            </w14:solidFill>
          </w14:textFill>
        </w:rPr>
        <w:t>提交的磋商文件以均应使用</w:t>
      </w:r>
      <w:r>
        <w:rPr>
          <w:rFonts w:hint="eastAsia" w:ascii="宋体" w:hAnsi="宋体" w:cs="宋体"/>
          <w:b w:val="0"/>
          <w:bCs w:val="0"/>
          <w:color w:val="000000" w:themeColor="text1"/>
          <w:sz w:val="24"/>
          <w:szCs w:val="24"/>
          <w14:textFill>
            <w14:solidFill>
              <w14:schemeClr w14:val="tx1"/>
            </w14:solidFill>
          </w14:textFill>
        </w:rPr>
        <w:t>简体中文</w:t>
      </w:r>
      <w:r>
        <w:rPr>
          <w:rFonts w:hint="eastAsia" w:ascii="宋体" w:hAnsi="宋体" w:cs="宋体"/>
          <w:b w:val="0"/>
          <w:color w:val="000000" w:themeColor="text1"/>
          <w:sz w:val="24"/>
          <w:szCs w:val="24"/>
          <w14:textFill>
            <w14:solidFill>
              <w14:schemeClr w14:val="tx1"/>
            </w14:solidFill>
          </w14:textFill>
        </w:rPr>
        <w:t>，除技术性能另有规定外，磋商文件所使用的度量衡单位，均须采用国家法定计量单位。</w:t>
      </w:r>
    </w:p>
    <w:p w14:paraId="68E9AE45">
      <w:pPr>
        <w:pStyle w:val="3"/>
        <w:adjustRightInd w:val="0"/>
        <w:snapToGrid w:val="0"/>
        <w:spacing w:line="500" w:lineRule="exact"/>
        <w:ind w:firstLine="720" w:firstLineChars="300"/>
        <w:rPr>
          <w:rFonts w:ascii="宋体" w:hAnsi="宋体" w:cs="宋体"/>
          <w:color w:val="000000" w:themeColor="text1"/>
          <w14:textFill>
            <w14:solidFill>
              <w14:schemeClr w14:val="tx1"/>
            </w14:solidFill>
          </w14:textFill>
        </w:rPr>
      </w:pPr>
      <w:r>
        <w:rPr>
          <w:rFonts w:hint="eastAsia" w:cs="宋体" w:asciiTheme="majorEastAsia" w:hAnsiTheme="majorEastAsia"/>
          <w:b w:val="0"/>
          <w:bCs w:val="0"/>
          <w:color w:val="000000" w:themeColor="text1"/>
          <w:sz w:val="24"/>
          <w:szCs w:val="24"/>
          <w14:textFill>
            <w14:solidFill>
              <w14:schemeClr w14:val="tx1"/>
            </w14:solidFill>
          </w14:textFill>
        </w:rPr>
        <w:t>3.2磋商文件正本一份、副本两份，在每一份磋商文件上要明确标注供应商全称、“正本”、“副本”字样。一旦正本和副本内容有差异，以正本为准</w:t>
      </w:r>
      <w:r>
        <w:rPr>
          <w:rFonts w:hint="eastAsia" w:cs="宋体" w:asciiTheme="majorEastAsia" w:hAnsiTheme="majorEastAsia"/>
          <w:bCs w:val="0"/>
          <w:color w:val="000000" w:themeColor="text1"/>
          <w:sz w:val="24"/>
          <w:szCs w:val="24"/>
          <w14:textFill>
            <w14:solidFill>
              <w14:schemeClr w14:val="tx1"/>
            </w14:solidFill>
          </w14:textFill>
        </w:rPr>
        <w:t>。</w:t>
      </w:r>
    </w:p>
    <w:p w14:paraId="00F2D753">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3.3磋商文件正本须打印并由法定代表人或授权代表签字并加盖单位公章，副本可复印。</w:t>
      </w:r>
    </w:p>
    <w:p w14:paraId="245F2C5A">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3.4供应商应将本项目磋商文件密封。</w:t>
      </w:r>
    </w:p>
    <w:p w14:paraId="1F5573EE">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3.5报价单须单独另行密封，磋商报价不得出现于磋商文件的正本或副本。</w:t>
      </w:r>
    </w:p>
    <w:p w14:paraId="690FBD29">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3.6所有密封文件封套正面须标明项目名称、项目编号、边缝处加盖单位骑缝章或骑缝签字，并注明于磋商前不得启封。如果供应商未加写标记，采购人对磋商文件的误投和提前启封不负责任。</w:t>
      </w:r>
    </w:p>
    <w:p w14:paraId="06CBD814">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4、报价注意事项</w:t>
      </w:r>
    </w:p>
    <w:p w14:paraId="33B05B51">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4.1本次磋商，供应商必须就所有内容进行报价，少报无效。</w:t>
      </w:r>
    </w:p>
    <w:p w14:paraId="36564336">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4.2报价应包括本项目的全部费用及相关服务费等。</w:t>
      </w:r>
    </w:p>
    <w:p w14:paraId="047521E6">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4.3各供应商须考虑产品的成本、质量、售后服务等因素，严禁恶意低价。对报价后不提供产品或服务的将取消供应商资格并加入医院采购供应商黑名单。</w:t>
      </w:r>
    </w:p>
    <w:p w14:paraId="264DC34A">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4.4</w:t>
      </w:r>
      <w:r>
        <w:rPr>
          <w:rFonts w:hint="eastAsia" w:cs="宋体" w:asciiTheme="majorEastAsia" w:hAnsiTheme="majorEastAsia" w:eastAsiaTheme="majorEastAsia"/>
          <w:color w:val="000000" w:themeColor="text1"/>
          <w:kern w:val="0"/>
          <w:sz w:val="24"/>
          <w:szCs w:val="24"/>
          <w14:textFill>
            <w14:solidFill>
              <w14:schemeClr w14:val="tx1"/>
            </w14:solidFill>
          </w14:textFill>
        </w:rPr>
        <w:t>本项目</w:t>
      </w:r>
      <w:r>
        <w:rPr>
          <w:rFonts w:hint="eastAsia" w:cs="宋体" w:asciiTheme="majorEastAsia" w:hAnsiTheme="majorEastAsia" w:eastAsiaTheme="majorEastAsia"/>
          <w:bCs/>
          <w:color w:val="000000" w:themeColor="text1"/>
          <w:kern w:val="0"/>
          <w:sz w:val="24"/>
          <w:szCs w:val="24"/>
          <w14:textFill>
            <w14:solidFill>
              <w14:schemeClr w14:val="tx1"/>
            </w14:solidFill>
          </w14:textFill>
        </w:rPr>
        <w:t>最高限价为</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309600</w:t>
      </w:r>
      <w:r>
        <w:rPr>
          <w:rFonts w:hint="eastAsia" w:cs="宋体" w:asciiTheme="majorEastAsia" w:hAnsiTheme="majorEastAsia" w:eastAsiaTheme="majorEastAsia"/>
          <w:bCs/>
          <w:color w:val="000000" w:themeColor="text1"/>
          <w:kern w:val="0"/>
          <w:sz w:val="24"/>
          <w:szCs w:val="24"/>
          <w14:textFill>
            <w14:solidFill>
              <w14:schemeClr w14:val="tx1"/>
            </w14:solidFill>
          </w14:textFill>
        </w:rPr>
        <w:t>元</w:t>
      </w:r>
      <w:r>
        <w:rPr>
          <w:rFonts w:hint="eastAsia" w:cs="宋体" w:asciiTheme="majorEastAsia" w:hAnsiTheme="majorEastAsia" w:eastAsiaTheme="majorEastAsia"/>
          <w:b/>
          <w:bCs/>
          <w:color w:val="000000" w:themeColor="text1"/>
          <w:kern w:val="0"/>
          <w:sz w:val="24"/>
          <w:szCs w:val="24"/>
          <w14:textFill>
            <w14:solidFill>
              <w14:schemeClr w14:val="tx1"/>
            </w14:solidFill>
          </w14:textFill>
        </w:rPr>
        <w:t>，</w:t>
      </w:r>
      <w:r>
        <w:rPr>
          <w:rFonts w:hint="eastAsia" w:cs="宋体" w:asciiTheme="majorEastAsia" w:hAnsiTheme="majorEastAsia" w:eastAsiaTheme="majorEastAsia"/>
          <w:color w:val="000000" w:themeColor="text1"/>
          <w:kern w:val="0"/>
          <w:sz w:val="24"/>
          <w:szCs w:val="24"/>
          <w14:textFill>
            <w14:solidFill>
              <w14:schemeClr w14:val="tx1"/>
            </w14:solidFill>
          </w14:textFill>
        </w:rPr>
        <w:t>磋商标报价超过最高限价的为无效报价，按照无效响应处理。</w:t>
      </w:r>
    </w:p>
    <w:p w14:paraId="13593AA5">
      <w:pPr>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4.5本项目将进行现场最终报价，请做好现场报价的准备。</w:t>
      </w:r>
    </w:p>
    <w:p w14:paraId="69D7FD3F">
      <w:pPr>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b/>
          <w:bCs/>
          <w:color w:val="000000" w:themeColor="text1"/>
          <w:kern w:val="0"/>
          <w:sz w:val="28"/>
          <w:szCs w:val="28"/>
          <w14:textFill>
            <w14:solidFill>
              <w14:schemeClr w14:val="tx1"/>
            </w14:solidFill>
          </w14:textFill>
        </w:rPr>
        <w:t>（四）、磋商文件的递交</w:t>
      </w:r>
    </w:p>
    <w:p w14:paraId="1D86A0B8">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1、采购人于磋商地点在</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磋商截止时间前半小时内接受磋商文件</w:t>
      </w:r>
      <w:r>
        <w:rPr>
          <w:rFonts w:hint="eastAsia" w:cs="宋体" w:asciiTheme="majorEastAsia" w:hAnsiTheme="majorEastAsia" w:eastAsiaTheme="majorEastAsia"/>
          <w:color w:val="000000" w:themeColor="text1"/>
          <w:kern w:val="0"/>
          <w:sz w:val="24"/>
          <w:szCs w:val="24"/>
          <w14:textFill>
            <w14:solidFill>
              <w14:schemeClr w14:val="tx1"/>
            </w14:solidFill>
          </w14:textFill>
        </w:rPr>
        <w:t>。</w:t>
      </w:r>
    </w:p>
    <w:p w14:paraId="15D8529D">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0"/>
          <w:sz w:val="24"/>
          <w:szCs w:val="24"/>
          <w14:textFill>
            <w14:solidFill>
              <w14:schemeClr w14:val="tx1"/>
            </w14:solidFill>
          </w14:textFill>
        </w:rPr>
        <w:t>递交磋商文件的方式为专人当面递交的方式。</w:t>
      </w:r>
    </w:p>
    <w:p w14:paraId="3F4F6492">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3、采购人将拒绝接收递交时间、密封情况等不符合要求的磋商文件。</w:t>
      </w:r>
    </w:p>
    <w:p w14:paraId="7B878467">
      <w:pPr>
        <w:adjustRightInd w:val="0"/>
        <w:snapToGrid w:val="0"/>
        <w:spacing w:line="500" w:lineRule="exact"/>
        <w:ind w:firstLine="240" w:firstLineChars="100"/>
        <w:rPr>
          <w:rFonts w:cs="宋体" w:asciiTheme="majorEastAsia" w:hAnsiTheme="majorEastAsia" w:eastAsiaTheme="majorEastAsia"/>
          <w:b/>
          <w:bCs/>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4、磋商文件填写字迹必须清楚、工整，对不同文字文本磋商文件的解释发生异议的，以中文文本为准。</w:t>
      </w:r>
      <w:r>
        <w:rPr>
          <w:rFonts w:hint="eastAsia" w:cs="宋体" w:asciiTheme="majorEastAsia" w:hAnsiTheme="majorEastAsia" w:eastAsiaTheme="majorEastAsia"/>
          <w:b/>
          <w:bCs/>
          <w:color w:val="000000" w:themeColor="text1"/>
          <w:kern w:val="0"/>
          <w:sz w:val="24"/>
          <w:szCs w:val="24"/>
          <w14:textFill>
            <w14:solidFill>
              <w14:schemeClr w14:val="tx1"/>
            </w14:solidFill>
          </w14:textFill>
        </w:rPr>
        <w:t> </w:t>
      </w:r>
    </w:p>
    <w:p w14:paraId="7A3488E6">
      <w:pPr>
        <w:adjustRightInd w:val="0"/>
        <w:snapToGrid w:val="0"/>
        <w:spacing w:line="500" w:lineRule="exact"/>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（五）、磋商与评审</w:t>
      </w:r>
    </w:p>
    <w:p w14:paraId="7C4BD70F">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1</w:t>
      </w:r>
      <w:r>
        <w:rPr>
          <w:rFonts w:hint="eastAsia" w:cs="宋体" w:asciiTheme="majorEastAsia" w:hAnsiTheme="majorEastAsia" w:eastAsiaTheme="majorEastAsia"/>
          <w:color w:val="000000" w:themeColor="text1"/>
          <w:sz w:val="24"/>
          <w:szCs w:val="24"/>
          <w14:textFill>
            <w14:solidFill>
              <w14:schemeClr w14:val="tx1"/>
            </w14:solidFill>
          </w14:textFill>
        </w:rPr>
        <w:t>.</w:t>
      </w:r>
      <w:r>
        <w:rPr>
          <w:rFonts w:cs="宋体" w:asciiTheme="majorEastAsia" w:hAnsiTheme="majorEastAsia" w:eastAsiaTheme="majorEastAsia"/>
          <w:color w:val="000000" w:themeColor="text1"/>
          <w:sz w:val="24"/>
          <w:szCs w:val="24"/>
          <w14:textFill>
            <w14:solidFill>
              <w14:schemeClr w14:val="tx1"/>
            </w14:solidFill>
          </w14:textFill>
        </w:rPr>
        <w:t>1</w:t>
      </w:r>
      <w:r>
        <w:rPr>
          <w:rFonts w:hint="eastAsia" w:cs="宋体" w:asciiTheme="majorEastAsia" w:hAnsiTheme="majorEastAsia" w:eastAsiaTheme="majorEastAsia"/>
          <w:color w:val="000000" w:themeColor="text1"/>
          <w:sz w:val="24"/>
          <w:szCs w:val="24"/>
          <w14:textFill>
            <w14:solidFill>
              <w14:schemeClr w14:val="tx1"/>
            </w14:solidFill>
          </w14:textFill>
        </w:rPr>
        <w:t>磋商小组由共3人以上单数组成，其中评审专家人数不得少于磋商小组成员总数的2/3。</w:t>
      </w:r>
    </w:p>
    <w:p w14:paraId="5ACB9FC0">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1</w:t>
      </w:r>
      <w:r>
        <w:rPr>
          <w:rFonts w:hint="eastAsia" w:cs="宋体" w:asciiTheme="majorEastAsia" w:hAnsiTheme="majorEastAsia" w:eastAsiaTheme="majorEastAsia"/>
          <w:color w:val="000000" w:themeColor="text1"/>
          <w:sz w:val="24"/>
          <w:szCs w:val="24"/>
          <w14:textFill>
            <w14:solidFill>
              <w14:schemeClr w14:val="tx1"/>
            </w14:solidFill>
          </w14:textFill>
        </w:rPr>
        <w:t>.</w:t>
      </w: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磋商小组独立工作，负责评审所有磋商文件并确定不少于3位成交</w:t>
      </w:r>
      <w:r>
        <w:rPr>
          <w:rFonts w:hint="eastAsia" w:cs="宋体" w:asciiTheme="majorEastAsia" w:hAnsiTheme="majorEastAsia" w:eastAsiaTheme="majorEastAsia"/>
          <w:color w:val="000000" w:themeColor="text1"/>
          <w:sz w:val="24"/>
          <w:szCs w:val="24"/>
          <w:lang w:val="en-US" w:eastAsia="zh-CN"/>
          <w14:textFill>
            <w14:solidFill>
              <w14:schemeClr w14:val="tx1"/>
            </w14:solidFill>
          </w14:textFill>
        </w:rPr>
        <w:t>候选人</w:t>
      </w:r>
      <w:r>
        <w:rPr>
          <w:rFonts w:hint="eastAsia" w:cs="宋体" w:asciiTheme="majorEastAsia" w:hAnsiTheme="majorEastAsia" w:eastAsiaTheme="majorEastAsia"/>
          <w:color w:val="000000" w:themeColor="text1"/>
          <w:sz w:val="24"/>
          <w:szCs w:val="24"/>
          <w14:textFill>
            <w14:solidFill>
              <w14:schemeClr w14:val="tx1"/>
            </w14:solidFill>
          </w14:textFill>
        </w:rPr>
        <w:t>。</w:t>
      </w:r>
    </w:p>
    <w:p w14:paraId="009BCA96">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.磋商评审过程的保密与公正</w:t>
      </w:r>
    </w:p>
    <w:p w14:paraId="54981F68">
      <w:pPr>
        <w:tabs>
          <w:tab w:val="left" w:pos="900"/>
        </w:tabs>
        <w:adjustRightInd w:val="0"/>
        <w:snapToGrid w:val="0"/>
        <w:spacing w:line="500" w:lineRule="exact"/>
        <w:ind w:firstLine="477" w:firstLineChars="199"/>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.1磋商小组、工作人员、相关监督人员等与评审工作有关的人员，对评审情况以及在评审过程中获悉的国家秘密、商业秘密负有保密责任。</w:t>
      </w:r>
    </w:p>
    <w:p w14:paraId="4D739B68">
      <w:pPr>
        <w:tabs>
          <w:tab w:val="left" w:pos="900"/>
        </w:tabs>
        <w:adjustRightInd w:val="0"/>
        <w:snapToGrid w:val="0"/>
        <w:spacing w:line="500" w:lineRule="exact"/>
        <w:ind w:firstLine="477" w:firstLineChars="199"/>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.2在磋商评审过程中，磋商供应商不得以任何行为影响磋商评审过程，否</w:t>
      </w:r>
      <w:bookmarkStart w:id="123" w:name="_GoBack"/>
      <w:bookmarkEnd w:id="123"/>
      <w:r>
        <w:rPr>
          <w:rFonts w:hint="eastAsia" w:cs="宋体" w:asciiTheme="majorEastAsia" w:hAnsiTheme="majorEastAsia" w:eastAsiaTheme="majorEastAsia"/>
          <w:color w:val="000000" w:themeColor="text1"/>
          <w:sz w:val="24"/>
          <w:szCs w:val="24"/>
          <w14:textFill>
            <w14:solidFill>
              <w14:schemeClr w14:val="tx1"/>
            </w14:solidFill>
          </w14:textFill>
        </w:rPr>
        <w:t>则其磋商文件将被作为无效磋商文件。</w:t>
      </w:r>
    </w:p>
    <w:p w14:paraId="7C7141E9">
      <w:pPr>
        <w:tabs>
          <w:tab w:val="left" w:pos="900"/>
        </w:tabs>
        <w:adjustRightInd w:val="0"/>
        <w:snapToGrid w:val="0"/>
        <w:spacing w:line="500" w:lineRule="exact"/>
        <w:ind w:firstLine="477" w:firstLineChars="199"/>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.3磋商小组成员应当按照客观、公正、审慎的原则，根据磋商文件规定的评审程序、评审方法和评审标准进行独立评审。未实质性响应的磋商文件按无效响应处理，磋商小组应当告知提交磋商文件的供应商。</w:t>
      </w:r>
    </w:p>
    <w:p w14:paraId="43FA6045">
      <w:pPr>
        <w:tabs>
          <w:tab w:val="left" w:pos="900"/>
        </w:tabs>
        <w:adjustRightInd w:val="0"/>
        <w:snapToGrid w:val="0"/>
        <w:spacing w:line="500" w:lineRule="exact"/>
        <w:ind w:firstLine="477" w:firstLineChars="199"/>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评审开始后，直至向成交供应商授予合同时止，凡是与审查、澄清、评价和比较响应的有关资料以及授标建议等，采购人、磋商小组均不得向供应商或与评标无关的其他人员透露。</w:t>
      </w:r>
    </w:p>
    <w:p w14:paraId="58A43E33">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.5在评审期间，采购人将设专门人员与供应商联系。</w:t>
      </w:r>
    </w:p>
    <w:p w14:paraId="65E2CEC8">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.6采购人和评审小组不向未成交的供应商解释未成交原因，也不公布评审过程中的相关细节。</w:t>
      </w:r>
    </w:p>
    <w:p w14:paraId="1711987B">
      <w:pPr>
        <w:tabs>
          <w:tab w:val="left" w:pos="900"/>
        </w:tabs>
        <w:adjustRightInd w:val="0"/>
        <w:snapToGrid w:val="0"/>
        <w:spacing w:line="500" w:lineRule="exact"/>
        <w:ind w:firstLine="477" w:firstLineChars="199"/>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3</w:t>
      </w:r>
      <w:r>
        <w:rPr>
          <w:rFonts w:hint="eastAsia" w:cs="宋体" w:asciiTheme="majorEastAsia" w:hAnsiTheme="majorEastAsia" w:eastAsiaTheme="majorEastAsia"/>
          <w:color w:val="000000" w:themeColor="text1"/>
          <w:sz w:val="24"/>
          <w:szCs w:val="24"/>
          <w14:textFill>
            <w14:solidFill>
              <w14:schemeClr w14:val="tx1"/>
            </w14:solidFill>
          </w14:textFill>
        </w:rPr>
        <w:t>、评审过程的澄清</w:t>
      </w:r>
    </w:p>
    <w:p w14:paraId="0DAD754B">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3</w:t>
      </w:r>
      <w:r>
        <w:rPr>
          <w:rFonts w:hint="eastAsia" w:cs="宋体" w:asciiTheme="majorEastAsia" w:hAnsiTheme="majorEastAsia" w:eastAsiaTheme="majorEastAsia"/>
          <w:color w:val="000000" w:themeColor="text1"/>
          <w:sz w:val="24"/>
          <w:szCs w:val="24"/>
          <w14:textFill>
            <w14:solidFill>
              <w14:schemeClr w14:val="tx1"/>
            </w14:solidFill>
          </w14:textFill>
        </w:rPr>
        <w:t>.1评审期间，为有助于对磋商文件的审查、评价和比较，</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小组有权要求响应人对其磋商文件进行澄清，但并非对每个供应商都作澄清要求。</w:t>
      </w:r>
    </w:p>
    <w:p w14:paraId="6B60F129">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3</w:t>
      </w:r>
      <w:r>
        <w:rPr>
          <w:rFonts w:hint="eastAsia" w:cs="宋体" w:asciiTheme="majorEastAsia" w:hAnsiTheme="majorEastAsia" w:eastAsiaTheme="majorEastAsia"/>
          <w:color w:val="000000" w:themeColor="text1"/>
          <w:sz w:val="24"/>
          <w:szCs w:val="24"/>
          <w14:textFill>
            <w14:solidFill>
              <w14:schemeClr w14:val="tx1"/>
            </w14:solidFill>
          </w14:textFill>
        </w:rPr>
        <w:t>.</w:t>
      </w: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接到</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小组澄清要求的供应商如未按规定做出澄清，其风</w:t>
      </w:r>
      <w:r>
        <w:rPr>
          <w:rFonts w:hint="eastAsia" w:cs="宋体" w:asciiTheme="majorEastAsia" w:hAnsiTheme="majorEastAsia" w:eastAsiaTheme="majorEastAsia"/>
          <w:bCs/>
          <w:color w:val="000000" w:themeColor="text1"/>
          <w:sz w:val="24"/>
          <w:szCs w:val="24"/>
          <w14:textFill>
            <w14:solidFill>
              <w14:schemeClr w14:val="tx1"/>
            </w14:solidFill>
          </w14:textFill>
        </w:rPr>
        <w:t>险由供应商自行承担。</w:t>
      </w:r>
    </w:p>
    <w:p w14:paraId="22EADC7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.对磋商文件的初审</w:t>
      </w:r>
    </w:p>
    <w:p w14:paraId="7898E11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.1磋商文件初审分为资格性审查和符合性审查。</w:t>
      </w:r>
    </w:p>
    <w:p w14:paraId="69D726CA">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.1.1资格性检查：依据法律法规和磋商文件的规定，由采购人对磋商文件中的资格审查证明材料进行审查，资格审查的结论，采购人以书面形式向磋商小组进行反馈。</w:t>
      </w:r>
    </w:p>
    <w:p w14:paraId="0E56A23A">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.1.2符合性审查：依据磋商文件的规定，由磋商小组从磋商文件的有效性、完整性和对磋商文件的响应程度进行审查，以确定是否对磋商文件的实质性要求作出响应。</w:t>
      </w:r>
    </w:p>
    <w:p w14:paraId="36F4300A">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.1.3未通过资格审查或符合性审查的供应商人，采购人告知未通过资格审查或符合性审查的原因，评审结束后，采购人将不再告知未通过资格审查或符合性审查的原因。</w:t>
      </w:r>
    </w:p>
    <w:p w14:paraId="184564D8">
      <w:pPr>
        <w:tabs>
          <w:tab w:val="left" w:pos="900"/>
        </w:tabs>
        <w:adjustRightInd w:val="0"/>
        <w:snapToGrid w:val="0"/>
        <w:spacing w:line="500" w:lineRule="exact"/>
        <w:ind w:firstLine="477" w:firstLineChars="199"/>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.2在正式磋商之前，磋商小组将首先审查每份磋商文件是否实质性响应了磋商文件的要求。实质性响应的磋商文件应该是与磋商文件要求的全部条款、条件和规格相符，没有重大负偏离或保留。</w:t>
      </w:r>
    </w:p>
    <w:p w14:paraId="2BD580A9">
      <w:pPr>
        <w:tabs>
          <w:tab w:val="left" w:pos="900"/>
        </w:tabs>
        <w:adjustRightInd w:val="0"/>
        <w:snapToGrid w:val="0"/>
        <w:spacing w:line="500" w:lineRule="exact"/>
        <w:ind w:firstLine="477" w:firstLineChars="199"/>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磋文件的磋商性只根据磋商文件本身的内容，而不寻求外部的证据。</w:t>
      </w:r>
    </w:p>
    <w:p w14:paraId="7AFFB707">
      <w:pPr>
        <w:tabs>
          <w:tab w:val="left" w:pos="900"/>
        </w:tabs>
        <w:adjustRightInd w:val="0"/>
        <w:snapToGrid w:val="0"/>
        <w:spacing w:line="500" w:lineRule="exact"/>
        <w:ind w:firstLine="477" w:firstLineChars="199"/>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.3如果磋商文件实质上没有响应磋商文件的要求，磋商小组将予以拒绝，供应商不得通过修改或撤销不合要求的偏离或保留而使其磋商文件成为实质性磋商的文件。</w:t>
      </w:r>
    </w:p>
    <w:p w14:paraId="77CC9100">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4</w:t>
      </w:r>
      <w:r>
        <w:rPr>
          <w:rFonts w:hint="eastAsia" w:cs="宋体" w:asciiTheme="majorEastAsia" w:hAnsiTheme="majorEastAsia" w:eastAsiaTheme="majorEastAsia"/>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磋商小组将对确定为实质性磋商的文件进行进一步审核，看其是否有计算上或累加上的算术错误，修正错误的原则如下：</w:t>
      </w:r>
    </w:p>
    <w:p w14:paraId="4393F9A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（1）磋商文件中</w:t>
      </w:r>
      <w:r>
        <w:rPr>
          <w:rFonts w:hint="eastAsia" w:cs="宋体" w:asciiTheme="majorEastAsia" w:hAnsiTheme="majorEastAsia" w:eastAsiaTheme="majorEastAsia"/>
          <w:color w:val="000000" w:themeColor="text1"/>
          <w:kern w:val="0"/>
          <w:sz w:val="24"/>
          <w:szCs w:val="24"/>
          <w14:textFill>
            <w14:solidFill>
              <w14:schemeClr w14:val="tx1"/>
            </w14:solidFill>
          </w14:textFill>
        </w:rPr>
        <w:t>报价总表</w:t>
      </w:r>
      <w:r>
        <w:rPr>
          <w:rFonts w:hint="eastAsia" w:cs="宋体" w:asciiTheme="majorEastAsia" w:hAnsiTheme="majorEastAsia" w:eastAsiaTheme="majorEastAsia"/>
          <w:bCs/>
          <w:color w:val="000000" w:themeColor="text1"/>
          <w:sz w:val="24"/>
          <w:szCs w:val="24"/>
          <w14:textFill>
            <w14:solidFill>
              <w14:schemeClr w14:val="tx1"/>
            </w14:solidFill>
          </w14:textFill>
        </w:rPr>
        <w:t>内容与磋商文件中相应内容不一致的，以</w:t>
      </w:r>
      <w:r>
        <w:rPr>
          <w:rFonts w:hint="eastAsia" w:cs="宋体" w:asciiTheme="majorEastAsia" w:hAnsiTheme="majorEastAsia" w:eastAsiaTheme="majorEastAsia"/>
          <w:color w:val="000000" w:themeColor="text1"/>
          <w:kern w:val="0"/>
          <w:sz w:val="24"/>
          <w:szCs w:val="24"/>
          <w14:textFill>
            <w14:solidFill>
              <w14:schemeClr w14:val="tx1"/>
            </w14:solidFill>
          </w14:textFill>
        </w:rPr>
        <w:t>报价总表</w:t>
      </w:r>
      <w:r>
        <w:rPr>
          <w:rFonts w:hint="eastAsia" w:cs="宋体" w:asciiTheme="majorEastAsia" w:hAnsiTheme="majorEastAsia" w:eastAsiaTheme="majorEastAsia"/>
          <w:bCs/>
          <w:color w:val="000000" w:themeColor="text1"/>
          <w:sz w:val="24"/>
          <w:szCs w:val="24"/>
          <w14:textFill>
            <w14:solidFill>
              <w14:schemeClr w14:val="tx1"/>
            </w14:solidFill>
          </w14:textFill>
        </w:rPr>
        <w:t>为准。</w:t>
      </w:r>
    </w:p>
    <w:p w14:paraId="0A48ABEF">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（2）大写金额和小写金额不一致的，以大写金额为准。</w:t>
      </w:r>
    </w:p>
    <w:p w14:paraId="287F5A05">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（3）单价金额小数点或者百分比有明显错位的，以</w:t>
      </w:r>
      <w:r>
        <w:rPr>
          <w:rFonts w:hint="eastAsia" w:cs="宋体" w:asciiTheme="majorEastAsia" w:hAnsiTheme="majorEastAsia" w:eastAsiaTheme="majorEastAsia"/>
          <w:color w:val="000000" w:themeColor="text1"/>
          <w:kern w:val="0"/>
          <w:sz w:val="24"/>
          <w:szCs w:val="24"/>
          <w14:textFill>
            <w14:solidFill>
              <w14:schemeClr w14:val="tx1"/>
            </w14:solidFill>
          </w14:textFill>
        </w:rPr>
        <w:t>报价总表</w:t>
      </w:r>
      <w:r>
        <w:rPr>
          <w:rFonts w:hint="eastAsia" w:cs="宋体" w:asciiTheme="majorEastAsia" w:hAnsiTheme="majorEastAsia" w:eastAsiaTheme="majorEastAsia"/>
          <w:bCs/>
          <w:color w:val="000000" w:themeColor="text1"/>
          <w:sz w:val="24"/>
          <w:szCs w:val="24"/>
          <w14:textFill>
            <w14:solidFill>
              <w14:schemeClr w14:val="tx1"/>
            </w14:solidFill>
          </w14:textFill>
        </w:rPr>
        <w:t>的总价为准，并修改单价。</w:t>
      </w:r>
    </w:p>
    <w:p w14:paraId="30662F3D">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（4）总价金额与按单价汇总金额不一致的，以单价金额计算结果为准。</w:t>
      </w:r>
    </w:p>
    <w:p w14:paraId="6950886B">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同时出现两种以上错误的，按照前款规定的顺序修正。</w:t>
      </w:r>
    </w:p>
    <w:p w14:paraId="47AD907F">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.5磋商小组将按上述修正错误的方法调整响应文件中的报价并告知供应商，调整后的价格应对供应商具有约束力。如果供应商不接受修正后的价格，则其磋商活动将被拒绝。</w:t>
      </w:r>
    </w:p>
    <w:p w14:paraId="5E067BB7">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.6磋商小组将允许修正磋商文件中不构成重大偏离的、微小的、非正规的、不一致的或不规则的地方，但这些修改不能影响任何供应商相应的名次排列。</w:t>
      </w:r>
    </w:p>
    <w:p w14:paraId="169CE74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.7同一项目（项目未分包），如出现同一品牌同一型号的产品有多个供应商参加磋商时，磋商中在其他条件合格的前提下，选取首次报价最低的供应商参加磋商最后报价，其他供应商作为无效响应处理。</w:t>
      </w:r>
    </w:p>
    <w:p w14:paraId="385AFF21">
      <w:pPr>
        <w:adjustRightInd w:val="0"/>
        <w:snapToGrid w:val="0"/>
        <w:spacing w:line="500" w:lineRule="exact"/>
        <w:ind w:firstLine="480" w:firstLineChars="200"/>
        <w:rPr>
          <w:rFonts w:ascii="宋体" w:hAnsi="宋体" w:cs="宋体"/>
          <w:color w:val="000000" w:themeColor="text1"/>
          <w:sz w:val="28"/>
          <w:szCs w:val="28"/>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.8</w:t>
      </w:r>
      <w:r>
        <w:rPr>
          <w:rFonts w:hint="eastAsia" w:cs="宋体" w:asciiTheme="majorEastAsia" w:hAnsiTheme="majorEastAsia" w:eastAsiaTheme="majorEastAsia"/>
          <w:color w:val="000000" w:themeColor="text1"/>
          <w:sz w:val="24"/>
          <w:szCs w:val="24"/>
          <w14:textFill>
            <w14:solidFill>
              <w14:schemeClr w14:val="tx1"/>
            </w14:solidFill>
          </w14:textFill>
        </w:rPr>
        <w:t>提供相同品牌产品且通过资格审查、符合性审查的不同供应商参加同一合同项下</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的，按一家供应商计算，评审后得分最高的同品牌供应商获得成交人推荐资格；评审得分相同的，由</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小组采取随机抽取的方式确定一个成交候选人，其他同品牌供应商不作为成交候选人</w:t>
      </w:r>
      <w:r>
        <w:rPr>
          <w:rFonts w:hint="eastAsia" w:ascii="宋体" w:hAnsi="宋体" w:cs="宋体"/>
          <w:color w:val="000000" w:themeColor="text1"/>
          <w:sz w:val="28"/>
          <w:szCs w:val="28"/>
          <w14:textFill>
            <w14:solidFill>
              <w14:schemeClr w14:val="tx1"/>
            </w14:solidFill>
          </w14:textFill>
        </w:rPr>
        <w:t>。</w:t>
      </w:r>
    </w:p>
    <w:p w14:paraId="02FDDEB0">
      <w:pPr>
        <w:adjustRightInd w:val="0"/>
        <w:snapToGrid w:val="0"/>
        <w:spacing w:line="500" w:lineRule="exact"/>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非单一产品采购项目，磋商文件中将载明其中的核心产品。多家</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提供的核心产品品牌相同的，按前两款规定处理。</w:t>
      </w:r>
    </w:p>
    <w:p w14:paraId="10F96927">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4</w:t>
      </w:r>
      <w:r>
        <w:rPr>
          <w:rFonts w:hint="eastAsia" w:cs="宋体" w:asciiTheme="majorEastAsia" w:hAnsiTheme="majorEastAsia" w:eastAsiaTheme="majorEastAsia"/>
          <w:color w:val="000000" w:themeColor="text1"/>
          <w:sz w:val="24"/>
          <w:szCs w:val="24"/>
          <w14:textFill>
            <w14:solidFill>
              <w14:schemeClr w14:val="tx1"/>
            </w14:solidFill>
          </w14:textFill>
        </w:rPr>
        <w:t>.9供应商在评审全过程中应保持通讯畅通，并安排专人与采购人及</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小组联系。</w:t>
      </w:r>
    </w:p>
    <w:p w14:paraId="68D0B0C0">
      <w:pPr>
        <w:tabs>
          <w:tab w:val="left" w:pos="6555"/>
          <w:tab w:val="right" w:pos="8306"/>
        </w:tabs>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 被认定为未实质性响应磋商文件的情形</w:t>
      </w:r>
    </w:p>
    <w:p w14:paraId="1AF24357">
      <w:pPr>
        <w:tabs>
          <w:tab w:val="left" w:pos="6555"/>
          <w:tab w:val="right" w:pos="8306"/>
        </w:tabs>
        <w:adjustRightInd w:val="0"/>
        <w:snapToGrid w:val="0"/>
        <w:spacing w:line="500" w:lineRule="exact"/>
        <w:ind w:firstLine="480" w:firstLineChars="200"/>
        <w:rPr>
          <w:rFonts w:cs="宋体" w:asciiTheme="majorEastAsia" w:hAnsiTheme="majorEastAsia" w:eastAsiaTheme="majorEastAsia"/>
          <w:b/>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.1出现下列情形之一的，作无效响应处理。</w:t>
      </w:r>
      <w:r>
        <w:rPr>
          <w:rFonts w:hint="eastAsia" w:cs="宋体" w:asciiTheme="majorEastAsia" w:hAnsiTheme="majorEastAsia" w:eastAsiaTheme="majorEastAsia"/>
          <w:bCs/>
          <w:color w:val="000000" w:themeColor="text1"/>
          <w:sz w:val="24"/>
          <w:szCs w:val="24"/>
          <w14:textFill>
            <w14:solidFill>
              <w14:schemeClr w14:val="tx1"/>
            </w14:solidFill>
          </w14:textFill>
        </w:rPr>
        <w:tab/>
      </w:r>
      <w:r>
        <w:rPr>
          <w:rFonts w:hint="eastAsia" w:cs="宋体" w:asciiTheme="majorEastAsia" w:hAnsiTheme="majorEastAsia" w:eastAsiaTheme="majorEastAsia"/>
          <w:b/>
          <w:color w:val="000000" w:themeColor="text1"/>
          <w:sz w:val="24"/>
          <w:szCs w:val="24"/>
          <w14:textFill>
            <w14:solidFill>
              <w14:schemeClr w14:val="tx1"/>
            </w14:solidFill>
          </w14:textFill>
        </w:rPr>
        <w:tab/>
      </w:r>
    </w:p>
    <w:p w14:paraId="780999F0">
      <w:pPr>
        <w:adjustRightInd w:val="0"/>
        <w:snapToGrid w:val="0"/>
        <w:spacing w:line="500" w:lineRule="exact"/>
        <w:ind w:firstLine="57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.1.1供应商在规定的时间内未提交磋商文件的。</w:t>
      </w:r>
    </w:p>
    <w:p w14:paraId="11866517">
      <w:pPr>
        <w:adjustRightInd w:val="0"/>
        <w:snapToGrid w:val="0"/>
        <w:spacing w:line="500" w:lineRule="exact"/>
        <w:ind w:firstLine="484" w:firstLineChars="202"/>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2</w:t>
      </w:r>
      <w:r>
        <w:rPr>
          <w:rFonts w:hint="eastAsia" w:cs="宋体" w:asciiTheme="majorEastAsia" w:hAnsiTheme="majorEastAsia" w:eastAsiaTheme="majorEastAsia"/>
          <w:bCs/>
          <w:color w:val="000000" w:themeColor="text1"/>
          <w:sz w:val="24"/>
          <w:szCs w:val="24"/>
          <w14:textFill>
            <w14:solidFill>
              <w14:schemeClr w14:val="tx1"/>
            </w14:solidFill>
          </w14:textFill>
        </w:rPr>
        <w:t>同一供应商提交两个（含两个）以上不同的磋商报价的。</w:t>
      </w:r>
    </w:p>
    <w:p w14:paraId="418F231E">
      <w:pPr>
        <w:adjustRightInd w:val="0"/>
        <w:snapToGrid w:val="0"/>
        <w:spacing w:line="500" w:lineRule="exact"/>
        <w:ind w:firstLine="484" w:firstLineChars="202"/>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3</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不具备磋商文件中规定的资格要求的。 </w:t>
      </w:r>
    </w:p>
    <w:p w14:paraId="678C3194">
      <w:pPr>
        <w:adjustRightInd w:val="0"/>
        <w:snapToGrid w:val="0"/>
        <w:spacing w:line="500" w:lineRule="exact"/>
        <w:ind w:firstLine="57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磋商报价超过了采购预算或最高限价的。 </w:t>
      </w:r>
    </w:p>
    <w:p w14:paraId="2AC7D8C2">
      <w:pPr>
        <w:adjustRightInd w:val="0"/>
        <w:snapToGrid w:val="0"/>
        <w:spacing w:line="500" w:lineRule="exact"/>
        <w:ind w:firstLine="57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未通过符合性检查的。</w:t>
      </w:r>
    </w:p>
    <w:p w14:paraId="692BECB9">
      <w:pPr>
        <w:adjustRightInd w:val="0"/>
        <w:snapToGrid w:val="0"/>
        <w:spacing w:line="500" w:lineRule="exact"/>
        <w:ind w:firstLine="57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6</w:t>
      </w:r>
      <w:r>
        <w:rPr>
          <w:rFonts w:hint="eastAsia" w:cs="宋体" w:asciiTheme="majorEastAsia" w:hAnsiTheme="majorEastAsia" w:eastAsiaTheme="majorEastAsia"/>
          <w:bCs/>
          <w:color w:val="000000" w:themeColor="text1"/>
          <w:sz w:val="24"/>
          <w:szCs w:val="24"/>
          <w14:textFill>
            <w14:solidFill>
              <w14:schemeClr w14:val="tx1"/>
            </w14:solidFill>
          </w14:textFill>
        </w:rPr>
        <w:t>不符合法律、法规和磋商文件中规定的其他实质性要求的。</w:t>
      </w:r>
    </w:p>
    <w:p w14:paraId="2D4F6607">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7</w:t>
      </w:r>
      <w:r>
        <w:rPr>
          <w:rFonts w:hint="eastAsia" w:cs="宋体" w:asciiTheme="majorEastAsia" w:hAnsiTheme="majorEastAsia" w:eastAsiaTheme="majorEastAsia"/>
          <w:bCs/>
          <w:color w:val="000000" w:themeColor="text1"/>
          <w:sz w:val="24"/>
          <w:szCs w:val="24"/>
          <w14:textFill>
            <w14:solidFill>
              <w14:schemeClr w14:val="tx1"/>
            </w14:solidFill>
          </w14:textFill>
        </w:rPr>
        <w:t>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2CE0B0DC">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8</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磋商文件含有采购人不能接受的附加条件的。</w:t>
      </w:r>
    </w:p>
    <w:p w14:paraId="7D955396">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cs="宋体" w:asciiTheme="majorEastAsia" w:hAnsiTheme="majorEastAsia" w:eastAsiaTheme="majorEastAsia"/>
          <w:bCs/>
          <w:color w:val="000000" w:themeColor="text1"/>
          <w:sz w:val="24"/>
          <w:szCs w:val="24"/>
          <w14:textFill>
            <w14:solidFill>
              <w14:schemeClr w14:val="tx1"/>
            </w14:solidFill>
          </w14:textFill>
        </w:rPr>
        <w:t>9</w:t>
      </w:r>
      <w:r>
        <w:rPr>
          <w:rFonts w:hint="eastAsia" w:cs="宋体" w:asciiTheme="majorEastAsia" w:hAnsiTheme="majorEastAsia" w:eastAsiaTheme="majorEastAsia"/>
          <w:bCs/>
          <w:color w:val="000000" w:themeColor="text1"/>
          <w:sz w:val="24"/>
          <w:szCs w:val="24"/>
          <w14:textFill>
            <w14:solidFill>
              <w14:schemeClr w14:val="tx1"/>
            </w14:solidFill>
          </w14:textFill>
        </w:rPr>
        <w:t>磋商小组认为供应商的报价明显低于其他通过符合性审查供应商的报价，有可能影响产品质量或者不能诚信履约的，要求其在合理的时间内提供说明，必要时提交相关证明材料；供应商不能证明其报价合理性的，磋商小组应当将其作为无效响应处理。</w:t>
      </w:r>
    </w:p>
    <w:p w14:paraId="0CE8DFC0">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.1.10磋商文件未按照磋商文件要求加盖公章。</w:t>
      </w:r>
    </w:p>
    <w:p w14:paraId="333B9C7F">
      <w:pPr>
        <w:ind w:left="561" w:leftChars="267" w:firstLine="4" w:firstLineChars="2"/>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.1.11其他法律、法规及本磋商文件规定的属无效响应的情形</w:t>
      </w:r>
    </w:p>
    <w:p w14:paraId="32CB48F0">
      <w:pPr>
        <w:ind w:left="561" w:leftChars="267" w:firstLine="4" w:firstLineChars="2"/>
        <w:rPr>
          <w:rFonts w:cs="宋体" w:asciiTheme="majorEastAsia" w:hAnsiTheme="majorEastAsia" w:eastAsiaTheme="majorEastAsia"/>
          <w:bCs/>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5.1.12不同供应商磋商文件制作机器码一致视为供应商串通磋商，其磋商无效，并同时移交政府采购监管部门按法律法规规定处理；</w:t>
      </w:r>
    </w:p>
    <w:p w14:paraId="49E79318">
      <w:pPr>
        <w:ind w:left="561" w:leftChars="267" w:firstLine="4" w:firstLineChars="2"/>
        <w:rPr>
          <w:rFonts w:cs="宋体" w:asciiTheme="majorEastAsia" w:hAnsiTheme="majorEastAsia" w:eastAsiaTheme="majorEastAsia"/>
          <w:color w:val="000000" w:themeColor="text1"/>
          <w:kern w:val="0"/>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.1.1</w:t>
      </w: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供应商的商务技术部分得分相差悬殊，评标委员会认为得分畸低者没有实质性响应的</w:t>
      </w:r>
    </w:p>
    <w:p w14:paraId="78F1D16A">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.2出现下列情形之一的，磋商失败。</w:t>
      </w:r>
    </w:p>
    <w:p w14:paraId="538B9F99">
      <w:pPr>
        <w:adjustRightInd w:val="0"/>
        <w:snapToGrid w:val="0"/>
        <w:spacing w:line="500" w:lineRule="exact"/>
        <w:ind w:firstLine="57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.2.1符合条件的供应商或者对磋商文件作实质响应的供应商不足3家的。</w:t>
      </w:r>
    </w:p>
    <w:p w14:paraId="2422ADD7">
      <w:pPr>
        <w:adjustRightInd w:val="0"/>
        <w:snapToGrid w:val="0"/>
        <w:spacing w:line="500" w:lineRule="exact"/>
        <w:ind w:firstLine="555"/>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.2.2出现影响采购公正的违法违规行为的。</w:t>
      </w:r>
    </w:p>
    <w:p w14:paraId="53DEE874">
      <w:pPr>
        <w:adjustRightInd w:val="0"/>
        <w:snapToGrid w:val="0"/>
        <w:spacing w:line="500" w:lineRule="exact"/>
        <w:ind w:firstLine="555"/>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.2.3因重大变故，采购任务取消的。</w:t>
      </w:r>
    </w:p>
    <w:p w14:paraId="486269EF">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.2.4磋商小组认定磋商文件存在歧义、重大缺陷导致评审工作无法进行。</w:t>
      </w:r>
    </w:p>
    <w:p w14:paraId="2FE28489">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.3 磋商</w:t>
      </w:r>
      <w:r>
        <w:rPr>
          <w:rFonts w:hint="eastAsia" w:cs="宋体" w:asciiTheme="majorEastAsia" w:hAnsiTheme="majorEastAsia" w:eastAsiaTheme="majorEastAsia"/>
          <w:color w:val="000000" w:themeColor="text1"/>
          <w:sz w:val="24"/>
          <w:szCs w:val="24"/>
          <w14:textFill>
            <w14:solidFill>
              <w14:schemeClr w14:val="tx1"/>
            </w14:solidFill>
          </w14:textFill>
        </w:rPr>
        <w:t>文件提交</w:t>
      </w:r>
      <w:r>
        <w:rPr>
          <w:rFonts w:hint="eastAsia" w:cs="宋体" w:asciiTheme="majorEastAsia" w:hAnsiTheme="majorEastAsia" w:eastAsiaTheme="majorEastAsia"/>
          <w:bCs/>
          <w:color w:val="000000" w:themeColor="text1"/>
          <w:sz w:val="24"/>
          <w:szCs w:val="24"/>
          <w14:textFill>
            <w14:solidFill>
              <w14:schemeClr w14:val="tx1"/>
            </w14:solidFill>
          </w14:textFill>
        </w:rPr>
        <w:t>截止时间结束后参加磋商的供应商不足三家的处理：</w:t>
      </w:r>
    </w:p>
    <w:p w14:paraId="20CEBFA9">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cs="宋体" w:asciiTheme="majorEastAsia" w:hAnsiTheme="majorEastAsia" w:eastAsiaTheme="majorEastAsia"/>
          <w:bCs/>
          <w:color w:val="000000" w:themeColor="text1"/>
          <w:sz w:val="24"/>
          <w:szCs w:val="24"/>
          <w14:textFill>
            <w14:solidFill>
              <w14:schemeClr w14:val="tx1"/>
            </w14:solidFill>
          </w14:textFill>
        </w:rPr>
        <w:t>5</w:t>
      </w:r>
      <w:r>
        <w:rPr>
          <w:rFonts w:hint="eastAsia" w:cs="宋体" w:asciiTheme="majorEastAsia" w:hAnsiTheme="majorEastAsia" w:eastAsiaTheme="majorEastAsia"/>
          <w:bCs/>
          <w:color w:val="000000" w:themeColor="text1"/>
          <w:sz w:val="24"/>
          <w:szCs w:val="24"/>
          <w14:textFill>
            <w14:solidFill>
              <w14:schemeClr w14:val="tx1"/>
            </w14:solidFill>
          </w14:textFill>
        </w:rPr>
        <w:t>.3.1如出现磋商</w:t>
      </w:r>
      <w:r>
        <w:rPr>
          <w:rFonts w:hint="eastAsia" w:cs="宋体" w:asciiTheme="majorEastAsia" w:hAnsiTheme="majorEastAsia" w:eastAsiaTheme="majorEastAsia"/>
          <w:color w:val="000000" w:themeColor="text1"/>
          <w:sz w:val="24"/>
          <w:szCs w:val="24"/>
          <w14:textFill>
            <w14:solidFill>
              <w14:schemeClr w14:val="tx1"/>
            </w14:solidFill>
          </w14:textFill>
        </w:rPr>
        <w:t>文件提交</w:t>
      </w:r>
      <w:r>
        <w:rPr>
          <w:rFonts w:hint="eastAsia" w:cs="宋体" w:asciiTheme="majorEastAsia" w:hAnsiTheme="majorEastAsia" w:eastAsiaTheme="majorEastAsia"/>
          <w:bCs/>
          <w:color w:val="000000" w:themeColor="text1"/>
          <w:sz w:val="24"/>
          <w:szCs w:val="24"/>
          <w14:textFill>
            <w14:solidFill>
              <w14:schemeClr w14:val="tx1"/>
            </w14:solidFill>
          </w14:textFill>
        </w:rPr>
        <w:t>截止时间结束后参加磋商的供应商或者在评审期间对磋商文件做出实质响应的供应商不足三家情况，按采购人相关规定执行。</w:t>
      </w:r>
    </w:p>
    <w:p w14:paraId="38B6D77F">
      <w:pPr>
        <w:keepNext/>
        <w:keepLines/>
        <w:adjustRightInd w:val="0"/>
        <w:snapToGrid w:val="0"/>
        <w:spacing w:line="500" w:lineRule="exact"/>
        <w:outlineLvl w:val="2"/>
        <w:rPr>
          <w:rFonts w:cs="宋体" w:asciiTheme="majorEastAsia" w:hAnsiTheme="majorEastAsia" w:eastAsiaTheme="majorEastAsia"/>
          <w:b/>
          <w:bCs/>
          <w:color w:val="000000" w:themeColor="text1"/>
          <w:kern w:val="0"/>
          <w:sz w:val="28"/>
          <w:szCs w:val="28"/>
          <w14:textFill>
            <w14:solidFill>
              <w14:schemeClr w14:val="tx1"/>
            </w14:solidFill>
          </w14:textFill>
        </w:rPr>
      </w:pPr>
      <w:bookmarkStart w:id="85" w:name="_Hlt26954852"/>
      <w:bookmarkEnd w:id="85"/>
      <w:bookmarkStart w:id="86" w:name="_Hlt26954739"/>
      <w:bookmarkEnd w:id="86"/>
      <w:bookmarkStart w:id="87" w:name="_Toc120614219"/>
      <w:r>
        <w:rPr>
          <w:rFonts w:hint="eastAsia" w:cs="宋体" w:asciiTheme="majorEastAsia" w:hAnsiTheme="majorEastAsia" w:eastAsiaTheme="majorEastAsia"/>
          <w:b/>
          <w:bCs/>
          <w:color w:val="000000" w:themeColor="text1"/>
          <w:kern w:val="0"/>
          <w:sz w:val="28"/>
          <w:szCs w:val="28"/>
          <w14:textFill>
            <w14:solidFill>
              <w14:schemeClr w14:val="tx1"/>
            </w14:solidFill>
          </w14:textFill>
        </w:rPr>
        <w:t>（六）</w:t>
      </w:r>
      <w:bookmarkEnd w:id="87"/>
      <w:r>
        <w:rPr>
          <w:rFonts w:hint="eastAsia" w:cs="宋体" w:asciiTheme="majorEastAsia" w:hAnsiTheme="majorEastAsia" w:eastAsiaTheme="majorEastAsia"/>
          <w:b/>
          <w:bCs/>
          <w:color w:val="000000" w:themeColor="text1"/>
          <w:kern w:val="0"/>
          <w:sz w:val="28"/>
          <w:szCs w:val="28"/>
          <w14:textFill>
            <w14:solidFill>
              <w14:schemeClr w14:val="tx1"/>
            </w14:solidFill>
          </w14:textFill>
        </w:rPr>
        <w:t>成交</w:t>
      </w:r>
    </w:p>
    <w:p w14:paraId="02F87D7C">
      <w:pPr>
        <w:keepNext/>
        <w:adjustRightInd w:val="0"/>
        <w:snapToGrid w:val="0"/>
        <w:spacing w:line="500" w:lineRule="exact"/>
        <w:ind w:firstLine="480" w:firstLineChars="200"/>
        <w:outlineLvl w:val="3"/>
        <w:rPr>
          <w:rFonts w:cs="宋体" w:asciiTheme="majorEastAsia" w:hAnsiTheme="majorEastAsia" w:eastAsiaTheme="majorEastAsia"/>
          <w:b/>
          <w:color w:val="000000" w:themeColor="text1"/>
          <w:kern w:val="0"/>
          <w:sz w:val="24"/>
          <w:szCs w:val="24"/>
          <w14:textFill>
            <w14:solidFill>
              <w14:schemeClr w14:val="tx1"/>
            </w14:solidFill>
          </w14:textFill>
        </w:rPr>
      </w:pPr>
      <w:bookmarkStart w:id="88" w:name="_Toc16938554"/>
      <w:bookmarkStart w:id="89" w:name="_Toc20823310"/>
      <w:r>
        <w:rPr>
          <w:rFonts w:hint="eastAsia" w:cs="宋体" w:asciiTheme="majorEastAsia" w:hAnsiTheme="majorEastAsia" w:eastAsiaTheme="majorEastAsia"/>
          <w:color w:val="000000" w:themeColor="text1"/>
          <w:kern w:val="0"/>
          <w:sz w:val="24"/>
          <w:szCs w:val="24"/>
          <w14:textFill>
            <w14:solidFill>
              <w14:schemeClr w14:val="tx1"/>
            </w14:solidFill>
          </w14:textFill>
        </w:rPr>
        <w:t>1.确定</w:t>
      </w:r>
      <w:bookmarkEnd w:id="88"/>
      <w:bookmarkEnd w:id="89"/>
      <w:r>
        <w:rPr>
          <w:rFonts w:hint="eastAsia" w:cs="宋体" w:asciiTheme="majorEastAsia" w:hAnsiTheme="majorEastAsia" w:eastAsiaTheme="majorEastAsia"/>
          <w:color w:val="000000" w:themeColor="text1"/>
          <w:kern w:val="0"/>
          <w:sz w:val="24"/>
          <w:szCs w:val="24"/>
          <w14:textFill>
            <w14:solidFill>
              <w14:schemeClr w14:val="tx1"/>
            </w14:solidFill>
          </w14:textFill>
        </w:rPr>
        <w:t>成交单位</w:t>
      </w:r>
    </w:p>
    <w:p w14:paraId="544024AA">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1.1成交候选供应商的选取原则和数量见磋商文件第四部分规定。 </w:t>
      </w:r>
    </w:p>
    <w:p w14:paraId="271ECD1D">
      <w:pPr>
        <w:adjustRightInd w:val="0"/>
        <w:snapToGrid w:val="0"/>
        <w:spacing w:line="50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1.2 采购人授权磋商小组在成交候选供应商中直接确定成交供应商。</w:t>
      </w:r>
    </w:p>
    <w:p w14:paraId="7A821297">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1.3采购人</w:t>
      </w:r>
      <w:r>
        <w:rPr>
          <w:rFonts w:hint="eastAsia" w:cs="宋体" w:asciiTheme="majorEastAsia" w:hAnsiTheme="majorEastAsia" w:eastAsiaTheme="majorEastAsia"/>
          <w:color w:val="000000" w:themeColor="text1"/>
          <w:sz w:val="24"/>
          <w:szCs w:val="24"/>
          <w14:textFill>
            <w14:solidFill>
              <w14:schemeClr w14:val="tx1"/>
            </w14:solidFill>
          </w14:textFill>
        </w:rPr>
        <w:t>将在海门区卫生健康委员会官网发布成交结果公告，公告期限为1个工作日。</w:t>
      </w:r>
    </w:p>
    <w:p w14:paraId="36172115">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1.4若有充分证据证明，成交供应商出现下列情况之一的，一经查实，将被取消成交资格：</w:t>
      </w:r>
    </w:p>
    <w:p w14:paraId="76F6E524">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1.4.1提供虚假材料谋取成交的。</w:t>
      </w:r>
    </w:p>
    <w:p w14:paraId="77E619CB">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1.4.2向采购人或者评审专家提供其他不正当利益的。</w:t>
      </w:r>
    </w:p>
    <w:p w14:paraId="2B87D1D9">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1.4.3恶意竞争，最终总报价明显低于其自身合理成本且又无法提供证明的。</w:t>
      </w:r>
    </w:p>
    <w:p w14:paraId="7C15863E">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1.4.4属于本文件规定的无效条件，但在评审过程中又未被</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小组发现的。</w:t>
      </w:r>
    </w:p>
    <w:p w14:paraId="07BDD040">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1.4.5与采购人或者其他供应商恶意串通的。</w:t>
      </w:r>
    </w:p>
    <w:p w14:paraId="409C3D2C">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1.4.6采取不正当手段诋毁、排挤其他供应商的。</w:t>
      </w:r>
    </w:p>
    <w:p w14:paraId="6B62C328">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bookmarkStart w:id="90" w:name="_Toc200451960"/>
      <w:r>
        <w:rPr>
          <w:rFonts w:hint="eastAsia" w:cs="宋体" w:asciiTheme="majorEastAsia" w:hAnsiTheme="majorEastAsia" w:eastAsiaTheme="majorEastAsia"/>
          <w:color w:val="000000" w:themeColor="text1"/>
          <w:sz w:val="24"/>
          <w:szCs w:val="24"/>
          <w14:textFill>
            <w14:solidFill>
              <w14:schemeClr w14:val="tx1"/>
            </w14:solidFill>
          </w14:textFill>
        </w:rPr>
        <w:t>1.5.</w:t>
      </w:r>
      <w:r>
        <w:rPr>
          <w:rFonts w:hint="eastAsia" w:cs="宋体" w:asciiTheme="majorEastAsia" w:hAnsiTheme="majorEastAsia" w:eastAsiaTheme="majorEastAsia"/>
          <w:color w:val="000000" w:themeColor="text1"/>
          <w:kern w:val="0"/>
          <w:sz w:val="24"/>
          <w:szCs w:val="24"/>
          <w14:textFill>
            <w14:solidFill>
              <w14:schemeClr w14:val="tx1"/>
            </w14:solidFill>
          </w14:textFill>
        </w:rPr>
        <w:t>有下列情形之一的，视为供应商串通参与</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kern w:val="0"/>
          <w:sz w:val="24"/>
          <w:szCs w:val="24"/>
          <w14:textFill>
            <w14:solidFill>
              <w14:schemeClr w14:val="tx1"/>
            </w14:solidFill>
          </w14:textFill>
        </w:rPr>
        <w:t>，响应无效：</w:t>
      </w:r>
    </w:p>
    <w:p w14:paraId="6AC764F6">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1.5.1不同供应商的磋商文件由同一单位或者个人编制。</w:t>
      </w:r>
    </w:p>
    <w:p w14:paraId="422407CC">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1.5.2不同供应商委托同一单位或者个人办理</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事宜。</w:t>
      </w:r>
    </w:p>
    <w:p w14:paraId="42CA247B">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1.5.3不同供应商的磋商文件载明的项目管理成员或者联系人员为同一人。</w:t>
      </w:r>
    </w:p>
    <w:p w14:paraId="7577C8F9">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1.5.4不同供应商的磋商文件异常一致或者响应报价呈规律性差异。</w:t>
      </w:r>
    </w:p>
    <w:p w14:paraId="3D17A1D9">
      <w:pPr>
        <w:keepNext/>
        <w:adjustRightInd w:val="0"/>
        <w:snapToGrid w:val="0"/>
        <w:spacing w:line="500" w:lineRule="exact"/>
        <w:ind w:firstLine="480" w:firstLineChars="200"/>
        <w:outlineLvl w:val="3"/>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2.质疑处理</w:t>
      </w:r>
      <w:bookmarkEnd w:id="90"/>
    </w:p>
    <w:p w14:paraId="3D4D96F0">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2.1 提出质疑的供应商应当是参与所质疑项目采购活动的供应商。</w:t>
      </w:r>
    </w:p>
    <w:p w14:paraId="704FBB83">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2.2供应商认为</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文件、采购过程和采购结果使自己的权益受到损害的，可以在知道或应知其权益受到损害之日起七个工作日内，以书面形式向采购人提出质疑。上述应知其权益受到损害之日，是指：</w:t>
      </w:r>
    </w:p>
    <w:p w14:paraId="3B1076A0">
      <w:pPr>
        <w:adjustRightInd w:val="0"/>
        <w:snapToGrid w:val="0"/>
        <w:spacing w:line="500" w:lineRule="exact"/>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2.2.1</w:t>
      </w:r>
      <w:r>
        <w:rPr>
          <w:rFonts w:hint="eastAsia" w:cs="宋体" w:asciiTheme="majorEastAsia" w:hAnsiTheme="majorEastAsia" w:eastAsiaTheme="majorEastAsia"/>
          <w:color w:val="000000" w:themeColor="text1"/>
          <w:kern w:val="0"/>
          <w:sz w:val="24"/>
          <w:szCs w:val="24"/>
          <w14:textFill>
            <w14:solidFill>
              <w14:schemeClr w14:val="tx1"/>
            </w14:solidFill>
          </w14:textFill>
        </w:rPr>
        <w:t>对可以质疑的</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kern w:val="0"/>
          <w:sz w:val="24"/>
          <w:szCs w:val="24"/>
          <w14:textFill>
            <w14:solidFill>
              <w14:schemeClr w14:val="tx1"/>
            </w14:solidFill>
          </w14:textFill>
        </w:rPr>
        <w:t>文件提出质疑的，为收到</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kern w:val="0"/>
          <w:sz w:val="24"/>
          <w:szCs w:val="24"/>
          <w14:textFill>
            <w14:solidFill>
              <w14:schemeClr w14:val="tx1"/>
            </w14:solidFill>
          </w14:textFill>
        </w:rPr>
        <w:t>文件之日或者磋商文件公告期限届满之日。</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　　</w:t>
      </w:r>
      <w:r>
        <w:rPr>
          <w:rFonts w:hint="eastAsia" w:cs="宋体" w:asciiTheme="majorEastAsia" w:hAnsiTheme="majorEastAsia" w:eastAsiaTheme="majorEastAsia"/>
          <w:color w:val="000000" w:themeColor="text1"/>
          <w:sz w:val="24"/>
          <w:szCs w:val="24"/>
          <w14:textFill>
            <w14:solidFill>
              <w14:schemeClr w14:val="tx1"/>
            </w14:solidFill>
          </w14:textFill>
        </w:rPr>
        <w:t>2.2.2</w:t>
      </w:r>
      <w:r>
        <w:rPr>
          <w:rFonts w:hint="eastAsia" w:cs="宋体" w:asciiTheme="majorEastAsia" w:hAnsiTheme="majorEastAsia" w:eastAsiaTheme="majorEastAsia"/>
          <w:color w:val="000000" w:themeColor="text1"/>
          <w:kern w:val="0"/>
          <w:sz w:val="24"/>
          <w:szCs w:val="24"/>
          <w14:textFill>
            <w14:solidFill>
              <w14:schemeClr w14:val="tx1"/>
            </w14:solidFill>
          </w14:textFill>
        </w:rPr>
        <w:t>对采购过程提出质疑的，为各采购程序环节结束之日。</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　　</w:t>
      </w:r>
      <w:r>
        <w:rPr>
          <w:rFonts w:hint="eastAsia" w:cs="宋体" w:asciiTheme="majorEastAsia" w:hAnsiTheme="majorEastAsia" w:eastAsiaTheme="majorEastAsia"/>
          <w:color w:val="000000" w:themeColor="text1"/>
          <w:sz w:val="24"/>
          <w:szCs w:val="24"/>
          <w14:textFill>
            <w14:solidFill>
              <w14:schemeClr w14:val="tx1"/>
            </w14:solidFill>
          </w14:textFill>
        </w:rPr>
        <w:t>2.2.3</w:t>
      </w:r>
      <w:r>
        <w:rPr>
          <w:rFonts w:hint="eastAsia" w:cs="宋体" w:asciiTheme="majorEastAsia" w:hAnsiTheme="majorEastAsia" w:eastAsiaTheme="majorEastAsia"/>
          <w:color w:val="000000" w:themeColor="text1"/>
          <w:kern w:val="0"/>
          <w:sz w:val="24"/>
          <w:szCs w:val="24"/>
          <w14:textFill>
            <w14:solidFill>
              <w14:schemeClr w14:val="tx1"/>
            </w14:solidFill>
          </w14:textFill>
        </w:rPr>
        <w:t>对成交结果提出质疑的，为成交结果公告期限届满之日。</w:t>
      </w:r>
    </w:p>
    <w:p w14:paraId="44529F38">
      <w:pPr>
        <w:adjustRightInd w:val="0"/>
        <w:snapToGrid w:val="0"/>
        <w:spacing w:line="500" w:lineRule="exact"/>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供应商应当在法定质疑期内一次性提出针对同一采购程序环节的质疑。</w:t>
      </w:r>
    </w:p>
    <w:p w14:paraId="726725BA">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2.3质疑函必须按照本</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文件中《质疑函范本》要求的格式和内容进行填写。</w:t>
      </w:r>
    </w:p>
    <w:p w14:paraId="71EC67F9">
      <w:pPr>
        <w:adjustRightInd w:val="0"/>
        <w:snapToGrid w:val="0"/>
        <w:spacing w:line="500" w:lineRule="exact"/>
        <w:ind w:firstLine="480" w:firstLineChars="20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2.4对采购方式、</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文件中项目需求、供应商资格条件、评审方法和评审标准、资格审查结果、其他事项等由采购人负责答复。</w:t>
      </w:r>
    </w:p>
    <w:p w14:paraId="52D69100">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供应商向采购人以书面形式提交质疑函。</w:t>
      </w:r>
    </w:p>
    <w:p w14:paraId="51399DA2">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采购人质疑接收人及联系方式，见</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文件第一部分。</w:t>
      </w:r>
    </w:p>
    <w:p w14:paraId="6CB3778D">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2.5 以下情形的质疑不予受理</w:t>
      </w:r>
    </w:p>
    <w:p w14:paraId="2648A2A9">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2.5.1 内容不符合《政府采购质疑和投诉办法》第十二条规定的质疑。</w:t>
      </w:r>
    </w:p>
    <w:p w14:paraId="0E5B5896">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2.5.2 超出政府采购法定期限的质疑。</w:t>
      </w:r>
    </w:p>
    <w:p w14:paraId="07DDB8CC">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2.5.3 未参加</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活动的供应商或在</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活动中自身权益未受到损害的供应商所提出的质疑。</w:t>
      </w:r>
    </w:p>
    <w:p w14:paraId="50F3D0A8">
      <w:pPr>
        <w:adjustRightInd w:val="0"/>
        <w:snapToGrid w:val="0"/>
        <w:spacing w:line="500" w:lineRule="exact"/>
        <w:ind w:firstLine="468" w:firstLineChars="195"/>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A74F4E3">
      <w:pPr>
        <w:keepNext/>
        <w:adjustRightInd w:val="0"/>
        <w:snapToGrid w:val="0"/>
        <w:spacing w:line="500" w:lineRule="exact"/>
        <w:ind w:firstLine="360" w:firstLineChars="150"/>
        <w:outlineLvl w:val="3"/>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3．成交通知书</w:t>
      </w:r>
    </w:p>
    <w:p w14:paraId="768E3E07">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3.l</w:t>
      </w:r>
      <w:r>
        <w:rPr>
          <w:rFonts w:hint="eastAsia" w:cs="宋体" w:asciiTheme="majorEastAsia" w:hAnsiTheme="majorEastAsia" w:eastAsiaTheme="majorEastAsia"/>
          <w:b/>
          <w:color w:val="000000" w:themeColor="text1"/>
          <w:sz w:val="24"/>
          <w:szCs w:val="24"/>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14:textFill>
            <w14:solidFill>
              <w14:schemeClr w14:val="tx1"/>
            </w14:solidFill>
          </w14:textFill>
        </w:rPr>
        <w:t>成交结果确定后，采购人将向成交供应商发出成交通知书。</w:t>
      </w:r>
    </w:p>
    <w:p w14:paraId="02CA7E3E">
      <w:pPr>
        <w:adjustRightInd w:val="0"/>
        <w:snapToGrid w:val="0"/>
        <w:spacing w:line="500" w:lineRule="exact"/>
        <w:ind w:firstLine="360" w:firstLineChars="1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3.2成交通知书将是合同的一个组成部分。对采购人和成交供应商均具有法律效力。成交通知书发出后，采购人改变成交结果的，或者成交供应商放弃</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项目的，应当依法承担法律责任。</w:t>
      </w:r>
    </w:p>
    <w:p w14:paraId="11487305">
      <w:pPr>
        <w:keepNext/>
        <w:keepLines/>
        <w:adjustRightInd w:val="0"/>
        <w:snapToGrid w:val="0"/>
        <w:spacing w:line="500" w:lineRule="exact"/>
        <w:outlineLvl w:val="2"/>
        <w:rPr>
          <w:rFonts w:cs="宋体" w:asciiTheme="majorEastAsia" w:hAnsiTheme="majorEastAsia" w:eastAsiaTheme="majorEastAsia"/>
          <w:b/>
          <w:bCs/>
          <w:color w:val="000000" w:themeColor="text1"/>
          <w:kern w:val="0"/>
          <w:sz w:val="28"/>
          <w:szCs w:val="28"/>
          <w14:textFill>
            <w14:solidFill>
              <w14:schemeClr w14:val="tx1"/>
            </w14:solidFill>
          </w14:textFill>
        </w:rPr>
      </w:pPr>
      <w:bookmarkStart w:id="91" w:name="_Toc120614220"/>
      <w:bookmarkStart w:id="92" w:name="_Toc16938552"/>
      <w:bookmarkStart w:id="93" w:name="_Toc513029236"/>
      <w:bookmarkStart w:id="94" w:name="_Toc20823308"/>
      <w:r>
        <w:rPr>
          <w:rFonts w:hint="eastAsia" w:cs="宋体" w:asciiTheme="majorEastAsia" w:hAnsiTheme="majorEastAsia" w:eastAsiaTheme="majorEastAsia"/>
          <w:b/>
          <w:bCs/>
          <w:color w:val="000000" w:themeColor="text1"/>
          <w:kern w:val="0"/>
          <w:sz w:val="28"/>
          <w:szCs w:val="28"/>
          <w14:textFill>
            <w14:solidFill>
              <w14:schemeClr w14:val="tx1"/>
            </w14:solidFill>
          </w14:textFill>
        </w:rPr>
        <w:t>（七）授予合同</w:t>
      </w:r>
      <w:bookmarkEnd w:id="91"/>
    </w:p>
    <w:bookmarkEnd w:id="92"/>
    <w:bookmarkEnd w:id="93"/>
    <w:bookmarkEnd w:id="94"/>
    <w:p w14:paraId="03A8B42E">
      <w:pPr>
        <w:keepNext/>
        <w:adjustRightInd w:val="0"/>
        <w:snapToGrid w:val="0"/>
        <w:spacing w:line="500" w:lineRule="exact"/>
        <w:outlineLvl w:val="3"/>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1.签订合同</w:t>
      </w:r>
    </w:p>
    <w:p w14:paraId="4B5494E2">
      <w:pPr>
        <w:adjustRightInd w:val="0"/>
        <w:snapToGrid w:val="0"/>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1</w:t>
      </w:r>
      <w:r>
        <w:rPr>
          <w:rFonts w:hint="eastAsia" w:cs="宋体" w:asciiTheme="majorEastAsia" w:hAnsiTheme="majorEastAsia" w:eastAsiaTheme="majorEastAsia"/>
          <w:color w:val="000000" w:themeColor="text1"/>
          <w:sz w:val="24"/>
          <w:szCs w:val="24"/>
          <w14:textFill>
            <w14:solidFill>
              <w14:schemeClr w14:val="tx1"/>
            </w14:solidFill>
          </w14:textFill>
        </w:rPr>
        <w:t>.l成交供应商应当在成交通知书发出之日起一周内，按照</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文件确定的事项与采购人签订采购合同。</w:t>
      </w:r>
    </w:p>
    <w:p w14:paraId="0D401742">
      <w:pPr>
        <w:adjustRightInd w:val="0"/>
        <w:snapToGrid w:val="0"/>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1.2</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文件、成交供应商的磋商文件及</w:t>
      </w:r>
      <w:r>
        <w:rPr>
          <w:rFonts w:hint="eastAsia" w:cs="宋体" w:asciiTheme="majorEastAsia" w:hAnsiTheme="majorEastAsia" w:eastAsiaTheme="majorEastAsia"/>
          <w:bCs/>
          <w:color w:val="000000" w:themeColor="text1"/>
          <w:sz w:val="24"/>
          <w:szCs w:val="24"/>
          <w14:textFill>
            <w14:solidFill>
              <w14:schemeClr w14:val="tx1"/>
            </w14:solidFill>
          </w14:textFill>
        </w:rPr>
        <w:t>磋商</w:t>
      </w:r>
      <w:r>
        <w:rPr>
          <w:rFonts w:hint="eastAsia" w:cs="宋体" w:asciiTheme="majorEastAsia" w:hAnsiTheme="majorEastAsia" w:eastAsiaTheme="majorEastAsia"/>
          <w:color w:val="000000" w:themeColor="text1"/>
          <w:sz w:val="24"/>
          <w:szCs w:val="24"/>
          <w14:textFill>
            <w14:solidFill>
              <w14:schemeClr w14:val="tx1"/>
            </w14:solidFill>
          </w14:textFill>
        </w:rPr>
        <w:t>过程中有关澄清、承诺文件均应作为合同附件。</w:t>
      </w:r>
    </w:p>
    <w:p w14:paraId="6ED5A0CB">
      <w:pPr>
        <w:adjustRightInd w:val="0"/>
        <w:snapToGrid w:val="0"/>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1.3签订合同后，成交供应商不得将货物及其他相关服务进行转包、分包，否则采购人有权终止合同，成交供应商的履约保证金将不予退还。</w:t>
      </w:r>
    </w:p>
    <w:p w14:paraId="1AE77BF5">
      <w:pPr>
        <w:keepNext/>
        <w:adjustRightInd w:val="0"/>
        <w:snapToGrid w:val="0"/>
        <w:spacing w:line="500" w:lineRule="exact"/>
        <w:outlineLvl w:val="3"/>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2.货物和服务的追加、减少和添购。</w:t>
      </w:r>
    </w:p>
    <w:p w14:paraId="61F34DF2">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2.1采购合同履行中，采购人需追加与合同标的相同的货物和服务的，在不改变合同其他条款的前提下，可以与成交供应商协商签订补充合同，但所有补充合同的采购金额不超过原合同金额10%。</w:t>
      </w:r>
    </w:p>
    <w:p w14:paraId="20D0AEB4">
      <w:pPr>
        <w:ind w:firstLine="482"/>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2.2采购结束后，采购人若由于各种客观原因，必须对采购项目所牵涉的货物和服务进行适当的减少时，在双方协商一致的前提下，可以按照采购时的价格水平做相应的调减，并据此签订补充合同。</w:t>
      </w:r>
    </w:p>
    <w:p w14:paraId="28EE668D">
      <w:pPr>
        <w:spacing w:after="146"/>
        <w:jc w:val="center"/>
        <w:rPr>
          <w:rFonts w:cs="宋体" w:asciiTheme="majorEastAsia" w:hAnsiTheme="majorEastAsia" w:eastAsiaTheme="majorEastAsia"/>
          <w:color w:val="000000" w:themeColor="text1"/>
          <w:kern w:val="0"/>
          <w:sz w:val="36"/>
          <w:szCs w:val="36"/>
          <w14:textFill>
            <w14:solidFill>
              <w14:schemeClr w14:val="tx1"/>
            </w14:solidFill>
          </w14:textFill>
        </w:rPr>
      </w:pPr>
      <w:r>
        <w:rPr>
          <w:rFonts w:hint="eastAsia" w:cs="宋体" w:asciiTheme="majorEastAsia" w:hAnsiTheme="majorEastAsia" w:eastAsiaTheme="majorEastAsia"/>
          <w:b/>
          <w:bCs/>
          <w:color w:val="000000" w:themeColor="text1"/>
          <w:kern w:val="0"/>
          <w:sz w:val="36"/>
          <w:szCs w:val="36"/>
          <w14:textFill>
            <w14:solidFill>
              <w14:schemeClr w14:val="tx1"/>
            </w14:solidFill>
          </w14:textFill>
        </w:rPr>
        <w:t>第三部分  采购项目需求</w:t>
      </w:r>
    </w:p>
    <w:p w14:paraId="06FC49C7">
      <w:pPr>
        <w:adjustRightInd w:val="0"/>
        <w:snapToGrid w:val="0"/>
        <w:spacing w:line="500" w:lineRule="exact"/>
        <w:ind w:firstLine="482" w:firstLineChars="20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供应商在制作磋商文件时需仔细研究项目需求说明。项目需求包括技术要求和商务要求，技术要求是采购项目的岗位配置及人员要求、服务内容及岗位职责、对供应商的其他要求等。商务要求是取得采购项目的合同履行期限、合同执行时间、付款方式、履约保证金、</w:t>
      </w:r>
      <w:r>
        <w:rPr>
          <w:rFonts w:hint="eastAsia" w:cs="宋体" w:asciiTheme="majorEastAsia" w:hAnsiTheme="majorEastAsia" w:eastAsiaTheme="majorEastAsia"/>
          <w:b/>
          <w:bCs/>
          <w:color w:val="000000" w:themeColor="text1"/>
          <w:sz w:val="24"/>
          <w:szCs w:val="24"/>
          <w14:textFill>
            <w14:solidFill>
              <w14:schemeClr w14:val="tx1"/>
            </w14:solidFill>
          </w14:textFill>
        </w:rPr>
        <w:t>验收标准、</w:t>
      </w:r>
      <w:r>
        <w:rPr>
          <w:rFonts w:hint="eastAsia" w:cs="宋体" w:asciiTheme="majorEastAsia" w:hAnsiTheme="majorEastAsia" w:eastAsiaTheme="majorEastAsia"/>
          <w:b/>
          <w:color w:val="000000" w:themeColor="text1"/>
          <w:sz w:val="24"/>
          <w:szCs w:val="24"/>
          <w14:textFill>
            <w14:solidFill>
              <w14:schemeClr w14:val="tx1"/>
            </w14:solidFill>
          </w14:textFill>
        </w:rPr>
        <w:t>其他事项等。</w:t>
      </w:r>
    </w:p>
    <w:p w14:paraId="70539D0B">
      <w:pPr>
        <w:adjustRightInd w:val="0"/>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ascii="宋体" w:hAnsi="宋体" w:cs="宋体"/>
          <w:bCs/>
          <w:color w:val="000000" w:themeColor="text1"/>
          <w:sz w:val="24"/>
          <w:szCs w:val="24"/>
          <w14:textFill>
            <w14:solidFill>
              <w14:schemeClr w14:val="tx1"/>
            </w14:solidFill>
          </w14:textFill>
        </w:rPr>
        <w:t>不能简单照搬照抄磋商文件项目需求说明中的技术、商务要求，必须作实事求是的响应。如</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ascii="宋体" w:hAnsi="宋体" w:cs="宋体"/>
          <w:bCs/>
          <w:color w:val="000000" w:themeColor="text1"/>
          <w:sz w:val="24"/>
          <w:szCs w:val="24"/>
          <w14:textFill>
            <w14:solidFill>
              <w14:schemeClr w14:val="tx1"/>
            </w14:solidFill>
          </w14:textFill>
        </w:rPr>
        <w:t>提供的货物和服务同采购人提出的项目需求说明中的技术、商务要求不同的，必须在《商务部分正负偏离表》和《技术部分正负偏离表》上明示。</w:t>
      </w:r>
    </w:p>
    <w:p w14:paraId="2210A135">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p>
    <w:p w14:paraId="35C797D3">
      <w:pPr>
        <w:adjustRightInd w:val="0"/>
        <w:snapToGrid w:val="0"/>
        <w:spacing w:line="500" w:lineRule="exact"/>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一、</w:t>
      </w:r>
      <w:bookmarkStart w:id="95" w:name="_Hlk112746230"/>
      <w:r>
        <w:rPr>
          <w:rFonts w:hint="eastAsia" w:cs="宋体" w:asciiTheme="majorEastAsia" w:hAnsiTheme="majorEastAsia" w:eastAsiaTheme="majorEastAsia"/>
          <w:b/>
          <w:bCs/>
          <w:color w:val="000000" w:themeColor="text1"/>
          <w:sz w:val="24"/>
          <w:szCs w:val="24"/>
          <w14:textFill>
            <w14:solidFill>
              <w14:schemeClr w14:val="tx1"/>
            </w14:solidFill>
          </w14:textFill>
        </w:rPr>
        <w:t>项目</w:t>
      </w:r>
      <w:bookmarkEnd w:id="95"/>
      <w:r>
        <w:rPr>
          <w:rFonts w:hint="eastAsia" w:cs="宋体" w:asciiTheme="majorEastAsia" w:hAnsiTheme="majorEastAsia" w:eastAsiaTheme="majorEastAsia"/>
          <w:b/>
          <w:bCs/>
          <w:color w:val="000000" w:themeColor="text1"/>
          <w:sz w:val="24"/>
          <w:szCs w:val="24"/>
          <w14:textFill>
            <w14:solidFill>
              <w14:schemeClr w14:val="tx1"/>
            </w14:solidFill>
          </w14:textFill>
        </w:rPr>
        <w:t>概述</w:t>
      </w:r>
    </w:p>
    <w:p w14:paraId="57B1EAE4">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南通市海门区三厂街道中心医院采购安保服务项目，</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应根据招标要求，在对医院现场、周边环境全面了解的情况下编制科学合理、切实可行的组织实施计划以及具体的保障措施、工作等程序。</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须依照现代企业制度，以合理的服务流程和服务人数、优良的服务质量、科学稳定的服务队伍、优惠的价格来制订详细的服务方案，充分体现自身的实力，发挥自身优势，用热心、爱心、专心、贴心服务，为医院后勤社会化提供全方位、一体化的专业服务保障，保证医疗服务工作正常进行，各项重大活动顺利完成，确保医院服务质量和形象提升一个新台阶。</w:t>
      </w:r>
    </w:p>
    <w:p w14:paraId="0377500F">
      <w:pPr>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本次项目采购人不统一组织现场勘探，</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自行考察现场，采购人提供必要的协助，让</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充分了解现场情况以及磋商报价所需的相关数据。</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无论考察与否，都将被视为已经对本项目的总体情况、工作难度、条件以及成交后有可能承担的风险、责任和义务的充分了解，如</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因对现场资料和数据所作出的推论、解释和结论影响磋商报价、方案编制等由此造成的后果由</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自行承担。因</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自身原因未现场考察或现场考察不全面的，成交后不得因此提出修改投标报价或提出索赔等要求，不得以此为由拒绝签署合同或履行所约定的各项义务。现场考察的费用由</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自行负担。</w:t>
      </w:r>
    </w:p>
    <w:p w14:paraId="457F723F">
      <w:pPr>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现场勘探联系人：施先生     联系电话：13814683066</w:t>
      </w:r>
    </w:p>
    <w:p w14:paraId="12BB05A1">
      <w:pPr>
        <w:ind w:firstLine="588"/>
        <w:rPr>
          <w:rFonts w:cs="宋体" w:asciiTheme="majorEastAsia" w:hAnsiTheme="majorEastAsia" w:eastAsiaTheme="majorEastAsia"/>
          <w:color w:val="000000" w:themeColor="text1"/>
          <w:kern w:val="0"/>
          <w:sz w:val="24"/>
          <w:szCs w:val="24"/>
          <w14:textFill>
            <w14:solidFill>
              <w14:schemeClr w14:val="tx1"/>
            </w14:solidFill>
          </w14:textFill>
        </w:rPr>
      </w:pPr>
    </w:p>
    <w:tbl>
      <w:tblPr>
        <w:tblStyle w:val="8"/>
        <w:tblW w:w="0" w:type="auto"/>
        <w:tblCellSpacing w:w="0" w:type="dxa"/>
        <w:tblInd w:w="-318" w:type="dxa"/>
        <w:tblLayout w:type="autofit"/>
        <w:tblCellMar>
          <w:top w:w="0" w:type="dxa"/>
          <w:left w:w="108" w:type="dxa"/>
          <w:bottom w:w="0" w:type="dxa"/>
          <w:right w:w="108" w:type="dxa"/>
        </w:tblCellMar>
      </w:tblPr>
      <w:tblGrid>
        <w:gridCol w:w="819"/>
        <w:gridCol w:w="656"/>
      </w:tblGrid>
      <w:tr w14:paraId="58F471D2">
        <w:tblPrEx>
          <w:tblCellMar>
            <w:top w:w="0" w:type="dxa"/>
            <w:left w:w="108" w:type="dxa"/>
            <w:bottom w:w="0" w:type="dxa"/>
            <w:right w:w="108" w:type="dxa"/>
          </w:tblCellMar>
        </w:tblPrEx>
        <w:trPr>
          <w:trHeight w:val="470" w:hRule="atLeast"/>
          <w:tblCellSpacing w:w="0" w:type="dxa"/>
        </w:trPr>
        <w:tc>
          <w:tcPr>
            <w:tcW w:w="819" w:type="dxa"/>
            <w:tcBorders>
              <w:top w:val="nil"/>
              <w:left w:val="nil"/>
              <w:bottom w:val="nil"/>
              <w:right w:val="nil"/>
            </w:tcBorders>
            <w:vAlign w:val="center"/>
          </w:tcPr>
          <w:p w14:paraId="5AE932F6">
            <w:pPr>
              <w:widowControl/>
              <w:ind w:firstLine="200"/>
              <w:jc w:val="righ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514" w:type="dxa"/>
            <w:tcBorders>
              <w:top w:val="nil"/>
              <w:left w:val="nil"/>
              <w:bottom w:val="nil"/>
              <w:right w:val="nil"/>
            </w:tcBorders>
            <w:vAlign w:val="center"/>
          </w:tcPr>
          <w:p w14:paraId="0B87A134">
            <w:pPr>
              <w:ind w:firstLine="200"/>
              <w:jc w:val="righ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r>
    </w:tbl>
    <w:p w14:paraId="663129BF">
      <w:pPr>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Times New Roman" w:asciiTheme="majorEastAsia" w:hAnsiTheme="majorEastAsia" w:eastAsiaTheme="majorEastAsia"/>
          <w:b/>
          <w:bCs/>
          <w:color w:val="000000" w:themeColor="text1"/>
          <w:kern w:val="0"/>
          <w:sz w:val="24"/>
          <w:szCs w:val="24"/>
          <w14:textFill>
            <w14:solidFill>
              <w14:schemeClr w14:val="tx1"/>
            </w14:solidFill>
          </w14:textFill>
        </w:rPr>
        <w:t>二、</w:t>
      </w:r>
      <w:r>
        <w:rPr>
          <w:rFonts w:cs="宋体" w:asciiTheme="majorEastAsia" w:hAnsiTheme="majorEastAsia" w:eastAsiaTheme="majorEastAsia"/>
          <w:color w:val="000000" w:themeColor="text1"/>
          <w:kern w:val="0"/>
          <w:sz w:val="24"/>
          <w:szCs w:val="24"/>
          <w14:textFill>
            <w14:solidFill>
              <w14:schemeClr w14:val="tx1"/>
            </w14:solidFill>
          </w14:textFill>
        </w:rPr>
        <w:t> </w:t>
      </w:r>
      <w:r>
        <w:rPr>
          <w:rFonts w:hint="eastAsia" w:cs="宋体" w:asciiTheme="majorEastAsia" w:hAnsiTheme="majorEastAsia" w:eastAsiaTheme="majorEastAsia"/>
          <w:b/>
          <w:bCs/>
          <w:color w:val="000000" w:themeColor="text1"/>
          <w:sz w:val="24"/>
          <w:szCs w:val="24"/>
          <w14:textFill>
            <w14:solidFill>
              <w14:schemeClr w14:val="tx1"/>
            </w14:solidFill>
          </w14:textFill>
        </w:rPr>
        <w:t>岗位配置及人员要求</w:t>
      </w:r>
    </w:p>
    <w:p w14:paraId="3E8575B3">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（一）</w:t>
      </w:r>
      <w:r>
        <w:rPr>
          <w:rFonts w:hint="eastAsia" w:cs="宋体" w:asciiTheme="majorEastAsia" w:hAnsiTheme="majorEastAsia" w:eastAsiaTheme="majorEastAsia"/>
          <w:b/>
          <w:color w:val="000000" w:themeColor="text1"/>
          <w:sz w:val="24"/>
          <w:szCs w:val="24"/>
          <w14:textFill>
            <w14:solidFill>
              <w14:schemeClr w14:val="tx1"/>
            </w14:solidFill>
          </w14:textFill>
        </w:rPr>
        <w:t>安保岗位配置</w:t>
      </w:r>
      <w:r>
        <w:rPr>
          <w:rFonts w:hint="eastAsia" w:cs="宋体" w:asciiTheme="majorEastAsia" w:hAnsiTheme="majorEastAsia" w:eastAsiaTheme="majorEastAsia"/>
          <w:color w:val="000000" w:themeColor="text1"/>
          <w:sz w:val="24"/>
          <w:szCs w:val="24"/>
          <w14:textFill>
            <w14:solidFill>
              <w14:schemeClr w14:val="tx1"/>
            </w14:solidFill>
          </w14:textFill>
        </w:rPr>
        <w:t>：配置总人数</w:t>
      </w:r>
      <w:r>
        <w:rPr>
          <w:rFonts w:cs="宋体" w:asciiTheme="majorEastAsia" w:hAnsiTheme="majorEastAsia" w:eastAsiaTheme="majorEastAsia"/>
          <w:color w:val="000000" w:themeColor="text1"/>
          <w:sz w:val="24"/>
          <w:szCs w:val="24"/>
          <w14:textFill>
            <w14:solidFill>
              <w14:schemeClr w14:val="tx1"/>
            </w14:solidFill>
          </w14:textFill>
        </w:rPr>
        <w:t>6</w:t>
      </w:r>
      <w:r>
        <w:rPr>
          <w:rFonts w:hint="eastAsia" w:cs="宋体" w:asciiTheme="majorEastAsia" w:hAnsiTheme="majorEastAsia" w:eastAsiaTheme="majorEastAsia"/>
          <w:color w:val="000000" w:themeColor="text1"/>
          <w:sz w:val="24"/>
          <w:szCs w:val="24"/>
          <w14:textFill>
            <w14:solidFill>
              <w14:schemeClr w14:val="tx1"/>
            </w14:solidFill>
          </w14:textFill>
        </w:rPr>
        <w:t>人，要求男性。岗位包括消防及安全生产巡查、停车场管理、门急诊管理。岗位要求：消防及安全生产巡查必须保证有24小时值班人员（包括节假休息日）和就诊高峰期间所有岗位的安排，其余在不违反劳动法的原则下，由供应商取得采购人同意后合理安排班次时间。</w:t>
      </w:r>
    </w:p>
    <w:p w14:paraId="26A3FE13">
      <w:pPr>
        <w:pStyle w:val="4"/>
        <w:ind w:firstLine="0" w:firstLineChars="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b/>
          <w:color w:val="000000" w:themeColor="text1"/>
          <w:kern w:val="2"/>
          <w:sz w:val="24"/>
          <w:szCs w:val="24"/>
          <w14:textFill>
            <w14:solidFill>
              <w14:schemeClr w14:val="tx1"/>
            </w14:solidFill>
          </w14:textFill>
        </w:rPr>
        <w:t>注：</w:t>
      </w: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以上岗位采购人根据实际情况将会有所调整，甚至会取消相关岗位，</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须服从医院安排。请</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在磋商报价时予以考虑。</w:t>
      </w:r>
    </w:p>
    <w:p w14:paraId="04C15514">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当班日人员可随时服从安排调动处置各种突发事件。</w:t>
      </w:r>
    </w:p>
    <w:p w14:paraId="230896F9">
      <w:pPr>
        <w:pStyle w:val="4"/>
        <w:ind w:firstLine="482"/>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（二）人员要求：</w:t>
      </w:r>
    </w:p>
    <w:p w14:paraId="15B185D0">
      <w:pPr>
        <w:pStyle w:val="4"/>
        <w:ind w:firstLine="482"/>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★1、</w:t>
      </w:r>
      <w:r>
        <w:rPr>
          <w:rFonts w:hint="eastAsia" w:cs="宋体" w:asciiTheme="majorEastAsia" w:hAnsiTheme="majorEastAsia" w:eastAsiaTheme="majorEastAsia"/>
          <w:b/>
          <w:color w:val="000000" w:themeColor="text1"/>
          <w:sz w:val="24"/>
          <w:szCs w:val="24"/>
          <w14:textFill>
            <w14:solidFill>
              <w14:schemeClr w14:val="tx1"/>
            </w14:solidFill>
          </w14:textFill>
        </w:rPr>
        <w:t>进驻医院安保所有人员必须通过政审，无违法犯罪等记录。</w:t>
      </w:r>
      <w:r>
        <w:rPr>
          <w:rFonts w:hint="eastAsia" w:cs="宋体" w:asciiTheme="majorEastAsia" w:hAnsiTheme="majorEastAsia" w:eastAsiaTheme="majorEastAsia"/>
          <w:b/>
          <w:bCs/>
          <w:color w:val="000000" w:themeColor="text1"/>
          <w:sz w:val="24"/>
          <w:szCs w:val="24"/>
          <w14:textFill>
            <w14:solidFill>
              <w14:schemeClr w14:val="tx1"/>
            </w14:solidFill>
          </w14:textFill>
        </w:rPr>
        <w:t>供应商</w:t>
      </w:r>
      <w:r>
        <w:rPr>
          <w:rFonts w:hint="eastAsia" w:cs="宋体" w:asciiTheme="majorEastAsia" w:hAnsiTheme="majorEastAsia" w:eastAsiaTheme="majorEastAsia"/>
          <w:b/>
          <w:color w:val="000000" w:themeColor="text1"/>
          <w:sz w:val="24"/>
          <w:szCs w:val="24"/>
          <w14:textFill>
            <w14:solidFill>
              <w14:schemeClr w14:val="tx1"/>
            </w14:solidFill>
          </w14:textFill>
        </w:rPr>
        <w:t>须在安保人员上岗前向院方提供人员资料，所有人员须提供上岗证及要求提供的其他证件，身体健康、适合医院环境工作，符合法定劳动年龄、培训合格。男性年龄60周岁（含）以下。安保队伍须年轻化，人员相对固定，避免经常更换，更换人员须得到采购人同意。</w:t>
      </w:r>
    </w:p>
    <w:p w14:paraId="43B064E1">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kern w:val="2"/>
          <w:sz w:val="24"/>
          <w:szCs w:val="24"/>
          <w14:textFill>
            <w14:solidFill>
              <w14:schemeClr w14:val="tx1"/>
            </w14:solidFill>
          </w14:textFill>
        </w:rPr>
        <w:t>爱岗敬业，勇于同不法分子和违法现象作斗争。</w:t>
      </w:r>
    </w:p>
    <w:p w14:paraId="6F09BC22">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3、身体素质良好，有一定的格斗能力，处置突发治安事件时反应迅速，能有效预防伤医事件的发生。</w:t>
      </w:r>
    </w:p>
    <w:p w14:paraId="1A8B0D9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4、具有扑救初起火灾业务技能，并具备</w:t>
      </w:r>
      <w:bookmarkStart w:id="96" w:name="_Hlk135681233"/>
      <w:r>
        <w:rPr>
          <w:rFonts w:hint="eastAsia" w:cs="宋体" w:asciiTheme="majorEastAsia" w:hAnsiTheme="majorEastAsia" w:eastAsiaTheme="majorEastAsia"/>
          <w:color w:val="000000" w:themeColor="text1"/>
          <w:kern w:val="2"/>
          <w:sz w:val="24"/>
          <w:szCs w:val="24"/>
          <w14:textFill>
            <w14:solidFill>
              <w14:schemeClr w14:val="tx1"/>
            </w14:solidFill>
          </w14:textFill>
        </w:rPr>
        <w:t>防火巡查</w:t>
      </w:r>
      <w:bookmarkEnd w:id="96"/>
      <w:r>
        <w:rPr>
          <w:rFonts w:hint="eastAsia" w:cs="宋体" w:asciiTheme="majorEastAsia" w:hAnsiTheme="majorEastAsia" w:eastAsiaTheme="majorEastAsia"/>
          <w:color w:val="000000" w:themeColor="text1"/>
          <w:kern w:val="2"/>
          <w:sz w:val="24"/>
          <w:szCs w:val="24"/>
          <w14:textFill>
            <w14:solidFill>
              <w14:schemeClr w14:val="tx1"/>
            </w14:solidFill>
          </w14:textFill>
        </w:rPr>
        <w:t>基本知识。</w:t>
      </w:r>
    </w:p>
    <w:p w14:paraId="25BAD339">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5、需具备一定应急救援知识及紧急救援能力，进行相关紧急巡查、保卫和救援等工作。</w:t>
      </w:r>
    </w:p>
    <w:p w14:paraId="7D353EB2">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6、服从院方临时安排的安保任务。</w:t>
      </w:r>
    </w:p>
    <w:p w14:paraId="61860FFB">
      <w:pPr>
        <w:pStyle w:val="4"/>
        <w:ind w:firstLine="0" w:firstLineChars="0"/>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三、服务内容及岗位职责：</w:t>
      </w:r>
    </w:p>
    <w:p w14:paraId="2CC815A7">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（一）服务内容</w:t>
      </w:r>
    </w:p>
    <w:p w14:paraId="04F3F3FB">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对我院范围内的安全保卫、消防安全、财产安全和为正常生产工作管理秩序提供安全保卫服务，承担相应的安保服务义务。包括门卫管理、消防巡查、应急救援、医患纠纷突发事件处置、夜间巡查、迎接各类检查、会议安全保障、公共卫生事件处置中的卡口防控工作等。供应商应具备派驻人员人事管理、劳动纪律、工作履职等信息化管理。</w:t>
      </w:r>
    </w:p>
    <w:p w14:paraId="73B05EE0">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（二）工作范围：</w:t>
      </w:r>
    </w:p>
    <w:p w14:paraId="682A23D0">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外围（包括</w:t>
      </w:r>
      <w:r>
        <w:rPr>
          <w:rFonts w:hint="eastAsia" w:ascii="宋体" w:hAnsi="宋体" w:eastAsia="宋体" w:cs="宋体"/>
          <w:color w:val="000000" w:themeColor="text1"/>
          <w:kern w:val="2"/>
          <w:sz w:val="24"/>
          <w:szCs w:val="24"/>
          <w14:textFill>
            <w14:solidFill>
              <w14:schemeClr w14:val="tx1"/>
            </w14:solidFill>
          </w14:textFill>
        </w:rPr>
        <w:t>建筑规划红线内</w:t>
      </w:r>
      <w:r>
        <w:rPr>
          <w:rFonts w:hint="eastAsia" w:ascii="宋体" w:hAnsi="宋体" w:eastAsia="宋体" w:cs="宋体"/>
          <w:color w:val="000000" w:themeColor="text1"/>
          <w:kern w:val="2"/>
          <w:szCs w:val="28"/>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 xml:space="preserve">治安大队划分的智巡路线按时间段巡逻）； </w:t>
      </w:r>
    </w:p>
    <w:p w14:paraId="6C13E3B6">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 xml:space="preserve">停车位（含机动车和非机动车）； </w:t>
      </w:r>
    </w:p>
    <w:p w14:paraId="447F09A6">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3</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所有楼层巡逻（如：消防设施、事故隐患、外来人员、治安防范等）；</w:t>
      </w:r>
    </w:p>
    <w:p w14:paraId="2188CEC1">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4</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其它。</w:t>
      </w:r>
    </w:p>
    <w:p w14:paraId="513E54EF">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（三）总体要求:</w:t>
      </w:r>
    </w:p>
    <w:p w14:paraId="7AD4650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要合法用工，并派用与医院保安服务相适应的人员，不能损害服务对象及聘用员工的合法权益,按国家相关规定合法用工，</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违反《劳动法》等法律法规而造成院方的连带责任和损失全部由</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承担。</w:t>
      </w:r>
    </w:p>
    <w:p w14:paraId="2127A6DA">
      <w:pPr>
        <w:ind w:firstLine="600" w:firstLineChars="25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 确保所派遣保安人员遵守院方关于场所进入、管理与控制的指示。 </w:t>
      </w:r>
      <w:r>
        <w:rPr>
          <w:rFonts w:hint="eastAsia" w:cs="宋体" w:asciiTheme="majorEastAsia" w:hAnsiTheme="majorEastAsia" w:eastAsiaTheme="majorEastAsia"/>
          <w:color w:val="000000" w:themeColor="text1"/>
          <w:sz w:val="24"/>
          <w:szCs w:val="24"/>
          <w14:textFill>
            <w14:solidFill>
              <w14:schemeClr w14:val="tx1"/>
            </w14:solidFill>
          </w14:textFill>
        </w:rPr>
        <w:t>所有人员必须遵守国家法律、法规、</w:t>
      </w:r>
      <w:r>
        <w:rPr>
          <w:rFonts w:hint="eastAsia" w:cs="宋体" w:asciiTheme="majorEastAsia" w:hAnsiTheme="majorEastAsia" w:eastAsiaTheme="majorEastAsia"/>
          <w:color w:val="000000" w:themeColor="text1"/>
          <w:kern w:val="0"/>
          <w:sz w:val="24"/>
          <w:szCs w:val="24"/>
          <w14:textFill>
            <w14:solidFill>
              <w14:schemeClr w14:val="tx1"/>
            </w14:solidFill>
          </w14:textFill>
        </w:rPr>
        <w:t>职业与道德标准</w:t>
      </w:r>
      <w:r>
        <w:rPr>
          <w:rFonts w:hint="eastAsia" w:cs="宋体" w:asciiTheme="majorEastAsia" w:hAnsiTheme="majorEastAsia" w:eastAsiaTheme="majorEastAsia"/>
          <w:color w:val="000000" w:themeColor="text1"/>
          <w:sz w:val="24"/>
          <w:szCs w:val="24"/>
          <w14:textFill>
            <w14:solidFill>
              <w14:schemeClr w14:val="tx1"/>
            </w14:solidFill>
          </w14:textFill>
        </w:rPr>
        <w:t>及采购人的各项规章制度，具有良好素养和上岗资质，具有与工作相适应的文化程度，无不良记录及嗜好，爱岗敬业、工作勤快，礼貌待人、和蔼处事，相貌端正、身体健康（无传染性疾病）；</w:t>
      </w:r>
      <w:r>
        <w:rPr>
          <w:rFonts w:hint="eastAsia" w:cs="宋体" w:asciiTheme="majorEastAsia" w:hAnsiTheme="majorEastAsia" w:eastAsiaTheme="majorEastAsia"/>
          <w:color w:val="000000" w:themeColor="text1"/>
          <w:kern w:val="0"/>
          <w:sz w:val="24"/>
          <w:szCs w:val="24"/>
          <w14:textFill>
            <w14:solidFill>
              <w14:schemeClr w14:val="tx1"/>
            </w14:solidFill>
          </w14:textFill>
        </w:rPr>
        <w:t>服务坚持文明执勤，以人为本；管理坚持原则，慎密严谨；处置问题警惕而有礼有节，依法办事，不徇私情。</w:t>
      </w:r>
    </w:p>
    <w:p w14:paraId="29F62F1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3.</w:t>
      </w:r>
      <w:r>
        <w:rPr>
          <w:rFonts w:hint="eastAsia" w:cs="宋体" w:asciiTheme="majorEastAsia" w:hAnsiTheme="majorEastAsia" w:eastAsiaTheme="majorEastAsia"/>
          <w:color w:val="000000" w:themeColor="text1"/>
          <w:kern w:val="2"/>
          <w:sz w:val="24"/>
          <w:szCs w:val="24"/>
          <w14:textFill>
            <w14:solidFill>
              <w14:schemeClr w14:val="tx1"/>
            </w14:solidFill>
          </w14:textFill>
        </w:rPr>
        <w:t>特殊岗位的工作人员应具备相应的上岗证书。相关服务人员均需持证上岗，各岗位人员健康必须符合服务要求；</w:t>
      </w:r>
    </w:p>
    <w:p w14:paraId="0EE63B88">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4</w:t>
      </w:r>
      <w:r>
        <w:rPr>
          <w:rFonts w:hint="eastAsia"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应确保保安人员上岗前须进行岗位培训、日常培训和文明礼仪培训，确保每个员工培训合格上岗，并保持培训记录完整，可随时供甲方调阅；</w:t>
      </w:r>
    </w:p>
    <w:p w14:paraId="256D619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5.</w:t>
      </w:r>
      <w:r>
        <w:rPr>
          <w:rFonts w:hint="eastAsia" w:cs="宋体" w:asciiTheme="majorEastAsia" w:hAnsiTheme="majorEastAsia" w:eastAsiaTheme="majorEastAsia"/>
          <w:color w:val="000000" w:themeColor="text1"/>
          <w:kern w:val="2"/>
          <w:sz w:val="24"/>
          <w:szCs w:val="24"/>
          <w14:textFill>
            <w14:solidFill>
              <w14:schemeClr w14:val="tx1"/>
            </w14:solidFill>
          </w14:textFill>
        </w:rPr>
        <w:t>人员流动率每月不得高于5%。管理人员的调动需提前一个月告知采购人。</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须提供每位保安人员的姓名和背景信息，如果任何保安人员辞职、被替换、解雇或新增保安人员，应及时通知采购人，并征得其同意；</w:t>
      </w:r>
    </w:p>
    <w:p w14:paraId="131A5008">
      <w:pPr>
        <w:ind w:firstLine="600" w:firstLineChars="25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6.</w:t>
      </w:r>
      <w:r>
        <w:rPr>
          <w:rFonts w:hint="eastAsia" w:cs="宋体" w:asciiTheme="majorEastAsia" w:hAnsiTheme="majorEastAsia" w:eastAsiaTheme="majorEastAsia"/>
          <w:color w:val="000000" w:themeColor="text1"/>
          <w:sz w:val="24"/>
          <w:szCs w:val="24"/>
          <w14:textFill>
            <w14:solidFill>
              <w14:schemeClr w14:val="tx1"/>
            </w14:solidFill>
          </w14:textFill>
        </w:rPr>
        <w:t>服务区域的各项服务工作时间必须符合及满足采购人的要求，</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须提供24小时(包括节假休息日) 保安服务。采购人根据医院实际工作需要或其他政策、规定要求，需要</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增加的工作量，可要求</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调整工作时间直至全天24小时工作。如因服务范围内容变动需调整合同，由双方协商确定；</w:t>
      </w:r>
      <w:r>
        <w:rPr>
          <w:rFonts w:hint="eastAsia" w:cs="宋体" w:asciiTheme="majorEastAsia" w:hAnsiTheme="majorEastAsia" w:eastAsiaTheme="majorEastAsia"/>
          <w:color w:val="000000" w:themeColor="text1"/>
          <w:kern w:val="0"/>
          <w:sz w:val="24"/>
          <w:szCs w:val="24"/>
          <w14:textFill>
            <w14:solidFill>
              <w14:schemeClr w14:val="tx1"/>
            </w14:solidFill>
          </w14:textFill>
        </w:rPr>
        <w:t>因院方要求等工作原因产生的加班，甲方应严格按国家有关法律、法规要求的标准给付员工加班薪资，</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0"/>
          <w:sz w:val="24"/>
          <w:szCs w:val="24"/>
          <w14:textFill>
            <w14:solidFill>
              <w14:schemeClr w14:val="tx1"/>
            </w14:solidFill>
          </w14:textFill>
        </w:rPr>
        <w:t>应负责服务人员节假日加班所产生的加班薪资，节假日上岗工作按照实际需求合理排班，保证院方工作不受到任何影响。</w:t>
      </w:r>
    </w:p>
    <w:p w14:paraId="3620FED4">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7.</w:t>
      </w:r>
      <w:r>
        <w:rPr>
          <w:rFonts w:hint="eastAsia" w:cs="宋体" w:asciiTheme="majorEastAsia" w:hAnsiTheme="majorEastAsia" w:eastAsiaTheme="majorEastAsia"/>
          <w:color w:val="000000" w:themeColor="text1"/>
          <w:kern w:val="2"/>
          <w:sz w:val="24"/>
          <w:szCs w:val="24"/>
          <w14:textFill>
            <w14:solidFill>
              <w14:schemeClr w14:val="tx1"/>
            </w14:solidFill>
          </w14:textFill>
        </w:rPr>
        <w:t>采购人不接受供应商临时招聘的人员到医院上岗。</w:t>
      </w:r>
    </w:p>
    <w:p w14:paraId="6769AB38">
      <w:pPr>
        <w:ind w:firstLine="480" w:firstLineChars="20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8.</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sz w:val="24"/>
          <w:szCs w:val="24"/>
          <w14:textFill>
            <w14:solidFill>
              <w14:schemeClr w14:val="tx1"/>
            </w14:solidFill>
          </w14:textFill>
        </w:rPr>
        <w:t>须担负医院保安与消控，做好防火、防盗、防破坏、防灾害事故等“四防”工作；</w:t>
      </w:r>
      <w:bookmarkStart w:id="97" w:name="_Hlk136512849"/>
      <w:r>
        <w:rPr>
          <w:rFonts w:hint="eastAsia" w:cs="宋体" w:asciiTheme="majorEastAsia" w:hAnsiTheme="majorEastAsia" w:eastAsiaTheme="majorEastAsia"/>
          <w:color w:val="000000" w:themeColor="text1"/>
          <w:sz w:val="24"/>
          <w:szCs w:val="24"/>
          <w14:textFill>
            <w14:solidFill>
              <w14:schemeClr w14:val="tx1"/>
            </w14:solidFill>
          </w14:textFill>
        </w:rPr>
        <w:t>担负</w:t>
      </w:r>
      <w:bookmarkEnd w:id="97"/>
      <w:r>
        <w:rPr>
          <w:rFonts w:hint="eastAsia" w:cs="宋体" w:asciiTheme="majorEastAsia" w:hAnsiTheme="majorEastAsia" w:eastAsiaTheme="majorEastAsia"/>
          <w:color w:val="000000" w:themeColor="text1"/>
          <w:sz w:val="24"/>
          <w:szCs w:val="24"/>
          <w14:textFill>
            <w14:solidFill>
              <w14:schemeClr w14:val="tx1"/>
            </w14:solidFill>
          </w14:textFill>
        </w:rPr>
        <w:t>医院内的应急灾害的抢险与现场秩序维护；</w:t>
      </w:r>
      <w:bookmarkStart w:id="98" w:name="_Hlk136512837"/>
      <w:r>
        <w:rPr>
          <w:rFonts w:hint="eastAsia" w:cs="宋体" w:asciiTheme="majorEastAsia" w:hAnsiTheme="majorEastAsia" w:eastAsiaTheme="majorEastAsia"/>
          <w:color w:val="000000" w:themeColor="text1"/>
          <w:sz w:val="24"/>
          <w:szCs w:val="24"/>
          <w14:textFill>
            <w14:solidFill>
              <w14:schemeClr w14:val="tx1"/>
            </w14:solidFill>
          </w14:textFill>
        </w:rPr>
        <w:t>做好</w:t>
      </w:r>
      <w:bookmarkEnd w:id="98"/>
      <w:r>
        <w:rPr>
          <w:rFonts w:hint="eastAsia" w:cs="宋体" w:asciiTheme="majorEastAsia" w:hAnsiTheme="majorEastAsia" w:eastAsiaTheme="majorEastAsia"/>
          <w:color w:val="000000" w:themeColor="text1"/>
          <w:sz w:val="24"/>
          <w:szCs w:val="24"/>
          <w14:textFill>
            <w14:solidFill>
              <w14:schemeClr w14:val="tx1"/>
            </w14:solidFill>
          </w14:textFill>
        </w:rPr>
        <w:t>迎接各类检查和突发性公共卫生事件等的应急工作；担负会议保障工作；</w:t>
      </w:r>
      <w:r>
        <w:rPr>
          <w:rFonts w:hint="eastAsia" w:cs="宋体" w:asciiTheme="majorEastAsia" w:hAnsiTheme="majorEastAsia" w:eastAsiaTheme="majorEastAsia"/>
          <w:color w:val="000000" w:themeColor="text1"/>
          <w:kern w:val="0"/>
          <w:sz w:val="24"/>
          <w:szCs w:val="24"/>
          <w14:textFill>
            <w14:solidFill>
              <w14:schemeClr w14:val="tx1"/>
            </w14:solidFill>
          </w14:textFill>
        </w:rPr>
        <w:t>服从院方的安排参加医院微型消防站、反恐、突发事件处置等演练。</w:t>
      </w:r>
    </w:p>
    <w:p w14:paraId="35C910DB">
      <w:pPr>
        <w:pStyle w:val="4"/>
        <w:ind w:firstLine="600" w:firstLineChars="25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9.</w:t>
      </w:r>
      <w:r>
        <w:rPr>
          <w:rFonts w:hint="eastAsia" w:cs="宋体" w:asciiTheme="majorEastAsia" w:hAnsiTheme="majorEastAsia" w:eastAsiaTheme="majorEastAsia"/>
          <w:color w:val="000000" w:themeColor="text1"/>
          <w:kern w:val="2"/>
          <w:sz w:val="24"/>
          <w:szCs w:val="24"/>
          <w14:textFill>
            <w14:solidFill>
              <w14:schemeClr w14:val="tx1"/>
            </w14:solidFill>
          </w14:textFill>
        </w:rPr>
        <w:t>服务期内无安全责任事故；</w:t>
      </w:r>
    </w:p>
    <w:p w14:paraId="79556FE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10.</w:t>
      </w:r>
      <w:r>
        <w:rPr>
          <w:rFonts w:hint="eastAsia" w:cs="宋体" w:asciiTheme="majorEastAsia" w:hAnsiTheme="majorEastAsia" w:eastAsiaTheme="majorEastAsia"/>
          <w:color w:val="000000" w:themeColor="text1"/>
          <w:kern w:val="2"/>
          <w:sz w:val="24"/>
          <w:szCs w:val="24"/>
          <w14:textFill>
            <w14:solidFill>
              <w14:schemeClr w14:val="tx1"/>
            </w14:solidFill>
          </w14:textFill>
        </w:rPr>
        <w:t>做好安保、消防的日常培训与管理工作</w:t>
      </w:r>
      <w:bookmarkStart w:id="99" w:name="_Hlk136512806"/>
      <w:r>
        <w:rPr>
          <w:rFonts w:hint="eastAsia" w:cs="宋体" w:asciiTheme="majorEastAsia" w:hAnsiTheme="majorEastAsia" w:eastAsiaTheme="majorEastAsia"/>
          <w:color w:val="000000" w:themeColor="text1"/>
          <w:kern w:val="2"/>
          <w:sz w:val="24"/>
          <w:szCs w:val="24"/>
          <w14:textFill>
            <w14:solidFill>
              <w14:schemeClr w14:val="tx1"/>
            </w14:solidFill>
          </w14:textFill>
        </w:rPr>
        <w:t>；</w:t>
      </w:r>
    </w:p>
    <w:p w14:paraId="0C91A4F8">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1.</w:t>
      </w:r>
      <w:r>
        <w:rPr>
          <w:rFonts w:hint="eastAsia" w:cs="宋体" w:asciiTheme="majorEastAsia" w:hAnsiTheme="majorEastAsia" w:eastAsiaTheme="majorEastAsia"/>
          <w:color w:val="000000" w:themeColor="text1"/>
          <w:kern w:val="2"/>
          <w:sz w:val="24"/>
          <w:szCs w:val="24"/>
          <w14:textFill>
            <w14:solidFill>
              <w14:schemeClr w14:val="tx1"/>
            </w14:solidFill>
          </w14:textFill>
        </w:rPr>
        <w:t>在处理特殊事件、紧急或突发事故时，医院对所辖区内的</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管理人员有直接指挥权。保安服务时出现任何意外事项，包括火灾、盗窃、灾害、任何人员伤亡、财产损失和安全隐患等，立即通知院方；</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每月以书面形式将保安服务情况报告院方；</w:t>
      </w:r>
    </w:p>
    <w:p w14:paraId="151A64CC">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2.</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对全员安保人员管理方案、组织架构、人员录用以及建立的各项规章制度，应符合法律、法规及医疗卫生系统的各项规章制度；</w:t>
      </w:r>
    </w:p>
    <w:p w14:paraId="7681D23A">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3.</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应配备与其工作内容相适应的技术人员。具备良好的处置及响应突发事件的能力，对疑难工程故障现象进行有效查询，以保障设备的安全、有效运行；</w:t>
      </w:r>
    </w:p>
    <w:p w14:paraId="789DCDF1">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所属的各类人员要按岗位要求统一着装，言行规范，要注意仪容仪表及公众形象；</w:t>
      </w:r>
    </w:p>
    <w:bookmarkEnd w:id="99"/>
    <w:p w14:paraId="44F7487C">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15.</w:t>
      </w:r>
      <w:r>
        <w:rPr>
          <w:rFonts w:hint="eastAsia" w:cs="宋体" w:asciiTheme="majorEastAsia" w:hAnsiTheme="majorEastAsia" w:eastAsiaTheme="majorEastAsia"/>
          <w:color w:val="000000" w:themeColor="text1"/>
          <w:kern w:val="2"/>
          <w:sz w:val="24"/>
          <w:szCs w:val="24"/>
          <w14:textFill>
            <w14:solidFill>
              <w14:schemeClr w14:val="tx1"/>
            </w14:solidFill>
          </w14:textFill>
        </w:rPr>
        <w:t>通过政府相关部门的有关考核；</w:t>
      </w:r>
    </w:p>
    <w:p w14:paraId="4F358484">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16.</w:t>
      </w:r>
      <w:r>
        <w:rPr>
          <w:rFonts w:hint="eastAsia" w:cs="宋体" w:asciiTheme="majorEastAsia" w:hAnsiTheme="majorEastAsia" w:eastAsiaTheme="majorEastAsia"/>
          <w:color w:val="000000" w:themeColor="text1"/>
          <w:kern w:val="2"/>
          <w:sz w:val="24"/>
          <w:szCs w:val="24"/>
          <w14:textFill>
            <w14:solidFill>
              <w14:schemeClr w14:val="tx1"/>
            </w14:solidFill>
          </w14:textFill>
        </w:rPr>
        <w:t>用户满意率、用户投诉率达到医院规定标准；</w:t>
      </w:r>
    </w:p>
    <w:p w14:paraId="4B7331C6">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17.</w:t>
      </w:r>
      <w:r>
        <w:rPr>
          <w:rFonts w:hint="eastAsia" w:cs="宋体" w:asciiTheme="majorEastAsia" w:hAnsiTheme="majorEastAsia" w:eastAsiaTheme="majorEastAsia"/>
          <w:color w:val="000000" w:themeColor="text1"/>
          <w:kern w:val="2"/>
          <w:sz w:val="24"/>
          <w:szCs w:val="24"/>
          <w14:textFill>
            <w14:solidFill>
              <w14:schemeClr w14:val="tx1"/>
            </w14:solidFill>
          </w14:textFill>
        </w:rPr>
        <w:t>服务质量目标达到二甲医院要求；</w:t>
      </w:r>
    </w:p>
    <w:p w14:paraId="3F870E65">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18.</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除完成自己的工作任务外，还有义务配合医院做好其它供方的工作衔接和服务；</w:t>
      </w:r>
    </w:p>
    <w:p w14:paraId="12763E8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19.</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在做好本职工作的同时，有责任向医院提供合理化建议，并配合医院制订相关管理制度并具体落实。针对服务对象的特殊性，</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可以提出其他特色服务的设想及建议；</w:t>
      </w:r>
    </w:p>
    <w:p w14:paraId="462ADDBC">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20</w:t>
      </w:r>
      <w:r>
        <w:rPr>
          <w:rFonts w:hint="eastAsia" w:cs="宋体" w:asciiTheme="majorEastAsia" w:hAnsiTheme="majorEastAsia" w:eastAsiaTheme="majorEastAsia"/>
          <w:color w:val="000000" w:themeColor="text1"/>
          <w:kern w:val="2"/>
          <w:sz w:val="24"/>
          <w:szCs w:val="24"/>
          <w14:textFill>
            <w14:solidFill>
              <w14:schemeClr w14:val="tx1"/>
            </w14:solidFill>
          </w14:textFill>
        </w:rPr>
        <w:t>.不得转包、分包、借用资质管理，一经发现立刻中止合同，</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须向采购人赔偿由此带来的一切损失。</w:t>
      </w:r>
    </w:p>
    <w:p w14:paraId="45AFD46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21</w:t>
      </w:r>
      <w:r>
        <w:rPr>
          <w:rFonts w:hint="eastAsia" w:cs="宋体" w:asciiTheme="majorEastAsia" w:hAnsiTheme="majorEastAsia" w:eastAsiaTheme="majorEastAsia"/>
          <w:color w:val="000000" w:themeColor="text1"/>
          <w:kern w:val="2"/>
          <w:sz w:val="24"/>
          <w:szCs w:val="24"/>
          <w14:textFill>
            <w14:solidFill>
              <w14:schemeClr w14:val="tx1"/>
            </w14:solidFill>
          </w14:textFill>
        </w:rPr>
        <w:t>.原则上定人定岗，进行属地化管理，岗位人员非必须不流动，如确需流动，岗位变动、人员变动须报送医院审批。</w:t>
      </w:r>
    </w:p>
    <w:p w14:paraId="1827789C">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22</w:t>
      </w:r>
      <w:r>
        <w:rPr>
          <w:rFonts w:hint="eastAsia" w:cs="宋体" w:asciiTheme="majorEastAsia" w:hAnsiTheme="majorEastAsia" w:eastAsiaTheme="majorEastAsia"/>
          <w:color w:val="000000" w:themeColor="text1"/>
          <w:kern w:val="2"/>
          <w:sz w:val="24"/>
          <w:szCs w:val="24"/>
          <w14:textFill>
            <w14:solidFill>
              <w14:schemeClr w14:val="tx1"/>
            </w14:solidFill>
          </w14:textFill>
        </w:rPr>
        <w:t>.安保公司每月对本公司在院员工的考勤进行统计上报医院总务科，如弄虚作假，一经查实，追究责任。对本公司派遣员工的岗位工作内容、安排班次、安排人数形成书面材料上报医院总务科。</w:t>
      </w:r>
    </w:p>
    <w:p w14:paraId="2FC8BBD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23</w:t>
      </w:r>
      <w:r>
        <w:rPr>
          <w:rFonts w:hint="eastAsia" w:cs="宋体" w:asciiTheme="majorEastAsia" w:hAnsiTheme="majorEastAsia" w:eastAsiaTheme="majorEastAsia"/>
          <w:color w:val="000000" w:themeColor="text1"/>
          <w:kern w:val="2"/>
          <w:sz w:val="24"/>
          <w:szCs w:val="24"/>
          <w14:textFill>
            <w14:solidFill>
              <w14:schemeClr w14:val="tx1"/>
            </w14:solidFill>
          </w14:textFill>
        </w:rPr>
        <w:t>.对多次检查或督查不符合医院行为规范的员工，并经培训或教育后仍不合格的人员，医院将要求进行人员调换。新替换人员经入职培训合格后才能上岗。</w:t>
      </w:r>
    </w:p>
    <w:p w14:paraId="2F0BDE9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24</w:t>
      </w:r>
      <w:r>
        <w:rPr>
          <w:rFonts w:hint="eastAsia"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在合同期满移交时，应把设施设备的各种运行资料、日常工作记录等无条件留给医院。</w:t>
      </w:r>
    </w:p>
    <w:p w14:paraId="48CF9875">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25</w:t>
      </w:r>
      <w:r>
        <w:rPr>
          <w:rFonts w:hint="eastAsia"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须制定相应的交接过渡和接收方案，确保人员平稳过渡，确保物业工作顺利平稳进行。人员过渡产生的相关费用均由</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承担。</w:t>
      </w:r>
    </w:p>
    <w:p w14:paraId="0225B9C4">
      <w:pPr>
        <w:ind w:firstLine="600" w:firstLineChars="250"/>
        <w:jc w:val="left"/>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6.医院总务科等职能部门定期或不定期对</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进行监督管理和服务质量考核（包括满意度调查）。院方根据该考核结果纳入奖惩标准并进行处理。</w:t>
      </w:r>
    </w:p>
    <w:p w14:paraId="0CBEA705">
      <w:pPr>
        <w:ind w:firstLine="600" w:firstLineChars="25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27、保安服务中任何直接或间获得的患者信息，不得向第三方泄漏，包括有关指定地点、指定地点建筑的结构、安全措施和其它信息。 </w:t>
      </w:r>
    </w:p>
    <w:p w14:paraId="31ED26F9">
      <w:pPr>
        <w:ind w:firstLine="480" w:firstLineChars="20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28、</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负责为保安人员购买保险并解决与其保安人员的一切纠纷。 </w:t>
      </w:r>
    </w:p>
    <w:p w14:paraId="3CE5AD4D">
      <w:pPr>
        <w:pStyle w:val="4"/>
        <w:ind w:firstLine="241" w:firstLineChars="100"/>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（四）应急事件处理：</w:t>
      </w:r>
    </w:p>
    <w:p w14:paraId="5807E26C">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1</w:t>
      </w:r>
      <w:r>
        <w:rPr>
          <w:rFonts w:cs="宋体" w:asciiTheme="majorEastAsia" w:hAnsiTheme="majorEastAsia" w:eastAsiaTheme="majorEastAsia"/>
          <w:b/>
          <w:bCs/>
          <w:color w:val="000000" w:themeColor="text1"/>
          <w:kern w:val="2"/>
          <w:sz w:val="24"/>
          <w:szCs w:val="24"/>
          <w14:textFill>
            <w14:solidFill>
              <w14:schemeClr w14:val="tx1"/>
            </w14:solidFill>
          </w14:textFill>
        </w:rPr>
        <w:t>.</w:t>
      </w:r>
      <w:r>
        <w:rPr>
          <w:rFonts w:hint="eastAsia" w:cs="宋体" w:asciiTheme="majorEastAsia" w:hAnsiTheme="majorEastAsia" w:eastAsiaTheme="majorEastAsia"/>
          <w:b/>
          <w:bCs/>
          <w:color w:val="000000" w:themeColor="text1"/>
          <w:kern w:val="2"/>
          <w:sz w:val="24"/>
          <w:szCs w:val="24"/>
          <w14:textFill>
            <w14:solidFill>
              <w14:schemeClr w14:val="tx1"/>
            </w14:solidFill>
          </w14:textFill>
        </w:rPr>
        <w:t>火警：</w:t>
      </w:r>
    </w:p>
    <w:p w14:paraId="022E743B">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.1</w:t>
      </w:r>
      <w:r>
        <w:rPr>
          <w:rFonts w:hint="eastAsia" w:cs="宋体" w:asciiTheme="majorEastAsia" w:hAnsiTheme="majorEastAsia" w:eastAsiaTheme="majorEastAsia"/>
          <w:color w:val="000000" w:themeColor="text1"/>
          <w:kern w:val="2"/>
          <w:sz w:val="24"/>
          <w:szCs w:val="24"/>
          <w14:textFill>
            <w14:solidFill>
              <w14:schemeClr w14:val="tx1"/>
            </w14:solidFill>
          </w14:textFill>
        </w:rPr>
        <w:t>对初期火灾进行扑救，尽可能将火势控制在初期阶段，消防巡查人员应在三分钟内赶到现场确认，及时进行灭火扑救行动；如果火势无法控制时，应及时拨打火警电话“119”向消防队报警，请求支援。</w:t>
      </w:r>
    </w:p>
    <w:p w14:paraId="5AE5EA5C">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.2</w:t>
      </w:r>
      <w:r>
        <w:rPr>
          <w:rFonts w:hint="eastAsia" w:cs="宋体" w:asciiTheme="majorEastAsia" w:hAnsiTheme="majorEastAsia" w:eastAsiaTheme="majorEastAsia"/>
          <w:color w:val="000000" w:themeColor="text1"/>
          <w:kern w:val="2"/>
          <w:sz w:val="24"/>
          <w:szCs w:val="24"/>
          <w14:textFill>
            <w14:solidFill>
              <w14:schemeClr w14:val="tx1"/>
            </w14:solidFill>
          </w14:textFill>
        </w:rPr>
        <w:t>协助医院组织员工进行应急安全疏散行动，在疏散过程中要注意对员工的指挥疏导。</w:t>
      </w:r>
    </w:p>
    <w:p w14:paraId="529854D3">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.3</w:t>
      </w:r>
      <w:r>
        <w:rPr>
          <w:rFonts w:hint="eastAsia" w:cs="宋体" w:asciiTheme="majorEastAsia" w:hAnsiTheme="majorEastAsia" w:eastAsiaTheme="majorEastAsia"/>
          <w:color w:val="000000" w:themeColor="text1"/>
          <w:kern w:val="2"/>
          <w:sz w:val="24"/>
          <w:szCs w:val="24"/>
          <w14:textFill>
            <w14:solidFill>
              <w14:schemeClr w14:val="tx1"/>
            </w14:solidFill>
          </w14:textFill>
        </w:rPr>
        <w:t>应根据火势发展状况，对遇到险情的人员进行救助行动。</w:t>
      </w:r>
    </w:p>
    <w:p w14:paraId="3AE9437A">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.4</w:t>
      </w:r>
      <w:r>
        <w:rPr>
          <w:rFonts w:hint="eastAsia" w:cs="宋体" w:asciiTheme="majorEastAsia" w:hAnsiTheme="majorEastAsia" w:eastAsiaTheme="majorEastAsia"/>
          <w:color w:val="000000" w:themeColor="text1"/>
          <w:kern w:val="2"/>
          <w:sz w:val="24"/>
          <w:szCs w:val="24"/>
          <w14:textFill>
            <w14:solidFill>
              <w14:schemeClr w14:val="tx1"/>
            </w14:solidFill>
          </w14:textFill>
        </w:rPr>
        <w:t>看护办公室出入口及转移出来的公财产或贵重物品,控制人员的随意进入。</w:t>
      </w:r>
    </w:p>
    <w:p w14:paraId="57E5DB00">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2</w:t>
      </w:r>
      <w:r>
        <w:rPr>
          <w:rFonts w:cs="宋体" w:asciiTheme="majorEastAsia" w:hAnsiTheme="majorEastAsia" w:eastAsiaTheme="majorEastAsia"/>
          <w:b/>
          <w:bCs/>
          <w:color w:val="000000" w:themeColor="text1"/>
          <w:kern w:val="2"/>
          <w:sz w:val="24"/>
          <w:szCs w:val="24"/>
          <w14:textFill>
            <w14:solidFill>
              <w14:schemeClr w14:val="tx1"/>
            </w14:solidFill>
          </w14:textFill>
        </w:rPr>
        <w:t>.</w:t>
      </w:r>
      <w:r>
        <w:rPr>
          <w:rFonts w:hint="eastAsia" w:cs="宋体" w:asciiTheme="majorEastAsia" w:hAnsiTheme="majorEastAsia" w:eastAsiaTheme="majorEastAsia"/>
          <w:b/>
          <w:bCs/>
          <w:color w:val="000000" w:themeColor="text1"/>
          <w:kern w:val="2"/>
          <w:sz w:val="24"/>
          <w:szCs w:val="24"/>
          <w14:textFill>
            <w14:solidFill>
              <w14:schemeClr w14:val="tx1"/>
            </w14:solidFill>
          </w14:textFill>
        </w:rPr>
        <w:t>治安事件：</w:t>
      </w:r>
    </w:p>
    <w:p w14:paraId="6DC70235">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w:t>
      </w:r>
      <w:r>
        <w:rPr>
          <w:rFonts w:cs="宋体" w:asciiTheme="majorEastAsia" w:hAnsiTheme="majorEastAsia" w:eastAsiaTheme="majorEastAsia"/>
          <w:color w:val="000000" w:themeColor="text1"/>
          <w:kern w:val="2"/>
          <w:sz w:val="24"/>
          <w:szCs w:val="24"/>
          <w14:textFill>
            <w14:solidFill>
              <w14:schemeClr w14:val="tx1"/>
            </w14:solidFill>
          </w14:textFill>
        </w:rPr>
        <w:t>.1</w:t>
      </w:r>
      <w:r>
        <w:rPr>
          <w:rFonts w:hint="eastAsia" w:cs="宋体" w:asciiTheme="majorEastAsia" w:hAnsiTheme="majorEastAsia" w:eastAsiaTheme="majorEastAsia"/>
          <w:color w:val="000000" w:themeColor="text1"/>
          <w:kern w:val="2"/>
          <w:sz w:val="24"/>
          <w:szCs w:val="24"/>
          <w14:textFill>
            <w14:solidFill>
              <w14:schemeClr w14:val="tx1"/>
            </w14:solidFill>
          </w14:textFill>
        </w:rPr>
        <w:t>值班保安人员如当场发现不法分子进行盗窃活动时，应尽可能将不法分子予以控制，及时拨打报警电话“110”向公安机关报案；同时向医院当日总值班人员报告情况。</w:t>
      </w:r>
    </w:p>
    <w:p w14:paraId="779BA76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w:t>
      </w:r>
      <w:r>
        <w:rPr>
          <w:rFonts w:cs="宋体" w:asciiTheme="majorEastAsia" w:hAnsiTheme="majorEastAsia" w:eastAsiaTheme="majorEastAsia"/>
          <w:color w:val="000000" w:themeColor="text1"/>
          <w:kern w:val="2"/>
          <w:sz w:val="24"/>
          <w:szCs w:val="24"/>
          <w14:textFill>
            <w14:solidFill>
              <w14:schemeClr w14:val="tx1"/>
            </w14:solidFill>
          </w14:textFill>
        </w:rPr>
        <w:t>.2</w:t>
      </w:r>
      <w:r>
        <w:rPr>
          <w:rFonts w:hint="eastAsia" w:cs="宋体" w:asciiTheme="majorEastAsia" w:hAnsiTheme="majorEastAsia" w:eastAsiaTheme="majorEastAsia"/>
          <w:color w:val="000000" w:themeColor="text1"/>
          <w:kern w:val="2"/>
          <w:sz w:val="24"/>
          <w:szCs w:val="24"/>
          <w14:textFill>
            <w14:solidFill>
              <w14:schemeClr w14:val="tx1"/>
            </w14:solidFill>
          </w14:textFill>
        </w:rPr>
        <w:t>值班保安人员如接到员工物品被盗报案时，值班保安人员应尽快到达案发现场，对现场进行核实，注意做好现场的保护工作，不得破坏现场，同时，尽快将情况上报医院当日总值班人员。</w:t>
      </w:r>
    </w:p>
    <w:p w14:paraId="3D902DA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w:t>
      </w:r>
      <w:r>
        <w:rPr>
          <w:rFonts w:cs="宋体" w:asciiTheme="majorEastAsia" w:hAnsiTheme="majorEastAsia" w:eastAsiaTheme="majorEastAsia"/>
          <w:color w:val="000000" w:themeColor="text1"/>
          <w:kern w:val="2"/>
          <w:sz w:val="24"/>
          <w:szCs w:val="24"/>
          <w14:textFill>
            <w14:solidFill>
              <w14:schemeClr w14:val="tx1"/>
            </w14:solidFill>
          </w14:textFill>
        </w:rPr>
        <w:t>.3</w:t>
      </w:r>
      <w:r>
        <w:rPr>
          <w:rFonts w:hint="eastAsia" w:cs="宋体" w:asciiTheme="majorEastAsia" w:hAnsiTheme="majorEastAsia" w:eastAsiaTheme="majorEastAsia"/>
          <w:color w:val="000000" w:themeColor="text1"/>
          <w:kern w:val="2"/>
          <w:sz w:val="24"/>
          <w:szCs w:val="24"/>
          <w14:textFill>
            <w14:solidFill>
              <w14:schemeClr w14:val="tx1"/>
            </w14:solidFill>
          </w14:textFill>
        </w:rPr>
        <w:t>值班保安人员如检查发现有被盗窃痕迹时，应对现场进行保护，同时联系医院当日总值班人员报告意外安全事件。</w:t>
      </w:r>
    </w:p>
    <w:p w14:paraId="08A4421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2.4</w:t>
      </w:r>
      <w:r>
        <w:rPr>
          <w:rFonts w:hint="eastAsia" w:cs="宋体" w:asciiTheme="majorEastAsia" w:hAnsiTheme="majorEastAsia" w:eastAsiaTheme="majorEastAsia"/>
          <w:color w:val="000000" w:themeColor="text1"/>
          <w:kern w:val="2"/>
          <w:sz w:val="24"/>
          <w:szCs w:val="24"/>
          <w14:textFill>
            <w14:solidFill>
              <w14:schemeClr w14:val="tx1"/>
            </w14:solidFill>
          </w14:textFill>
        </w:rPr>
        <w:t>值班保安人员对事件进行应急处置后，需立即向院方主管部门书面汇报。</w:t>
      </w:r>
    </w:p>
    <w:p w14:paraId="2F6A84B1">
      <w:pPr>
        <w:pStyle w:val="4"/>
        <w:ind w:firstLine="240" w:firstLineChars="100"/>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b/>
          <w:color w:val="000000" w:themeColor="text1"/>
          <w:kern w:val="2"/>
          <w:sz w:val="24"/>
          <w:szCs w:val="24"/>
          <w14:textFill>
            <w14:solidFill>
              <w14:schemeClr w14:val="tx1"/>
            </w14:solidFill>
          </w14:textFill>
        </w:rPr>
        <w:t>五</w:t>
      </w:r>
      <w:r>
        <w:rPr>
          <w:rFonts w:hint="eastAsia"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b/>
          <w:bCs/>
          <w:color w:val="000000" w:themeColor="text1"/>
          <w:kern w:val="2"/>
          <w:sz w:val="24"/>
          <w:szCs w:val="24"/>
          <w14:textFill>
            <w14:solidFill>
              <w14:schemeClr w14:val="tx1"/>
            </w14:solidFill>
          </w14:textFill>
        </w:rPr>
        <w:t>安保人员岗位职责：</w:t>
      </w:r>
    </w:p>
    <w:p w14:paraId="74FC5C9B">
      <w:pPr>
        <w:ind w:firstLine="590" w:firstLineChars="245"/>
        <w:jc w:val="left"/>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1.驻场负责人</w:t>
      </w:r>
      <w:r>
        <w:rPr>
          <w:rFonts w:hint="eastAsia" w:cs="宋体" w:asciiTheme="majorEastAsia" w:hAnsiTheme="majorEastAsia" w:eastAsiaTheme="majorEastAsia"/>
          <w:b/>
          <w:bCs/>
          <w:color w:val="000000" w:themeColor="text1"/>
          <w:sz w:val="24"/>
          <w:szCs w:val="24"/>
          <w14:textFill>
            <w14:solidFill>
              <w14:schemeClr w14:val="tx1"/>
            </w14:solidFill>
          </w14:textFill>
        </w:rPr>
        <w:t>职责</w:t>
      </w:r>
      <w:r>
        <w:rPr>
          <w:rFonts w:hint="eastAsia" w:cs="宋体" w:asciiTheme="majorEastAsia" w:hAnsiTheme="majorEastAsia" w:eastAsiaTheme="majorEastAsia"/>
          <w:b/>
          <w:color w:val="000000" w:themeColor="text1"/>
          <w:kern w:val="0"/>
          <w:sz w:val="24"/>
          <w:szCs w:val="24"/>
          <w14:textFill>
            <w14:solidFill>
              <w14:schemeClr w14:val="tx1"/>
            </w14:solidFill>
          </w14:textFill>
        </w:rPr>
        <w:t>：</w:t>
      </w:r>
    </w:p>
    <w:p w14:paraId="65972994">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1．1负责管理保安员工的具体工作，落实岗位各班的当值，监督员工做好日常工作的记录； </w:t>
      </w:r>
    </w:p>
    <w:p w14:paraId="1FC2A7B0">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1.2负责监督保安员工的交接班工作，检查各员工的仪容仪表是否符合标准； </w:t>
      </w:r>
    </w:p>
    <w:p w14:paraId="2BFA80E6">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1.3巡视检查各岗位，处理执勤时产生的问题，若难以处理的问题需及时向上级汇报请示； </w:t>
      </w:r>
    </w:p>
    <w:p w14:paraId="4E01E416">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1.4做好上岗培训，发现问题及时纠正，检查员工的配备是否完好； </w:t>
      </w:r>
    </w:p>
    <w:p w14:paraId="2BF8F9F6">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1.5负责车场的日常管理，根据车辆情况和特点妥善修订车场工作，确保车道安全与畅通；  </w:t>
      </w:r>
    </w:p>
    <w:p w14:paraId="5141E8CC">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1.6每天经常检查岗位，安排员工就餐时间，了解员工问题并及时解决；</w:t>
      </w:r>
    </w:p>
    <w:p w14:paraId="766F440F">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1.7做好上级的指令工作，编制每日员工岗位表，让各员工清楚自己的岗位； </w:t>
      </w:r>
    </w:p>
    <w:p w14:paraId="0DBA3C88">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1.8每天最少巡视院区内所有安保场所三次，特殊区域特别安排，做好巡视记录； </w:t>
      </w:r>
    </w:p>
    <w:p w14:paraId="7A55CDE2">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1.9其他因业务开展需要的服务；</w:t>
      </w:r>
    </w:p>
    <w:p w14:paraId="07F50B9F">
      <w:pPr>
        <w:ind w:firstLine="590" w:firstLineChars="245"/>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2.消防、安全生产巡查安保岗位</w:t>
      </w:r>
      <w:r>
        <w:rPr>
          <w:rFonts w:hint="eastAsia" w:cs="宋体" w:asciiTheme="majorEastAsia" w:hAnsiTheme="majorEastAsia" w:eastAsiaTheme="majorEastAsia"/>
          <w:b/>
          <w:bCs/>
          <w:color w:val="000000" w:themeColor="text1"/>
          <w:sz w:val="24"/>
          <w:szCs w:val="24"/>
          <w14:textFill>
            <w14:solidFill>
              <w14:schemeClr w14:val="tx1"/>
            </w14:solidFill>
          </w14:textFill>
        </w:rPr>
        <w:t>职责</w:t>
      </w:r>
      <w:r>
        <w:rPr>
          <w:rFonts w:hint="eastAsia" w:cs="宋体" w:asciiTheme="majorEastAsia" w:hAnsiTheme="majorEastAsia" w:eastAsiaTheme="majorEastAsia"/>
          <w:b/>
          <w:color w:val="000000" w:themeColor="text1"/>
          <w:sz w:val="24"/>
          <w:szCs w:val="24"/>
          <w14:textFill>
            <w14:solidFill>
              <w14:schemeClr w14:val="tx1"/>
            </w14:solidFill>
          </w14:textFill>
        </w:rPr>
        <w:t>：</w:t>
      </w:r>
    </w:p>
    <w:p w14:paraId="4ABA969D">
      <w:pPr>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2.1遵守消防安全制度、消防安全操作规程、实行消防安全责任制 。配合消防检查，及时消除消防隐患。进行消防巡查，确定巡查的人员、内容、部位和频次，并按照医院消防安全管理手册具体内容要求进行如实记录。</w:t>
      </w:r>
    </w:p>
    <w:p w14:paraId="0A5B3341">
      <w:pPr>
        <w:spacing w:line="500" w:lineRule="exact"/>
        <w:ind w:firstLine="600" w:firstLineChars="25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2.2进行施工过程中的消防安全管理工作。应当对动用明火实行严格的消防安全管理。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w:t>
      </w:r>
    </w:p>
    <w:p w14:paraId="29C9F6D6">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2.3设专人24小时值勤。按照规定线路和时间进行巡逻，对服务区域内重点部位（配电房、液氧站、污水处理等）每2小时巡查一次 ，并在消防安全管理手册上做好巡查记录。巡查过程中对可疑人员进行询问，发现火警或治安隐患、事故迅速妥善处理并报告有关部门。</w:t>
      </w:r>
    </w:p>
    <w:p w14:paraId="76D02A20">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2.4对消控室通知的每一次报警事项或怀疑之情况，必须每一次都做好记录，细心检查，尽快汇报；</w:t>
      </w:r>
    </w:p>
    <w:p w14:paraId="1208138A">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2.5密切关注医院周边的情况，对非法聚集与拉横幅、贴标语行为要文明阻止并报保卫科负责人。</w:t>
      </w:r>
    </w:p>
    <w:p w14:paraId="04457754">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2.6加强对应急预案的演练，保证突发事件在萌芽状态得到控制，协助110做好医闹及不法分子的控制，确保医护人员的安全。</w:t>
      </w:r>
    </w:p>
    <w:p w14:paraId="00E58272">
      <w:pPr>
        <w:pStyle w:val="4"/>
        <w:ind w:firstLine="590" w:firstLineChars="245"/>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3、门急诊、停车场安保岗位职责：</w:t>
      </w:r>
    </w:p>
    <w:p w14:paraId="22C75FC8">
      <w:pPr>
        <w:pStyle w:val="4"/>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3.1按规定着装，执勤时精神饱满，认真负责，文明执勤，礼貌待人。当值期间不得有任何特殊理由，不得擅自离岗。时刻保持高度警惕，敢于挺身而出制止犯罪活动及违法行为；</w:t>
      </w:r>
    </w:p>
    <w:p w14:paraId="5CD0BF6B">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3.2严格管理好入院车辆的停放，尽量避免与司机发生争执。根据院内停车位的运行情况，有序组织车辆的进出，保持院内绿色通道、消防通道畅通；</w:t>
      </w:r>
    </w:p>
    <w:p w14:paraId="12702AF9">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xml:space="preserve">3.4巡查岗位四周设施，若发现设施有损坏，应立即通知上级。在岗期间应不停地走动巡检，杜绝任何货物堆放至楼宇四周，杜绝电动自行车（包括电动残疾车）进入楼宇。  </w:t>
      </w:r>
    </w:p>
    <w:p w14:paraId="2F080B2A">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3.5认真负责，秉公办事不徇私情。院内物资出入要严格把关，发现可疑车辆应重点检查。</w:t>
      </w:r>
    </w:p>
    <w:p w14:paraId="2D854B6C">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3.6加强岗位区域内的巡视，维护好收费、药房窗口的秩序，严防小偷，要确保门急诊大厅门口的畅通。</w:t>
      </w:r>
    </w:p>
    <w:p w14:paraId="773B2398">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3.7协助服务台做好人群的疏导工作，做好高峰期候诊人员的管理，确保候诊人员的人身安全。</w:t>
      </w:r>
    </w:p>
    <w:p w14:paraId="3A0F6E74">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3.8服从总务科管理人员的调遣，突发应急事件时，在接到通知后5分钟内一定要到位；</w:t>
      </w:r>
    </w:p>
    <w:p w14:paraId="4411C9A1">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3.9加强对应急预案的演练，保证突发事件在萌芽状态得到控制，协助110做好医闹及不法分子的控制，确保医护人员的安全。</w:t>
      </w:r>
    </w:p>
    <w:p w14:paraId="57177954">
      <w:pPr>
        <w:spacing w:line="50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3.10完成医院要求的其他安全保卫任务。</w:t>
      </w:r>
    </w:p>
    <w:p w14:paraId="763B605F">
      <w:pPr>
        <w:pStyle w:val="4"/>
        <w:ind w:firstLine="0" w:firstLineChars="0"/>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四、对供应商的其他要求：</w:t>
      </w:r>
    </w:p>
    <w:p w14:paraId="03DF4D77">
      <w:pPr>
        <w:pStyle w:val="4"/>
        <w:ind w:firstLine="482"/>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1、项目实施要求</w:t>
      </w:r>
      <w:r>
        <w:rPr>
          <w:rFonts w:hint="eastAsia" w:cs="宋体" w:asciiTheme="majorEastAsia" w:hAnsiTheme="majorEastAsia" w:eastAsiaTheme="majorEastAsia"/>
          <w:color w:val="000000" w:themeColor="text1"/>
          <w:kern w:val="2"/>
          <w:sz w:val="24"/>
          <w:szCs w:val="24"/>
          <w14:textFill>
            <w14:solidFill>
              <w14:schemeClr w14:val="tx1"/>
            </w14:solidFill>
          </w14:textFill>
        </w:rPr>
        <w:t>（要求针对本项目提供实施方案）（包含但不仅限于此）</w:t>
      </w:r>
    </w:p>
    <w:p w14:paraId="50B8BFC5">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 供应商应仔细研读磋商文件，根据项目内容及理解，提供项目详尽的实施方案和进度表。实施方案包括但不限于以下内容：</w:t>
      </w:r>
    </w:p>
    <w:p w14:paraId="245CFF77">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1.1.1 提供保安服务的总体服务设想、服务于本项目的重点、难点、思路等。</w:t>
      </w:r>
    </w:p>
    <w:p w14:paraId="5D9E7902">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1.1.2 组织保障安排：保安服务的岗位设置、部门职责、工作流程、各类规章制度及针对保安所做的规划等。</w:t>
      </w:r>
    </w:p>
    <w:p w14:paraId="17E91B30">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1.1.3 制定具体的实施流程、实施方案及质量标准等内容。</w:t>
      </w:r>
    </w:p>
    <w:p w14:paraId="6849C3C1">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1.1.4 供应商应在系统实施方案中描述具体的实施团队的组成、工作内容、投入人员（人员架构）、项目进程表及与采购人的配合等内容。实施期间，供应商应按招标文件要求派遣项目主管进行项目的实施工作。</w:t>
      </w:r>
    </w:p>
    <w:p w14:paraId="40F204C0">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1.1.5 保安办公、员工服装、易耗品等设备、用具名称。</w:t>
      </w:r>
    </w:p>
    <w:p w14:paraId="71B7FA0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1.1.6 保安服务运行成本和费用测算、服务成本、价格说明。</w:t>
      </w:r>
    </w:p>
    <w:p w14:paraId="32FC1BD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1.1.7 突发事件应急处理预案。</w:t>
      </w:r>
    </w:p>
    <w:p w14:paraId="434528F9">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1.1.8 保安档案资料管理制度等。</w:t>
      </w:r>
    </w:p>
    <w:p w14:paraId="73BE5EE3">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1.2 供应商应在保安服务项目正式实施前，提供本项目保安服务的交接及实施方案，方案在取得采购人的认可后方可进行具体的实施工作。任何由于供应商的原因，造成本项目进度滞后从而给采购人带来影响并造成损失的，由供应商承担相应的责任。</w:t>
      </w:r>
    </w:p>
    <w:p w14:paraId="630E0E5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1.3 本磋商文件的磋商要求、供应商的磋商文件将作为本项目合同不可分割的一个部分。</w:t>
      </w:r>
    </w:p>
    <w:p w14:paraId="6597A5C1">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1.4 所有用工人员上岗前必须与供应商签订劳务合同/劳动合同。</w:t>
      </w:r>
    </w:p>
    <w:p w14:paraId="0F5AAC4E">
      <w:pPr>
        <w:pStyle w:val="4"/>
        <w:ind w:firstLine="482"/>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2、项目培训要求（</w:t>
      </w:r>
      <w:r>
        <w:rPr>
          <w:rFonts w:hint="eastAsia" w:cs="宋体" w:asciiTheme="majorEastAsia" w:hAnsiTheme="majorEastAsia" w:eastAsiaTheme="majorEastAsia"/>
          <w:color w:val="000000" w:themeColor="text1"/>
          <w:kern w:val="2"/>
          <w:sz w:val="24"/>
          <w:szCs w:val="24"/>
          <w14:textFill>
            <w14:solidFill>
              <w14:schemeClr w14:val="tx1"/>
            </w14:solidFill>
          </w14:textFill>
        </w:rPr>
        <w:t>包含但不仅限于此）</w:t>
      </w:r>
    </w:p>
    <w:p w14:paraId="11D7F86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供应商须提出详细的项目培训计划，具体如下：</w:t>
      </w:r>
    </w:p>
    <w:p w14:paraId="668D0051">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2.1 上岗前培训，上岗前各岗位进行专业培训，应针对不同岗位和人员制定有针对性的培训计划，如： 熟悉消防设施、监控设备、疫情防控、体能队列、防暴反恐、应急救援等。</w:t>
      </w:r>
    </w:p>
    <w:p w14:paraId="30036760">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2.2 日常培训，应针对不同岗位和人员制定有针对性的培训计划，如：提供主要面向管理人员的业务管理培训计划；提供主要面向基层服务人员的日常工作培训计划，使其具备独立进行日常业务服务与问题处理等方面的能力，突发事件的应急处置等培训。培训地点场所由采购人提供。</w:t>
      </w:r>
    </w:p>
    <w:p w14:paraId="06950553">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2.3 供应商应根据本次项目的实施内容，详细制定各岗位的培训课程，内容包括但不限于培训内容、培训方式、讲师资质、培训教材、培训时间。</w:t>
      </w:r>
    </w:p>
    <w:p w14:paraId="0D5C01A9">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2.4 所有培训涉及的教材、记录等需留采购人备案。</w:t>
      </w:r>
    </w:p>
    <w:p w14:paraId="0C49E0AC">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2.5 培训与改进工作循环进行。</w:t>
      </w:r>
    </w:p>
    <w:p w14:paraId="7A3C6006">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3、供应商提供的设备、工具及物资要求</w:t>
      </w:r>
    </w:p>
    <w:p w14:paraId="01D6AA9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承诺在本项目提供的器械、装备，均须提供详细的配置清单，清单内容包括但不限于器械、装备的名称、规格、品牌、单位及数量。供应商在合同签订后一个月内必须配备并到场相应的器械、装备。如供应商无法履行承诺且无法获得采购人同意的，采购人有权扣除供应商履约保证金并有权单方解除合同。</w:t>
      </w:r>
    </w:p>
    <w:p w14:paraId="5200B58F">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4、供应商对采购人物资的保管使用要求</w:t>
      </w:r>
    </w:p>
    <w:p w14:paraId="1A4C8C6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须妥善使用采购人提供的用房、档案资料和采购人所属的其他资产，如发生毁损、灭失等情况，供应商应按采购人该毁损物资账面价值向采购人进行赔偿。供应商进场后应该和采购人共同确认采购人提供设备物资清单，作为签订合同的附件。合同终止后15日内，供应商应向采购人移交全部管理用房、档案资料和归属采购人的所有资产，并办理交接手续。如供应商延迟移交采购人财产物资的，每延迟1天，计收200元/天的滞纳金。</w:t>
      </w:r>
    </w:p>
    <w:p w14:paraId="0A29C654">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5、安全责任要求</w:t>
      </w:r>
    </w:p>
    <w:p w14:paraId="4AB237C7">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须履行安全培训和教育的责任及义务，服务期内确保不发生安全责任事故。供应商及所有员工必须履行安全责任义务，按规范流程提供服务。如因供应商及其员工安全责任或义务履行不到位，引起采购人及第三方人身伤害、机器损毁或财产损失等，由供应商承担一切后果及责任包括但不限于赔偿责任及由此对采购人、第三方造成的影响等。</w:t>
      </w:r>
    </w:p>
    <w:p w14:paraId="34CC86D3">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6、信息保密要求</w:t>
      </w:r>
    </w:p>
    <w:p w14:paraId="2024743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应对提供保安服务过程中获取的采购人商务、财务、技术、产品的信息、有关指定地点、指定地点建筑的结构、病患资料或其他标明保密的文件或信息的内容（简称“保密资料”）保守秘密，未经采购人书面事先同意，不得向任何其他方披露。供应商可仅为提供保安服务目的向其确有知悉必要的雇员披露采购人提供的保密资料，但同时须指示其雇员遵守本款规定的保密及不披露义务。供应商应仅为提供保安服务目的而复制和使用保密资料。供应商若有违反上述保密规定的，应承担相应法律责任。供应商保密义务应在合同期满、解除或终止后仍然有效。</w:t>
      </w:r>
    </w:p>
    <w:p w14:paraId="2A874C06">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7、违约责任及其他</w:t>
      </w:r>
    </w:p>
    <w:p w14:paraId="5983616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7.1 违约行为。供应商发生以下行为构成对本项目的违反（“违约”）：</w:t>
      </w:r>
    </w:p>
    <w:p w14:paraId="15E7D7F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7.1.1 没有履行其在本磋商文件（或签订协议）项下的任何一项实质性义务；</w:t>
      </w:r>
    </w:p>
    <w:p w14:paraId="3FFC3EFA">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7.1.2 无故终止协议履行。</w:t>
      </w:r>
    </w:p>
    <w:p w14:paraId="39C7ACB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7.2 除磋商文件另有约定外，如果供应商违约，供应商应在采购人发出表明违约的书面通知后叁拾(30)日之内补救该违约行为(简称“违约宽限期”)。</w:t>
      </w:r>
    </w:p>
    <w:p w14:paraId="788C0694">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7.3 如果供应商的补救行为未能在上述违约宽限期实现，则自采购人发出表明违约的书面通知之日起第叁拾壹（31）日，供应商除了纠正其违约行为外，采购人有权要求供应商按照违约当期（即自违约书面通知发出之日起）采购人应支付给供应商服务费用 5%计算的违约金；如果违约宽限期后壹拾（10）日，供应商仍不就违约行为采取补救措施，致使违约行为持续，并对采购人造成损失，则采购人没收供应商全部履约保证金并解除合同关系。</w:t>
      </w:r>
    </w:p>
    <w:p w14:paraId="5EAE9DD8">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7.4 除磋商文件另有约定之外，供应商应当完全赔偿采购人因违约所遭受的所有实际的直接和间接损失(包括但不限于因违约而支付或损失的利息以及律师费)。如违约金不足以支付采购人的全部损失，采购人有权要求供应商继续赔偿相应的损失，同时有权继续追究供应商相应的法律责任。供应商支付违约金、赔偿金并不影响采购人要求供应商继续履行本磋商文件要求、解除签订协议的权利。</w:t>
      </w:r>
    </w:p>
    <w:p w14:paraId="7D3F27E5">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7.5 供应商与任何个人和单位发生的争议或卷入的诉讼与采购人无关，由供应商负责解决，不得影响采购人正常工作的开展，否则供应商将赔偿采购人由此所受到的一切损失（采购人对该争议或诉讼的发生负有责任除外）。</w:t>
      </w:r>
    </w:p>
    <w:p w14:paraId="10D7463C">
      <w:pPr>
        <w:pStyle w:val="4"/>
        <w:ind w:firstLine="0" w:firstLineChars="0"/>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★五、磋商报价：</w:t>
      </w:r>
    </w:p>
    <w:p w14:paraId="49DF973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1</w:t>
      </w:r>
      <w:r>
        <w:rPr>
          <w:rFonts w:cs="宋体" w:asciiTheme="majorEastAsia" w:hAnsiTheme="majorEastAsia" w:eastAsiaTheme="majorEastAsia"/>
          <w:color w:val="000000" w:themeColor="text1"/>
          <w:kern w:val="2"/>
          <w:sz w:val="24"/>
          <w:szCs w:val="24"/>
          <w14:textFill>
            <w14:solidFill>
              <w14:schemeClr w14:val="tx1"/>
            </w14:solidFill>
          </w14:textFill>
        </w:rPr>
        <w:t>.</w:t>
      </w:r>
      <w:r>
        <w:rPr>
          <w:rFonts w:hint="eastAsia" w:cs="宋体" w:asciiTheme="majorEastAsia" w:hAnsiTheme="majorEastAsia" w:eastAsiaTheme="majorEastAsia"/>
          <w:color w:val="000000" w:themeColor="text1"/>
          <w:kern w:val="2"/>
          <w:sz w:val="24"/>
          <w:szCs w:val="24"/>
          <w14:textFill>
            <w14:solidFill>
              <w14:schemeClr w14:val="tx1"/>
            </w14:solidFill>
          </w14:textFill>
        </w:rPr>
        <w:t>本项目保安总人数： 6人，一年安保服务费金额：人民币</w:t>
      </w:r>
      <w:r>
        <w:rPr>
          <w:rFonts w:hint="eastAsia" w:cs="宋体" w:asciiTheme="majorEastAsia" w:hAnsiTheme="majorEastAsia" w:eastAsiaTheme="majorEastAsia"/>
          <w:color w:val="000000" w:themeColor="text1"/>
          <w:sz w:val="24"/>
          <w:szCs w:val="24"/>
          <w:u w:val="single"/>
          <w14:textFill>
            <w14:solidFill>
              <w14:schemeClr w14:val="tx1"/>
            </w14:solidFill>
          </w14:textFill>
        </w:rPr>
        <w:t>309600</w:t>
      </w:r>
      <w:r>
        <w:rPr>
          <w:rFonts w:hint="eastAsia" w:cs="宋体" w:asciiTheme="majorEastAsia" w:hAnsiTheme="majorEastAsia" w:eastAsiaTheme="majorEastAsia"/>
          <w:color w:val="000000" w:themeColor="text1"/>
          <w:kern w:val="2"/>
          <w:sz w:val="24"/>
          <w:szCs w:val="24"/>
          <w14:textFill>
            <w14:solidFill>
              <w14:schemeClr w14:val="tx1"/>
            </w14:solidFill>
          </w14:textFill>
        </w:rPr>
        <w:t>元 。</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报价超过限价的为无效响应文件。</w:t>
      </w:r>
    </w:p>
    <w:p w14:paraId="6B74C6AB">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2.</w:t>
      </w:r>
      <w:r>
        <w:rPr>
          <w:rFonts w:hint="eastAsia" w:cs="宋体" w:asciiTheme="majorEastAsia" w:hAnsiTheme="majorEastAsia" w:eastAsiaTheme="majorEastAsia"/>
          <w:color w:val="000000" w:themeColor="text1"/>
          <w:kern w:val="2"/>
          <w:sz w:val="24"/>
          <w:szCs w:val="24"/>
          <w14:textFill>
            <w14:solidFill>
              <w14:schemeClr w14:val="tx1"/>
            </w14:solidFill>
          </w14:textFill>
        </w:rPr>
        <w:t>保安人员的综合月单价（含社保费）在本项目服务期内（包括续签）不再另作调整。合同期内均执行固定合同单价，不再因政策性文件最低工资标准的调增或其他市场因素的变化而作任何调整。因医院要求增减保安人员，增减的人员用工单价根据</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磋商文件的用工单价按实结算。请</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综合评估后报价。</w:t>
      </w:r>
    </w:p>
    <w:p w14:paraId="0C2194D6">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3.</w:t>
      </w: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参与本项目的磋商报价包括但不限于此：供应商为采购人提供服务的所有员工工资、员工缴纳的社会保险、津补贴、加班费（包括执行国家法规所有法定节假日的加班费）、防寒保暖费、防暑降温费、特殊人员体检费、服务所用材料消耗费用、培训费、工具、设备购置、折旧及维护费用、服装与装具费、离职补偿费、管理费、营业利润、应缴的税费、采购人各种会议服务费用、供应商所使用的信息系统、升级、维护和接入采购人信息系统的费用、其它相关费用等。供应商的员工工资、工作时间不得违反南通市对于最低工资标准、每月最高工作时间的相关规定，供应商员工必须按照《中华人民共和国劳动法》（以下简称《劳动法》）、《中华人民共和国民法典》等有关法律、法规交纳相应社会保险，合法用工。供应商劳资纠纷由供应商自行处理解决，并由其按《劳动法》相关规定给予劳动者补偿，该费用由供应商承担。</w:t>
      </w:r>
    </w:p>
    <w:p w14:paraId="1015D052">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4.</w:t>
      </w:r>
      <w:r>
        <w:rPr>
          <w:rFonts w:hint="eastAsia" w:cs="宋体" w:asciiTheme="majorEastAsia" w:hAnsiTheme="majorEastAsia" w:eastAsiaTheme="majorEastAsia"/>
          <w:color w:val="000000" w:themeColor="text1"/>
          <w:kern w:val="2"/>
          <w:sz w:val="24"/>
          <w:szCs w:val="24"/>
          <w14:textFill>
            <w14:solidFill>
              <w14:schemeClr w14:val="tx1"/>
            </w14:solidFill>
          </w14:textFill>
        </w:rPr>
        <w:t>社会保险（除必须的各种社保外，还应包括第三者责任保险或公众责任保险和员工足额人身意外保险或雇主责任保险），第三者责任保险或公众责任保险：</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应为本项目的工作人员及其他公众人员投保，以保证在承包期间人员和财产以外遭受损失时得到补偿。</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承担合同期间所属员工的一切安全责任。</w:t>
      </w:r>
    </w:p>
    <w:p w14:paraId="195E70BF">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5.</w:t>
      </w:r>
      <w:r>
        <w:rPr>
          <w:rFonts w:hint="eastAsia" w:cs="宋体" w:asciiTheme="majorEastAsia" w:hAnsiTheme="majorEastAsia" w:eastAsiaTheme="majorEastAsia"/>
          <w:color w:val="000000" w:themeColor="text1"/>
          <w:kern w:val="2"/>
          <w:sz w:val="24"/>
          <w:szCs w:val="24"/>
          <w14:textFill>
            <w14:solidFill>
              <w14:schemeClr w14:val="tx1"/>
            </w14:solidFill>
          </w14:textFill>
        </w:rPr>
        <w:t>供应商报价除包含采购文件中列明的项目外还应包括保障该保安服务正常运行应当具有的物资和服务。除本磋商文件规定的相关内容外，还包括参与采购人各项突发性活动费用，包含创文创卫、等级医院复审、参观来访、上级检查、门前三包、消防演练和救火救灾等。对保安服务正常运行应当具有的物资和服务理解不一致的以采购人理解为准。如发生漏、缺、少项，都将被认为是供应商的报价让利行为，损失自负。供应商的任何错漏、优惠、竞争性报价不得作为减轻责任、减少服务、增加收费、降低质量的理由。</w:t>
      </w:r>
    </w:p>
    <w:p w14:paraId="247E298B">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6.</w:t>
      </w:r>
      <w:r>
        <w:rPr>
          <w:rFonts w:hint="eastAsia" w:cs="宋体" w:asciiTheme="majorEastAsia" w:hAnsiTheme="majorEastAsia" w:eastAsiaTheme="majorEastAsia"/>
          <w:color w:val="000000" w:themeColor="text1"/>
          <w:kern w:val="2"/>
          <w:sz w:val="24"/>
          <w:szCs w:val="24"/>
          <w14:textFill>
            <w14:solidFill>
              <w14:schemeClr w14:val="tx1"/>
            </w14:solidFill>
          </w14:textFill>
        </w:rPr>
        <w:t>保安服务设备、工具及物资费用：</w:t>
      </w:r>
    </w:p>
    <w:p w14:paraId="68AD9077">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6</w:t>
      </w:r>
      <w:r>
        <w:rPr>
          <w:rFonts w:hint="eastAsia" w:cs="宋体" w:asciiTheme="majorEastAsia" w:hAnsiTheme="majorEastAsia" w:eastAsiaTheme="majorEastAsia"/>
          <w:color w:val="000000" w:themeColor="text1"/>
          <w:kern w:val="2"/>
          <w:sz w:val="24"/>
          <w:szCs w:val="24"/>
          <w14:textFill>
            <w14:solidFill>
              <w14:schemeClr w14:val="tx1"/>
            </w14:solidFill>
          </w14:textFill>
        </w:rPr>
        <w:t>.1 供应商本次磋商中提供保安服务所需设备、工具及物资（采购人提供设备物资除外），所需费用均包含在磋商报价之中。供应商提供的各类设备、工具及物资等，均需符合采购人的要求，并且要求提供合格的产品，供应商须书面承诺提供的设备、工具及物资为合格产品。</w:t>
      </w:r>
    </w:p>
    <w:p w14:paraId="02452D89">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6.</w:t>
      </w:r>
      <w:r>
        <w:rPr>
          <w:rFonts w:hint="eastAsia" w:cs="宋体" w:asciiTheme="majorEastAsia" w:hAnsiTheme="majorEastAsia" w:eastAsiaTheme="majorEastAsia"/>
          <w:color w:val="000000" w:themeColor="text1"/>
          <w:kern w:val="2"/>
          <w:sz w:val="24"/>
          <w:szCs w:val="24"/>
          <w14:textFill>
            <w14:solidFill>
              <w14:schemeClr w14:val="tx1"/>
            </w14:solidFill>
          </w14:textFill>
        </w:rPr>
        <w:t>2 本次磋商供应商承担包含但不限于以下设备、工具及物资，所使用的物资设备、耗材等数量、质量品质均需得到采购人的认可验收并承诺定期更换更新。若采购人发现供应商所供工具、物资、消耗品不符合标准，有权提出更换，供应商必须无条件响应。下附中标供应商须提供的安保器械装备清单（包含但不限于）：</w:t>
      </w:r>
    </w:p>
    <w:p w14:paraId="77FC23E9">
      <w:pPr>
        <w:pStyle w:val="4"/>
        <w:ind w:firstLine="0" w:firstLineChars="0"/>
        <w:rPr>
          <w:rFonts w:cs="宋体" w:asciiTheme="majorEastAsia" w:hAnsiTheme="majorEastAsia" w:eastAsiaTheme="majorEastAsia"/>
          <w:color w:val="000000" w:themeColor="text1"/>
          <w:kern w:val="2"/>
          <w:sz w:val="24"/>
          <w:szCs w:val="24"/>
          <w14:textFill>
            <w14:solidFill>
              <w14:schemeClr w14:val="tx1"/>
            </w14:solidFill>
          </w14:textFill>
        </w:rPr>
      </w:pPr>
    </w:p>
    <w:tbl>
      <w:tblPr>
        <w:tblStyle w:val="8"/>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709"/>
        <w:gridCol w:w="992"/>
        <w:gridCol w:w="1560"/>
        <w:gridCol w:w="3010"/>
      </w:tblGrid>
      <w:tr w14:paraId="55B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8534" w:type="dxa"/>
            <w:gridSpan w:val="6"/>
            <w:vAlign w:val="center"/>
          </w:tcPr>
          <w:p w14:paraId="483919FC">
            <w:pPr>
              <w:snapToGrid w:val="0"/>
              <w:spacing w:line="360" w:lineRule="auto"/>
              <w:ind w:firstLine="120" w:firstLineChars="50"/>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安保器械装备表（包含但不限于）</w:t>
            </w:r>
          </w:p>
        </w:tc>
      </w:tr>
      <w:tr w14:paraId="2CFE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562" w:type="dxa"/>
            <w:vAlign w:val="center"/>
          </w:tcPr>
          <w:p w14:paraId="41D40266">
            <w:pPr>
              <w:snapToGrid w:val="0"/>
              <w:spacing w:line="360" w:lineRule="auto"/>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序号</w:t>
            </w:r>
          </w:p>
        </w:tc>
        <w:tc>
          <w:tcPr>
            <w:tcW w:w="1701" w:type="dxa"/>
            <w:vAlign w:val="center"/>
          </w:tcPr>
          <w:p w14:paraId="19A265D3">
            <w:pPr>
              <w:snapToGrid w:val="0"/>
              <w:spacing w:line="360" w:lineRule="auto"/>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名称</w:t>
            </w:r>
          </w:p>
        </w:tc>
        <w:tc>
          <w:tcPr>
            <w:tcW w:w="709" w:type="dxa"/>
            <w:vAlign w:val="center"/>
          </w:tcPr>
          <w:p w14:paraId="193127E6">
            <w:pPr>
              <w:snapToGrid w:val="0"/>
              <w:spacing w:line="360" w:lineRule="auto"/>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单位</w:t>
            </w:r>
          </w:p>
        </w:tc>
        <w:tc>
          <w:tcPr>
            <w:tcW w:w="992" w:type="dxa"/>
            <w:vAlign w:val="center"/>
          </w:tcPr>
          <w:p w14:paraId="265E3134">
            <w:pPr>
              <w:snapToGrid w:val="0"/>
              <w:spacing w:line="360" w:lineRule="auto"/>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数量</w:t>
            </w:r>
          </w:p>
        </w:tc>
        <w:tc>
          <w:tcPr>
            <w:tcW w:w="1560" w:type="dxa"/>
            <w:vAlign w:val="center"/>
          </w:tcPr>
          <w:p w14:paraId="7C24EB39">
            <w:pPr>
              <w:snapToGrid w:val="0"/>
              <w:spacing w:line="360" w:lineRule="auto"/>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用途</w:t>
            </w:r>
          </w:p>
        </w:tc>
        <w:tc>
          <w:tcPr>
            <w:tcW w:w="3010" w:type="dxa"/>
            <w:vAlign w:val="center"/>
          </w:tcPr>
          <w:p w14:paraId="165203FE">
            <w:pPr>
              <w:snapToGrid w:val="0"/>
              <w:spacing w:line="360" w:lineRule="auto"/>
              <w:ind w:firstLine="120" w:firstLineChars="50"/>
              <w:jc w:val="center"/>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备注</w:t>
            </w:r>
          </w:p>
        </w:tc>
      </w:tr>
      <w:tr w14:paraId="7DBA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62" w:type="dxa"/>
            <w:vAlign w:val="center"/>
          </w:tcPr>
          <w:p w14:paraId="676E2D9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w:t>
            </w:r>
          </w:p>
        </w:tc>
        <w:tc>
          <w:tcPr>
            <w:tcW w:w="1701" w:type="dxa"/>
            <w:vAlign w:val="center"/>
          </w:tcPr>
          <w:p w14:paraId="152C4D21">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防暴服</w:t>
            </w:r>
          </w:p>
        </w:tc>
        <w:tc>
          <w:tcPr>
            <w:tcW w:w="709" w:type="dxa"/>
            <w:vAlign w:val="center"/>
          </w:tcPr>
          <w:p w14:paraId="0D34FA1A">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件</w:t>
            </w:r>
          </w:p>
        </w:tc>
        <w:tc>
          <w:tcPr>
            <w:tcW w:w="992" w:type="dxa"/>
            <w:vAlign w:val="center"/>
          </w:tcPr>
          <w:p w14:paraId="66206AF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w:t>
            </w:r>
          </w:p>
        </w:tc>
        <w:tc>
          <w:tcPr>
            <w:tcW w:w="1560" w:type="dxa"/>
            <w:vAlign w:val="center"/>
          </w:tcPr>
          <w:p w14:paraId="63FA2C0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1C754A8C">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382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562" w:type="dxa"/>
            <w:vAlign w:val="center"/>
          </w:tcPr>
          <w:p w14:paraId="46E16B6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w:t>
            </w:r>
          </w:p>
        </w:tc>
        <w:tc>
          <w:tcPr>
            <w:tcW w:w="1701" w:type="dxa"/>
            <w:vAlign w:val="center"/>
          </w:tcPr>
          <w:p w14:paraId="28B4E67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防暴叉</w:t>
            </w:r>
          </w:p>
        </w:tc>
        <w:tc>
          <w:tcPr>
            <w:tcW w:w="709" w:type="dxa"/>
            <w:vAlign w:val="center"/>
          </w:tcPr>
          <w:p w14:paraId="1AB84B7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个</w:t>
            </w:r>
          </w:p>
        </w:tc>
        <w:tc>
          <w:tcPr>
            <w:tcW w:w="992" w:type="dxa"/>
            <w:vAlign w:val="center"/>
          </w:tcPr>
          <w:p w14:paraId="62E6C111">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w:t>
            </w:r>
          </w:p>
        </w:tc>
        <w:tc>
          <w:tcPr>
            <w:tcW w:w="1560" w:type="dxa"/>
            <w:vAlign w:val="center"/>
          </w:tcPr>
          <w:p w14:paraId="3338EB4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1D7FF854">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7068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25A77D10">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w:t>
            </w:r>
          </w:p>
        </w:tc>
        <w:tc>
          <w:tcPr>
            <w:tcW w:w="1701" w:type="dxa"/>
            <w:vAlign w:val="center"/>
          </w:tcPr>
          <w:p w14:paraId="61C3AC5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警 棍</w:t>
            </w:r>
          </w:p>
        </w:tc>
        <w:tc>
          <w:tcPr>
            <w:tcW w:w="709" w:type="dxa"/>
            <w:vAlign w:val="center"/>
          </w:tcPr>
          <w:p w14:paraId="158EBF5A">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根</w:t>
            </w:r>
          </w:p>
        </w:tc>
        <w:tc>
          <w:tcPr>
            <w:tcW w:w="992" w:type="dxa"/>
            <w:vAlign w:val="center"/>
          </w:tcPr>
          <w:p w14:paraId="5253684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w:t>
            </w:r>
          </w:p>
        </w:tc>
        <w:tc>
          <w:tcPr>
            <w:tcW w:w="1560" w:type="dxa"/>
            <w:vAlign w:val="center"/>
          </w:tcPr>
          <w:p w14:paraId="52F4D3AF">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73E9A6E3">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479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0BB3CC3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4</w:t>
            </w:r>
          </w:p>
        </w:tc>
        <w:tc>
          <w:tcPr>
            <w:tcW w:w="1701" w:type="dxa"/>
            <w:vAlign w:val="center"/>
          </w:tcPr>
          <w:p w14:paraId="6D67BAE0">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防刺手套</w:t>
            </w:r>
          </w:p>
        </w:tc>
        <w:tc>
          <w:tcPr>
            <w:tcW w:w="709" w:type="dxa"/>
            <w:vAlign w:val="center"/>
          </w:tcPr>
          <w:p w14:paraId="761D356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双</w:t>
            </w:r>
          </w:p>
        </w:tc>
        <w:tc>
          <w:tcPr>
            <w:tcW w:w="992" w:type="dxa"/>
            <w:vAlign w:val="center"/>
          </w:tcPr>
          <w:p w14:paraId="643E808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w:t>
            </w:r>
          </w:p>
        </w:tc>
        <w:tc>
          <w:tcPr>
            <w:tcW w:w="1560" w:type="dxa"/>
            <w:vAlign w:val="center"/>
          </w:tcPr>
          <w:p w14:paraId="5BFDE6CC">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25E882A9">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3EA6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1ECD673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5</w:t>
            </w:r>
          </w:p>
        </w:tc>
        <w:tc>
          <w:tcPr>
            <w:tcW w:w="1701" w:type="dxa"/>
            <w:vAlign w:val="center"/>
          </w:tcPr>
          <w:p w14:paraId="7B35E70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盾 牌</w:t>
            </w:r>
          </w:p>
        </w:tc>
        <w:tc>
          <w:tcPr>
            <w:tcW w:w="709" w:type="dxa"/>
            <w:vAlign w:val="center"/>
          </w:tcPr>
          <w:p w14:paraId="31ECCA6C">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个</w:t>
            </w:r>
          </w:p>
        </w:tc>
        <w:tc>
          <w:tcPr>
            <w:tcW w:w="992" w:type="dxa"/>
            <w:vAlign w:val="center"/>
          </w:tcPr>
          <w:p w14:paraId="6181963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w:t>
            </w:r>
          </w:p>
        </w:tc>
        <w:tc>
          <w:tcPr>
            <w:tcW w:w="1560" w:type="dxa"/>
            <w:vAlign w:val="center"/>
          </w:tcPr>
          <w:p w14:paraId="3D741092">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7B828C2D">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46BD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1F70D53C">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6</w:t>
            </w:r>
          </w:p>
        </w:tc>
        <w:tc>
          <w:tcPr>
            <w:tcW w:w="1701" w:type="dxa"/>
            <w:vAlign w:val="center"/>
          </w:tcPr>
          <w:p w14:paraId="1CFFCE7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锁脚器</w:t>
            </w:r>
          </w:p>
        </w:tc>
        <w:tc>
          <w:tcPr>
            <w:tcW w:w="709" w:type="dxa"/>
            <w:vAlign w:val="center"/>
          </w:tcPr>
          <w:p w14:paraId="1E8D9E9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个</w:t>
            </w:r>
          </w:p>
        </w:tc>
        <w:tc>
          <w:tcPr>
            <w:tcW w:w="992" w:type="dxa"/>
            <w:vAlign w:val="center"/>
          </w:tcPr>
          <w:p w14:paraId="1B99340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w:t>
            </w:r>
          </w:p>
        </w:tc>
        <w:tc>
          <w:tcPr>
            <w:tcW w:w="1560" w:type="dxa"/>
            <w:vAlign w:val="center"/>
          </w:tcPr>
          <w:p w14:paraId="428089BC">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40110141">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0A15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476B988E">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7</w:t>
            </w:r>
          </w:p>
        </w:tc>
        <w:tc>
          <w:tcPr>
            <w:tcW w:w="1701" w:type="dxa"/>
            <w:vAlign w:val="center"/>
          </w:tcPr>
          <w:p w14:paraId="5D1D4720">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强光手电</w:t>
            </w:r>
          </w:p>
        </w:tc>
        <w:tc>
          <w:tcPr>
            <w:tcW w:w="709" w:type="dxa"/>
            <w:vAlign w:val="center"/>
          </w:tcPr>
          <w:p w14:paraId="21D2076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把</w:t>
            </w:r>
          </w:p>
        </w:tc>
        <w:tc>
          <w:tcPr>
            <w:tcW w:w="992" w:type="dxa"/>
            <w:vAlign w:val="center"/>
          </w:tcPr>
          <w:p w14:paraId="7245FB5A">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w:t>
            </w:r>
          </w:p>
        </w:tc>
        <w:tc>
          <w:tcPr>
            <w:tcW w:w="1560" w:type="dxa"/>
            <w:vAlign w:val="center"/>
          </w:tcPr>
          <w:p w14:paraId="7300EBEA">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巡逻用</w:t>
            </w:r>
          </w:p>
        </w:tc>
        <w:tc>
          <w:tcPr>
            <w:tcW w:w="3010" w:type="dxa"/>
            <w:vAlign w:val="center"/>
          </w:tcPr>
          <w:p w14:paraId="543353E4">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1F16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5E44862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8</w:t>
            </w:r>
          </w:p>
        </w:tc>
        <w:tc>
          <w:tcPr>
            <w:tcW w:w="1701" w:type="dxa"/>
            <w:vAlign w:val="center"/>
          </w:tcPr>
          <w:p w14:paraId="672529D1">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头 盔</w:t>
            </w:r>
          </w:p>
        </w:tc>
        <w:tc>
          <w:tcPr>
            <w:tcW w:w="709" w:type="dxa"/>
            <w:vAlign w:val="center"/>
          </w:tcPr>
          <w:p w14:paraId="21CABA4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顶</w:t>
            </w:r>
          </w:p>
        </w:tc>
        <w:tc>
          <w:tcPr>
            <w:tcW w:w="992" w:type="dxa"/>
            <w:vAlign w:val="center"/>
          </w:tcPr>
          <w:p w14:paraId="17DEB68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w:t>
            </w:r>
          </w:p>
        </w:tc>
        <w:tc>
          <w:tcPr>
            <w:tcW w:w="1560" w:type="dxa"/>
            <w:vAlign w:val="center"/>
          </w:tcPr>
          <w:p w14:paraId="60907BCE">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反恐防暴</w:t>
            </w:r>
          </w:p>
        </w:tc>
        <w:tc>
          <w:tcPr>
            <w:tcW w:w="3010" w:type="dxa"/>
            <w:vAlign w:val="center"/>
          </w:tcPr>
          <w:p w14:paraId="5C30282A">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r w14:paraId="5FA0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62" w:type="dxa"/>
            <w:vAlign w:val="center"/>
          </w:tcPr>
          <w:p w14:paraId="1AAF8D1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9</w:t>
            </w:r>
          </w:p>
        </w:tc>
        <w:tc>
          <w:tcPr>
            <w:tcW w:w="1701" w:type="dxa"/>
            <w:vAlign w:val="center"/>
          </w:tcPr>
          <w:p w14:paraId="125A8F76">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对讲机</w:t>
            </w:r>
          </w:p>
        </w:tc>
        <w:tc>
          <w:tcPr>
            <w:tcW w:w="709" w:type="dxa"/>
            <w:vAlign w:val="center"/>
          </w:tcPr>
          <w:p w14:paraId="5A8D5DA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台</w:t>
            </w:r>
          </w:p>
        </w:tc>
        <w:tc>
          <w:tcPr>
            <w:tcW w:w="992" w:type="dxa"/>
            <w:vAlign w:val="center"/>
          </w:tcPr>
          <w:p w14:paraId="0C50065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4</w:t>
            </w:r>
          </w:p>
        </w:tc>
        <w:tc>
          <w:tcPr>
            <w:tcW w:w="1560" w:type="dxa"/>
            <w:vAlign w:val="center"/>
          </w:tcPr>
          <w:p w14:paraId="6238451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巡逻、应急、</w:t>
            </w:r>
          </w:p>
          <w:p w14:paraId="7B54EFEE">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联络用</w:t>
            </w:r>
          </w:p>
        </w:tc>
        <w:tc>
          <w:tcPr>
            <w:tcW w:w="3010" w:type="dxa"/>
            <w:vAlign w:val="center"/>
          </w:tcPr>
          <w:p w14:paraId="4BC26B2B">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符合安防设备及设施设备行业标准，提供产品合格证明</w:t>
            </w:r>
          </w:p>
        </w:tc>
      </w:tr>
    </w:tbl>
    <w:p w14:paraId="7D8520FE">
      <w:pPr>
        <w:adjustRightInd w:val="0"/>
        <w:snapToGrid w:val="0"/>
        <w:spacing w:line="500" w:lineRule="exact"/>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六、商务要求：</w:t>
      </w:r>
    </w:p>
    <w:p w14:paraId="2F269BB3">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（一）合同事项：</w:t>
      </w:r>
    </w:p>
    <w:p w14:paraId="7FF0CBE7">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cs="宋体" w:asciiTheme="majorEastAsia" w:hAnsiTheme="majorEastAsia" w:eastAsiaTheme="majorEastAsia"/>
          <w:b/>
          <w:bCs/>
          <w:color w:val="000000" w:themeColor="text1"/>
          <w:sz w:val="24"/>
          <w:szCs w:val="24"/>
          <w14:textFill>
            <w14:solidFill>
              <w14:schemeClr w14:val="tx1"/>
            </w14:solidFill>
          </w14:textFill>
        </w:rPr>
        <w:t>1.</w:t>
      </w:r>
      <w:r>
        <w:rPr>
          <w:rFonts w:hint="eastAsia" w:cs="宋体" w:asciiTheme="majorEastAsia" w:hAnsiTheme="majorEastAsia" w:eastAsiaTheme="majorEastAsia"/>
          <w:b/>
          <w:bCs/>
          <w:color w:val="000000" w:themeColor="text1"/>
          <w:sz w:val="24"/>
          <w:szCs w:val="24"/>
          <w14:textFill>
            <w14:solidFill>
              <w14:schemeClr w14:val="tx1"/>
            </w14:solidFill>
          </w14:textFill>
        </w:rPr>
        <w:t>合同履行期限：</w:t>
      </w:r>
    </w:p>
    <w:p w14:paraId="08D705DD">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bookmarkStart w:id="100" w:name="_Hlk136247421"/>
      <w:r>
        <w:rPr>
          <w:rFonts w:hint="eastAsia" w:cs="宋体" w:asciiTheme="majorEastAsia" w:hAnsiTheme="majorEastAsia" w:eastAsiaTheme="majorEastAsia"/>
          <w:color w:val="000000" w:themeColor="text1"/>
          <w:sz w:val="24"/>
          <w:szCs w:val="24"/>
          <w14:textFill>
            <w14:solidFill>
              <w14:schemeClr w14:val="tx1"/>
            </w14:solidFill>
          </w14:textFill>
        </w:rPr>
        <w:t>合同履行期限：</w:t>
      </w:r>
      <w:bookmarkEnd w:id="100"/>
      <w:r>
        <w:rPr>
          <w:rFonts w:hint="eastAsia" w:cs="宋体" w:asciiTheme="majorEastAsia" w:hAnsiTheme="majorEastAsia" w:eastAsiaTheme="majorEastAsia"/>
          <w:color w:val="000000" w:themeColor="text1"/>
          <w:sz w:val="24"/>
          <w:szCs w:val="24"/>
          <w14:textFill>
            <w14:solidFill>
              <w14:schemeClr w14:val="tx1"/>
            </w14:solidFill>
          </w14:textFill>
        </w:rPr>
        <w:t>自合同执行之日起一年；合同到期后，经采购人考核后确定</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能够满足采购人安保服务需求的，采购人有权与</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续签合同（可续签二次，每次一年）或重新组织招标采购。</w:t>
      </w:r>
    </w:p>
    <w:p w14:paraId="1281EECA">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cs="宋体" w:asciiTheme="majorEastAsia" w:hAnsiTheme="majorEastAsia" w:eastAsiaTheme="majorEastAsia"/>
          <w:b/>
          <w:bCs/>
          <w:color w:val="000000" w:themeColor="text1"/>
          <w:sz w:val="24"/>
          <w:szCs w:val="24"/>
          <w14:textFill>
            <w14:solidFill>
              <w14:schemeClr w14:val="tx1"/>
            </w14:solidFill>
          </w14:textFill>
        </w:rPr>
        <w:t>2.</w:t>
      </w:r>
      <w:r>
        <w:rPr>
          <w:rFonts w:hint="eastAsia" w:cs="宋体" w:asciiTheme="majorEastAsia" w:hAnsiTheme="majorEastAsia" w:eastAsiaTheme="majorEastAsia"/>
          <w:b/>
          <w:bCs/>
          <w:color w:val="000000" w:themeColor="text1"/>
          <w:sz w:val="24"/>
          <w:szCs w:val="24"/>
          <w14:textFill>
            <w14:solidFill>
              <w14:schemeClr w14:val="tx1"/>
            </w14:solidFill>
          </w14:textFill>
        </w:rPr>
        <w:t>合同执行时间：</w:t>
      </w:r>
    </w:p>
    <w:p w14:paraId="520AEB40">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kern w:val="2"/>
          <w:sz w:val="24"/>
          <w:szCs w:val="24"/>
          <w14:textFill>
            <w14:solidFill>
              <w14:schemeClr w14:val="tx1"/>
            </w14:solidFill>
          </w14:textFill>
        </w:rPr>
        <w:t>须与采购人完成岗位人员上岗前有关事项及与原供应商完成交接后，由采购人确定合同具体执行时间。</w:t>
      </w:r>
    </w:p>
    <w:p w14:paraId="40C62796">
      <w:pPr>
        <w:adjustRightInd w:val="0"/>
        <w:snapToGrid w:val="0"/>
        <w:spacing w:line="500" w:lineRule="exact"/>
        <w:ind w:firstLine="482"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（二）</w:t>
      </w:r>
      <w:bookmarkStart w:id="101" w:name="OLE_LINK31"/>
      <w:bookmarkStart w:id="102" w:name="OLE_LINK32"/>
      <w:r>
        <w:rPr>
          <w:rFonts w:hint="eastAsia" w:cs="宋体" w:asciiTheme="majorEastAsia" w:hAnsiTheme="majorEastAsia" w:eastAsiaTheme="majorEastAsia"/>
          <w:b/>
          <w:bCs/>
          <w:color w:val="000000" w:themeColor="text1"/>
          <w:sz w:val="24"/>
          <w:szCs w:val="24"/>
          <w14:textFill>
            <w14:solidFill>
              <w14:schemeClr w14:val="tx1"/>
            </w14:solidFill>
          </w14:textFill>
        </w:rPr>
        <w:t>验收标准</w:t>
      </w:r>
      <w:bookmarkEnd w:id="101"/>
      <w:bookmarkEnd w:id="102"/>
      <w:r>
        <w:rPr>
          <w:rFonts w:hint="eastAsia" w:cs="宋体" w:asciiTheme="majorEastAsia" w:hAnsiTheme="majorEastAsia" w:eastAsiaTheme="majorEastAsia"/>
          <w:b/>
          <w:bCs/>
          <w:color w:val="000000" w:themeColor="text1"/>
          <w:sz w:val="24"/>
          <w:szCs w:val="24"/>
          <w14:textFill>
            <w14:solidFill>
              <w14:schemeClr w14:val="tx1"/>
            </w14:solidFill>
          </w14:textFill>
        </w:rPr>
        <w:t>：</w:t>
      </w:r>
      <w:r>
        <w:rPr>
          <w:rFonts w:hint="eastAsia" w:cs="宋体" w:asciiTheme="majorEastAsia" w:hAnsiTheme="majorEastAsia" w:eastAsiaTheme="majorEastAsia"/>
          <w:color w:val="000000" w:themeColor="text1"/>
          <w:sz w:val="24"/>
          <w:szCs w:val="24"/>
          <w14:textFill>
            <w14:solidFill>
              <w14:schemeClr w14:val="tx1"/>
            </w14:solidFill>
          </w14:textFill>
        </w:rPr>
        <w:t>按磋商文件要求、合同及行业规范验收。</w:t>
      </w:r>
    </w:p>
    <w:p w14:paraId="0F361833">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（三）付款方式：</w:t>
      </w:r>
    </w:p>
    <w:p w14:paraId="519D2B40">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乙方出具合格的发票，依据甲、乙双方确认的服务合同履约报告，甲方在每个月的 10 日结合服务质量考核及满意度情况，向乙方支付上月服务费。</w:t>
      </w:r>
    </w:p>
    <w:p w14:paraId="486485FF">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（四）履约保证金：</w:t>
      </w:r>
    </w:p>
    <w:p w14:paraId="32ABD9FD">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本项目成交后的履约保证金为成交价的5%，成交供应商的履约保证金须在成交通知书发出之日起至合同签订前汇入采购单位账户，成交供应商凭成交通知书与采购单位签订合同。超期或未有协商，则视为自动放弃成交资格。</w:t>
      </w:r>
    </w:p>
    <w:p w14:paraId="3B31415B">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2.成交供应商全部履约合同义务，经采购单位验收合格无质量、进度等问题的，与下一期</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完成交接后无息退还履约保证金。 </w:t>
      </w:r>
    </w:p>
    <w:p w14:paraId="38D0A0DE">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cs="宋体" w:asciiTheme="majorEastAsia" w:hAnsiTheme="majorEastAsia" w:eastAsiaTheme="majorEastAsia"/>
          <w:color w:val="000000" w:themeColor="text1"/>
          <w:kern w:val="2"/>
          <w:sz w:val="24"/>
          <w:szCs w:val="24"/>
          <w14:textFill>
            <w14:solidFill>
              <w14:schemeClr w14:val="tx1"/>
            </w14:solidFill>
          </w14:textFill>
        </w:rPr>
        <w:t>3.</w:t>
      </w:r>
      <w:r>
        <w:rPr>
          <w:rFonts w:hint="eastAsia" w:cs="宋体" w:asciiTheme="majorEastAsia" w:hAnsiTheme="majorEastAsia" w:eastAsiaTheme="majorEastAsia"/>
          <w:color w:val="000000" w:themeColor="text1"/>
          <w:kern w:val="2"/>
          <w:sz w:val="24"/>
          <w:szCs w:val="24"/>
          <w14:textFill>
            <w14:solidFill>
              <w14:schemeClr w14:val="tx1"/>
            </w14:solidFill>
          </w14:textFill>
        </w:rPr>
        <w:t>履约保证金缴费帐户：</w:t>
      </w:r>
    </w:p>
    <w:p w14:paraId="63A3D6E2">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户名：南通市海门区三厂街道中心卫生院</w:t>
      </w:r>
    </w:p>
    <w:p w14:paraId="73D775D8">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开户行：建行南通三厂支行</w:t>
      </w:r>
    </w:p>
    <w:p w14:paraId="1CEDB48A">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帐号：32001647540052502502</w:t>
      </w:r>
    </w:p>
    <w:p w14:paraId="431B8287">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（五）其他事项：</w:t>
      </w:r>
    </w:p>
    <w:p w14:paraId="761DADC7">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采购人有监督的权利，</w:t>
      </w:r>
      <w:r>
        <w:rPr>
          <w:rFonts w:hint="eastAsia" w:cs="宋体" w:asciiTheme="majorEastAsia" w:hAnsiTheme="majorEastAsia" w:eastAsiaTheme="majorEastAsia"/>
          <w:bCs/>
          <w:color w:val="000000" w:themeColor="text1"/>
          <w:sz w:val="24"/>
          <w:szCs w:val="24"/>
          <w14:textFill>
            <w14:solidFill>
              <w14:schemeClr w14:val="tx1"/>
            </w14:solidFill>
          </w14:textFill>
        </w:rPr>
        <w:t>供应商</w:t>
      </w:r>
      <w:r>
        <w:rPr>
          <w:rFonts w:hint="eastAsia" w:cs="宋体" w:asciiTheme="majorEastAsia" w:hAnsiTheme="majorEastAsia" w:eastAsiaTheme="majorEastAsia"/>
          <w:color w:val="000000" w:themeColor="text1"/>
          <w:sz w:val="24"/>
          <w:szCs w:val="24"/>
          <w14:textFill>
            <w14:solidFill>
              <w14:schemeClr w14:val="tx1"/>
            </w14:solidFill>
          </w14:textFill>
        </w:rPr>
        <w:t>必须保证每月按时支付人员工资及保险等费用。</w:t>
      </w:r>
      <w:r>
        <w:rPr>
          <w:rFonts w:cs="宋体" w:asciiTheme="majorEastAsia" w:hAnsiTheme="majorEastAsia" w:eastAsiaTheme="majorEastAsia"/>
          <w:color w:val="000000" w:themeColor="text1"/>
          <w:sz w:val="24"/>
          <w:szCs w:val="24"/>
          <w14:textFill>
            <w14:solidFill>
              <w14:schemeClr w14:val="tx1"/>
            </w14:solidFill>
          </w14:textFill>
        </w:rPr>
        <w:t xml:space="preserve"> </w:t>
      </w:r>
    </w:p>
    <w:p w14:paraId="2A86AFE8">
      <w:pPr>
        <w:adjustRightInd w:val="0"/>
        <w:snapToGrid w:val="0"/>
        <w:spacing w:line="500" w:lineRule="exact"/>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七、考核标准及满意度调查（采购人保留修改的权利）：</w:t>
      </w:r>
    </w:p>
    <w:p w14:paraId="586299DD">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（一）服务考核</w:t>
      </w:r>
    </w:p>
    <w:p w14:paraId="66447062">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1、考核的方式及标准</w:t>
      </w:r>
    </w:p>
    <w:p w14:paraId="69587F6A">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1.1 制定考核细则《服务质量考核标准》、实行百分制考核。采购人对供应商履行合同情况、提供服务情况进行定期或不定期考核。考核分为季度考核、不定期的满意度测评。</w:t>
      </w:r>
    </w:p>
    <w:p w14:paraId="3795F5F7">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1.2 季度考核由总务科负责，实行百分制。</w:t>
      </w:r>
    </w:p>
    <w:p w14:paraId="4334CE49">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1.3不定期的满意度测评。</w:t>
      </w:r>
    </w:p>
    <w:p w14:paraId="76502EA6">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1.4保安服务管理考核和满意度测评标准详见附表。</w:t>
      </w:r>
    </w:p>
    <w:p w14:paraId="325F655A">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2 、考核流程及分值</w:t>
      </w:r>
    </w:p>
    <w:p w14:paraId="03F51614">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2.1总务科组织考核小组每季度组织至少一次对保安服务质量进行考核。</w:t>
      </w:r>
    </w:p>
    <w:p w14:paraId="68AF6339">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2.2考核达到85分（含85分）—100分（含100分），全额支付服务费，考核</w:t>
      </w:r>
      <w:r>
        <w:rPr>
          <w:rFonts w:hint="eastAsia" w:cs="宋体" w:asciiTheme="majorEastAsia" w:hAnsiTheme="majorEastAsia" w:eastAsiaTheme="majorEastAsia"/>
          <w:color w:val="000000" w:themeColor="text1"/>
          <w:kern w:val="0"/>
          <w:sz w:val="24"/>
          <w:szCs w:val="24"/>
          <w14:textFill>
            <w14:solidFill>
              <w14:schemeClr w14:val="tx1"/>
            </w14:solidFill>
          </w14:textFill>
        </w:rPr>
        <w:t>95分以上，</w:t>
      </w:r>
      <w:r>
        <w:rPr>
          <w:rFonts w:hint="eastAsia" w:ascii="宋体" w:hAnsi="宋体" w:cs="宋体"/>
          <w:color w:val="000000" w:themeColor="text1"/>
          <w:sz w:val="28"/>
          <w:szCs w:val="28"/>
          <w14:textFill>
            <w14:solidFill>
              <w14:schemeClr w14:val="tx1"/>
            </w14:solidFill>
          </w14:textFill>
        </w:rPr>
        <w:t>奖（得分-95）*</w:t>
      </w: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 100元</w:t>
      </w:r>
      <w:r>
        <w:rPr>
          <w:rFonts w:hint="eastAsia" w:cs="宋体" w:asciiTheme="majorEastAsia" w:hAnsiTheme="majorEastAsia" w:eastAsiaTheme="majorEastAsia"/>
          <w:color w:val="000000" w:themeColor="text1"/>
          <w:sz w:val="24"/>
          <w:szCs w:val="24"/>
          <w14:textFill>
            <w14:solidFill>
              <w14:schemeClr w14:val="tx1"/>
            </w14:solidFill>
          </w14:textFill>
        </w:rPr>
        <w:t>，；达到70分（含70分）—85分（不含85分），</w:t>
      </w:r>
      <w:r>
        <w:rPr>
          <w:rFonts w:hint="eastAsia" w:ascii="宋体" w:hAnsi="宋体" w:cs="宋体"/>
          <w:color w:val="000000" w:themeColor="text1"/>
          <w:sz w:val="28"/>
          <w:szCs w:val="28"/>
          <w14:textFill>
            <w14:solidFill>
              <w14:schemeClr w14:val="tx1"/>
            </w14:solidFill>
          </w14:textFill>
        </w:rPr>
        <w:t>扣（84-得分）*100元</w:t>
      </w:r>
      <w:r>
        <w:rPr>
          <w:rFonts w:hint="eastAsia" w:cs="宋体" w:asciiTheme="majorEastAsia" w:hAnsiTheme="majorEastAsia" w:eastAsiaTheme="majorEastAsia"/>
          <w:color w:val="000000" w:themeColor="text1"/>
          <w:sz w:val="24"/>
          <w:szCs w:val="24"/>
          <w14:textFill>
            <w14:solidFill>
              <w14:schemeClr w14:val="tx1"/>
            </w14:solidFill>
          </w14:textFill>
        </w:rPr>
        <w:t>；达到60分（含60分）—70分（不含70分），</w:t>
      </w:r>
      <w:r>
        <w:rPr>
          <w:rFonts w:hint="eastAsia" w:ascii="宋体" w:hAnsi="宋体" w:cs="宋体"/>
          <w:color w:val="000000" w:themeColor="text1"/>
          <w:sz w:val="28"/>
          <w:szCs w:val="28"/>
          <w14:textFill>
            <w14:solidFill>
              <w14:schemeClr w14:val="tx1"/>
            </w14:solidFill>
          </w14:textFill>
        </w:rPr>
        <w:t>扣（69-得分）*</w:t>
      </w: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 200元</w:t>
      </w:r>
      <w:r>
        <w:rPr>
          <w:rFonts w:hint="eastAsia" w:cs="宋体" w:asciiTheme="majorEastAsia" w:hAnsiTheme="majorEastAsia" w:eastAsiaTheme="majorEastAsia"/>
          <w:color w:val="000000" w:themeColor="text1"/>
          <w:sz w:val="24"/>
          <w:szCs w:val="24"/>
          <w14:textFill>
            <w14:solidFill>
              <w14:schemeClr w14:val="tx1"/>
            </w14:solidFill>
          </w14:textFill>
        </w:rPr>
        <w:t>，；60分（不含60 分）以下</w:t>
      </w:r>
      <w:r>
        <w:rPr>
          <w:rFonts w:hint="eastAsia" w:cs="宋体" w:asciiTheme="majorEastAsia" w:hAnsiTheme="majorEastAsia" w:eastAsiaTheme="majorEastAsia"/>
          <w:color w:val="000000" w:themeColor="text1"/>
          <w:kern w:val="0"/>
          <w:sz w:val="24"/>
          <w:szCs w:val="24"/>
          <w14:textFill>
            <w14:solidFill>
              <w14:schemeClr w14:val="tx1"/>
            </w14:solidFill>
          </w14:textFill>
        </w:rPr>
        <w:t>，扣除月支付费用的10%</w:t>
      </w:r>
      <w:r>
        <w:rPr>
          <w:rFonts w:hint="eastAsia" w:cs="宋体" w:asciiTheme="majorEastAsia" w:hAnsiTheme="majorEastAsia" w:eastAsiaTheme="majorEastAsia"/>
          <w:color w:val="000000" w:themeColor="text1"/>
          <w:sz w:val="24"/>
          <w:szCs w:val="24"/>
          <w14:textFill>
            <w14:solidFill>
              <w14:schemeClr w14:val="tx1"/>
            </w14:solidFill>
          </w14:textFill>
        </w:rPr>
        <w:t>。</w:t>
      </w:r>
    </w:p>
    <w:p w14:paraId="560779F0">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2.3</w:t>
      </w:r>
      <w:bookmarkStart w:id="103" w:name="_Hlk136247330"/>
      <w:r>
        <w:rPr>
          <w:rFonts w:hint="eastAsia" w:cs="宋体" w:asciiTheme="majorEastAsia" w:hAnsiTheme="majorEastAsia" w:eastAsiaTheme="majorEastAsia"/>
          <w:color w:val="000000" w:themeColor="text1"/>
          <w:sz w:val="24"/>
          <w:szCs w:val="24"/>
          <w14:textFill>
            <w14:solidFill>
              <w14:schemeClr w14:val="tx1"/>
            </w14:solidFill>
          </w14:textFill>
        </w:rPr>
        <w:t>供应商一年内有两次计度考核结果在60分（不含60 分）以下的，或重大活动期间因保安管理服务工作不到位造成重大影响的，采购人有权中途解除合同。</w:t>
      </w:r>
      <w:bookmarkEnd w:id="103"/>
      <w:r>
        <w:rPr>
          <w:rFonts w:hint="eastAsia" w:cs="宋体" w:asciiTheme="majorEastAsia" w:hAnsiTheme="majorEastAsia" w:eastAsiaTheme="majorEastAsia"/>
          <w:color w:val="000000" w:themeColor="text1"/>
          <w:sz w:val="24"/>
          <w:szCs w:val="24"/>
          <w14:textFill>
            <w14:solidFill>
              <w14:schemeClr w14:val="tx1"/>
            </w14:solidFill>
          </w14:textFill>
        </w:rPr>
        <w:t>并在下次招标时，所在公司不得参与该项目的投标。</w:t>
      </w:r>
    </w:p>
    <w:p w14:paraId="3DD58F52">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2.4不定期的满意度测评，满意度测评分为：护理部及临床科室满意度测评、院部职能科室满意度测评。每次考核将综合两部分的满意度综合考量，最终得分在 85 分及以上为满意度测评合格；每次满意度测评在84分-76分的之间，扣（84-得分）*50元；每次满意度测评在75分以下（含75分），扣（84-得分）*100元。</w:t>
      </w:r>
    </w:p>
    <w:p w14:paraId="34FC2BD0">
      <w:pPr>
        <w:adjustRightInd w:val="0"/>
        <w:snapToGrid w:val="0"/>
        <w:spacing w:line="50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3、考核细则详见下表：</w:t>
      </w:r>
    </w:p>
    <w:p w14:paraId="6A97FA1E">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附表一</w:t>
      </w:r>
    </w:p>
    <w:p w14:paraId="1CBE2F92">
      <w:pPr>
        <w:pStyle w:val="4"/>
        <w:ind w:firstLine="480"/>
        <w:rPr>
          <w:rFonts w:asciiTheme="majorEastAsia" w:hAnsiTheme="majorEastAsia" w:eastAsiaTheme="majorEastAsia"/>
          <w:color w:val="000000" w:themeColor="text1"/>
          <w:sz w:val="24"/>
          <w:szCs w:val="24"/>
          <w14:textFill>
            <w14:solidFill>
              <w14:schemeClr w14:val="tx1"/>
            </w14:solidFill>
          </w14:textFill>
        </w:rPr>
      </w:pPr>
    </w:p>
    <w:p w14:paraId="5E87979B">
      <w:pPr>
        <w:adjustRightInd w:val="0"/>
        <w:snapToGrid w:val="0"/>
        <w:spacing w:line="500" w:lineRule="exact"/>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海门区三厂街道中心卫生院保安服务质量考核表（满分1</w:t>
      </w:r>
      <w:r>
        <w:rPr>
          <w:rFonts w:cs="宋体" w:asciiTheme="majorEastAsia" w:hAnsiTheme="majorEastAsia" w:eastAsiaTheme="majorEastAsia"/>
          <w:color w:val="000000" w:themeColor="text1"/>
          <w:sz w:val="24"/>
          <w:szCs w:val="24"/>
          <w14:textFill>
            <w14:solidFill>
              <w14:schemeClr w14:val="tx1"/>
            </w14:solidFill>
          </w14:textFill>
        </w:rPr>
        <w:t>00</w:t>
      </w:r>
      <w:r>
        <w:rPr>
          <w:rFonts w:hint="eastAsia" w:cs="宋体" w:asciiTheme="majorEastAsia" w:hAnsiTheme="majorEastAsia" w:eastAsiaTheme="majorEastAsia"/>
          <w:color w:val="000000" w:themeColor="text1"/>
          <w:sz w:val="24"/>
          <w:szCs w:val="24"/>
          <w14:textFill>
            <w14:solidFill>
              <w14:schemeClr w14:val="tx1"/>
            </w14:solidFill>
          </w14:textFill>
        </w:rPr>
        <w:t>分）</w:t>
      </w:r>
    </w:p>
    <w:tbl>
      <w:tblPr>
        <w:tblStyle w:val="8"/>
        <w:tblW w:w="0" w:type="auto"/>
        <w:tblInd w:w="20" w:type="dxa"/>
        <w:tblLayout w:type="fixed"/>
        <w:tblCellMar>
          <w:top w:w="15" w:type="dxa"/>
          <w:left w:w="15" w:type="dxa"/>
          <w:bottom w:w="15" w:type="dxa"/>
          <w:right w:w="15" w:type="dxa"/>
        </w:tblCellMar>
      </w:tblPr>
      <w:tblGrid>
        <w:gridCol w:w="704"/>
        <w:gridCol w:w="851"/>
        <w:gridCol w:w="3543"/>
        <w:gridCol w:w="3198"/>
      </w:tblGrid>
      <w:tr w14:paraId="524D6559">
        <w:tblPrEx>
          <w:tblCellMar>
            <w:top w:w="15" w:type="dxa"/>
            <w:left w:w="15" w:type="dxa"/>
            <w:bottom w:w="15" w:type="dxa"/>
            <w:right w:w="15" w:type="dxa"/>
          </w:tblCellMar>
        </w:tblPrEx>
        <w:trPr>
          <w:trHeight w:val="645" w:hRule="atLeast"/>
        </w:trPr>
        <w:tc>
          <w:tcPr>
            <w:tcW w:w="704" w:type="dxa"/>
            <w:tcBorders>
              <w:top w:val="single" w:color="000000" w:sz="4" w:space="0"/>
              <w:left w:val="single" w:color="000000" w:sz="4" w:space="0"/>
              <w:bottom w:val="single" w:color="000000" w:sz="4" w:space="0"/>
              <w:right w:val="single" w:color="000000" w:sz="4" w:space="0"/>
            </w:tcBorders>
            <w:noWrap/>
            <w:vAlign w:val="bottom"/>
          </w:tcPr>
          <w:p w14:paraId="6612117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类</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别</w:t>
            </w: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6BDE3FA7">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序</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号</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B256BD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考核内容</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152FCE6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奖惩细则</w:t>
            </w:r>
          </w:p>
        </w:tc>
      </w:tr>
      <w:tr w14:paraId="25848CDD">
        <w:tblPrEx>
          <w:tblCellMar>
            <w:top w:w="15" w:type="dxa"/>
            <w:left w:w="15" w:type="dxa"/>
            <w:bottom w:w="15" w:type="dxa"/>
            <w:right w:w="15" w:type="dxa"/>
          </w:tblCellMar>
        </w:tblPrEx>
        <w:trPr>
          <w:trHeight w:val="585"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bottom"/>
          </w:tcPr>
          <w:p w14:paraId="78DCF894">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岗</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位</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职</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责</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及</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制</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度</w:t>
            </w: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7972DF3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1E0BA1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制定各岗位的职责和考核制度，并接受采购人检查监督</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0ADE50E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未落实有关责任和考核制度每发现1次扣0.2分</w:t>
            </w:r>
          </w:p>
        </w:tc>
      </w:tr>
      <w:tr w14:paraId="3A13969B">
        <w:tblPrEx>
          <w:tblCellMar>
            <w:top w:w="15" w:type="dxa"/>
            <w:left w:w="15" w:type="dxa"/>
            <w:bottom w:w="15" w:type="dxa"/>
            <w:right w:w="15" w:type="dxa"/>
          </w:tblCellMar>
        </w:tblPrEx>
        <w:trPr>
          <w:trHeight w:val="54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F9D406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22A3876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3F8679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按月制定日常培训计划并落到实处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15BF87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未进行定期检查或落实，每发现一次扣0.5分。</w:t>
            </w:r>
          </w:p>
        </w:tc>
      </w:tr>
      <w:tr w14:paraId="6EBF7488">
        <w:tblPrEx>
          <w:tblCellMar>
            <w:top w:w="15" w:type="dxa"/>
            <w:left w:w="15" w:type="dxa"/>
            <w:bottom w:w="15" w:type="dxa"/>
            <w:right w:w="15" w:type="dxa"/>
          </w:tblCellMar>
        </w:tblPrEx>
        <w:trPr>
          <w:trHeight w:val="831"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3E35B7D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D531B6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E1D736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采购人抽查考核保安员岗位职责</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7B9E7D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不熟悉职责的,每人每次扣0.5分</w:t>
            </w:r>
          </w:p>
        </w:tc>
      </w:tr>
      <w:tr w14:paraId="6AA618A4">
        <w:tblPrEx>
          <w:tblCellMar>
            <w:top w:w="15" w:type="dxa"/>
            <w:left w:w="15" w:type="dxa"/>
            <w:bottom w:w="15" w:type="dxa"/>
            <w:right w:w="15" w:type="dxa"/>
          </w:tblCellMar>
        </w:tblPrEx>
        <w:trPr>
          <w:trHeight w:val="87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3E086B74">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D197F48">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C7EA33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未按规定落实请销假制度，擅自休假、调班、换岗且未向采购人管理部门报备的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2FDD30E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每发现一次扣0.5分/次</w:t>
            </w:r>
          </w:p>
        </w:tc>
      </w:tr>
      <w:tr w14:paraId="0B07F5EE">
        <w:tblPrEx>
          <w:tblCellMar>
            <w:top w:w="15" w:type="dxa"/>
            <w:left w:w="15" w:type="dxa"/>
            <w:bottom w:w="15" w:type="dxa"/>
            <w:right w:w="15" w:type="dxa"/>
          </w:tblCellMar>
        </w:tblPrEx>
        <w:trPr>
          <w:trHeight w:val="953"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C67D43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7C007A8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CBB741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派驻保安员需按要求持证上岗</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59613CEE">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未持证上岗每发现一人扣1分</w:t>
            </w:r>
          </w:p>
        </w:tc>
      </w:tr>
      <w:tr w14:paraId="32C6D270">
        <w:tblPrEx>
          <w:tblCellMar>
            <w:top w:w="15" w:type="dxa"/>
            <w:left w:w="15" w:type="dxa"/>
            <w:bottom w:w="15" w:type="dxa"/>
            <w:right w:w="15" w:type="dxa"/>
          </w:tblCellMar>
        </w:tblPrEx>
        <w:trPr>
          <w:trHeight w:val="57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56E01C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2E33AA1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413C6E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合理投诉次数每月小于3次，每项投诉需及时有效化解,不得激化矛盾</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042C0CE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每超出一次扣0.5分，每次合理投诉</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未作有效处理扣1分</w:t>
            </w:r>
          </w:p>
        </w:tc>
      </w:tr>
      <w:tr w14:paraId="30BA248B">
        <w:tblPrEx>
          <w:tblCellMar>
            <w:top w:w="15" w:type="dxa"/>
            <w:left w:w="15" w:type="dxa"/>
            <w:bottom w:w="15" w:type="dxa"/>
            <w:right w:w="15" w:type="dxa"/>
          </w:tblCellMar>
        </w:tblPrEx>
        <w:trPr>
          <w:trHeight w:val="57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85EE41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12A6794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4B9E23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定期与采购人管理部门沟通，如发现问题隐患无法处理的应及时上报</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F1BE52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发现隐瞒或误报，每次扣5分</w:t>
            </w:r>
          </w:p>
        </w:tc>
      </w:tr>
      <w:tr w14:paraId="5406F14F">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3F363928">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37C429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8</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2B037267">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遵守采购人管理制度，完成采购人安排的日常工作任务及指令性特殊任务</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0BBF5EE1">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每次违反或没完成扣2分</w:t>
            </w:r>
          </w:p>
        </w:tc>
      </w:tr>
      <w:tr w14:paraId="73F18A2F">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9FB856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C096AF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9</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150D91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未按合同规定配备人数上岗执勤</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57D2A38A">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每班每少1人扣1分</w:t>
            </w:r>
          </w:p>
        </w:tc>
      </w:tr>
      <w:tr w14:paraId="364ECF6A">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332EE1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35FBAB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10</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1DAEBB3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每季度进行一次满意度调查。详见附表2</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4AFBBF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满意率达百分之80分以上，每下降百分之一，则扣1分</w:t>
            </w:r>
          </w:p>
        </w:tc>
      </w:tr>
      <w:tr w14:paraId="683B3743">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1D4EFAE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车</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辆</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管</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理</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EC67E8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11</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EF66721">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车辆道闸杆遭破坏未及时处置造成采购人损失的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32D0C9F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扣1分/次</w:t>
            </w:r>
          </w:p>
        </w:tc>
      </w:tr>
      <w:tr w14:paraId="3C84585C">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D6CC09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A8E46B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12</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3421F96E">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医院主要通道交通堵塞未及时疏导</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2D94B77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扣1分/次</w:t>
            </w:r>
          </w:p>
        </w:tc>
      </w:tr>
      <w:tr w14:paraId="3C636CF1">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16C6CBC">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D08C18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w:t>
            </w:r>
            <w:r>
              <w:rPr>
                <w:rFonts w:cs="宋体" w:asciiTheme="majorEastAsia" w:hAnsiTheme="majorEastAsia" w:eastAsiaTheme="majorEastAsia"/>
                <w:color w:val="000000" w:themeColor="text1"/>
                <w:kern w:val="0"/>
                <w:sz w:val="24"/>
                <w:szCs w:val="24"/>
                <w14:textFill>
                  <w14:solidFill>
                    <w14:schemeClr w14:val="tx1"/>
                  </w14:solidFill>
                </w14:textFill>
              </w:rPr>
              <w:t>3</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2EA00D4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保安员未按规定检查出门载货车辆,导致医院财物流失的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272F743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扣3分/次</w:t>
            </w:r>
          </w:p>
        </w:tc>
      </w:tr>
      <w:tr w14:paraId="455743E4">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7FC3F0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8D01C0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14</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16DDD6E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院区非机动停被秩序混乱未及时整理、机动车乱停乱放未及时引导</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13EC545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1FD108CD">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675FE8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66B1E4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L5</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1A1A1BD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私放机动车辆〔人情车）进出院区的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0DA93BD1">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275563C1">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34A119A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835B9A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w:t>
            </w:r>
            <w:r>
              <w:rPr>
                <w:rFonts w:cs="宋体" w:asciiTheme="majorEastAsia" w:hAnsiTheme="majorEastAsia" w:eastAsiaTheme="majorEastAsia"/>
                <w:color w:val="000000" w:themeColor="text1"/>
                <w:kern w:val="0"/>
                <w:sz w:val="24"/>
                <w:szCs w:val="24"/>
                <w14:textFill>
                  <w14:solidFill>
                    <w14:schemeClr w14:val="tx1"/>
                  </w14:solidFill>
                </w14:textFill>
              </w:rPr>
              <w:t>6</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7C74442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院内出现非法营运的“黑车”</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42DBCB5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扣1分/次</w:t>
            </w:r>
          </w:p>
        </w:tc>
      </w:tr>
      <w:tr w14:paraId="627302A0">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71A1248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旦</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常</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工</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作</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记</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录</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DE32F0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w:t>
            </w:r>
            <w:r>
              <w:rPr>
                <w:rFonts w:cs="宋体" w:asciiTheme="majorEastAsia" w:hAnsiTheme="majorEastAsia" w:eastAsiaTheme="majorEastAsia"/>
                <w:color w:val="000000" w:themeColor="text1"/>
                <w:kern w:val="0"/>
                <w:sz w:val="24"/>
                <w:szCs w:val="24"/>
                <w14:textFill>
                  <w14:solidFill>
                    <w14:schemeClr w14:val="tx1"/>
                  </w14:solidFill>
                </w14:textFill>
              </w:rPr>
              <w:t>7</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38A4738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发现采购人财物存在失盗凤险，不及时预警处置的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5563554F">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37107F91">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B9CDC2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EAB1904">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18</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D28B6BA">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当值期间发现保安员有违法犯罪、监守自盗或参加打架斗殴等</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5BAD332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每发现一宗视情节扣以10-30分</w:t>
            </w:r>
          </w:p>
        </w:tc>
      </w:tr>
      <w:tr w14:paraId="30CFF011">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C21D478">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F75999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19</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5AC5916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未严格落实疫情防控规定,疏于值守的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43FED43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每发现一次扣2.5分</w:t>
            </w:r>
          </w:p>
        </w:tc>
      </w:tr>
      <w:tr w14:paraId="3618F86A">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BD6F28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1FD903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0</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7ED1DB4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勾结医托、小偷等非法人员从事非法活动</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137BA1B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扣10分/次</w:t>
            </w:r>
          </w:p>
        </w:tc>
      </w:tr>
      <w:tr w14:paraId="7B263C0A">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013216A">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61A97DC">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1</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4904466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“医闱”中出现烧纸钱、摆花圈、拉横幅、堵大门等行为，在采购人下达指令后30分钟内未成功处置</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286D2DD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扣5分/次</w:t>
            </w:r>
          </w:p>
        </w:tc>
      </w:tr>
      <w:tr w14:paraId="04695D67">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B7C131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43B5CE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2</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74475B9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未主动劝阻止并引导吸烟人员前往吸烟点的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082EEEF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5E38CD6E">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1F1E590">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AE894C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3</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3F57BA6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值班期间消极怠工，出工不出力的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3B8B296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扣0.3分/人/次</w:t>
            </w:r>
          </w:p>
        </w:tc>
      </w:tr>
      <w:tr w14:paraId="7383DAB7">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3522D65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739CCF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24</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4036912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本派驻点遇紧急情况需保安支援时应立即啊应。</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5E15A4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违反每次扣10分</w:t>
            </w:r>
          </w:p>
        </w:tc>
      </w:tr>
      <w:tr w14:paraId="54983BC4">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BB889B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BB073D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5</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3830DEC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保安员在违反纪律或处理事件不当，让并件恶化，损环医院形象或造成经济损失。</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A5F0C8A">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祝情节扣5-10分，追究供应商责任。</w:t>
            </w:r>
          </w:p>
        </w:tc>
      </w:tr>
      <w:tr w14:paraId="50DB1673">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EFA57D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1A111E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6</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1E0A242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院区出现放发传单、小广告，推销食品、药品等现象，保安未及时制止的。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B206BC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扣0.2分/人次</w:t>
            </w:r>
          </w:p>
        </w:tc>
      </w:tr>
      <w:tr w14:paraId="22057F98">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2831886">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178632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27</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13EC74E">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无故缺席采购人组织的各类业务培训、学习或会议的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6E16940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扣0.1分/人/次</w:t>
            </w:r>
          </w:p>
        </w:tc>
      </w:tr>
      <w:tr w14:paraId="138C59D8">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4385F9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C4F368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28</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3EFE4CF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将个人的易燃、易爆等危险物品带入院区的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084FA0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4B8EDDCA">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A307C00">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686616C">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29</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05B41CC7">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保安员在公共场所及其他禁止吸烟的场所内吸烟</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02BB9D2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扣1分/次</w:t>
            </w:r>
          </w:p>
        </w:tc>
      </w:tr>
      <w:tr w14:paraId="39B809BB">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56A323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B50404A">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30</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5051281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未制止宠物入院导致伤人或造成恶劣影响的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0BBE5AA">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4FD3EFDE">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7C8AED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FC28B8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31</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79F24B1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未按规定开展病区防盗巡逻，弄虚作假出现代签名等现象</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6E80221B">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3802BB7B">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568D78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F152748">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32</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3222C15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派驻采购人的保安员未经医院主管部门审核的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2E82130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每斑次扣1分</w:t>
            </w:r>
          </w:p>
        </w:tc>
      </w:tr>
      <w:tr w14:paraId="4C85B02F">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3CC6D5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352CB5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33</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0EBB3847">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在本院范围内发生被愉、被抢事件后，保安未及时处置的.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223B67F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每次扣0.2分</w:t>
            </w:r>
          </w:p>
        </w:tc>
      </w:tr>
      <w:tr w14:paraId="30B44F7A">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F3BDA5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CC3A3B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3</w:t>
            </w:r>
            <w:r>
              <w:rPr>
                <w:rFonts w:hint="eastAsia" w:cs="宋体" w:asciiTheme="majorEastAsia" w:hAnsiTheme="majorEastAsia" w:eastAsiaTheme="majorEastAsia"/>
                <w:color w:val="000000" w:themeColor="text1"/>
                <w:kern w:val="0"/>
                <w:sz w:val="24"/>
                <w:szCs w:val="24"/>
                <w14:textFill>
                  <w14:solidFill>
                    <w14:schemeClr w14:val="tx1"/>
                  </w14:solidFill>
                </w14:textFill>
              </w:rPr>
              <w:t>4</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45FD8C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保安员在采购人工作场所发生吵架行为的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399BFF9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6A68D541">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2FA2301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门</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前</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三</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包</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0648B4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3</w:t>
            </w:r>
            <w:r>
              <w:rPr>
                <w:rFonts w:hint="eastAsia" w:cs="宋体" w:asciiTheme="majorEastAsia" w:hAnsiTheme="majorEastAsia" w:eastAsiaTheme="majorEastAsia"/>
                <w:color w:val="000000" w:themeColor="text1"/>
                <w:kern w:val="0"/>
                <w:sz w:val="24"/>
                <w:szCs w:val="24"/>
                <w14:textFill>
                  <w14:solidFill>
                    <w14:schemeClr w14:val="tx1"/>
                  </w14:solidFill>
                </w14:textFill>
              </w:rPr>
              <w:t>5</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BF4293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“门前三包”范围内出现车辆乱停乱放、乱摆摊点，未予制止的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70FD22C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2536E375">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279A927">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369AC9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3</w:t>
            </w:r>
            <w:r>
              <w:rPr>
                <w:rFonts w:hint="eastAsia" w:cs="宋体" w:asciiTheme="majorEastAsia" w:hAnsiTheme="majorEastAsia" w:eastAsiaTheme="majorEastAsia"/>
                <w:color w:val="000000" w:themeColor="text1"/>
                <w:kern w:val="0"/>
                <w:sz w:val="24"/>
                <w:szCs w:val="24"/>
                <w14:textFill>
                  <w14:solidFill>
                    <w14:schemeClr w14:val="tx1"/>
                  </w14:solidFill>
                </w14:textFill>
              </w:rPr>
              <w:t>6</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5768A2F2">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发现“三无”人员、流浪乞讨人员在院内及“门前三包”范围内未及时劝离的</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2E6EA39E">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扣0.2/次</w:t>
            </w:r>
          </w:p>
        </w:tc>
      </w:tr>
      <w:tr w14:paraId="13432C77">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16D25DB8">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应</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急</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处</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立</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类</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A83A106">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37</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07DD0B9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处理一般事故:派1-2人，6分钟内到场│(小纠纷、财物失窃损坏、人员被困等)</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691B55D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没按规定人数或时间到场而造成一定影响的扣1-3分</w:t>
            </w:r>
          </w:p>
        </w:tc>
      </w:tr>
      <w:tr w14:paraId="34DF677F">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B684C6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B9B46E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38</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652408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处理重大事故要派2人以上.2-5分钟内到，（人员、重要财物、交通事故、设各灭灾及箕他戎害等）</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41526FAA">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没按规定人数或时间到场而造成负面影响的扣5-10分</w:t>
            </w:r>
          </w:p>
        </w:tc>
      </w:tr>
      <w:tr w14:paraId="294E7959">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376299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728415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39</w:t>
            </w:r>
          </w:p>
        </w:tc>
        <w:tc>
          <w:tcPr>
            <w:tcW w:w="3543" w:type="dxa"/>
            <w:tcBorders>
              <w:top w:val="single" w:color="000000" w:sz="4" w:space="0"/>
              <w:left w:val="single" w:color="000000" w:sz="4" w:space="0"/>
              <w:bottom w:val="single" w:color="000000" w:sz="4" w:space="0"/>
              <w:right w:val="single" w:color="000000" w:sz="4" w:space="0"/>
            </w:tcBorders>
            <w:noWrap/>
            <w:vAlign w:val="center"/>
          </w:tcPr>
          <w:p w14:paraId="6101174F">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处理特大事故：要派</w:t>
            </w:r>
            <w:r>
              <w:rPr>
                <w:rFonts w:cs="宋体" w:asciiTheme="majorEastAsia" w:hAnsiTheme="majorEastAsia" w:eastAsiaTheme="majorEastAsia"/>
                <w:color w:val="000000" w:themeColor="text1"/>
                <w:kern w:val="0"/>
                <w:sz w:val="24"/>
                <w:szCs w:val="24"/>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3</w:t>
            </w:r>
            <w:r>
              <w:rPr>
                <w:rFonts w:cs="宋体" w:asciiTheme="majorEastAsia" w:hAnsiTheme="majorEastAsia" w:eastAsiaTheme="majorEastAsia"/>
                <w:color w:val="000000" w:themeColor="text1"/>
                <w:kern w:val="0"/>
                <w:sz w:val="24"/>
                <w:szCs w:val="24"/>
                <w14:textFill>
                  <w14:solidFill>
                    <w14:schemeClr w14:val="tx1"/>
                  </w14:solidFill>
                </w14:textFill>
              </w:rPr>
              <w:t>人以上、1-3 分</w:t>
            </w:r>
            <w:r>
              <w:rPr>
                <w:rFonts w:hint="eastAsia" w:cs="宋体" w:asciiTheme="majorEastAsia" w:hAnsiTheme="majorEastAsia" w:eastAsiaTheme="majorEastAsia"/>
                <w:color w:val="000000" w:themeColor="text1"/>
                <w:kern w:val="0"/>
                <w:sz w:val="24"/>
                <w:szCs w:val="24"/>
                <w14:textFill>
                  <w14:solidFill>
                    <w14:schemeClr w14:val="tx1"/>
                  </w14:solidFill>
                </w14:textFill>
              </w:rPr>
              <w:t>内到场（人员亡、重要设备及一些区域性灾害）</w:t>
            </w:r>
          </w:p>
        </w:tc>
        <w:tc>
          <w:tcPr>
            <w:tcW w:w="3198" w:type="dxa"/>
            <w:tcBorders>
              <w:top w:val="single" w:color="000000" w:sz="4" w:space="0"/>
              <w:left w:val="single" w:color="000000" w:sz="4" w:space="0"/>
              <w:bottom w:val="single" w:color="000000" w:sz="4" w:space="0"/>
              <w:right w:val="single" w:color="000000" w:sz="4" w:space="0"/>
            </w:tcBorders>
            <w:noWrap/>
            <w:vAlign w:val="center"/>
          </w:tcPr>
          <w:p w14:paraId="4F38D1E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没按规定相应人投或时间到场而造</w:t>
            </w:r>
            <w:r>
              <w:rPr>
                <w:rFonts w:hint="eastAsia"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kern w:val="0"/>
                <w:sz w:val="24"/>
                <w:szCs w:val="24"/>
                <w14:textFill>
                  <w14:solidFill>
                    <w14:schemeClr w14:val="tx1"/>
                  </w14:solidFill>
                </w14:textFill>
              </w:rPr>
              <w:t>成灾害开级原因.追究主要人员责任并扣</w:t>
            </w:r>
            <w:r>
              <w:rPr>
                <w:rFonts w:cs="宋体" w:asciiTheme="majorEastAsia" w:hAnsiTheme="majorEastAsia" w:eastAsiaTheme="majorEastAsia"/>
                <w:color w:val="000000" w:themeColor="text1"/>
                <w:kern w:val="0"/>
                <w:sz w:val="24"/>
                <w:szCs w:val="24"/>
                <w14:textFill>
                  <w14:solidFill>
                    <w14:schemeClr w14:val="tx1"/>
                  </w14:solidFill>
                </w14:textFill>
              </w:rPr>
              <w:t>10-50分</w:t>
            </w:r>
          </w:p>
        </w:tc>
      </w:tr>
      <w:tr w14:paraId="6380DF0E">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3D64DF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7B72A496">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CFFAF1F">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处置突发事件不力，出现畏缩不前、括径怕重、借故回避、临阵脱逃，袖手旁观、拒不服从命令等现象</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7E04BDAF">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少数队员行为扣1分/次/人:</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集体行为扣50分/次。</w:t>
            </w:r>
          </w:p>
        </w:tc>
      </w:tr>
      <w:tr w14:paraId="7C45FBAB">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36661DCA">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89BCDE8">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08318B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保安员在医患纠纷现场防范不力，造成医务人员遭殴打、围攻、控制人身自由等后果</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4379A8C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扣3分/次</w:t>
            </w:r>
          </w:p>
        </w:tc>
      </w:tr>
      <w:tr w14:paraId="176BD94F">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E0542B5">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FE7647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4</w:t>
            </w:r>
            <w:r>
              <w:rPr>
                <w:rFonts w:hint="eastAsia" w:cs="宋体" w:asciiTheme="majorEastAsia" w:hAnsiTheme="majorEastAsia" w:eastAsiaTheme="majorEastAsia"/>
                <w:color w:val="000000" w:themeColor="text1"/>
                <w:kern w:val="0"/>
                <w:sz w:val="24"/>
                <w:szCs w:val="24"/>
                <w14:textFill>
                  <w14:solidFill>
                    <w14:schemeClr w14:val="tx1"/>
                  </w14:solidFill>
                </w14:textFill>
              </w:rPr>
              <w:t>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FAD819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保安员值班期间睡岗、脱岗、饮酒、赌博或酒后上岗</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860C94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扣3分/次</w:t>
            </w:r>
          </w:p>
        </w:tc>
      </w:tr>
      <w:tr w14:paraId="5894C6E1">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92A813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71D8E561">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4</w:t>
            </w:r>
            <w:r>
              <w:rPr>
                <w:rFonts w:hint="eastAsia" w:cs="宋体" w:asciiTheme="majorEastAsia" w:hAnsiTheme="majorEastAsia" w:eastAsiaTheme="majorEastAsia"/>
                <w:color w:val="000000" w:themeColor="text1"/>
                <w:kern w:val="0"/>
                <w:sz w:val="24"/>
                <w:szCs w:val="24"/>
                <w14:textFill>
                  <w14:solidFill>
                    <w14:schemeClr w14:val="tx1"/>
                  </w14:solidFill>
                </w14:textFill>
              </w:rPr>
              <w:t>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66AE3B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不能熟练使用防暴器材的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002AA8D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726CE3E1">
        <w:tblPrEx>
          <w:tblCellMar>
            <w:top w:w="15" w:type="dxa"/>
            <w:left w:w="15" w:type="dxa"/>
            <w:bottom w:w="15" w:type="dxa"/>
            <w:right w:w="15"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noWrap/>
            <w:vAlign w:val="bottom"/>
          </w:tcPr>
          <w:p w14:paraId="3BC5A82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节</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能</w:t>
            </w:r>
          </w:p>
          <w:p w14:paraId="6FA05C1E">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减</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排</w:t>
            </w: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7572390C">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00A2C2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巡逻保安员在公共区域未按节能管控要求开展节能管控工作的（公共区坂的照明灯、空调等〕</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3FCD1A8A">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违反每次扣0.5分</w:t>
            </w:r>
          </w:p>
        </w:tc>
      </w:tr>
      <w:tr w14:paraId="2C589304">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bottom"/>
          </w:tcPr>
          <w:p w14:paraId="1958BAA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消</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防</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管</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理</w:t>
            </w: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18E44CA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01127F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每年至少联合</w:t>
            </w:r>
            <w:r>
              <w:rPr>
                <w:rFonts w:hint="eastAsia" w:cs="宋体" w:asciiTheme="majorEastAsia" w:hAnsiTheme="majorEastAsia" w:eastAsiaTheme="majorEastAsia"/>
                <w:color w:val="000000" w:themeColor="text1"/>
                <w:kern w:val="0"/>
                <w:sz w:val="24"/>
                <w:szCs w:val="24"/>
                <w14:textFill>
                  <w14:solidFill>
                    <w14:schemeClr w14:val="tx1"/>
                  </w14:solidFill>
                </w14:textFill>
              </w:rPr>
              <w:t>采购方</w:t>
            </w:r>
            <w:r>
              <w:rPr>
                <w:rFonts w:cs="宋体" w:asciiTheme="majorEastAsia" w:hAnsiTheme="majorEastAsia" w:eastAsiaTheme="majorEastAsia"/>
                <w:color w:val="000000" w:themeColor="text1"/>
                <w:kern w:val="0"/>
                <w:sz w:val="24"/>
                <w:szCs w:val="24"/>
                <w14:textFill>
                  <w14:solidFill>
                    <w14:schemeClr w14:val="tx1"/>
                  </w14:solidFill>
                </w14:textFill>
              </w:rPr>
              <w:t>开展</w:t>
            </w:r>
            <w:r>
              <w:rPr>
                <w:rFonts w:hint="eastAsia" w:cs="宋体" w:asciiTheme="majorEastAsia" w:hAnsiTheme="majorEastAsia" w:eastAsiaTheme="majorEastAsia"/>
                <w:color w:val="000000" w:themeColor="text1"/>
                <w:kern w:val="0"/>
                <w:sz w:val="24"/>
                <w:szCs w:val="24"/>
                <w14:textFill>
                  <w14:solidFill>
                    <w14:schemeClr w14:val="tx1"/>
                  </w14:solidFill>
                </w14:textFill>
              </w:rPr>
              <w:t>2</w:t>
            </w:r>
            <w:r>
              <w:rPr>
                <w:rFonts w:cs="宋体" w:asciiTheme="majorEastAsia" w:hAnsiTheme="majorEastAsia" w:eastAsiaTheme="majorEastAsia"/>
                <w:color w:val="000000" w:themeColor="text1"/>
                <w:kern w:val="0"/>
                <w:sz w:val="24"/>
                <w:szCs w:val="24"/>
                <w14:textFill>
                  <w14:solidFill>
                    <w14:schemeClr w14:val="tx1"/>
                  </w14:solidFill>
                </w14:textFill>
              </w:rPr>
              <w:t>次反恐防暴、医闹及消防演练〔上、下半年至少开展1次相关演练)</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5697694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扣10分/次</w:t>
            </w:r>
          </w:p>
        </w:tc>
      </w:tr>
      <w:tr w14:paraId="6B33F775">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577952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5E9601F9">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593343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不熟悉消防设施操作方法、应急处置流程</w:t>
            </w:r>
            <w:r>
              <w:rPr>
                <w:rFonts w:hint="eastAsia" w:cs="宋体" w:asciiTheme="majorEastAsia" w:hAnsiTheme="majorEastAsia" w:eastAsiaTheme="majorEastAsia"/>
                <w:color w:val="000000" w:themeColor="text1"/>
                <w:kern w:val="0"/>
                <w:sz w:val="24"/>
                <w:szCs w:val="24"/>
                <w14:textFill>
                  <w14:solidFill>
                    <w14:schemeClr w14:val="tx1"/>
                  </w14:solidFill>
                </w14:textFill>
              </w:rPr>
              <w:t>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3CA15F5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扣1分/次</w:t>
            </w:r>
          </w:p>
        </w:tc>
      </w:tr>
      <w:tr w14:paraId="41616B24">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8DF1E12">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3773DC70">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C3A973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发现无动火证</w:t>
            </w:r>
            <w:r>
              <w:rPr>
                <w:rFonts w:hint="eastAsia" w:cs="宋体" w:asciiTheme="majorEastAsia" w:hAnsiTheme="majorEastAsia" w:eastAsiaTheme="majorEastAsia"/>
                <w:color w:val="000000" w:themeColor="text1"/>
                <w:kern w:val="0"/>
                <w:sz w:val="24"/>
                <w:szCs w:val="24"/>
                <w14:textFill>
                  <w14:solidFill>
                    <w14:schemeClr w14:val="tx1"/>
                  </w14:solidFill>
                </w14:textFill>
              </w:rPr>
              <w:t>施</w:t>
            </w:r>
            <w:r>
              <w:rPr>
                <w:rFonts w:cs="宋体" w:asciiTheme="majorEastAsia" w:hAnsiTheme="majorEastAsia" w:eastAsiaTheme="majorEastAsia"/>
                <w:color w:val="000000" w:themeColor="text1"/>
                <w:kern w:val="0"/>
                <w:sz w:val="24"/>
                <w:szCs w:val="24"/>
                <w14:textFill>
                  <w14:solidFill>
                    <w14:schemeClr w14:val="tx1"/>
                  </w14:solidFill>
                </w14:textFill>
              </w:rPr>
              <w:t>工作业，不立即及时制止的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2A2F40A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43463136">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F4A565C">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B3A137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1B95C79">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保安队员对消防“四个能力"“三懂三会"知识不掌握、不熟悉的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56F6D9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扣0.5分/次/人</w:t>
            </w:r>
          </w:p>
        </w:tc>
      </w:tr>
      <w:tr w14:paraId="146D0999">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C02742A">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68A9E44B">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4DA67A7">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未按消防规定对重点部位每2小时进行巡查或记录的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01AF3FF">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违反每次扣1分</w:t>
            </w:r>
          </w:p>
        </w:tc>
      </w:tr>
      <w:tr w14:paraId="0738ED93">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320093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682BBBD6">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E73575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保安队员对各类灭火器、消火栓使用方法不熟悉</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28DDAC3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扣1分/次</w:t>
            </w:r>
          </w:p>
        </w:tc>
      </w:tr>
      <w:tr w14:paraId="07FE7505">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F3ABD9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21AC6D6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626E7AE">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协助消控室人员做好</w:t>
            </w:r>
            <w:r>
              <w:rPr>
                <w:rFonts w:cs="宋体" w:asciiTheme="majorEastAsia" w:hAnsiTheme="majorEastAsia" w:eastAsiaTheme="majorEastAsia"/>
                <w:color w:val="000000" w:themeColor="text1"/>
                <w:kern w:val="0"/>
                <w:sz w:val="24"/>
                <w:szCs w:val="24"/>
                <w14:textFill>
                  <w14:solidFill>
                    <w14:schemeClr w14:val="tx1"/>
                  </w14:solidFill>
                </w14:textFill>
              </w:rPr>
              <w:t>消防设备和监控设备工作，发现</w:t>
            </w:r>
            <w:r>
              <w:rPr>
                <w:rFonts w:hint="eastAsia" w:cs="宋体" w:asciiTheme="majorEastAsia" w:hAnsiTheme="majorEastAsia" w:eastAsiaTheme="majorEastAsia"/>
                <w:color w:val="000000" w:themeColor="text1"/>
                <w:kern w:val="0"/>
                <w:sz w:val="24"/>
                <w:szCs w:val="24"/>
                <w14:textFill>
                  <w14:solidFill>
                    <w14:schemeClr w14:val="tx1"/>
                  </w14:solidFill>
                </w14:textFill>
              </w:rPr>
              <w:t>故障</w:t>
            </w:r>
            <w:r>
              <w:rPr>
                <w:rFonts w:cs="宋体" w:asciiTheme="majorEastAsia" w:hAnsiTheme="majorEastAsia" w:eastAsiaTheme="majorEastAsia"/>
                <w:color w:val="000000" w:themeColor="text1"/>
                <w:kern w:val="0"/>
                <w:sz w:val="24"/>
                <w:szCs w:val="24"/>
                <w14:textFill>
                  <w14:solidFill>
                    <w14:schemeClr w14:val="tx1"/>
                  </w14:solidFill>
                </w14:textFill>
              </w:rPr>
              <w:t>在5</w:t>
            </w:r>
            <w:r>
              <w:rPr>
                <w:rFonts w:hint="eastAsia" w:cs="宋体" w:asciiTheme="majorEastAsia" w:hAnsiTheme="majorEastAsia" w:eastAsiaTheme="majorEastAsia"/>
                <w:color w:val="000000" w:themeColor="text1"/>
                <w:kern w:val="0"/>
                <w:sz w:val="24"/>
                <w:szCs w:val="24"/>
                <w14:textFill>
                  <w14:solidFill>
                    <w14:schemeClr w14:val="tx1"/>
                  </w14:solidFill>
                </w14:textFill>
              </w:rPr>
              <w:t>分</w:t>
            </w:r>
            <w:r>
              <w:rPr>
                <w:rFonts w:cs="宋体" w:asciiTheme="majorEastAsia" w:hAnsiTheme="majorEastAsia" w:eastAsiaTheme="majorEastAsia"/>
                <w:color w:val="000000" w:themeColor="text1"/>
                <w:kern w:val="0"/>
                <w:sz w:val="24"/>
                <w:szCs w:val="24"/>
                <w14:textFill>
                  <w14:solidFill>
                    <w14:schemeClr w14:val="tx1"/>
                  </w14:solidFill>
                </w14:textFill>
              </w:rPr>
              <w:t>钟内报修并协助处理。</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43088E7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违反每次扣1分</w:t>
            </w:r>
          </w:p>
        </w:tc>
      </w:tr>
      <w:tr w14:paraId="2A3332C1">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D8B7500">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FC96B2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4EE1690">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院内消防通道被堵塞，未及时疏导的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1436526C">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扣0.5分/次</w:t>
            </w:r>
          </w:p>
        </w:tc>
      </w:tr>
      <w:tr w14:paraId="7360B22A">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3DCF1A1B">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35DE588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F628618">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定期巡查院内消火栓、灭火器，发现漏检的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69AEAF1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6FE3D4D8">
        <w:tblPrEx>
          <w:tblCellMar>
            <w:top w:w="15" w:type="dxa"/>
            <w:left w:w="15" w:type="dxa"/>
            <w:bottom w:w="15" w:type="dxa"/>
            <w:right w:w="15"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bottom"/>
          </w:tcPr>
          <w:p w14:paraId="2134C9FF">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容</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仪</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表</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类</w:t>
            </w: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5D2DD24A">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5</w:t>
            </w:r>
            <w:r>
              <w:rPr>
                <w:rFonts w:hint="eastAsia" w:cs="宋体" w:asciiTheme="majorEastAsia" w:hAnsiTheme="majorEastAsia" w:eastAsiaTheme="majorEastAsia"/>
                <w:color w:val="000000" w:themeColor="text1"/>
                <w:kern w:val="0"/>
                <w:sz w:val="24"/>
                <w:szCs w:val="24"/>
                <w14:textFill>
                  <w14:solidFill>
                    <w14:schemeClr w14:val="tx1"/>
                  </w14:solidFill>
                </w14:textFill>
              </w:rPr>
              <w:t>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C7B324E">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帽徽</w:t>
            </w:r>
            <w:r>
              <w:rPr>
                <w:rFonts w:cs="宋体" w:asciiTheme="majorEastAsia" w:hAnsiTheme="majorEastAsia" w:eastAsiaTheme="majorEastAsia"/>
                <w:color w:val="000000" w:themeColor="text1"/>
                <w:kern w:val="0"/>
                <w:sz w:val="24"/>
                <w:szCs w:val="24"/>
                <w14:textFill>
                  <w14:solidFill>
                    <w14:schemeClr w14:val="tx1"/>
                  </w14:solidFill>
                </w14:textFill>
              </w:rPr>
              <w:t>、肩章、臂章佩带不标准的</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031E182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4106E354">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09A8213">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64F12100">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3FDE0B3">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保安员在岗期间，着保安服时应举止端庄，谈吐文明，精神振作，姿态得体，</w:t>
            </w:r>
            <w:r>
              <w:rPr>
                <w:rFonts w:cs="宋体" w:asciiTheme="majorEastAsia" w:hAnsiTheme="majorEastAsia" w:eastAsiaTheme="majorEastAsia"/>
                <w:color w:val="000000" w:themeColor="text1"/>
                <w:kern w:val="0"/>
                <w:sz w:val="24"/>
                <w:szCs w:val="24"/>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14:textFill>
                  <w14:solidFill>
                    <w14:schemeClr w14:val="tx1"/>
                  </w14:solidFill>
                </w14:textFill>
              </w:rPr>
              <w:t>不得袖手、背手或将手插入衣袋，不得边走边吃东西、不得搭肩挽臂等</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0F06A484">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109F44C8">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9898557">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0FAA95DA">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4F086B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坐立时翘起二部腿，躺〔睡）在椅（桌)子上</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0E3C02AD">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扣0.1分/次</w:t>
            </w:r>
          </w:p>
        </w:tc>
      </w:tr>
      <w:tr w14:paraId="3A8D9E65">
        <w:tblPrEx>
          <w:tblCellMar>
            <w:top w:w="15" w:type="dxa"/>
            <w:left w:w="15" w:type="dxa"/>
            <w:bottom w:w="15" w:type="dxa"/>
            <w:right w:w="15"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F9069A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noWrap/>
            <w:vAlign w:val="bottom"/>
          </w:tcPr>
          <w:p w14:paraId="57247CCD">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5526D96">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值班室卫生不干净、不整洁，室内有姻头、烟灰缸</w:t>
            </w:r>
          </w:p>
        </w:tc>
        <w:tc>
          <w:tcPr>
            <w:tcW w:w="3198" w:type="dxa"/>
            <w:tcBorders>
              <w:top w:val="single" w:color="000000" w:sz="4" w:space="0"/>
              <w:left w:val="single" w:color="000000" w:sz="4" w:space="0"/>
              <w:bottom w:val="single" w:color="000000" w:sz="4" w:space="0"/>
              <w:right w:val="single" w:color="000000" w:sz="4" w:space="0"/>
            </w:tcBorders>
            <w:noWrap/>
            <w:vAlign w:val="bottom"/>
          </w:tcPr>
          <w:p w14:paraId="58B8FB25">
            <w:pPr>
              <w:widowControl/>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扣0.1分/次</w:t>
            </w:r>
          </w:p>
        </w:tc>
      </w:tr>
    </w:tbl>
    <w:p w14:paraId="0E1DBF93">
      <w:pPr>
        <w:pStyle w:val="4"/>
        <w:ind w:firstLine="0" w:firstLineChars="0"/>
        <w:rPr>
          <w:rFonts w:asciiTheme="majorEastAsia" w:hAnsiTheme="majorEastAsia" w:eastAsiaTheme="majorEastAsia"/>
          <w:color w:val="000000" w:themeColor="text1"/>
          <w:sz w:val="24"/>
          <w:szCs w:val="24"/>
          <w14:textFill>
            <w14:solidFill>
              <w14:schemeClr w14:val="tx1"/>
            </w14:solidFill>
          </w14:textFill>
        </w:rPr>
      </w:pPr>
    </w:p>
    <w:p w14:paraId="5744C5D9">
      <w:pPr>
        <w:pStyle w:val="4"/>
        <w:ind w:firstLine="0" w:firstLineChars="0"/>
        <w:rPr>
          <w:rFonts w:cs="宋体" w:asciiTheme="majorEastAsia" w:hAnsiTheme="majorEastAsia" w:eastAsiaTheme="majorEastAsia"/>
          <w:b/>
          <w:color w:val="000000" w:themeColor="text1"/>
          <w:sz w:val="24"/>
          <w:szCs w:val="24"/>
          <w14:textFill>
            <w14:solidFill>
              <w14:schemeClr w14:val="tx1"/>
            </w14:solidFill>
          </w14:textFill>
        </w:rPr>
      </w:pPr>
    </w:p>
    <w:p w14:paraId="110D642D">
      <w:pPr>
        <w:adjustRightInd w:val="0"/>
        <w:snapToGrid w:val="0"/>
        <w:spacing w:line="500" w:lineRule="exact"/>
        <w:outlineLvl w:val="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（二）满意度调查</w:t>
      </w:r>
    </w:p>
    <w:p w14:paraId="2D10069B">
      <w:pPr>
        <w:pStyle w:val="4"/>
        <w:ind w:firstLine="482"/>
        <w:rPr>
          <w:rFonts w:cs="宋体" w:asciiTheme="majorEastAsia" w:hAnsiTheme="majorEastAsia" w:eastAsiaTheme="majorEastAsia"/>
          <w:b/>
          <w:bCs/>
          <w:color w:val="000000" w:themeColor="text1"/>
          <w:kern w:val="2"/>
          <w:sz w:val="24"/>
          <w:szCs w:val="24"/>
          <w14:textFill>
            <w14:solidFill>
              <w14:schemeClr w14:val="tx1"/>
            </w14:solidFill>
          </w14:textFill>
        </w:rPr>
      </w:pPr>
      <w:r>
        <w:rPr>
          <w:rFonts w:hint="eastAsia" w:cs="宋体" w:asciiTheme="majorEastAsia" w:hAnsiTheme="majorEastAsia" w:eastAsiaTheme="majorEastAsia"/>
          <w:b/>
          <w:bCs/>
          <w:color w:val="000000" w:themeColor="text1"/>
          <w:kern w:val="2"/>
          <w:sz w:val="24"/>
          <w:szCs w:val="24"/>
          <w14:textFill>
            <w14:solidFill>
              <w14:schemeClr w14:val="tx1"/>
            </w14:solidFill>
          </w14:textFill>
        </w:rPr>
        <w:t>附表二</w:t>
      </w:r>
    </w:p>
    <w:p w14:paraId="688C6480">
      <w:pPr>
        <w:pStyle w:val="4"/>
        <w:ind w:firstLine="0" w:firstLineChars="0"/>
        <w:jc w:val="center"/>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海门区三厂街道中心卫生院安保服务</w:t>
      </w:r>
      <w:r>
        <w:rPr>
          <w:rFonts w:hint="eastAsia" w:cs="宋体" w:asciiTheme="majorEastAsia" w:hAnsiTheme="majorEastAsia" w:eastAsiaTheme="majorEastAsia"/>
          <w:color w:val="000000" w:themeColor="text1"/>
          <w:kern w:val="2"/>
          <w:sz w:val="24"/>
          <w:szCs w:val="24"/>
          <w14:textFill>
            <w14:solidFill>
              <w14:schemeClr w14:val="tx1"/>
            </w14:solidFill>
          </w14:textFill>
        </w:rPr>
        <w:t>满意度测评表（总分100分）</w:t>
      </w:r>
    </w:p>
    <w:p w14:paraId="31DF8A43">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尊敬的女士/ / 先生：</w:t>
      </w:r>
    </w:p>
    <w:p w14:paraId="50977ADD">
      <w:pPr>
        <w:pStyle w:val="4"/>
        <w:ind w:firstLine="480"/>
        <w:rPr>
          <w:rFonts w:cs="宋体" w:asciiTheme="majorEastAsia" w:hAnsiTheme="majorEastAsia" w:eastAsiaTheme="majorEastAsia"/>
          <w:color w:val="000000" w:themeColor="text1"/>
          <w:kern w:val="2"/>
          <w:sz w:val="24"/>
          <w:szCs w:val="24"/>
          <w14:textFill>
            <w14:solidFill>
              <w14:schemeClr w14:val="tx1"/>
            </w14:solidFill>
          </w14:textFill>
        </w:rPr>
      </w:pPr>
      <w:r>
        <w:rPr>
          <w:rFonts w:hint="eastAsia" w:cs="宋体" w:asciiTheme="majorEastAsia" w:hAnsiTheme="majorEastAsia" w:eastAsiaTheme="majorEastAsia"/>
          <w:color w:val="000000" w:themeColor="text1"/>
          <w:kern w:val="2"/>
          <w:sz w:val="24"/>
          <w:szCs w:val="24"/>
          <w14:textFill>
            <w14:solidFill>
              <w14:schemeClr w14:val="tx1"/>
            </w14:solidFill>
          </w14:textFill>
        </w:rPr>
        <w:t>您好！为进一步提高我院保安服务质量，请您抽出一点宝贵时间，对我院保安服务工作做出评价，请在相应的评价栏内“√ ”，谢谢！</w:t>
      </w:r>
    </w:p>
    <w:tbl>
      <w:tblPr>
        <w:tblStyle w:val="8"/>
        <w:tblW w:w="96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1559"/>
        <w:gridCol w:w="1276"/>
        <w:gridCol w:w="1134"/>
        <w:gridCol w:w="1589"/>
      </w:tblGrid>
      <w:tr w14:paraId="74FA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111" w:type="dxa"/>
            <w:vAlign w:val="bottom"/>
          </w:tcPr>
          <w:p w14:paraId="087B2872">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内 容</w:t>
            </w:r>
          </w:p>
        </w:tc>
        <w:tc>
          <w:tcPr>
            <w:tcW w:w="1559" w:type="dxa"/>
            <w:vAlign w:val="bottom"/>
          </w:tcPr>
          <w:p w14:paraId="409DEE6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满意</w:t>
            </w:r>
          </w:p>
          <w:p w14:paraId="46903DC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（10 分</w:t>
            </w:r>
          </w:p>
        </w:tc>
        <w:tc>
          <w:tcPr>
            <w:tcW w:w="1276" w:type="dxa"/>
          </w:tcPr>
          <w:p w14:paraId="49BD7BF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基本满意</w:t>
            </w:r>
          </w:p>
          <w:p w14:paraId="3B4DE69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（7 分）</w:t>
            </w:r>
          </w:p>
        </w:tc>
        <w:tc>
          <w:tcPr>
            <w:tcW w:w="1134" w:type="dxa"/>
          </w:tcPr>
          <w:p w14:paraId="7EFED8BE">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不满意</w:t>
            </w:r>
          </w:p>
          <w:p w14:paraId="7A34CDA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（5 分）</w:t>
            </w:r>
          </w:p>
        </w:tc>
        <w:tc>
          <w:tcPr>
            <w:tcW w:w="1589" w:type="dxa"/>
            <w:vAlign w:val="bottom"/>
          </w:tcPr>
          <w:p w14:paraId="655F852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备注</w:t>
            </w:r>
          </w:p>
        </w:tc>
      </w:tr>
      <w:tr w14:paraId="15CE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center"/>
          </w:tcPr>
          <w:p w14:paraId="0F9AA3A5">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保安员的形象</w:t>
            </w:r>
          </w:p>
        </w:tc>
        <w:tc>
          <w:tcPr>
            <w:tcW w:w="1559" w:type="dxa"/>
            <w:vAlign w:val="center"/>
          </w:tcPr>
          <w:p w14:paraId="0AC4136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4A9C735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2185607F">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3F324B2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72B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center"/>
          </w:tcPr>
          <w:p w14:paraId="2129983F">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保安员服务态度</w:t>
            </w:r>
          </w:p>
        </w:tc>
        <w:tc>
          <w:tcPr>
            <w:tcW w:w="1559" w:type="dxa"/>
            <w:vAlign w:val="center"/>
          </w:tcPr>
          <w:p w14:paraId="0C3AB34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0B4C0E81">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10A27936">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4ACB90E8">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53CE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11" w:type="dxa"/>
            <w:vAlign w:val="bottom"/>
          </w:tcPr>
          <w:p w14:paraId="721C1DD9">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保安员的接警速度</w:t>
            </w:r>
          </w:p>
        </w:tc>
        <w:tc>
          <w:tcPr>
            <w:tcW w:w="1559" w:type="dxa"/>
            <w:vAlign w:val="center"/>
          </w:tcPr>
          <w:p w14:paraId="10005DB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3BC8A1E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376D755E">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3244159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7CB8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bottom"/>
          </w:tcPr>
          <w:p w14:paraId="35B49D2D">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接警后到达现场时间</w:t>
            </w:r>
          </w:p>
        </w:tc>
        <w:tc>
          <w:tcPr>
            <w:tcW w:w="1559" w:type="dxa"/>
            <w:vAlign w:val="center"/>
          </w:tcPr>
          <w:p w14:paraId="51852E87">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502C0A2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74FF9AC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7A933F46">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145D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bottom"/>
          </w:tcPr>
          <w:p w14:paraId="1AFA3126">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保安员的巡查频率</w:t>
            </w:r>
          </w:p>
        </w:tc>
        <w:tc>
          <w:tcPr>
            <w:tcW w:w="1559" w:type="dxa"/>
            <w:vAlign w:val="center"/>
          </w:tcPr>
          <w:p w14:paraId="1C59FF2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18C4512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68D47DA0">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6A89CE52">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2309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bottom"/>
          </w:tcPr>
          <w:p w14:paraId="6F2726BF">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安全防范宣传情况</w:t>
            </w:r>
          </w:p>
        </w:tc>
        <w:tc>
          <w:tcPr>
            <w:tcW w:w="1559" w:type="dxa"/>
            <w:vAlign w:val="center"/>
          </w:tcPr>
          <w:p w14:paraId="4E33501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3F537B2F">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05F5318C">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09D5A26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489E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11" w:type="dxa"/>
            <w:vAlign w:val="bottom"/>
          </w:tcPr>
          <w:p w14:paraId="068031D0">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对突发事件处理情况</w:t>
            </w:r>
          </w:p>
        </w:tc>
        <w:tc>
          <w:tcPr>
            <w:tcW w:w="1559" w:type="dxa"/>
            <w:vAlign w:val="center"/>
          </w:tcPr>
          <w:p w14:paraId="01D2C52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4AEF73D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10BC966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6AEABD01">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58A5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bottom"/>
          </w:tcPr>
          <w:p w14:paraId="7E765837">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医院的治安状况</w:t>
            </w:r>
          </w:p>
        </w:tc>
        <w:tc>
          <w:tcPr>
            <w:tcW w:w="1559" w:type="dxa"/>
            <w:vAlign w:val="center"/>
          </w:tcPr>
          <w:p w14:paraId="0C7B85B0">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1B84CA90">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7411E2E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33DA7D4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7CB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11" w:type="dxa"/>
            <w:vAlign w:val="bottom"/>
          </w:tcPr>
          <w:p w14:paraId="3C7545FC">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消防管理工作是否规范</w:t>
            </w:r>
          </w:p>
        </w:tc>
        <w:tc>
          <w:tcPr>
            <w:tcW w:w="1559" w:type="dxa"/>
            <w:vAlign w:val="center"/>
          </w:tcPr>
          <w:p w14:paraId="2044312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3A98C032">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76FC997B">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11BC2B2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0F06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11" w:type="dxa"/>
            <w:vAlign w:val="bottom"/>
          </w:tcPr>
          <w:p w14:paraId="09C83711">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疫情防控措施是否规范</w:t>
            </w:r>
          </w:p>
        </w:tc>
        <w:tc>
          <w:tcPr>
            <w:tcW w:w="1559" w:type="dxa"/>
            <w:vAlign w:val="center"/>
          </w:tcPr>
          <w:p w14:paraId="4F2D9D54">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276" w:type="dxa"/>
          </w:tcPr>
          <w:p w14:paraId="1C56CEF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134" w:type="dxa"/>
          </w:tcPr>
          <w:p w14:paraId="5CF0691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c>
          <w:tcPr>
            <w:tcW w:w="1589" w:type="dxa"/>
            <w:vAlign w:val="center"/>
          </w:tcPr>
          <w:p w14:paraId="0746F8F9">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1FC7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111" w:type="dxa"/>
            <w:vAlign w:val="bottom"/>
          </w:tcPr>
          <w:p w14:paraId="632FBDC2">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合计</w:t>
            </w:r>
          </w:p>
        </w:tc>
        <w:tc>
          <w:tcPr>
            <w:tcW w:w="3969" w:type="dxa"/>
            <w:gridSpan w:val="3"/>
            <w:vAlign w:val="center"/>
          </w:tcPr>
          <w:p w14:paraId="2510E0AD">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分</w:t>
            </w:r>
          </w:p>
        </w:tc>
        <w:tc>
          <w:tcPr>
            <w:tcW w:w="1589" w:type="dxa"/>
            <w:vAlign w:val="center"/>
          </w:tcPr>
          <w:p w14:paraId="7100D565">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p>
        </w:tc>
      </w:tr>
      <w:tr w14:paraId="5014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669" w:type="dxa"/>
            <w:gridSpan w:val="5"/>
            <w:vAlign w:val="bottom"/>
          </w:tcPr>
          <w:p w14:paraId="1718123F">
            <w:pPr>
              <w:snapToGrid w:val="0"/>
              <w:spacing w:line="360" w:lineRule="auto"/>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您对保安服务的总体评价：</w:t>
            </w:r>
          </w:p>
        </w:tc>
      </w:tr>
      <w:tr w14:paraId="324C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669" w:type="dxa"/>
            <w:gridSpan w:val="5"/>
            <w:vAlign w:val="bottom"/>
          </w:tcPr>
          <w:p w14:paraId="041E58AE">
            <w:pPr>
              <w:snapToGrid w:val="0"/>
              <w:spacing w:line="360" w:lineRule="auto"/>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您对保安服务有何意见或建议：</w:t>
            </w:r>
          </w:p>
        </w:tc>
      </w:tr>
    </w:tbl>
    <w:p w14:paraId="160FF5C3">
      <w:pPr>
        <w:snapToGrid w:val="0"/>
        <w:spacing w:line="360" w:lineRule="auto"/>
        <w:jc w:val="center"/>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xml:space="preserve"> </w:t>
      </w:r>
      <w:r>
        <w:rPr>
          <w:rFonts w:cs="宋体" w:asciiTheme="majorEastAsia" w:hAnsiTheme="majorEastAsia" w:eastAsiaTheme="majorEastAsia"/>
          <w:color w:val="000000" w:themeColor="text1"/>
          <w:sz w:val="24"/>
          <w:szCs w:val="24"/>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14:textFill>
            <w14:solidFill>
              <w14:schemeClr w14:val="tx1"/>
            </w14:solidFill>
          </w14:textFill>
        </w:rPr>
        <w:t>调查日期： 年 月 日</w:t>
      </w:r>
    </w:p>
    <w:p w14:paraId="444C467A">
      <w:pPr>
        <w:adjustRightInd w:val="0"/>
        <w:snapToGrid w:val="0"/>
        <w:spacing w:line="500" w:lineRule="exact"/>
        <w:outlineLvl w:val="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特别说明： 以上</w:t>
      </w:r>
      <w:bookmarkStart w:id="104" w:name="_Hlk136010082"/>
      <w:r>
        <w:rPr>
          <w:rFonts w:hint="eastAsia" w:cs="宋体" w:asciiTheme="majorEastAsia" w:hAnsiTheme="majorEastAsia" w:eastAsiaTheme="majorEastAsia"/>
          <w:b/>
          <w:bCs/>
          <w:color w:val="000000" w:themeColor="text1"/>
          <w:sz w:val="24"/>
          <w:szCs w:val="24"/>
          <w14:textFill>
            <w14:solidFill>
              <w14:schemeClr w14:val="tx1"/>
            </w14:solidFill>
          </w14:textFill>
        </w:rPr>
        <w:t>“★”</w:t>
      </w:r>
      <w:bookmarkEnd w:id="104"/>
      <w:r>
        <w:rPr>
          <w:rFonts w:hint="eastAsia" w:cs="宋体" w:asciiTheme="majorEastAsia" w:hAnsiTheme="majorEastAsia" w:eastAsiaTheme="majorEastAsia"/>
          <w:b/>
          <w:bCs/>
          <w:color w:val="000000" w:themeColor="text1"/>
          <w:sz w:val="24"/>
          <w:szCs w:val="24"/>
          <w14:textFill>
            <w14:solidFill>
              <w14:schemeClr w14:val="tx1"/>
            </w14:solidFill>
          </w14:textFill>
        </w:rPr>
        <w:t xml:space="preserve"> 要求标明为实质性要求的，不接受负偏离，否则视为无效投标文件。</w:t>
      </w:r>
    </w:p>
    <w:p w14:paraId="76C88E81">
      <w:pPr>
        <w:pStyle w:val="18"/>
        <w:snapToGrid w:val="0"/>
        <w:spacing w:before="0" w:after="0" w:line="500" w:lineRule="exact"/>
        <w:ind w:left="0" w:right="0" w:firstLine="482" w:firstLineChars="200"/>
        <w:rPr>
          <w:rFonts w:cs="宋体" w:asciiTheme="majorEastAsia" w:hAnsiTheme="majorEastAsia" w:eastAsiaTheme="majorEastAsia"/>
          <w:bCs/>
          <w:color w:val="000000" w:themeColor="text1"/>
          <w:sz w:val="36"/>
          <w:szCs w:val="36"/>
          <w14:textFill>
            <w14:solidFill>
              <w14:schemeClr w14:val="tx1"/>
            </w14:solidFill>
          </w14:textFill>
        </w:rPr>
      </w:pPr>
      <w:r>
        <w:rPr>
          <w:rFonts w:hint="eastAsia" w:cs="宋体" w:asciiTheme="majorEastAsia" w:hAnsiTheme="majorEastAsia" w:eastAsiaTheme="majorEastAsia"/>
          <w:b/>
          <w:color w:val="000000" w:themeColor="text1"/>
          <w14:textFill>
            <w14:solidFill>
              <w14:schemeClr w14:val="tx1"/>
            </w14:solidFill>
          </w14:textFill>
        </w:rPr>
        <w:br w:type="page"/>
      </w:r>
      <w:r>
        <w:rPr>
          <w:rFonts w:hint="eastAsia" w:cs="宋体" w:asciiTheme="majorEastAsia" w:hAnsiTheme="majorEastAsia" w:eastAsiaTheme="majorEastAsia"/>
          <w:b/>
          <w:bCs/>
          <w:color w:val="000000" w:themeColor="text1"/>
          <w:sz w:val="36"/>
          <w:szCs w:val="36"/>
          <w14:textFill>
            <w14:solidFill>
              <w14:schemeClr w14:val="tx1"/>
            </w14:solidFill>
          </w14:textFill>
        </w:rPr>
        <w:t>第四部分  评审方法和评审标准</w:t>
      </w:r>
    </w:p>
    <w:p w14:paraId="00915EFE">
      <w:pPr>
        <w:pStyle w:val="18"/>
        <w:snapToGrid w:val="0"/>
        <w:spacing w:before="0" w:after="0" w:line="500" w:lineRule="exact"/>
        <w:ind w:left="0" w:right="0" w:firstLine="562" w:firstLineChars="200"/>
        <w:jc w:val="left"/>
        <w:rPr>
          <w:rFonts w:cs="宋体" w:asciiTheme="majorEastAsia" w:hAnsiTheme="majorEastAsia" w:eastAsiaTheme="majorEastAsia"/>
          <w:b/>
          <w:bCs/>
          <w:color w:val="000000" w:themeColor="text1"/>
          <w:sz w:val="28"/>
          <w:szCs w:val="28"/>
          <w14:textFill>
            <w14:solidFill>
              <w14:schemeClr w14:val="tx1"/>
            </w14:solidFill>
          </w14:textFill>
        </w:rPr>
      </w:pPr>
      <w:r>
        <w:rPr>
          <w:rFonts w:hint="eastAsia" w:cs="宋体" w:asciiTheme="majorEastAsia" w:hAnsiTheme="majorEastAsia" w:eastAsiaTheme="majorEastAsia"/>
          <w:b/>
          <w:bCs/>
          <w:color w:val="000000" w:themeColor="text1"/>
          <w:sz w:val="28"/>
          <w:szCs w:val="28"/>
          <w14:textFill>
            <w14:solidFill>
              <w14:schemeClr w14:val="tx1"/>
            </w14:solidFill>
          </w14:textFill>
        </w:rPr>
        <w:t>一、磋商方式</w:t>
      </w:r>
    </w:p>
    <w:p w14:paraId="1F7A7730">
      <w:pPr>
        <w:pStyle w:val="18"/>
        <w:snapToGrid w:val="0"/>
        <w:spacing w:before="0" w:after="0" w:line="500" w:lineRule="exact"/>
        <w:ind w:left="0" w:right="0" w:firstLine="597" w:firstLineChars="249"/>
        <w:jc w:val="left"/>
        <w:rPr>
          <w:rFonts w:cs="宋体" w:asciiTheme="majorEastAsia" w:hAnsiTheme="majorEastAsia" w:eastAsiaTheme="majorEastAsia"/>
          <w:bCs/>
          <w:color w:val="000000" w:themeColor="text1"/>
          <w14:textFill>
            <w14:solidFill>
              <w14:schemeClr w14:val="tx1"/>
            </w14:solidFill>
          </w14:textFill>
        </w:rPr>
      </w:pPr>
      <w:r>
        <w:rPr>
          <w:rFonts w:hint="eastAsia" w:cs="宋体" w:asciiTheme="majorEastAsia" w:hAnsiTheme="majorEastAsia" w:eastAsiaTheme="majorEastAsia"/>
          <w:bCs/>
          <w:color w:val="000000" w:themeColor="text1"/>
          <w14:textFill>
            <w14:solidFill>
              <w14:schemeClr w14:val="tx1"/>
            </w14:solidFill>
          </w14:textFill>
        </w:rPr>
        <w:t>采取现场磋商模式</w:t>
      </w:r>
    </w:p>
    <w:p w14:paraId="0093673F">
      <w:pPr>
        <w:pStyle w:val="18"/>
        <w:snapToGrid w:val="0"/>
        <w:spacing w:before="0" w:after="0" w:line="500" w:lineRule="exact"/>
        <w:ind w:left="0" w:right="0" w:firstLine="562" w:firstLineChars="20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二、评标方法和评标标准</w:t>
      </w:r>
    </w:p>
    <w:p w14:paraId="7F92929A">
      <w:pPr>
        <w:adjustRightInd w:val="0"/>
        <w:snapToGrid w:val="0"/>
        <w:spacing w:line="500" w:lineRule="exact"/>
        <w:ind w:firstLine="55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采用综合评分法。分资格审查、符合性审查、商务技术标、价格标四部分评审，总分值为100分，加分和减分因素除外。</w:t>
      </w:r>
    </w:p>
    <w:p w14:paraId="364C43B8">
      <w:pPr>
        <w:adjustRightInd w:val="0"/>
        <w:snapToGrid w:val="0"/>
        <w:spacing w:line="500" w:lineRule="exact"/>
        <w:ind w:firstLine="55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首先由采购人对供应商资格进行审查，然后评标委员会对符合资格的供应商的磋商文件进行符合性审查，最后评标委员会对符合性审查合格的磋商文件商务、技术部分进行评估，综合比较与评价。待商务技术标评审结束后，进行价格标的开启、评审。供应商商务、技术部分和价格部分的合计分值，为该供应商的评标总得分。</w:t>
      </w:r>
    </w:p>
    <w:p w14:paraId="65D476F8">
      <w:pPr>
        <w:adjustRightInd w:val="0"/>
        <w:snapToGrid w:val="0"/>
        <w:spacing w:line="500" w:lineRule="exact"/>
        <w:ind w:firstLine="55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结果按评审后得分由高到低顺序排列。得分相同的，按磋商报价由低到高顺序排列。得分且磋商报价相同的应进行现场报价,价低的排前列。磋商文件满足磋商文件全部实质性要求，且按照评审因素的量化指标评审得分前三名的供应商为候选人。</w:t>
      </w:r>
    </w:p>
    <w:p w14:paraId="68BA617B">
      <w:pPr>
        <w:adjustRightInd w:val="0"/>
        <w:snapToGrid w:val="0"/>
        <w:spacing w:line="500" w:lineRule="exact"/>
        <w:ind w:firstLine="55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评委在认真审阅磋商文件的基础上，根据各磋商文件的响应程度独立评判，不得统一打分。</w:t>
      </w:r>
    </w:p>
    <w:p w14:paraId="158814CB">
      <w:pPr>
        <w:adjustRightInd w:val="0"/>
        <w:snapToGrid w:val="0"/>
        <w:spacing w:line="500" w:lineRule="exact"/>
        <w:ind w:firstLine="413" w:firstLineChars="147"/>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（一）采购人（代表）对供应商资格进行审查。</w:t>
      </w:r>
    </w:p>
    <w:p w14:paraId="34599736">
      <w:pPr>
        <w:pStyle w:val="20"/>
        <w:adjustRightInd w:val="0"/>
        <w:snapToGrid w:val="0"/>
        <w:spacing w:line="500" w:lineRule="exact"/>
        <w:ind w:firstLine="494"/>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供应商资格不合格的，其磋商文件判定为无效磋商文件。</w:t>
      </w:r>
    </w:p>
    <w:p w14:paraId="57E39C47">
      <w:pPr>
        <w:adjustRightInd w:val="0"/>
        <w:snapToGrid w:val="0"/>
        <w:spacing w:line="500" w:lineRule="exact"/>
        <w:ind w:firstLine="413" w:firstLineChars="147"/>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（二）评标委员会对符合资格供应商的磋商文件进行符合性审查。</w:t>
      </w:r>
    </w:p>
    <w:p w14:paraId="040B04C9">
      <w:pPr>
        <w:pStyle w:val="20"/>
        <w:adjustRightInd w:val="0"/>
        <w:snapToGrid w:val="0"/>
        <w:spacing w:line="500" w:lineRule="exact"/>
        <w:ind w:firstLine="494"/>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未通过符合性审查的磋商文件，将被判为不满足磋商文件实质性要求。 </w:t>
      </w:r>
    </w:p>
    <w:p w14:paraId="41260C16">
      <w:pPr>
        <w:adjustRightInd w:val="0"/>
        <w:snapToGrid w:val="0"/>
        <w:spacing w:line="500" w:lineRule="exact"/>
        <w:ind w:firstLine="413" w:firstLineChars="147"/>
        <w:jc w:val="left"/>
        <w:rPr>
          <w:rFonts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zh-CN"/>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zh-CN"/>
          <w14:textFill>
            <w14:solidFill>
              <w14:schemeClr w14:val="tx1"/>
            </w14:solidFill>
          </w14:textFill>
        </w:rPr>
        <w:t>商务技术分：</w:t>
      </w:r>
      <w:r>
        <w:rPr>
          <w:rFonts w:hint="eastAsia" w:ascii="宋体" w:hAnsi="宋体" w:cs="宋体"/>
          <w:b/>
          <w:color w:val="000000" w:themeColor="text1"/>
          <w:sz w:val="28"/>
          <w:szCs w:val="28"/>
          <w14:textFill>
            <w14:solidFill>
              <w14:schemeClr w14:val="tx1"/>
            </w14:solidFill>
          </w14:textFill>
        </w:rPr>
        <w:t>60</w:t>
      </w:r>
      <w:r>
        <w:rPr>
          <w:rFonts w:hint="eastAsia" w:ascii="宋体" w:hAnsi="宋体" w:cs="宋体"/>
          <w:b/>
          <w:color w:val="000000" w:themeColor="text1"/>
          <w:sz w:val="28"/>
          <w:szCs w:val="28"/>
          <w:lang w:val="zh-CN"/>
          <w14:textFill>
            <w14:solidFill>
              <w14:schemeClr w14:val="tx1"/>
            </w14:solidFill>
          </w14:textFill>
        </w:rPr>
        <w:t>分</w:t>
      </w:r>
    </w:p>
    <w:p w14:paraId="3EB9DC2A">
      <w:pPr>
        <w:adjustRightInd w:val="0"/>
        <w:snapToGrid w:val="0"/>
        <w:spacing w:line="500" w:lineRule="exact"/>
        <w:ind w:firstLine="354" w:firstLineChars="147"/>
        <w:jc w:val="left"/>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各供应商得分为评审会成员评分的算术平均分，分值保留小数点后两位。</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250"/>
        <w:gridCol w:w="1410"/>
        <w:gridCol w:w="5167"/>
      </w:tblGrid>
      <w:tr w14:paraId="5A79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65A905A1">
            <w:pPr>
              <w:spacing w:line="360" w:lineRule="auto"/>
              <w:jc w:val="center"/>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序号</w:t>
            </w:r>
          </w:p>
        </w:tc>
        <w:tc>
          <w:tcPr>
            <w:tcW w:w="2250" w:type="dxa"/>
          </w:tcPr>
          <w:p w14:paraId="5035EC4B">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评分点名称</w:t>
            </w:r>
          </w:p>
        </w:tc>
        <w:tc>
          <w:tcPr>
            <w:tcW w:w="1410" w:type="dxa"/>
          </w:tcPr>
          <w:p w14:paraId="5F1BFF75">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分值</w:t>
            </w:r>
          </w:p>
        </w:tc>
        <w:tc>
          <w:tcPr>
            <w:tcW w:w="5167" w:type="dxa"/>
          </w:tcPr>
          <w:p w14:paraId="33C4D25E">
            <w:pPr>
              <w:spacing w:line="360" w:lineRule="auto"/>
              <w:ind w:firstLine="446" w:firstLineChars="202"/>
              <w:jc w:val="center"/>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评审标准</w:t>
            </w:r>
          </w:p>
        </w:tc>
      </w:tr>
      <w:tr w14:paraId="3E67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2B2EB9BE">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1</w:t>
            </w:r>
          </w:p>
        </w:tc>
        <w:tc>
          <w:tcPr>
            <w:tcW w:w="2250" w:type="dxa"/>
          </w:tcPr>
          <w:p w14:paraId="3AF0BA3D">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bookmarkStart w:id="105" w:name="OLE_LINK17"/>
            <w:bookmarkStart w:id="106" w:name="OLE_LINK18"/>
            <w:r>
              <w:rPr>
                <w:rFonts w:hint="eastAsia" w:ascii="宋体" w:hAnsi="宋体"/>
                <w:b/>
                <w:bCs/>
                <w:color w:val="000000" w:themeColor="text1"/>
                <w:sz w:val="22"/>
                <w:szCs w:val="28"/>
                <w:lang w:val="zh-CN"/>
                <w14:textFill>
                  <w14:solidFill>
                    <w14:schemeClr w14:val="tx1"/>
                  </w14:solidFill>
                </w14:textFill>
              </w:rPr>
              <w:t>总体服务方案</w:t>
            </w:r>
            <w:bookmarkEnd w:id="105"/>
            <w:bookmarkEnd w:id="106"/>
          </w:p>
        </w:tc>
        <w:tc>
          <w:tcPr>
            <w:tcW w:w="1410" w:type="dxa"/>
          </w:tcPr>
          <w:p w14:paraId="18A5845D">
            <w:pPr>
              <w:spacing w:line="360" w:lineRule="auto"/>
              <w:ind w:firstLine="446" w:firstLineChars="202"/>
              <w:rPr>
                <w:rFonts w:ascii="宋体" w:hAnsi="宋体"/>
                <w:b/>
                <w:bCs/>
                <w:color w:val="000000" w:themeColor="text1"/>
                <w:sz w:val="22"/>
                <w:szCs w:val="28"/>
                <w14:textFill>
                  <w14:solidFill>
                    <w14:schemeClr w14:val="tx1"/>
                  </w14:solidFill>
                </w14:textFill>
              </w:rPr>
            </w:pPr>
            <w:r>
              <w:rPr>
                <w:rFonts w:ascii="宋体" w:hAnsi="宋体"/>
                <w:b/>
                <w:bCs/>
                <w:color w:val="000000" w:themeColor="text1"/>
                <w:sz w:val="22"/>
                <w:szCs w:val="28"/>
                <w14:textFill>
                  <w14:solidFill>
                    <w14:schemeClr w14:val="tx1"/>
                  </w14:solidFill>
                </w14:textFill>
              </w:rPr>
              <w:t>6</w:t>
            </w:r>
          </w:p>
        </w:tc>
        <w:tc>
          <w:tcPr>
            <w:tcW w:w="5167" w:type="dxa"/>
          </w:tcPr>
          <w:p w14:paraId="34B1F5FC">
            <w:pPr>
              <w:spacing w:line="360" w:lineRule="auto"/>
              <w:jc w:val="left"/>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根据供应商提供的安保服务方案整体的运营思路(包含服务理念、思路、重难点、目标、预期效果及管理制度等6个方面)进行评价:</w:t>
            </w:r>
          </w:p>
          <w:p w14:paraId="7035A52A">
            <w:pPr>
              <w:spacing w:line="360" w:lineRule="auto"/>
              <w:jc w:val="left"/>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 xml:space="preserve">（1）方案内容完整包含上述6个方面的，可行性强，思路清晰，有重难点，结合实际分析表述详尽的得 </w:t>
            </w:r>
            <w:r>
              <w:rPr>
                <w:rFonts w:ascii="宋体" w:hAnsi="宋体"/>
                <w:b/>
                <w:bCs/>
                <w:color w:val="000000" w:themeColor="text1"/>
                <w:sz w:val="22"/>
                <w:szCs w:val="28"/>
                <w:lang w:val="zh-CN"/>
                <w14:textFill>
                  <w14:solidFill>
                    <w14:schemeClr w14:val="tx1"/>
                  </w14:solidFill>
                </w14:textFill>
              </w:rPr>
              <w:t>6</w:t>
            </w:r>
            <w:r>
              <w:rPr>
                <w:rFonts w:hint="eastAsia" w:ascii="宋体" w:hAnsi="宋体"/>
                <w:b/>
                <w:bCs/>
                <w:color w:val="000000" w:themeColor="text1"/>
                <w:sz w:val="22"/>
                <w:szCs w:val="28"/>
                <w:lang w:val="zh-CN"/>
                <w14:textFill>
                  <w14:solidFill>
                    <w14:schemeClr w14:val="tx1"/>
                  </w14:solidFill>
                </w14:textFill>
              </w:rPr>
              <w:t>分；</w:t>
            </w:r>
          </w:p>
          <w:p w14:paraId="0D15AD6D">
            <w:pPr>
              <w:spacing w:line="360" w:lineRule="auto"/>
              <w:jc w:val="left"/>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 xml:space="preserve">（2）方案内容较完整，思路较清晰，可行性较强的得 </w:t>
            </w:r>
            <w:r>
              <w:rPr>
                <w:rFonts w:ascii="宋体" w:hAnsi="宋体"/>
                <w:b/>
                <w:bCs/>
                <w:color w:val="000000" w:themeColor="text1"/>
                <w:sz w:val="22"/>
                <w:szCs w:val="28"/>
                <w:lang w:val="zh-CN"/>
                <w14:textFill>
                  <w14:solidFill>
                    <w14:schemeClr w14:val="tx1"/>
                  </w14:solidFill>
                </w14:textFill>
              </w:rPr>
              <w:t>3</w:t>
            </w:r>
            <w:r>
              <w:rPr>
                <w:rFonts w:hint="eastAsia" w:ascii="宋体" w:hAnsi="宋体"/>
                <w:b/>
                <w:bCs/>
                <w:color w:val="000000" w:themeColor="text1"/>
                <w:sz w:val="22"/>
                <w:szCs w:val="28"/>
                <w:lang w:val="zh-CN"/>
                <w14:textFill>
                  <w14:solidFill>
                    <w14:schemeClr w14:val="tx1"/>
                  </w14:solidFill>
                </w14:textFill>
              </w:rPr>
              <w:t>分；</w:t>
            </w:r>
          </w:p>
          <w:p w14:paraId="21CC88A6">
            <w:pPr>
              <w:spacing w:line="360" w:lineRule="auto"/>
              <w:jc w:val="left"/>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 xml:space="preserve">（3）方案内容不完整，思路不清晰，可行性不强的得 </w:t>
            </w:r>
            <w:r>
              <w:rPr>
                <w:rFonts w:ascii="宋体" w:hAnsi="宋体"/>
                <w:b/>
                <w:bCs/>
                <w:color w:val="000000" w:themeColor="text1"/>
                <w:sz w:val="22"/>
                <w:szCs w:val="28"/>
                <w:lang w:val="zh-CN"/>
                <w14:textFill>
                  <w14:solidFill>
                    <w14:schemeClr w14:val="tx1"/>
                  </w14:solidFill>
                </w14:textFill>
              </w:rPr>
              <w:t>1</w:t>
            </w:r>
            <w:r>
              <w:rPr>
                <w:rFonts w:hint="eastAsia" w:ascii="宋体" w:hAnsi="宋体"/>
                <w:b/>
                <w:bCs/>
                <w:color w:val="000000" w:themeColor="text1"/>
                <w:sz w:val="22"/>
                <w:szCs w:val="28"/>
                <w:lang w:val="zh-CN"/>
                <w14:textFill>
                  <w14:solidFill>
                    <w14:schemeClr w14:val="tx1"/>
                  </w14:solidFill>
                </w14:textFill>
              </w:rPr>
              <w:t>分；</w:t>
            </w:r>
          </w:p>
          <w:p w14:paraId="2A38F6B5">
            <w:pPr>
              <w:spacing w:line="360" w:lineRule="auto"/>
              <w:jc w:val="left"/>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（4）未提供的不得分。</w:t>
            </w:r>
          </w:p>
        </w:tc>
      </w:tr>
      <w:tr w14:paraId="2CDA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7CBA979C">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2</w:t>
            </w:r>
          </w:p>
        </w:tc>
        <w:tc>
          <w:tcPr>
            <w:tcW w:w="2250" w:type="dxa"/>
          </w:tcPr>
          <w:p w14:paraId="34FF3E92">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bookmarkStart w:id="107" w:name="OLE_LINK19"/>
            <w:bookmarkStart w:id="108" w:name="OLE_LINK20"/>
            <w:r>
              <w:rPr>
                <w:rFonts w:hint="eastAsia" w:ascii="宋体" w:hAnsi="宋体"/>
                <w:b/>
                <w:bCs/>
                <w:color w:val="000000" w:themeColor="text1"/>
                <w:sz w:val="22"/>
                <w:szCs w:val="28"/>
                <w:lang w:val="zh-CN"/>
                <w14:textFill>
                  <w14:solidFill>
                    <w14:schemeClr w14:val="tx1"/>
                  </w14:solidFill>
                </w14:textFill>
              </w:rPr>
              <w:t>工作流程方案</w:t>
            </w:r>
            <w:bookmarkEnd w:id="107"/>
            <w:bookmarkEnd w:id="108"/>
          </w:p>
        </w:tc>
        <w:tc>
          <w:tcPr>
            <w:tcW w:w="1410" w:type="dxa"/>
          </w:tcPr>
          <w:p w14:paraId="16F7ADBB">
            <w:pPr>
              <w:spacing w:line="360" w:lineRule="auto"/>
              <w:ind w:firstLine="446" w:firstLineChars="202"/>
              <w:rPr>
                <w:rFonts w:ascii="宋体" w:hAnsi="宋体"/>
                <w:b/>
                <w:bCs/>
                <w:color w:val="000000" w:themeColor="text1"/>
                <w:sz w:val="22"/>
                <w:szCs w:val="28"/>
                <w14:textFill>
                  <w14:solidFill>
                    <w14:schemeClr w14:val="tx1"/>
                  </w14:solidFill>
                </w14:textFill>
              </w:rPr>
            </w:pPr>
            <w:r>
              <w:rPr>
                <w:rFonts w:ascii="宋体" w:hAnsi="宋体"/>
                <w:b/>
                <w:bCs/>
                <w:color w:val="000000" w:themeColor="text1"/>
                <w:sz w:val="22"/>
                <w:szCs w:val="28"/>
                <w14:textFill>
                  <w14:solidFill>
                    <w14:schemeClr w14:val="tx1"/>
                  </w14:solidFill>
                </w14:textFill>
              </w:rPr>
              <w:t>6</w:t>
            </w:r>
          </w:p>
        </w:tc>
        <w:tc>
          <w:tcPr>
            <w:tcW w:w="5167" w:type="dxa"/>
          </w:tcPr>
          <w:p w14:paraId="590F0C2F">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根据供应商提供的工作组织实施方案的组织流程、人员配置(含管理人员)、人员考核办法、服务质量考核办法等 4个方面进行评议：</w:t>
            </w:r>
          </w:p>
          <w:p w14:paraId="798FDEB9">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 xml:space="preserve">（1）方案内容完整包含上述 4 个方面，人员配置合理，实施方案及考核办法有针对性，细致合理科学的得 </w:t>
            </w:r>
            <w:r>
              <w:rPr>
                <w:rFonts w:ascii="宋体" w:hAnsi="宋体"/>
                <w:b/>
                <w:bCs/>
                <w:color w:val="000000" w:themeColor="text1"/>
                <w:sz w:val="22"/>
                <w:szCs w:val="28"/>
                <w:lang w:val="zh-CN"/>
                <w14:textFill>
                  <w14:solidFill>
                    <w14:schemeClr w14:val="tx1"/>
                  </w14:solidFill>
                </w14:textFill>
              </w:rPr>
              <w:t>6</w:t>
            </w:r>
            <w:r>
              <w:rPr>
                <w:rFonts w:hint="eastAsia" w:ascii="宋体" w:hAnsi="宋体"/>
                <w:b/>
                <w:bCs/>
                <w:color w:val="000000" w:themeColor="text1"/>
                <w:sz w:val="22"/>
                <w:szCs w:val="28"/>
                <w:lang w:val="zh-CN"/>
                <w14:textFill>
                  <w14:solidFill>
                    <w14:schemeClr w14:val="tx1"/>
                  </w14:solidFill>
                </w14:textFill>
              </w:rPr>
              <w:t>分；</w:t>
            </w:r>
          </w:p>
          <w:p w14:paraId="52CFEED1">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 xml:space="preserve">（2）方案内容较完整，人员配置较合理，实施方案及考核办法较细致合理科学的得 </w:t>
            </w:r>
            <w:r>
              <w:rPr>
                <w:rFonts w:ascii="宋体" w:hAnsi="宋体"/>
                <w:b/>
                <w:bCs/>
                <w:color w:val="000000" w:themeColor="text1"/>
                <w:sz w:val="22"/>
                <w:szCs w:val="28"/>
                <w:lang w:val="zh-CN"/>
                <w14:textFill>
                  <w14:solidFill>
                    <w14:schemeClr w14:val="tx1"/>
                  </w14:solidFill>
                </w14:textFill>
              </w:rPr>
              <w:t>3</w:t>
            </w:r>
            <w:r>
              <w:rPr>
                <w:rFonts w:hint="eastAsia" w:ascii="宋体" w:hAnsi="宋体"/>
                <w:b/>
                <w:bCs/>
                <w:color w:val="000000" w:themeColor="text1"/>
                <w:sz w:val="22"/>
                <w:szCs w:val="28"/>
                <w:lang w:val="zh-CN"/>
                <w14:textFill>
                  <w14:solidFill>
                    <w14:schemeClr w14:val="tx1"/>
                  </w14:solidFill>
                </w14:textFill>
              </w:rPr>
              <w:t>分；</w:t>
            </w:r>
          </w:p>
          <w:p w14:paraId="14B9FEF1">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 xml:space="preserve">（3）方案内容不完整，人员配置不合理，实施方案及考核办法不合理科学的得 </w:t>
            </w:r>
            <w:r>
              <w:rPr>
                <w:rFonts w:ascii="宋体" w:hAnsi="宋体"/>
                <w:b/>
                <w:bCs/>
                <w:color w:val="000000" w:themeColor="text1"/>
                <w:sz w:val="22"/>
                <w:szCs w:val="28"/>
                <w:lang w:val="zh-CN"/>
                <w14:textFill>
                  <w14:solidFill>
                    <w14:schemeClr w14:val="tx1"/>
                  </w14:solidFill>
                </w14:textFill>
              </w:rPr>
              <w:t>1</w:t>
            </w:r>
            <w:r>
              <w:rPr>
                <w:rFonts w:hint="eastAsia" w:ascii="宋体" w:hAnsi="宋体"/>
                <w:b/>
                <w:bCs/>
                <w:color w:val="000000" w:themeColor="text1"/>
                <w:sz w:val="22"/>
                <w:szCs w:val="28"/>
                <w:lang w:val="zh-CN"/>
                <w14:textFill>
                  <w14:solidFill>
                    <w14:schemeClr w14:val="tx1"/>
                  </w14:solidFill>
                </w14:textFill>
              </w:rPr>
              <w:t>分；</w:t>
            </w:r>
          </w:p>
          <w:p w14:paraId="1DC9AB72">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（4）未提供不得分。</w:t>
            </w:r>
          </w:p>
        </w:tc>
      </w:tr>
      <w:tr w14:paraId="1183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73EBE8AA">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3</w:t>
            </w:r>
          </w:p>
        </w:tc>
        <w:tc>
          <w:tcPr>
            <w:tcW w:w="2250" w:type="dxa"/>
          </w:tcPr>
          <w:p w14:paraId="42E66A79">
            <w:pPr>
              <w:spacing w:line="360" w:lineRule="auto"/>
              <w:jc w:val="center"/>
              <w:rPr>
                <w:rFonts w:ascii="宋体" w:hAnsi="宋体"/>
                <w:b/>
                <w:bCs/>
                <w:color w:val="000000" w:themeColor="text1"/>
                <w:sz w:val="22"/>
                <w:szCs w:val="28"/>
                <w:lang w:val="zh-CN"/>
                <w14:textFill>
                  <w14:solidFill>
                    <w14:schemeClr w14:val="tx1"/>
                  </w14:solidFill>
                </w14:textFill>
              </w:rPr>
            </w:pPr>
            <w:bookmarkStart w:id="109" w:name="OLE_LINK21"/>
            <w:r>
              <w:rPr>
                <w:rFonts w:hint="eastAsia" w:ascii="宋体" w:hAnsi="宋体"/>
                <w:b/>
                <w:bCs/>
                <w:color w:val="000000" w:themeColor="text1"/>
                <w:sz w:val="22"/>
                <w:szCs w:val="28"/>
                <w:lang w:val="zh-CN"/>
                <w14:textFill>
                  <w14:solidFill>
                    <w14:schemeClr w14:val="tx1"/>
                  </w14:solidFill>
                </w14:textFill>
              </w:rPr>
              <w:t>突发事件处理</w:t>
            </w:r>
          </w:p>
          <w:p w14:paraId="720B0096">
            <w:pPr>
              <w:spacing w:line="360" w:lineRule="auto"/>
              <w:jc w:val="center"/>
              <w:rPr>
                <w:rFonts w:ascii="宋体" w:hAnsi="宋体"/>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应急方案</w:t>
            </w:r>
            <w:bookmarkEnd w:id="109"/>
          </w:p>
        </w:tc>
        <w:tc>
          <w:tcPr>
            <w:tcW w:w="1410" w:type="dxa"/>
          </w:tcPr>
          <w:p w14:paraId="39AE90EB">
            <w:pPr>
              <w:spacing w:line="360" w:lineRule="auto"/>
              <w:ind w:firstLine="446" w:firstLineChars="202"/>
              <w:rPr>
                <w:rFonts w:ascii="宋体" w:hAnsi="宋体"/>
                <w:color w:val="000000" w:themeColor="text1"/>
                <w:sz w:val="22"/>
                <w:szCs w:val="28"/>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8</w:t>
            </w:r>
          </w:p>
        </w:tc>
        <w:tc>
          <w:tcPr>
            <w:tcW w:w="5167" w:type="dxa"/>
          </w:tcPr>
          <w:p w14:paraId="7DCBE847">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根据供应商提供的突发情况处理方案包含消防类、治安防范类、应急处置类、防暴恐类等应急预案流程、组织管理机构、应急预案对应部门及应急预案事后处理等方面进行评价：</w:t>
            </w:r>
          </w:p>
          <w:p w14:paraId="5423D507">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（1）预案完备健全，针对性强，实际可操作性强的得 8分；</w:t>
            </w:r>
          </w:p>
          <w:p w14:paraId="6FF7E3E6">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（2）预案较健全，针对性较强，实际可操作性一般的得5分；</w:t>
            </w:r>
          </w:p>
          <w:p w14:paraId="4549AC53">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（3）预案不健全，针对性一般，实际可操作性不强的得3分；</w:t>
            </w:r>
          </w:p>
          <w:p w14:paraId="3D7F5ED0">
            <w:pPr>
              <w:spacing w:line="360" w:lineRule="auto"/>
              <w:rPr>
                <w:rFonts w:ascii="宋体" w:hAnsi="宋体"/>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（4）未提供的不得分。</w:t>
            </w:r>
          </w:p>
        </w:tc>
      </w:tr>
      <w:tr w14:paraId="29BE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4A7AD5CD">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4</w:t>
            </w:r>
          </w:p>
        </w:tc>
        <w:tc>
          <w:tcPr>
            <w:tcW w:w="2250" w:type="dxa"/>
          </w:tcPr>
          <w:p w14:paraId="2647BB94">
            <w:pPr>
              <w:spacing w:line="360" w:lineRule="auto"/>
              <w:jc w:val="center"/>
              <w:rPr>
                <w:rFonts w:ascii="宋体" w:hAnsi="宋体"/>
                <w:b/>
                <w:bCs/>
                <w:color w:val="000000" w:themeColor="text1"/>
                <w:sz w:val="22"/>
                <w:szCs w:val="28"/>
                <w:lang w:val="zh-CN"/>
                <w14:textFill>
                  <w14:solidFill>
                    <w14:schemeClr w14:val="tx1"/>
                  </w14:solidFill>
                </w14:textFill>
              </w:rPr>
            </w:pPr>
            <w:bookmarkStart w:id="110" w:name="OLE_LINK22"/>
            <w:r>
              <w:rPr>
                <w:rFonts w:hint="eastAsia" w:ascii="宋体" w:hAnsi="宋体"/>
                <w:b/>
                <w:bCs/>
                <w:color w:val="000000" w:themeColor="text1"/>
                <w:sz w:val="22"/>
                <w:szCs w:val="28"/>
                <w:lang w:val="zh-CN"/>
                <w14:textFill>
                  <w14:solidFill>
                    <w14:schemeClr w14:val="tx1"/>
                  </w14:solidFill>
                </w14:textFill>
              </w:rPr>
              <w:t>人员招聘和培训计划</w:t>
            </w:r>
            <w:bookmarkEnd w:id="110"/>
          </w:p>
        </w:tc>
        <w:tc>
          <w:tcPr>
            <w:tcW w:w="1410" w:type="dxa"/>
          </w:tcPr>
          <w:p w14:paraId="13B0AB5D">
            <w:pPr>
              <w:spacing w:line="360" w:lineRule="auto"/>
              <w:ind w:firstLine="444" w:firstLineChars="20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6</w:t>
            </w:r>
          </w:p>
        </w:tc>
        <w:tc>
          <w:tcPr>
            <w:tcW w:w="5167" w:type="dxa"/>
          </w:tcPr>
          <w:p w14:paraId="64DFB48D">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依据供应商提供的人员招聘和人员培训计划(包含招聘计划、培训计划、培训内容、奖惩制度4个方面)进行评议：</w:t>
            </w:r>
          </w:p>
          <w:p w14:paraId="1C7409FC">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（1）方案内容完整包含以上4个方面，招聘培训计划结合采购人实际，针对性及可行性强，奖惩制度设定科学合理完善分明的得6分；</w:t>
            </w:r>
          </w:p>
          <w:p w14:paraId="7A8FD292">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（2）方案内容较完整，招聘培训计划可行性较强，奖惩制度设定较科学合理的得3分；</w:t>
            </w:r>
          </w:p>
          <w:p w14:paraId="30AC16FE">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（3）方案内容完整性一般，未结合项目实际，可行性不强的得1分；</w:t>
            </w:r>
          </w:p>
          <w:p w14:paraId="5E8A2FF0">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（4）未提供的不得分。</w:t>
            </w:r>
          </w:p>
        </w:tc>
      </w:tr>
      <w:tr w14:paraId="4E0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3340A8FA">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ascii="宋体" w:hAnsi="宋体"/>
                <w:b/>
                <w:bCs/>
                <w:color w:val="000000" w:themeColor="text1"/>
                <w:sz w:val="22"/>
                <w:szCs w:val="28"/>
                <w:lang w:val="zh-CN"/>
                <w14:textFill>
                  <w14:solidFill>
                    <w14:schemeClr w14:val="tx1"/>
                  </w14:solidFill>
                </w14:textFill>
              </w:rPr>
              <w:t>5</w:t>
            </w:r>
          </w:p>
        </w:tc>
        <w:tc>
          <w:tcPr>
            <w:tcW w:w="2250" w:type="dxa"/>
          </w:tcPr>
          <w:p w14:paraId="6ADBD1DF">
            <w:pPr>
              <w:spacing w:line="360" w:lineRule="auto"/>
              <w:jc w:val="center"/>
              <w:rPr>
                <w:rFonts w:ascii="宋体" w:hAnsi="宋体"/>
                <w:b/>
                <w:bCs/>
                <w:color w:val="000000" w:themeColor="text1"/>
                <w:sz w:val="22"/>
                <w:szCs w:val="28"/>
                <w:lang w:val="zh-CN"/>
                <w14:textFill>
                  <w14:solidFill>
                    <w14:schemeClr w14:val="tx1"/>
                  </w14:solidFill>
                </w14:textFill>
              </w:rPr>
            </w:pPr>
            <w:bookmarkStart w:id="111" w:name="OLE_LINK23"/>
            <w:bookmarkStart w:id="112" w:name="OLE_LINK24"/>
            <w:r>
              <w:rPr>
                <w:rFonts w:hint="eastAsia" w:ascii="宋体" w:hAnsi="宋体"/>
                <w:b/>
                <w:bCs/>
                <w:color w:val="000000" w:themeColor="text1"/>
                <w:sz w:val="22"/>
                <w:szCs w:val="28"/>
                <w:lang w:val="zh-CN"/>
                <w14:textFill>
                  <w14:solidFill>
                    <w14:schemeClr w14:val="tx1"/>
                  </w14:solidFill>
                </w14:textFill>
              </w:rPr>
              <w:t>企业人员持证</w:t>
            </w:r>
            <w:bookmarkEnd w:id="111"/>
            <w:bookmarkEnd w:id="112"/>
          </w:p>
        </w:tc>
        <w:tc>
          <w:tcPr>
            <w:tcW w:w="1410" w:type="dxa"/>
          </w:tcPr>
          <w:p w14:paraId="0F06EC0F">
            <w:pPr>
              <w:spacing w:line="360" w:lineRule="auto"/>
              <w:ind w:firstLine="446" w:firstLineChars="202"/>
              <w:rPr>
                <w:rFonts w:ascii="宋体" w:hAnsi="宋体"/>
                <w:color w:val="000000" w:themeColor="text1"/>
                <w:sz w:val="22"/>
                <w:szCs w:val="28"/>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12</w:t>
            </w:r>
          </w:p>
        </w:tc>
        <w:tc>
          <w:tcPr>
            <w:tcW w:w="5167" w:type="dxa"/>
          </w:tcPr>
          <w:p w14:paraId="3CE0C897">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具有高级（三级）保安员及以上证书的；</w:t>
            </w:r>
          </w:p>
          <w:p w14:paraId="071AC8AA">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有一项得</w:t>
            </w:r>
            <w:r>
              <w:rPr>
                <w:rFonts w:ascii="宋体" w:hAnsi="宋体"/>
                <w:b/>
                <w:bCs/>
                <w:color w:val="000000" w:themeColor="text1"/>
                <w:sz w:val="22"/>
                <w:szCs w:val="28"/>
                <w:lang w:val="zh-CN"/>
                <w14:textFill>
                  <w14:solidFill>
                    <w14:schemeClr w14:val="tx1"/>
                  </w14:solidFill>
                </w14:textFill>
              </w:rPr>
              <w:t>3</w:t>
            </w:r>
            <w:r>
              <w:rPr>
                <w:rFonts w:hint="eastAsia" w:ascii="宋体" w:hAnsi="宋体"/>
                <w:b/>
                <w:bCs/>
                <w:color w:val="000000" w:themeColor="text1"/>
                <w:sz w:val="22"/>
                <w:szCs w:val="28"/>
                <w:lang w:val="zh-CN"/>
                <w14:textFill>
                  <w14:solidFill>
                    <w14:schemeClr w14:val="tx1"/>
                  </w14:solidFill>
                </w14:textFill>
              </w:rPr>
              <w:t>分。</w:t>
            </w:r>
          </w:p>
          <w:p w14:paraId="2A28D94E">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（提供以上所需证书及证明材料扫描件，并提供投标前</w:t>
            </w:r>
            <w:r>
              <w:rPr>
                <w:rFonts w:ascii="宋体" w:hAnsi="宋体"/>
                <w:b/>
                <w:bCs/>
                <w:color w:val="000000" w:themeColor="text1"/>
                <w:sz w:val="22"/>
                <w:szCs w:val="28"/>
                <w:lang w:val="zh-CN"/>
                <w14:textFill>
                  <w14:solidFill>
                    <w14:schemeClr w14:val="tx1"/>
                  </w14:solidFill>
                </w14:textFill>
              </w:rPr>
              <w:t>3</w:t>
            </w:r>
            <w:r>
              <w:rPr>
                <w:rFonts w:hint="eastAsia" w:ascii="宋体" w:hAnsi="宋体"/>
                <w:b/>
                <w:bCs/>
                <w:color w:val="000000" w:themeColor="text1"/>
                <w:sz w:val="22"/>
                <w:szCs w:val="28"/>
                <w:lang w:val="zh-CN"/>
                <w14:textFill>
                  <w14:solidFill>
                    <w14:schemeClr w14:val="tx1"/>
                  </w14:solidFill>
                </w14:textFill>
              </w:rPr>
              <w:t>个月任意一个月投标供应商为其缴纳社保的证明扫描件加盖公章，不提供或不符合要求不得分）</w:t>
            </w:r>
          </w:p>
        </w:tc>
      </w:tr>
      <w:tr w14:paraId="1522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54ACA568">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6</w:t>
            </w:r>
          </w:p>
        </w:tc>
        <w:tc>
          <w:tcPr>
            <w:tcW w:w="2250" w:type="dxa"/>
          </w:tcPr>
          <w:p w14:paraId="47F984F2">
            <w:pPr>
              <w:spacing w:line="360" w:lineRule="auto"/>
              <w:jc w:val="center"/>
              <w:rPr>
                <w:rFonts w:ascii="宋体" w:hAnsi="宋体"/>
                <w:b/>
                <w:bCs/>
                <w:color w:val="000000" w:themeColor="text1"/>
                <w:sz w:val="22"/>
                <w:szCs w:val="28"/>
                <w:lang w:val="zh-CN"/>
                <w14:textFill>
                  <w14:solidFill>
                    <w14:schemeClr w14:val="tx1"/>
                  </w14:solidFill>
                </w14:textFill>
              </w:rPr>
            </w:pPr>
            <w:bookmarkStart w:id="113" w:name="OLE_LINK26"/>
            <w:bookmarkStart w:id="114" w:name="OLE_LINK25"/>
            <w:r>
              <w:rPr>
                <w:rFonts w:hint="eastAsia" w:ascii="宋体" w:hAnsi="宋体"/>
                <w:b/>
                <w:bCs/>
                <w:color w:val="000000" w:themeColor="text1"/>
                <w:sz w:val="22"/>
                <w:szCs w:val="28"/>
                <w:lang w:val="zh-CN"/>
                <w14:textFill>
                  <w14:solidFill>
                    <w14:schemeClr w14:val="tx1"/>
                  </w14:solidFill>
                </w14:textFill>
              </w:rPr>
              <w:t>企业实力</w:t>
            </w:r>
            <w:bookmarkEnd w:id="113"/>
            <w:bookmarkEnd w:id="114"/>
          </w:p>
        </w:tc>
        <w:tc>
          <w:tcPr>
            <w:tcW w:w="1410" w:type="dxa"/>
          </w:tcPr>
          <w:p w14:paraId="2160A2D7">
            <w:pPr>
              <w:spacing w:line="360" w:lineRule="auto"/>
              <w:ind w:firstLine="446" w:firstLineChars="202"/>
              <w:rPr>
                <w:rFonts w:ascii="宋体" w:hAnsi="宋体"/>
                <w:color w:val="000000" w:themeColor="text1"/>
                <w:sz w:val="22"/>
                <w:szCs w:val="28"/>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5</w:t>
            </w:r>
          </w:p>
        </w:tc>
        <w:tc>
          <w:tcPr>
            <w:tcW w:w="5167" w:type="dxa"/>
          </w:tcPr>
          <w:p w14:paraId="2AA86DC1">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具有有效期范围内的劳务派遣经营许可证的得5分，不能提供的不得分。</w:t>
            </w:r>
          </w:p>
        </w:tc>
      </w:tr>
      <w:tr w14:paraId="426D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71D52DF9">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ascii="宋体" w:hAnsi="宋体"/>
                <w:b/>
                <w:bCs/>
                <w:color w:val="000000" w:themeColor="text1"/>
                <w:sz w:val="22"/>
                <w:szCs w:val="28"/>
                <w:lang w:val="zh-CN"/>
                <w14:textFill>
                  <w14:solidFill>
                    <w14:schemeClr w14:val="tx1"/>
                  </w14:solidFill>
                </w14:textFill>
              </w:rPr>
              <w:t>7</w:t>
            </w:r>
          </w:p>
        </w:tc>
        <w:tc>
          <w:tcPr>
            <w:tcW w:w="2250" w:type="dxa"/>
          </w:tcPr>
          <w:p w14:paraId="401E1963">
            <w:pPr>
              <w:spacing w:line="360" w:lineRule="auto"/>
              <w:jc w:val="center"/>
              <w:rPr>
                <w:rFonts w:ascii="宋体" w:hAnsi="宋体"/>
                <w:b/>
                <w:bCs/>
                <w:color w:val="000000" w:themeColor="text1"/>
                <w:sz w:val="22"/>
                <w:szCs w:val="28"/>
                <w:lang w:val="zh-CN"/>
                <w14:textFill>
                  <w14:solidFill>
                    <w14:schemeClr w14:val="tx1"/>
                  </w14:solidFill>
                </w14:textFill>
              </w:rPr>
            </w:pPr>
            <w:bookmarkStart w:id="115" w:name="OLE_LINK27"/>
            <w:r>
              <w:rPr>
                <w:rFonts w:hint="eastAsia" w:ascii="宋体" w:hAnsi="宋体"/>
                <w:b/>
                <w:bCs/>
                <w:color w:val="000000" w:themeColor="text1"/>
                <w:sz w:val="22"/>
                <w:szCs w:val="28"/>
                <w:lang w:val="zh-CN"/>
                <w14:textFill>
                  <w14:solidFill>
                    <w14:schemeClr w14:val="tx1"/>
                  </w14:solidFill>
                </w14:textFill>
              </w:rPr>
              <w:t>业绩</w:t>
            </w:r>
            <w:bookmarkEnd w:id="115"/>
          </w:p>
        </w:tc>
        <w:tc>
          <w:tcPr>
            <w:tcW w:w="1410" w:type="dxa"/>
          </w:tcPr>
          <w:p w14:paraId="47BBD12C">
            <w:pPr>
              <w:spacing w:line="360" w:lineRule="auto"/>
              <w:ind w:firstLine="446" w:firstLineChars="202"/>
              <w:rPr>
                <w:rFonts w:ascii="宋体" w:hAnsi="宋体"/>
                <w:color w:val="000000" w:themeColor="text1"/>
                <w:sz w:val="22"/>
                <w:szCs w:val="28"/>
                <w14:textFill>
                  <w14:solidFill>
                    <w14:schemeClr w14:val="tx1"/>
                  </w14:solidFill>
                </w14:textFill>
              </w:rPr>
            </w:pPr>
            <w:r>
              <w:rPr>
                <w:rFonts w:ascii="宋体" w:hAnsi="宋体"/>
                <w:b/>
                <w:bCs/>
                <w:color w:val="000000" w:themeColor="text1"/>
                <w:sz w:val="22"/>
                <w:szCs w:val="28"/>
                <w:lang w:val="zh-CN"/>
                <w14:textFill>
                  <w14:solidFill>
                    <w14:schemeClr w14:val="tx1"/>
                  </w14:solidFill>
                </w14:textFill>
              </w:rPr>
              <w:t>1</w:t>
            </w:r>
            <w:r>
              <w:rPr>
                <w:rFonts w:hint="eastAsia" w:ascii="宋体" w:hAnsi="宋体"/>
                <w:b/>
                <w:bCs/>
                <w:color w:val="000000" w:themeColor="text1"/>
                <w:sz w:val="22"/>
                <w:szCs w:val="28"/>
                <w:lang w:val="zh-CN"/>
                <w14:textFill>
                  <w14:solidFill>
                    <w14:schemeClr w14:val="tx1"/>
                  </w14:solidFill>
                </w14:textFill>
              </w:rPr>
              <w:t>5</w:t>
            </w:r>
          </w:p>
        </w:tc>
        <w:tc>
          <w:tcPr>
            <w:tcW w:w="5167" w:type="dxa"/>
          </w:tcPr>
          <w:p w14:paraId="4664F189">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投标供应商提供安保业绩，签订时间自20</w:t>
            </w:r>
            <w:r>
              <w:rPr>
                <w:rFonts w:ascii="宋体" w:hAnsi="宋体"/>
                <w:b/>
                <w:bCs/>
                <w:color w:val="000000" w:themeColor="text1"/>
                <w:sz w:val="22"/>
                <w:szCs w:val="28"/>
                <w:lang w:val="zh-CN"/>
                <w14:textFill>
                  <w14:solidFill>
                    <w14:schemeClr w14:val="tx1"/>
                  </w14:solidFill>
                </w14:textFill>
              </w:rPr>
              <w:t>2</w:t>
            </w:r>
            <w:r>
              <w:rPr>
                <w:rFonts w:hint="eastAsia" w:ascii="宋体" w:hAnsi="宋体"/>
                <w:b/>
                <w:bCs/>
                <w:color w:val="000000" w:themeColor="text1"/>
                <w:sz w:val="22"/>
                <w:szCs w:val="28"/>
                <w:lang w:val="zh-CN"/>
                <w14:textFill>
                  <w14:solidFill>
                    <w14:schemeClr w14:val="tx1"/>
                  </w14:solidFill>
                </w14:textFill>
              </w:rPr>
              <w:t>1年</w:t>
            </w:r>
            <w:r>
              <w:rPr>
                <w:rFonts w:ascii="宋体" w:hAnsi="宋体"/>
                <w:b/>
                <w:bCs/>
                <w:color w:val="000000" w:themeColor="text1"/>
                <w:sz w:val="22"/>
                <w:szCs w:val="28"/>
                <w:lang w:val="zh-CN"/>
                <w14:textFill>
                  <w14:solidFill>
                    <w14:schemeClr w14:val="tx1"/>
                  </w14:solidFill>
                </w14:textFill>
              </w:rPr>
              <w:t>01</w:t>
            </w:r>
            <w:r>
              <w:rPr>
                <w:rFonts w:hint="eastAsia" w:ascii="宋体" w:hAnsi="宋体"/>
                <w:b/>
                <w:bCs/>
                <w:color w:val="000000" w:themeColor="text1"/>
                <w:sz w:val="22"/>
                <w:szCs w:val="28"/>
                <w:lang w:val="zh-CN"/>
                <w14:textFill>
                  <w14:solidFill>
                    <w14:schemeClr w14:val="tx1"/>
                  </w14:solidFill>
                </w14:textFill>
              </w:rPr>
              <w:t>月至今，每提供一个项目合同得5分,最多15分。（投标文件中须提供业绩合同，签订时间以业绩合同为准，复印件或扫描件应能辨识甲乙双方公章、签订时间、金额，并加盖供应商公章）</w:t>
            </w:r>
          </w:p>
          <w:p w14:paraId="37C1971A">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注：项目履约期内，合同一年一签的，不论合同标的是否有变化，只能算一个。</w:t>
            </w:r>
          </w:p>
        </w:tc>
      </w:tr>
      <w:tr w14:paraId="172B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22B7EDB9">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8</w:t>
            </w:r>
          </w:p>
        </w:tc>
        <w:tc>
          <w:tcPr>
            <w:tcW w:w="2250" w:type="dxa"/>
          </w:tcPr>
          <w:p w14:paraId="5DFB2B24">
            <w:pPr>
              <w:spacing w:line="360" w:lineRule="auto"/>
              <w:jc w:val="center"/>
              <w:rPr>
                <w:rFonts w:ascii="宋体" w:hAnsi="宋体"/>
                <w:b/>
                <w:bCs/>
                <w:color w:val="000000" w:themeColor="text1"/>
                <w:sz w:val="22"/>
                <w:szCs w:val="28"/>
                <w:lang w:val="zh-CN"/>
                <w14:textFill>
                  <w14:solidFill>
                    <w14:schemeClr w14:val="tx1"/>
                  </w14:solidFill>
                </w14:textFill>
              </w:rPr>
            </w:pPr>
            <w:bookmarkStart w:id="116" w:name="OLE_LINK29"/>
            <w:bookmarkStart w:id="117" w:name="OLE_LINK28"/>
            <w:r>
              <w:rPr>
                <w:rFonts w:hint="eastAsia" w:ascii="宋体" w:hAnsi="宋体"/>
                <w:b/>
                <w:bCs/>
                <w:color w:val="000000" w:themeColor="text1"/>
                <w:sz w:val="22"/>
                <w:szCs w:val="28"/>
                <w:lang w:val="zh-CN"/>
                <w14:textFill>
                  <w14:solidFill>
                    <w14:schemeClr w14:val="tx1"/>
                  </w14:solidFill>
                </w14:textFill>
              </w:rPr>
              <w:t>应急服务响应时间</w:t>
            </w:r>
            <w:bookmarkEnd w:id="116"/>
            <w:bookmarkEnd w:id="117"/>
          </w:p>
        </w:tc>
        <w:tc>
          <w:tcPr>
            <w:tcW w:w="1410" w:type="dxa"/>
          </w:tcPr>
          <w:p w14:paraId="0F91BD12">
            <w:pPr>
              <w:spacing w:line="360" w:lineRule="auto"/>
              <w:ind w:firstLine="446" w:firstLineChars="202"/>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2</w:t>
            </w:r>
          </w:p>
        </w:tc>
        <w:tc>
          <w:tcPr>
            <w:tcW w:w="5167" w:type="dxa"/>
          </w:tcPr>
          <w:p w14:paraId="3D784C03">
            <w:pPr>
              <w:spacing w:line="360" w:lineRule="auto"/>
              <w:rPr>
                <w:rFonts w:ascii="宋体" w:hAnsi="宋体"/>
                <w:b/>
                <w:bCs/>
                <w:color w:val="000000" w:themeColor="text1"/>
                <w:sz w:val="22"/>
                <w:szCs w:val="28"/>
                <w:lang w:val="zh-CN"/>
                <w14:textFill>
                  <w14:solidFill>
                    <w14:schemeClr w14:val="tx1"/>
                  </w14:solidFill>
                </w14:textFill>
              </w:rPr>
            </w:pPr>
            <w:r>
              <w:rPr>
                <w:rFonts w:hint="eastAsia" w:ascii="宋体" w:hAnsi="宋体"/>
                <w:b/>
                <w:bCs/>
                <w:color w:val="000000" w:themeColor="text1"/>
                <w:sz w:val="22"/>
                <w:szCs w:val="28"/>
                <w:lang w:val="zh-CN"/>
                <w14:textFill>
                  <w14:solidFill>
                    <w14:schemeClr w14:val="tx1"/>
                  </w14:solidFill>
                </w14:textFill>
              </w:rPr>
              <w:t>（供应商承诺应急情况下到达现场的服务响应时间1小时以内的得2分，以导航截图为准，不提供或超时的不得分。</w:t>
            </w:r>
          </w:p>
        </w:tc>
      </w:tr>
    </w:tbl>
    <w:p w14:paraId="0FBCC56B">
      <w:pPr>
        <w:spacing w:line="360" w:lineRule="auto"/>
        <w:ind w:firstLine="446" w:firstLineChars="202"/>
        <w:rPr>
          <w:rFonts w:ascii="宋体" w:hAnsi="宋体" w:cs="宋体"/>
          <w:b/>
          <w:bCs/>
          <w:color w:val="000000" w:themeColor="text1"/>
          <w:sz w:val="22"/>
          <w:szCs w:val="28"/>
          <w:lang w:val="zh-CN"/>
          <w14:textFill>
            <w14:solidFill>
              <w14:schemeClr w14:val="tx1"/>
            </w14:solidFill>
          </w14:textFill>
        </w:rPr>
      </w:pPr>
      <w:r>
        <w:rPr>
          <w:rFonts w:hint="eastAsia" w:ascii="宋体" w:hAnsi="宋体" w:cs="宋体"/>
          <w:b/>
          <w:bCs/>
          <w:color w:val="000000" w:themeColor="text1"/>
          <w:sz w:val="22"/>
          <w:szCs w:val="28"/>
          <w:lang w:val="zh-CN"/>
          <w14:textFill>
            <w14:solidFill>
              <w14:schemeClr w14:val="tx1"/>
            </w14:solidFill>
          </w14:textFill>
        </w:rPr>
        <w:t>注：①响应文件商务技术分得分低于60%时视为未实质性响应采购文件要求，作为无效磋商处理。</w:t>
      </w:r>
    </w:p>
    <w:p w14:paraId="72F90A0B">
      <w:pPr>
        <w:spacing w:line="360" w:lineRule="auto"/>
        <w:ind w:firstLine="446" w:firstLineChars="202"/>
        <w:rPr>
          <w:rFonts w:ascii="宋体" w:hAnsi="宋体" w:cs="宋体"/>
          <w:b/>
          <w:bCs/>
          <w:color w:val="000000" w:themeColor="text1"/>
          <w:sz w:val="22"/>
          <w:szCs w:val="28"/>
          <w:lang w:val="zh-CN"/>
          <w14:textFill>
            <w14:solidFill>
              <w14:schemeClr w14:val="tx1"/>
            </w14:solidFill>
          </w14:textFill>
        </w:rPr>
      </w:pPr>
      <w:r>
        <w:rPr>
          <w:rFonts w:hint="eastAsia" w:ascii="宋体" w:hAnsi="宋体" w:cs="宋体"/>
          <w:b/>
          <w:bCs/>
          <w:color w:val="000000" w:themeColor="text1"/>
          <w:sz w:val="22"/>
          <w:szCs w:val="28"/>
          <w:lang w:val="zh-CN"/>
          <w14:textFill>
            <w14:solidFill>
              <w14:schemeClr w14:val="tx1"/>
            </w14:solidFill>
          </w14:textFill>
        </w:rPr>
        <w:t xml:space="preserve">②请供应商根据评分标准制作评分索引并放在评审内容的前面，评分索引中应标明每个评分点的页码范围，如磋商文件内容顺序混乱，导致评委无法查看，后果自负。 </w:t>
      </w:r>
    </w:p>
    <w:p w14:paraId="5356EF71">
      <w:pPr>
        <w:spacing w:line="360" w:lineRule="auto"/>
        <w:ind w:firstLine="446" w:firstLineChars="202"/>
        <w:rPr>
          <w:rFonts w:ascii="宋体" w:hAnsi="宋体" w:cs="宋体"/>
          <w:b/>
          <w:bCs/>
          <w:color w:val="000000" w:themeColor="text1"/>
          <w:sz w:val="22"/>
          <w:szCs w:val="28"/>
          <w:lang w:val="zh-CN"/>
          <w14:textFill>
            <w14:solidFill>
              <w14:schemeClr w14:val="tx1"/>
            </w14:solidFill>
          </w14:textFill>
        </w:rPr>
      </w:pPr>
      <w:r>
        <w:rPr>
          <w:rFonts w:hint="eastAsia" w:ascii="宋体" w:hAnsi="宋体" w:cs="宋体"/>
          <w:b/>
          <w:bCs/>
          <w:color w:val="000000" w:themeColor="text1"/>
          <w:sz w:val="22"/>
          <w:szCs w:val="28"/>
          <w:lang w:val="zh-CN"/>
          <w14:textFill>
            <w14:solidFill>
              <w14:schemeClr w14:val="tx1"/>
            </w14:solidFill>
          </w14:textFill>
        </w:rPr>
        <w:t>③请供应商制作磋商文件的时保证图片、文字材料的完整、清晰可辨，任何原因导致评委看不清楚或无法查看，后果由供应商自负。</w:t>
      </w:r>
    </w:p>
    <w:p w14:paraId="5ECEBF1C">
      <w:pPr>
        <w:spacing w:line="360" w:lineRule="auto"/>
        <w:ind w:firstLine="446" w:firstLineChars="202"/>
        <w:rPr>
          <w:rFonts w:ascii="宋体" w:hAnsi="宋体" w:cs="宋体"/>
          <w:b/>
          <w:bCs/>
          <w:color w:val="000000" w:themeColor="text1"/>
          <w:sz w:val="22"/>
          <w:szCs w:val="28"/>
          <w14:textFill>
            <w14:solidFill>
              <w14:schemeClr w14:val="tx1"/>
            </w14:solidFill>
          </w14:textFill>
        </w:rPr>
      </w:pPr>
      <w:r>
        <w:rPr>
          <w:rFonts w:hint="eastAsia" w:ascii="宋体" w:hAnsi="宋体" w:cs="宋体"/>
          <w:b/>
          <w:bCs/>
          <w:color w:val="000000" w:themeColor="text1"/>
          <w:sz w:val="22"/>
          <w:szCs w:val="28"/>
          <w:lang w:val="zh-CN"/>
          <w14:textFill>
            <w14:solidFill>
              <w14:schemeClr w14:val="tx1"/>
            </w14:solidFill>
          </w14:textFill>
        </w:rPr>
        <w:t>④供应商制作磋商文件时所用的所有原件材料均须准备好成交公告结束后</w:t>
      </w:r>
      <w:r>
        <w:rPr>
          <w:rFonts w:hint="eastAsia" w:ascii="宋体" w:hAnsi="宋体" w:cs="宋体"/>
          <w:b/>
          <w:bCs/>
          <w:color w:val="000000" w:themeColor="text1"/>
          <w:sz w:val="22"/>
          <w:szCs w:val="28"/>
          <w14:textFill>
            <w14:solidFill>
              <w14:schemeClr w14:val="tx1"/>
            </w14:solidFill>
          </w14:textFill>
        </w:rPr>
        <w:t>5日内</w:t>
      </w:r>
      <w:r>
        <w:rPr>
          <w:rFonts w:hint="eastAsia" w:ascii="宋体" w:hAnsi="宋体" w:cs="宋体"/>
          <w:b/>
          <w:bCs/>
          <w:color w:val="000000" w:themeColor="text1"/>
          <w:sz w:val="22"/>
          <w:szCs w:val="28"/>
          <w:lang w:val="zh-CN"/>
          <w14:textFill>
            <w14:solidFill>
              <w14:schemeClr w14:val="tx1"/>
            </w14:solidFill>
          </w14:textFill>
        </w:rPr>
        <w:t>被采购人核查，如核查时供应商不能提供相关原件材料作弄虚作假处理，供应商自行承担相应法律后果。</w:t>
      </w:r>
    </w:p>
    <w:p w14:paraId="4FCF9165">
      <w:pPr>
        <w:autoSpaceDE w:val="0"/>
        <w:autoSpaceDN w:val="0"/>
        <w:adjustRightInd w:val="0"/>
        <w:snapToGrid w:val="0"/>
        <w:spacing w:line="500" w:lineRule="exact"/>
        <w:ind w:firstLine="56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w:t>
      </w:r>
      <w:r>
        <w:rPr>
          <w:rFonts w:hint="eastAsia" w:ascii="宋体" w:hAnsi="宋体" w:cs="宋体"/>
          <w:b/>
          <w:color w:val="000000" w:themeColor="text1"/>
          <w:sz w:val="28"/>
          <w:szCs w:val="28"/>
          <w:lang w:val="zh-CN"/>
          <w14:textFill>
            <w14:solidFill>
              <w14:schemeClr w14:val="tx1"/>
            </w14:solidFill>
          </w14:textFill>
        </w:rPr>
        <w:t>价格分</w:t>
      </w:r>
      <w:r>
        <w:rPr>
          <w:rFonts w:hint="eastAsia" w:ascii="宋体" w:hAnsi="宋体" w:cs="宋体"/>
          <w:b/>
          <w:color w:val="000000" w:themeColor="text1"/>
          <w:sz w:val="28"/>
          <w:szCs w:val="28"/>
          <w14:textFill>
            <w14:solidFill>
              <w14:schemeClr w14:val="tx1"/>
            </w14:solidFill>
          </w14:textFill>
        </w:rPr>
        <w:t>：40</w:t>
      </w:r>
      <w:r>
        <w:rPr>
          <w:rFonts w:hint="eastAsia" w:ascii="宋体" w:hAnsi="宋体" w:cs="宋体"/>
          <w:b/>
          <w:color w:val="000000" w:themeColor="text1"/>
          <w:sz w:val="28"/>
          <w:szCs w:val="28"/>
          <w:lang w:val="zh-CN"/>
          <w14:textFill>
            <w14:solidFill>
              <w14:schemeClr w14:val="tx1"/>
            </w14:solidFill>
          </w14:textFill>
        </w:rPr>
        <w:t>分</w:t>
      </w:r>
    </w:p>
    <w:p w14:paraId="61DC0EF3">
      <w:pPr>
        <w:adjustRightInd w:val="0"/>
        <w:snapToGrid w:val="0"/>
        <w:spacing w:line="50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价格分统一采用低价优先法计算，即满足磋商文件要求且最后价格最低的供应商报价为磋商基准价，其价格分为满分。其他供应商的价格分统一按照下列公式计算：</w:t>
      </w:r>
    </w:p>
    <w:p w14:paraId="4D7AC321">
      <w:pPr>
        <w:pStyle w:val="18"/>
        <w:snapToGrid w:val="0"/>
        <w:spacing w:before="0" w:after="0" w:line="500" w:lineRule="exact"/>
        <w:ind w:left="0" w:right="0" w:firstLineChars="200"/>
        <w:jc w:val="both"/>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磋商报价得分=（磋商基准价/最后磋商报价）×价格权值×100</w:t>
      </w:r>
    </w:p>
    <w:p w14:paraId="5644E079">
      <w:pPr>
        <w:adjustRightInd w:val="0"/>
        <w:snapToGrid w:val="0"/>
        <w:spacing w:line="500" w:lineRule="exact"/>
        <w:ind w:firstLine="551" w:firstLineChars="196"/>
        <w:rPr>
          <w:rFonts w:ascii="宋体" w:hAnsi="宋体" w:cs="宋体"/>
          <w:bCs/>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（五）成交供应商的确定</w:t>
      </w:r>
    </w:p>
    <w:p w14:paraId="7517BC26">
      <w:pPr>
        <w:adjustRightInd w:val="0"/>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评委会汇总各评委评分后，采购人委托磋商委员会直接确定排名第一的成交候选人为</w:t>
      </w:r>
      <w:r>
        <w:rPr>
          <w:rFonts w:hint="eastAsia" w:ascii="宋体" w:hAnsi="宋体" w:cs="宋体"/>
          <w:b/>
          <w:color w:val="000000" w:themeColor="text1"/>
          <w:sz w:val="24"/>
          <w:szCs w:val="24"/>
          <w14:textFill>
            <w14:solidFill>
              <w14:schemeClr w14:val="tx1"/>
            </w14:solidFill>
          </w14:textFill>
        </w:rPr>
        <w:t>成交供应商</w:t>
      </w:r>
      <w:r>
        <w:rPr>
          <w:rFonts w:hint="eastAsia" w:ascii="宋体" w:hAnsi="宋体" w:cs="宋体"/>
          <w:color w:val="000000" w:themeColor="text1"/>
          <w:sz w:val="24"/>
          <w:szCs w:val="24"/>
          <w14:textFill>
            <w14:solidFill>
              <w14:schemeClr w14:val="tx1"/>
            </w14:solidFill>
          </w14:textFill>
        </w:rPr>
        <w:t>。</w:t>
      </w:r>
    </w:p>
    <w:p w14:paraId="7CFF224C">
      <w:pPr>
        <w:adjustRightInd w:val="0"/>
        <w:snapToGrid w:val="0"/>
        <w:spacing w:line="500" w:lineRule="exact"/>
        <w:ind w:firstLine="557" w:firstLineChars="198"/>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（六）采购人代表宣布评标结果。</w:t>
      </w:r>
    </w:p>
    <w:p w14:paraId="6BB81D1F">
      <w:pPr>
        <w:adjustRightInd w:val="0"/>
        <w:snapToGrid w:val="0"/>
        <w:spacing w:line="5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（七）公告成交结果</w:t>
      </w:r>
    </w:p>
    <w:p w14:paraId="24AFF1A4">
      <w:pPr>
        <w:adjustRightInd w:val="0"/>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自确定</w:t>
      </w:r>
      <w:r>
        <w:rPr>
          <w:rFonts w:hint="eastAsia" w:ascii="宋体" w:hAnsi="宋体" w:cs="宋体"/>
          <w:b/>
          <w:color w:val="000000" w:themeColor="text1"/>
          <w:sz w:val="24"/>
          <w:szCs w:val="24"/>
          <w14:textFill>
            <w14:solidFill>
              <w14:schemeClr w14:val="tx1"/>
            </w14:solidFill>
          </w14:textFill>
        </w:rPr>
        <w:t>成交供应商</w:t>
      </w:r>
      <w:r>
        <w:rPr>
          <w:rFonts w:hint="eastAsia" w:ascii="宋体" w:hAnsi="宋体" w:cs="宋体"/>
          <w:color w:val="000000" w:themeColor="text1"/>
          <w:sz w:val="24"/>
          <w:szCs w:val="24"/>
          <w14:textFill>
            <w14:solidFill>
              <w14:schemeClr w14:val="tx1"/>
            </w14:solidFill>
          </w14:textFill>
        </w:rPr>
        <w:t>之日起3个工作日内，在</w:t>
      </w:r>
      <w:r>
        <w:rPr>
          <w:rFonts w:hint="eastAsia" w:cs="宋体" w:asciiTheme="majorEastAsia" w:hAnsiTheme="majorEastAsia" w:eastAsiaTheme="majorEastAsia"/>
          <w:color w:val="000000" w:themeColor="text1"/>
          <w:kern w:val="0"/>
          <w:sz w:val="24"/>
          <w:szCs w:val="24"/>
          <w14:textFill>
            <w14:solidFill>
              <w14:schemeClr w14:val="tx1"/>
            </w14:solidFill>
          </w14:textFill>
        </w:rPr>
        <w:t>南通市海门区卫生健康委员会网站</w:t>
      </w:r>
      <w:r>
        <w:rPr>
          <w:rFonts w:hint="eastAsia" w:ascii="宋体" w:hAnsi="宋体" w:cs="宋体"/>
          <w:color w:val="000000" w:themeColor="text1"/>
          <w:sz w:val="24"/>
          <w:szCs w:val="24"/>
          <w14:textFill>
            <w14:solidFill>
              <w14:schemeClr w14:val="tx1"/>
            </w14:solidFill>
          </w14:textFill>
        </w:rPr>
        <w:t>公告成交结果，公告期限为1个工作日。</w:t>
      </w:r>
    </w:p>
    <w:p w14:paraId="54AC3BAF">
      <w:pPr>
        <w:adjustRightInd w:val="0"/>
        <w:snapToGrid w:val="0"/>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14:textFill>
            <w14:solidFill>
              <w14:schemeClr w14:val="tx1"/>
            </w14:solidFill>
          </w14:textFill>
        </w:rPr>
        <w:t>八</w:t>
      </w:r>
      <w:r>
        <w:rPr>
          <w:rFonts w:hint="eastAsia" w:ascii="宋体" w:hAnsi="宋体" w:cs="宋体"/>
          <w:b/>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14:textFill>
            <w14:solidFill>
              <w14:schemeClr w14:val="tx1"/>
            </w14:solidFill>
          </w14:textFill>
        </w:rPr>
        <w:t>发放成交通知书</w:t>
      </w:r>
    </w:p>
    <w:p w14:paraId="39C07EAC">
      <w:pPr>
        <w:adjustRightInd w:val="0"/>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公告成交结果的同时，采购人</w:t>
      </w:r>
      <w:r>
        <w:rPr>
          <w:rFonts w:hint="eastAsia" w:ascii="宋体" w:hAnsi="宋体" w:cs="宋体"/>
          <w:bCs/>
          <w:color w:val="000000" w:themeColor="text1"/>
          <w:sz w:val="24"/>
          <w:szCs w:val="24"/>
          <w14:textFill>
            <w14:solidFill>
              <w14:schemeClr w14:val="tx1"/>
            </w14:solidFill>
          </w14:textFill>
        </w:rPr>
        <w:t>向成交供应商发放成交通知书。</w:t>
      </w:r>
    </w:p>
    <w:p w14:paraId="04B09C5A">
      <w:pPr>
        <w:adjustRightInd w:val="0"/>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成交通知书发出后，采购人不得违法改变成交结果，成交供应商无正当理由不得放弃成交。</w:t>
      </w:r>
    </w:p>
    <w:p w14:paraId="14292591">
      <w:pPr>
        <w:jc w:val="center"/>
        <w:rPr>
          <w:rFonts w:cs="宋体" w:asciiTheme="majorEastAsia" w:hAnsiTheme="majorEastAsia" w:eastAsiaTheme="majorEastAsia"/>
          <w:b/>
          <w:bCs/>
          <w:color w:val="000000" w:themeColor="text1"/>
          <w:kern w:val="0"/>
          <w:sz w:val="36"/>
          <w:szCs w:val="36"/>
          <w14:textFill>
            <w14:solidFill>
              <w14:schemeClr w14:val="tx1"/>
            </w14:solidFill>
          </w14:textFill>
        </w:rPr>
      </w:pPr>
    </w:p>
    <w:p w14:paraId="3059986D">
      <w:pPr>
        <w:jc w:val="center"/>
        <w:rPr>
          <w:rFonts w:cs="宋体" w:asciiTheme="majorEastAsia" w:hAnsiTheme="majorEastAsia" w:eastAsiaTheme="majorEastAsia"/>
          <w:b/>
          <w:bCs/>
          <w:color w:val="000000" w:themeColor="text1"/>
          <w:kern w:val="0"/>
          <w:sz w:val="36"/>
          <w:szCs w:val="36"/>
          <w14:textFill>
            <w14:solidFill>
              <w14:schemeClr w14:val="tx1"/>
            </w14:solidFill>
          </w14:textFill>
        </w:rPr>
      </w:pPr>
    </w:p>
    <w:p w14:paraId="69E790EA">
      <w:pPr>
        <w:jc w:val="center"/>
        <w:rPr>
          <w:rFonts w:cs="宋体" w:asciiTheme="majorEastAsia" w:hAnsiTheme="majorEastAsia" w:eastAsiaTheme="majorEastAsia"/>
          <w:b/>
          <w:bCs/>
          <w:color w:val="000000" w:themeColor="text1"/>
          <w:kern w:val="0"/>
          <w:sz w:val="36"/>
          <w:szCs w:val="36"/>
          <w14:textFill>
            <w14:solidFill>
              <w14:schemeClr w14:val="tx1"/>
            </w14:solidFill>
          </w14:textFill>
        </w:rPr>
      </w:pPr>
    </w:p>
    <w:p w14:paraId="4BDFA22E">
      <w:pPr>
        <w:jc w:val="center"/>
        <w:rPr>
          <w:rFonts w:cs="宋体" w:asciiTheme="majorEastAsia" w:hAnsiTheme="majorEastAsia" w:eastAsiaTheme="majorEastAsia"/>
          <w:color w:val="000000" w:themeColor="text1"/>
          <w:kern w:val="0"/>
          <w:sz w:val="36"/>
          <w:szCs w:val="36"/>
          <w14:textFill>
            <w14:solidFill>
              <w14:schemeClr w14:val="tx1"/>
            </w14:solidFill>
          </w14:textFill>
        </w:rPr>
      </w:pPr>
      <w:r>
        <w:rPr>
          <w:rFonts w:hint="eastAsia" w:cs="宋体" w:asciiTheme="majorEastAsia" w:hAnsiTheme="majorEastAsia" w:eastAsiaTheme="majorEastAsia"/>
          <w:b/>
          <w:bCs/>
          <w:color w:val="000000" w:themeColor="text1"/>
          <w:kern w:val="0"/>
          <w:sz w:val="36"/>
          <w:szCs w:val="36"/>
          <w14:textFill>
            <w14:solidFill>
              <w14:schemeClr w14:val="tx1"/>
            </w14:solidFill>
          </w14:textFill>
        </w:rPr>
        <w:t>第五部分  磋商文件的组成</w:t>
      </w:r>
    </w:p>
    <w:p w14:paraId="6BEF97DF">
      <w:pPr>
        <w:keepNext/>
        <w:keepLines/>
        <w:spacing w:before="120" w:after="120"/>
        <w:ind w:firstLine="562"/>
        <w:jc w:val="center"/>
        <w:rPr>
          <w:rFonts w:cs="宋体" w:asciiTheme="majorEastAsia" w:hAnsiTheme="majorEastAsia" w:eastAsiaTheme="majorEastAsia"/>
          <w:color w:val="000000" w:themeColor="text1"/>
          <w:kern w:val="0"/>
          <w:sz w:val="24"/>
          <w:szCs w:val="24"/>
          <w14:textFill>
            <w14:solidFill>
              <w14:schemeClr w14:val="tx1"/>
            </w14:solidFill>
          </w14:textFill>
        </w:rPr>
      </w:pPr>
      <w:bookmarkStart w:id="118" w:name="OLE_LINK15"/>
      <w:bookmarkStart w:id="119" w:name="OLE_LINK16"/>
      <w:r>
        <w:rPr>
          <w:rFonts w:hint="eastAsia" w:cs="宋体" w:asciiTheme="majorEastAsia" w:hAnsiTheme="majorEastAsia" w:eastAsiaTheme="majorEastAsia"/>
          <w:bCs/>
          <w:color w:val="000000" w:themeColor="text1"/>
          <w:kern w:val="0"/>
          <w:sz w:val="24"/>
          <w:szCs w:val="24"/>
          <w14:textFill>
            <w14:solidFill>
              <w14:schemeClr w14:val="tx1"/>
            </w14:solidFill>
          </w14:textFill>
        </w:rPr>
        <w:t>磋商资料</w:t>
      </w:r>
      <w:bookmarkEnd w:id="118"/>
      <w:bookmarkEnd w:id="119"/>
      <w:r>
        <w:rPr>
          <w:rFonts w:hint="eastAsia" w:cs="宋体" w:asciiTheme="majorEastAsia" w:hAnsiTheme="majorEastAsia" w:eastAsiaTheme="majorEastAsia"/>
          <w:bCs/>
          <w:color w:val="000000" w:themeColor="text1"/>
          <w:kern w:val="0"/>
          <w:sz w:val="24"/>
          <w:szCs w:val="24"/>
          <w14:textFill>
            <w14:solidFill>
              <w14:schemeClr w14:val="tx1"/>
            </w14:solidFill>
          </w14:textFill>
        </w:rPr>
        <w:t>目录</w:t>
      </w:r>
    </w:p>
    <w:tbl>
      <w:tblPr>
        <w:tblStyle w:val="8"/>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2"/>
        <w:gridCol w:w="1722"/>
        <w:gridCol w:w="2953"/>
        <w:gridCol w:w="1556"/>
        <w:gridCol w:w="1669"/>
      </w:tblGrid>
      <w:tr w14:paraId="1758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5B2FCE5">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序号</w:t>
            </w:r>
          </w:p>
        </w:tc>
        <w:tc>
          <w:tcPr>
            <w:tcW w:w="1722" w:type="dxa"/>
            <w:tcBorders>
              <w:top w:val="single" w:color="000000" w:sz="4" w:space="0"/>
              <w:left w:val="single" w:color="000000" w:sz="4" w:space="0"/>
              <w:bottom w:val="single" w:color="000000" w:sz="4" w:space="0"/>
              <w:right w:val="single" w:color="000000" w:sz="4" w:space="0"/>
            </w:tcBorders>
            <w:vAlign w:val="center"/>
          </w:tcPr>
          <w:p w14:paraId="0BF52EF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磋商资料</w:t>
            </w:r>
          </w:p>
        </w:tc>
        <w:tc>
          <w:tcPr>
            <w:tcW w:w="2953" w:type="dxa"/>
            <w:tcBorders>
              <w:top w:val="single" w:color="000000" w:sz="4" w:space="0"/>
              <w:left w:val="single" w:color="000000" w:sz="4" w:space="0"/>
              <w:bottom w:val="single" w:color="000000" w:sz="4" w:space="0"/>
              <w:right w:val="single" w:color="000000" w:sz="4" w:space="0"/>
            </w:tcBorders>
            <w:vAlign w:val="center"/>
          </w:tcPr>
          <w:p w14:paraId="17AA639C">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证明材料名称</w:t>
            </w:r>
          </w:p>
        </w:tc>
        <w:tc>
          <w:tcPr>
            <w:tcW w:w="1556" w:type="dxa"/>
            <w:tcBorders>
              <w:top w:val="single" w:color="000000" w:sz="4" w:space="0"/>
              <w:left w:val="single" w:color="000000" w:sz="4" w:space="0"/>
              <w:bottom w:val="single" w:color="000000" w:sz="4" w:space="0"/>
              <w:right w:val="single" w:color="000000" w:sz="4" w:space="0"/>
            </w:tcBorders>
            <w:vAlign w:val="center"/>
          </w:tcPr>
          <w:p w14:paraId="3C260E9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响应文件位置</w:t>
            </w:r>
          </w:p>
        </w:tc>
        <w:tc>
          <w:tcPr>
            <w:tcW w:w="1669" w:type="dxa"/>
            <w:tcBorders>
              <w:top w:val="single" w:color="000000" w:sz="4" w:space="0"/>
              <w:left w:val="single" w:color="000000" w:sz="4" w:space="0"/>
              <w:bottom w:val="single" w:color="000000" w:sz="4" w:space="0"/>
              <w:right w:val="single" w:color="000000" w:sz="4" w:space="0"/>
            </w:tcBorders>
            <w:vAlign w:val="center"/>
          </w:tcPr>
          <w:p w14:paraId="50D1C118">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说  明</w:t>
            </w:r>
          </w:p>
        </w:tc>
      </w:tr>
      <w:tr w14:paraId="542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5386F25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w:t>
            </w:r>
          </w:p>
        </w:tc>
        <w:tc>
          <w:tcPr>
            <w:tcW w:w="1722" w:type="dxa"/>
            <w:tcBorders>
              <w:top w:val="single" w:color="000000" w:sz="4" w:space="0"/>
              <w:left w:val="single" w:color="000000" w:sz="4" w:space="0"/>
              <w:bottom w:val="single" w:color="000000" w:sz="4" w:space="0"/>
              <w:right w:val="single" w:color="000000" w:sz="4" w:space="0"/>
            </w:tcBorders>
            <w:vAlign w:val="center"/>
          </w:tcPr>
          <w:p w14:paraId="50E48EF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磋商承诺函</w:t>
            </w:r>
          </w:p>
        </w:tc>
        <w:tc>
          <w:tcPr>
            <w:tcW w:w="2953" w:type="dxa"/>
            <w:tcBorders>
              <w:top w:val="single" w:color="000000" w:sz="4" w:space="0"/>
              <w:left w:val="single" w:color="000000" w:sz="4" w:space="0"/>
              <w:bottom w:val="single" w:color="000000" w:sz="4" w:space="0"/>
              <w:right w:val="single" w:color="000000" w:sz="4" w:space="0"/>
            </w:tcBorders>
            <w:vAlign w:val="center"/>
          </w:tcPr>
          <w:p w14:paraId="73DF039C">
            <w:pPr>
              <w:tabs>
                <w:tab w:val="left" w:pos="3375"/>
              </w:tabs>
              <w:ind w:firstLine="42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1556" w:type="dxa"/>
            <w:tcBorders>
              <w:top w:val="single" w:color="000000" w:sz="4" w:space="0"/>
              <w:left w:val="single" w:color="000000" w:sz="4" w:space="0"/>
              <w:bottom w:val="single" w:color="000000" w:sz="4" w:space="0"/>
              <w:right w:val="single" w:color="000000" w:sz="4" w:space="0"/>
            </w:tcBorders>
            <w:vAlign w:val="center"/>
          </w:tcPr>
          <w:p w14:paraId="78E67F25">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bookmarkStart w:id="120" w:name="OLE_LINK13"/>
            <w:bookmarkStart w:id="121" w:name="OLE_LINK14"/>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bookmarkEnd w:id="120"/>
            <w:bookmarkEnd w:id="121"/>
          </w:p>
        </w:tc>
        <w:tc>
          <w:tcPr>
            <w:tcW w:w="1669" w:type="dxa"/>
            <w:tcBorders>
              <w:top w:val="single" w:color="000000" w:sz="4" w:space="0"/>
              <w:left w:val="single" w:color="000000" w:sz="4" w:space="0"/>
              <w:bottom w:val="single" w:color="000000" w:sz="4" w:space="0"/>
              <w:right w:val="single" w:color="000000" w:sz="4" w:space="0"/>
            </w:tcBorders>
            <w:vAlign w:val="center"/>
          </w:tcPr>
          <w:p w14:paraId="00C0005C">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4B2F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77D067C9">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w:t>
            </w:r>
          </w:p>
        </w:tc>
        <w:tc>
          <w:tcPr>
            <w:tcW w:w="1722" w:type="dxa"/>
            <w:tcBorders>
              <w:top w:val="single" w:color="000000" w:sz="4" w:space="0"/>
              <w:left w:val="single" w:color="000000" w:sz="4" w:space="0"/>
              <w:bottom w:val="single" w:color="000000" w:sz="4" w:space="0"/>
              <w:right w:val="single" w:color="000000" w:sz="4" w:space="0"/>
            </w:tcBorders>
            <w:vAlign w:val="center"/>
          </w:tcPr>
          <w:p w14:paraId="223E7C4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法定代表人身份证明书</w:t>
            </w:r>
          </w:p>
        </w:tc>
        <w:tc>
          <w:tcPr>
            <w:tcW w:w="2953" w:type="dxa"/>
            <w:tcBorders>
              <w:top w:val="single" w:color="000000" w:sz="4" w:space="0"/>
              <w:left w:val="single" w:color="000000" w:sz="4" w:space="0"/>
              <w:bottom w:val="single" w:color="000000" w:sz="4" w:space="0"/>
              <w:right w:val="single" w:color="000000" w:sz="4" w:space="0"/>
            </w:tcBorders>
            <w:vAlign w:val="center"/>
          </w:tcPr>
          <w:p w14:paraId="5AEC25C8">
            <w:pPr>
              <w:tabs>
                <w:tab w:val="left" w:pos="3375"/>
              </w:tabs>
              <w:ind w:firstLine="42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1556" w:type="dxa"/>
            <w:tcBorders>
              <w:top w:val="single" w:color="000000" w:sz="4" w:space="0"/>
              <w:left w:val="single" w:color="000000" w:sz="4" w:space="0"/>
              <w:bottom w:val="single" w:color="000000" w:sz="4" w:space="0"/>
              <w:right w:val="single" w:color="000000" w:sz="4" w:space="0"/>
            </w:tcBorders>
            <w:vAlign w:val="center"/>
          </w:tcPr>
          <w:p w14:paraId="1AE09C6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2B3FCC4A">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4FC07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7392448">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w:t>
            </w:r>
          </w:p>
        </w:tc>
        <w:tc>
          <w:tcPr>
            <w:tcW w:w="1722" w:type="dxa"/>
            <w:tcBorders>
              <w:top w:val="single" w:color="000000" w:sz="4" w:space="0"/>
              <w:left w:val="single" w:color="000000" w:sz="4" w:space="0"/>
              <w:bottom w:val="single" w:color="000000" w:sz="4" w:space="0"/>
              <w:right w:val="single" w:color="000000" w:sz="4" w:space="0"/>
            </w:tcBorders>
            <w:vAlign w:val="center"/>
          </w:tcPr>
          <w:p w14:paraId="258C2ADF">
            <w:pPr>
              <w:tabs>
                <w:tab w:val="left" w:pos="3375"/>
              </w:tabs>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法定代表人授权书</w:t>
            </w:r>
          </w:p>
        </w:tc>
        <w:tc>
          <w:tcPr>
            <w:tcW w:w="2953" w:type="dxa"/>
            <w:tcBorders>
              <w:top w:val="single" w:color="000000" w:sz="4" w:space="0"/>
              <w:left w:val="single" w:color="000000" w:sz="4" w:space="0"/>
              <w:bottom w:val="single" w:color="000000" w:sz="4" w:space="0"/>
              <w:right w:val="single" w:color="000000" w:sz="4" w:space="0"/>
            </w:tcBorders>
            <w:vAlign w:val="center"/>
          </w:tcPr>
          <w:p w14:paraId="7617D8F9">
            <w:pPr>
              <w:tabs>
                <w:tab w:val="left" w:pos="3375"/>
              </w:tabs>
              <w:ind w:firstLine="42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1556" w:type="dxa"/>
            <w:tcBorders>
              <w:top w:val="single" w:color="000000" w:sz="4" w:space="0"/>
              <w:left w:val="single" w:color="000000" w:sz="4" w:space="0"/>
              <w:bottom w:val="single" w:color="000000" w:sz="4" w:space="0"/>
              <w:right w:val="single" w:color="000000" w:sz="4" w:space="0"/>
            </w:tcBorders>
            <w:vAlign w:val="center"/>
          </w:tcPr>
          <w:p w14:paraId="19A5DF4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6D2E48B5">
            <w:pPr>
              <w:tabs>
                <w:tab w:val="left" w:pos="3375"/>
              </w:tabs>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法定代表人参加磋商的可不提供</w:t>
            </w:r>
          </w:p>
        </w:tc>
      </w:tr>
      <w:tr w14:paraId="0C43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75D231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w:t>
            </w:r>
          </w:p>
        </w:tc>
        <w:tc>
          <w:tcPr>
            <w:tcW w:w="1722" w:type="dxa"/>
            <w:tcBorders>
              <w:top w:val="single" w:color="000000" w:sz="4" w:space="0"/>
              <w:left w:val="single" w:color="000000" w:sz="4" w:space="0"/>
              <w:bottom w:val="single" w:color="000000" w:sz="4" w:space="0"/>
              <w:right w:val="single" w:color="000000" w:sz="4" w:space="0"/>
            </w:tcBorders>
            <w:vAlign w:val="center"/>
          </w:tcPr>
          <w:p w14:paraId="6BDCE2C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授权代表为投标企业正式人员证明</w:t>
            </w:r>
          </w:p>
        </w:tc>
        <w:tc>
          <w:tcPr>
            <w:tcW w:w="2953" w:type="dxa"/>
            <w:tcBorders>
              <w:top w:val="single" w:color="000000" w:sz="4" w:space="0"/>
              <w:left w:val="single" w:color="000000" w:sz="4" w:space="0"/>
              <w:bottom w:val="single" w:color="000000" w:sz="4" w:space="0"/>
              <w:right w:val="single" w:color="000000" w:sz="4" w:space="0"/>
            </w:tcBorders>
            <w:vAlign w:val="center"/>
          </w:tcPr>
          <w:p w14:paraId="7A8F04E2">
            <w:pPr>
              <w:tabs>
                <w:tab w:val="left" w:pos="3375"/>
              </w:tabs>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须提供用工合同复印件及近一个月单位为其缴纳的基本养老保险证明材料</w:t>
            </w:r>
          </w:p>
        </w:tc>
        <w:tc>
          <w:tcPr>
            <w:tcW w:w="1556" w:type="dxa"/>
            <w:tcBorders>
              <w:top w:val="single" w:color="000000" w:sz="4" w:space="0"/>
              <w:left w:val="single" w:color="000000" w:sz="4" w:space="0"/>
              <w:bottom w:val="single" w:color="000000" w:sz="4" w:space="0"/>
              <w:right w:val="single" w:color="000000" w:sz="4" w:space="0"/>
            </w:tcBorders>
            <w:vAlign w:val="center"/>
          </w:tcPr>
          <w:p w14:paraId="41700E7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13A63E5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法定代表人参加磋商的可不提供</w:t>
            </w:r>
          </w:p>
        </w:tc>
      </w:tr>
      <w:tr w14:paraId="5F505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0867E9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w:t>
            </w:r>
          </w:p>
        </w:tc>
        <w:tc>
          <w:tcPr>
            <w:tcW w:w="1722" w:type="dxa"/>
            <w:tcBorders>
              <w:top w:val="single" w:color="000000" w:sz="4" w:space="0"/>
              <w:left w:val="single" w:color="000000" w:sz="4" w:space="0"/>
              <w:bottom w:val="single" w:color="000000" w:sz="4" w:space="0"/>
              <w:right w:val="single" w:color="000000" w:sz="4" w:space="0"/>
            </w:tcBorders>
            <w:vAlign w:val="center"/>
          </w:tcPr>
          <w:p w14:paraId="2A32B890">
            <w:pPr>
              <w:tabs>
                <w:tab w:val="left" w:pos="3375"/>
              </w:tabs>
              <w:ind w:firstLine="199"/>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诚信承诺函</w:t>
            </w:r>
          </w:p>
        </w:tc>
        <w:tc>
          <w:tcPr>
            <w:tcW w:w="2953" w:type="dxa"/>
            <w:tcBorders>
              <w:top w:val="single" w:color="000000" w:sz="4" w:space="0"/>
              <w:left w:val="single" w:color="000000" w:sz="4" w:space="0"/>
              <w:bottom w:val="single" w:color="000000" w:sz="4" w:space="0"/>
              <w:right w:val="single" w:color="000000" w:sz="4" w:space="0"/>
            </w:tcBorders>
            <w:vAlign w:val="center"/>
          </w:tcPr>
          <w:p w14:paraId="0D80296F">
            <w:pPr>
              <w:tabs>
                <w:tab w:val="left" w:pos="3375"/>
              </w:tabs>
              <w:ind w:firstLine="42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1556" w:type="dxa"/>
            <w:tcBorders>
              <w:top w:val="single" w:color="000000" w:sz="4" w:space="0"/>
              <w:left w:val="single" w:color="000000" w:sz="4" w:space="0"/>
              <w:bottom w:val="single" w:color="000000" w:sz="4" w:space="0"/>
              <w:right w:val="single" w:color="000000" w:sz="4" w:space="0"/>
            </w:tcBorders>
            <w:vAlign w:val="center"/>
          </w:tcPr>
          <w:p w14:paraId="63D603B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4B11FBC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2C72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07643C2">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6</w:t>
            </w:r>
          </w:p>
        </w:tc>
        <w:tc>
          <w:tcPr>
            <w:tcW w:w="1722" w:type="dxa"/>
            <w:tcBorders>
              <w:top w:val="single" w:color="000000" w:sz="4" w:space="0"/>
              <w:left w:val="single" w:color="000000" w:sz="4" w:space="0"/>
              <w:bottom w:val="single" w:color="000000" w:sz="4" w:space="0"/>
              <w:right w:val="single" w:color="000000" w:sz="4" w:space="0"/>
            </w:tcBorders>
            <w:vAlign w:val="center"/>
          </w:tcPr>
          <w:p w14:paraId="1BDD3363">
            <w:pPr>
              <w:tabs>
                <w:tab w:val="left" w:pos="3375"/>
              </w:tabs>
              <w:ind w:firstLine="30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营业执照</w:t>
            </w:r>
          </w:p>
        </w:tc>
        <w:tc>
          <w:tcPr>
            <w:tcW w:w="2953" w:type="dxa"/>
            <w:tcBorders>
              <w:top w:val="single" w:color="000000" w:sz="4" w:space="0"/>
              <w:left w:val="single" w:color="000000" w:sz="4" w:space="0"/>
              <w:bottom w:val="single" w:color="000000" w:sz="4" w:space="0"/>
              <w:right w:val="single" w:color="000000" w:sz="4" w:space="0"/>
            </w:tcBorders>
            <w:vAlign w:val="center"/>
          </w:tcPr>
          <w:p w14:paraId="288CE783">
            <w:pPr>
              <w:tabs>
                <w:tab w:val="left" w:pos="3375"/>
              </w:tabs>
              <w:ind w:firstLine="42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1556" w:type="dxa"/>
            <w:tcBorders>
              <w:top w:val="single" w:color="000000" w:sz="4" w:space="0"/>
              <w:left w:val="single" w:color="000000" w:sz="4" w:space="0"/>
              <w:bottom w:val="single" w:color="000000" w:sz="4" w:space="0"/>
              <w:right w:val="single" w:color="000000" w:sz="4" w:space="0"/>
            </w:tcBorders>
            <w:vAlign w:val="center"/>
          </w:tcPr>
          <w:p w14:paraId="21BE44F2">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5234E23A">
            <w:pPr>
              <w:tabs>
                <w:tab w:val="left" w:pos="3375"/>
              </w:tabs>
              <w:ind w:firstLine="42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r>
      <w:tr w14:paraId="1F74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12FAB97">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7</w:t>
            </w:r>
          </w:p>
        </w:tc>
        <w:tc>
          <w:tcPr>
            <w:tcW w:w="1722" w:type="dxa"/>
            <w:tcBorders>
              <w:top w:val="single" w:color="000000" w:sz="4" w:space="0"/>
              <w:left w:val="single" w:color="000000" w:sz="4" w:space="0"/>
              <w:bottom w:val="single" w:color="000000" w:sz="4" w:space="0"/>
              <w:right w:val="single" w:color="000000" w:sz="4" w:space="0"/>
            </w:tcBorders>
            <w:vAlign w:val="center"/>
          </w:tcPr>
          <w:p w14:paraId="2210148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满足《中华人民共和国政府采购法》第二十二条规定</w:t>
            </w:r>
          </w:p>
        </w:tc>
        <w:tc>
          <w:tcPr>
            <w:tcW w:w="2953" w:type="dxa"/>
            <w:tcBorders>
              <w:top w:val="single" w:color="000000" w:sz="4" w:space="0"/>
              <w:left w:val="single" w:color="000000" w:sz="4" w:space="0"/>
              <w:bottom w:val="single" w:color="000000" w:sz="4" w:space="0"/>
              <w:right w:val="single" w:color="000000" w:sz="4" w:space="0"/>
            </w:tcBorders>
            <w:vAlign w:val="center"/>
          </w:tcPr>
          <w:p w14:paraId="15E52ACC">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提供声明函</w:t>
            </w:r>
          </w:p>
        </w:tc>
        <w:tc>
          <w:tcPr>
            <w:tcW w:w="1556" w:type="dxa"/>
            <w:tcBorders>
              <w:top w:val="single" w:color="000000" w:sz="4" w:space="0"/>
              <w:left w:val="single" w:color="000000" w:sz="4" w:space="0"/>
              <w:bottom w:val="single" w:color="000000" w:sz="4" w:space="0"/>
              <w:right w:val="single" w:color="000000" w:sz="4" w:space="0"/>
            </w:tcBorders>
            <w:vAlign w:val="center"/>
          </w:tcPr>
          <w:p w14:paraId="210114EE">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592CE3A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40229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1C9DBCC">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8 </w:t>
            </w:r>
          </w:p>
        </w:tc>
        <w:tc>
          <w:tcPr>
            <w:tcW w:w="1722" w:type="dxa"/>
            <w:tcBorders>
              <w:top w:val="single" w:color="000000" w:sz="4" w:space="0"/>
              <w:left w:val="single" w:color="000000" w:sz="4" w:space="0"/>
              <w:bottom w:val="single" w:color="000000" w:sz="4" w:space="0"/>
              <w:right w:val="single" w:color="000000" w:sz="4" w:space="0"/>
            </w:tcBorders>
            <w:vAlign w:val="center"/>
          </w:tcPr>
          <w:p w14:paraId="0831E41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供应商情况一览表</w:t>
            </w:r>
          </w:p>
        </w:tc>
        <w:tc>
          <w:tcPr>
            <w:tcW w:w="2953" w:type="dxa"/>
            <w:tcBorders>
              <w:top w:val="single" w:color="000000" w:sz="4" w:space="0"/>
              <w:left w:val="single" w:color="000000" w:sz="4" w:space="0"/>
              <w:bottom w:val="single" w:color="000000" w:sz="4" w:space="0"/>
              <w:right w:val="single" w:color="000000" w:sz="4" w:space="0"/>
            </w:tcBorders>
            <w:vAlign w:val="center"/>
          </w:tcPr>
          <w:p w14:paraId="75BDC13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1556" w:type="dxa"/>
            <w:tcBorders>
              <w:top w:val="single" w:color="000000" w:sz="4" w:space="0"/>
              <w:left w:val="single" w:color="000000" w:sz="4" w:space="0"/>
              <w:bottom w:val="single" w:color="000000" w:sz="4" w:space="0"/>
              <w:right w:val="single" w:color="000000" w:sz="4" w:space="0"/>
            </w:tcBorders>
            <w:vAlign w:val="center"/>
          </w:tcPr>
          <w:p w14:paraId="0B858FF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6F48B817">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115D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C1849EA">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9</w:t>
            </w:r>
          </w:p>
        </w:tc>
        <w:tc>
          <w:tcPr>
            <w:tcW w:w="1722" w:type="dxa"/>
            <w:tcBorders>
              <w:top w:val="single" w:color="000000" w:sz="4" w:space="0"/>
              <w:left w:val="single" w:color="000000" w:sz="4" w:space="0"/>
              <w:bottom w:val="single" w:color="000000" w:sz="4" w:space="0"/>
              <w:right w:val="single" w:color="000000" w:sz="4" w:space="0"/>
            </w:tcBorders>
            <w:vAlign w:val="center"/>
          </w:tcPr>
          <w:p w14:paraId="6B43B95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技术部分正负偏离表</w:t>
            </w:r>
          </w:p>
        </w:tc>
        <w:tc>
          <w:tcPr>
            <w:tcW w:w="2953" w:type="dxa"/>
            <w:tcBorders>
              <w:top w:val="single" w:color="000000" w:sz="4" w:space="0"/>
              <w:left w:val="single" w:color="000000" w:sz="4" w:space="0"/>
              <w:bottom w:val="single" w:color="000000" w:sz="4" w:space="0"/>
              <w:right w:val="single" w:color="000000" w:sz="4" w:space="0"/>
            </w:tcBorders>
            <w:vAlign w:val="center"/>
          </w:tcPr>
          <w:p w14:paraId="5125EC2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1556" w:type="dxa"/>
            <w:tcBorders>
              <w:top w:val="single" w:color="000000" w:sz="4" w:space="0"/>
              <w:left w:val="single" w:color="000000" w:sz="4" w:space="0"/>
              <w:bottom w:val="single" w:color="000000" w:sz="4" w:space="0"/>
              <w:right w:val="single" w:color="000000" w:sz="4" w:space="0"/>
            </w:tcBorders>
            <w:vAlign w:val="center"/>
          </w:tcPr>
          <w:p w14:paraId="66573882">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7EF10F7B">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3708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A765BA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10</w:t>
            </w:r>
          </w:p>
        </w:tc>
        <w:tc>
          <w:tcPr>
            <w:tcW w:w="1722" w:type="dxa"/>
            <w:tcBorders>
              <w:top w:val="single" w:color="000000" w:sz="4" w:space="0"/>
              <w:left w:val="single" w:color="000000" w:sz="4" w:space="0"/>
              <w:bottom w:val="single" w:color="000000" w:sz="4" w:space="0"/>
              <w:right w:val="single" w:color="000000" w:sz="4" w:space="0"/>
            </w:tcBorders>
            <w:vAlign w:val="center"/>
          </w:tcPr>
          <w:p w14:paraId="71613030">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商务部分正负偏离表</w:t>
            </w:r>
          </w:p>
        </w:tc>
        <w:tc>
          <w:tcPr>
            <w:tcW w:w="2953" w:type="dxa"/>
            <w:tcBorders>
              <w:top w:val="single" w:color="000000" w:sz="4" w:space="0"/>
              <w:left w:val="single" w:color="000000" w:sz="4" w:space="0"/>
              <w:bottom w:val="single" w:color="000000" w:sz="4" w:space="0"/>
              <w:right w:val="single" w:color="000000" w:sz="4" w:space="0"/>
            </w:tcBorders>
            <w:vAlign w:val="center"/>
          </w:tcPr>
          <w:p w14:paraId="18CE0D38">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1556" w:type="dxa"/>
            <w:tcBorders>
              <w:top w:val="single" w:color="000000" w:sz="4" w:space="0"/>
              <w:left w:val="single" w:color="000000" w:sz="4" w:space="0"/>
              <w:bottom w:val="single" w:color="000000" w:sz="4" w:space="0"/>
              <w:right w:val="single" w:color="000000" w:sz="4" w:space="0"/>
            </w:tcBorders>
            <w:vAlign w:val="center"/>
          </w:tcPr>
          <w:p w14:paraId="728B167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37640C1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见附件</w:t>
            </w:r>
          </w:p>
        </w:tc>
      </w:tr>
      <w:tr w14:paraId="3CAD5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949423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11</w:t>
            </w:r>
          </w:p>
        </w:tc>
        <w:tc>
          <w:tcPr>
            <w:tcW w:w="1722" w:type="dxa"/>
            <w:tcBorders>
              <w:top w:val="single" w:color="000000" w:sz="4" w:space="0"/>
              <w:left w:val="single" w:color="000000" w:sz="4" w:space="0"/>
              <w:bottom w:val="single" w:color="000000" w:sz="4" w:space="0"/>
              <w:right w:val="single" w:color="000000" w:sz="4" w:space="0"/>
            </w:tcBorders>
            <w:vAlign w:val="center"/>
          </w:tcPr>
          <w:p w14:paraId="49CFCAA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本项目的特定资格要求证明文件</w:t>
            </w:r>
          </w:p>
        </w:tc>
        <w:tc>
          <w:tcPr>
            <w:tcW w:w="2953" w:type="dxa"/>
            <w:tcBorders>
              <w:top w:val="single" w:color="000000" w:sz="4" w:space="0"/>
              <w:left w:val="single" w:color="000000" w:sz="4" w:space="0"/>
              <w:bottom w:val="single" w:color="000000" w:sz="4" w:space="0"/>
              <w:right w:val="single" w:color="000000" w:sz="4" w:space="0"/>
            </w:tcBorders>
            <w:vAlign w:val="center"/>
          </w:tcPr>
          <w:p w14:paraId="19262A0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shd w:val="clear" w:color="auto" w:fill="FFFF00"/>
                <w14:textFill>
                  <w14:solidFill>
                    <w14:schemeClr w14:val="tx1"/>
                  </w14:solidFill>
                </w14:textFill>
              </w:rPr>
              <w:t>详见磋商公告</w:t>
            </w:r>
          </w:p>
        </w:tc>
        <w:tc>
          <w:tcPr>
            <w:tcW w:w="1556" w:type="dxa"/>
            <w:tcBorders>
              <w:top w:val="single" w:color="000000" w:sz="4" w:space="0"/>
              <w:left w:val="single" w:color="000000" w:sz="4" w:space="0"/>
              <w:bottom w:val="single" w:color="000000" w:sz="4" w:space="0"/>
              <w:right w:val="single" w:color="000000" w:sz="4" w:space="0"/>
            </w:tcBorders>
            <w:vAlign w:val="center"/>
          </w:tcPr>
          <w:p w14:paraId="327CDC89">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68B6FDAA">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详见磋商公告</w:t>
            </w:r>
          </w:p>
        </w:tc>
      </w:tr>
      <w:tr w14:paraId="25A1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1EF69E7">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12</w:t>
            </w:r>
          </w:p>
        </w:tc>
        <w:tc>
          <w:tcPr>
            <w:tcW w:w="1722" w:type="dxa"/>
            <w:tcBorders>
              <w:top w:val="single" w:color="000000" w:sz="4" w:space="0"/>
              <w:left w:val="single" w:color="000000" w:sz="4" w:space="0"/>
              <w:bottom w:val="single" w:color="000000" w:sz="4" w:space="0"/>
              <w:right w:val="single" w:color="000000" w:sz="4" w:space="0"/>
            </w:tcBorders>
            <w:vAlign w:val="center"/>
          </w:tcPr>
          <w:p w14:paraId="40E958D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现场踏勘承诺书</w:t>
            </w:r>
          </w:p>
        </w:tc>
        <w:tc>
          <w:tcPr>
            <w:tcW w:w="2953" w:type="dxa"/>
            <w:tcBorders>
              <w:top w:val="single" w:color="000000" w:sz="4" w:space="0"/>
              <w:left w:val="single" w:color="000000" w:sz="4" w:space="0"/>
              <w:bottom w:val="single" w:color="000000" w:sz="4" w:space="0"/>
              <w:right w:val="single" w:color="000000" w:sz="4" w:space="0"/>
            </w:tcBorders>
            <w:vAlign w:val="center"/>
          </w:tcPr>
          <w:p w14:paraId="6BDFDAF8">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现场踏勘承诺书</w:t>
            </w:r>
          </w:p>
        </w:tc>
        <w:tc>
          <w:tcPr>
            <w:tcW w:w="1556" w:type="dxa"/>
            <w:tcBorders>
              <w:top w:val="single" w:color="000000" w:sz="4" w:space="0"/>
              <w:left w:val="single" w:color="000000" w:sz="4" w:space="0"/>
              <w:bottom w:val="single" w:color="000000" w:sz="4" w:space="0"/>
              <w:right w:val="single" w:color="000000" w:sz="4" w:space="0"/>
            </w:tcBorders>
            <w:vAlign w:val="center"/>
          </w:tcPr>
          <w:p w14:paraId="68A68EB2">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0BEAA182">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详见附件</w:t>
            </w:r>
          </w:p>
        </w:tc>
      </w:tr>
      <w:tr w14:paraId="137E3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3E68B8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13</w:t>
            </w:r>
          </w:p>
        </w:tc>
        <w:tc>
          <w:tcPr>
            <w:tcW w:w="1722" w:type="dxa"/>
            <w:tcBorders>
              <w:top w:val="single" w:color="000000" w:sz="4" w:space="0"/>
              <w:left w:val="single" w:color="000000" w:sz="4" w:space="0"/>
              <w:bottom w:val="single" w:color="000000" w:sz="4" w:space="0"/>
              <w:right w:val="single" w:color="000000" w:sz="4" w:space="0"/>
            </w:tcBorders>
            <w:vAlign w:val="center"/>
          </w:tcPr>
          <w:p w14:paraId="5E82FF8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629196D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总体服务方案</w:t>
            </w:r>
          </w:p>
        </w:tc>
        <w:tc>
          <w:tcPr>
            <w:tcW w:w="1556" w:type="dxa"/>
            <w:tcBorders>
              <w:top w:val="single" w:color="000000" w:sz="4" w:space="0"/>
              <w:left w:val="single" w:color="000000" w:sz="4" w:space="0"/>
              <w:bottom w:val="single" w:color="000000" w:sz="4" w:space="0"/>
              <w:right w:val="single" w:color="000000" w:sz="4" w:space="0"/>
            </w:tcBorders>
            <w:vAlign w:val="center"/>
          </w:tcPr>
          <w:p w14:paraId="065483C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73515D89">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7185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568B04FC">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14</w:t>
            </w:r>
          </w:p>
        </w:tc>
        <w:tc>
          <w:tcPr>
            <w:tcW w:w="1722" w:type="dxa"/>
            <w:tcBorders>
              <w:top w:val="single" w:color="000000" w:sz="4" w:space="0"/>
              <w:left w:val="single" w:color="000000" w:sz="4" w:space="0"/>
              <w:bottom w:val="single" w:color="000000" w:sz="4" w:space="0"/>
              <w:right w:val="single" w:color="000000" w:sz="4" w:space="0"/>
            </w:tcBorders>
            <w:vAlign w:val="center"/>
          </w:tcPr>
          <w:p w14:paraId="2E4B262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140310D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工作流程方案</w:t>
            </w:r>
          </w:p>
        </w:tc>
        <w:tc>
          <w:tcPr>
            <w:tcW w:w="1556" w:type="dxa"/>
            <w:tcBorders>
              <w:top w:val="single" w:color="000000" w:sz="4" w:space="0"/>
              <w:left w:val="single" w:color="000000" w:sz="4" w:space="0"/>
              <w:bottom w:val="single" w:color="000000" w:sz="4" w:space="0"/>
              <w:right w:val="single" w:color="000000" w:sz="4" w:space="0"/>
            </w:tcBorders>
            <w:vAlign w:val="center"/>
          </w:tcPr>
          <w:p w14:paraId="54A8DE5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6D65B2B3">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3459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B6893A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15</w:t>
            </w:r>
          </w:p>
        </w:tc>
        <w:tc>
          <w:tcPr>
            <w:tcW w:w="1722" w:type="dxa"/>
            <w:tcBorders>
              <w:top w:val="single" w:color="000000" w:sz="4" w:space="0"/>
              <w:left w:val="single" w:color="000000" w:sz="4" w:space="0"/>
              <w:bottom w:val="single" w:color="000000" w:sz="4" w:space="0"/>
              <w:right w:val="single" w:color="000000" w:sz="4" w:space="0"/>
            </w:tcBorders>
            <w:vAlign w:val="center"/>
          </w:tcPr>
          <w:p w14:paraId="35F66A3B">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4956221D">
            <w:pPr>
              <w:spacing w:line="360" w:lineRule="auto"/>
              <w:jc w:val="center"/>
              <w:rPr>
                <w:rFonts w:asciiTheme="majorEastAsia" w:hAnsiTheme="majorEastAsia" w:eastAsiaTheme="majorEastAsia"/>
                <w:bCs/>
                <w:color w:val="000000" w:themeColor="text1"/>
                <w:sz w:val="24"/>
                <w:szCs w:val="24"/>
                <w:lang w:val="zh-CN"/>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突发事件处理应急方案</w:t>
            </w:r>
          </w:p>
        </w:tc>
        <w:tc>
          <w:tcPr>
            <w:tcW w:w="1556" w:type="dxa"/>
            <w:tcBorders>
              <w:top w:val="single" w:color="000000" w:sz="4" w:space="0"/>
              <w:left w:val="single" w:color="000000" w:sz="4" w:space="0"/>
              <w:bottom w:val="single" w:color="000000" w:sz="4" w:space="0"/>
              <w:right w:val="single" w:color="000000" w:sz="4" w:space="0"/>
            </w:tcBorders>
            <w:vAlign w:val="center"/>
          </w:tcPr>
          <w:p w14:paraId="086793B9">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089AC3E0">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2630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A510A8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16</w:t>
            </w:r>
          </w:p>
        </w:tc>
        <w:tc>
          <w:tcPr>
            <w:tcW w:w="1722" w:type="dxa"/>
            <w:tcBorders>
              <w:top w:val="single" w:color="000000" w:sz="4" w:space="0"/>
              <w:left w:val="single" w:color="000000" w:sz="4" w:space="0"/>
              <w:bottom w:val="single" w:color="000000" w:sz="4" w:space="0"/>
              <w:right w:val="single" w:color="000000" w:sz="4" w:space="0"/>
            </w:tcBorders>
            <w:vAlign w:val="center"/>
          </w:tcPr>
          <w:p w14:paraId="520EE9B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2128DC30">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人员招聘和培训计划</w:t>
            </w:r>
          </w:p>
        </w:tc>
        <w:tc>
          <w:tcPr>
            <w:tcW w:w="1556" w:type="dxa"/>
            <w:tcBorders>
              <w:top w:val="single" w:color="000000" w:sz="4" w:space="0"/>
              <w:left w:val="single" w:color="000000" w:sz="4" w:space="0"/>
              <w:bottom w:val="single" w:color="000000" w:sz="4" w:space="0"/>
              <w:right w:val="single" w:color="000000" w:sz="4" w:space="0"/>
            </w:tcBorders>
            <w:vAlign w:val="center"/>
          </w:tcPr>
          <w:p w14:paraId="3793D49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3D4F4C58">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3A3CD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5FC3AF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17</w:t>
            </w:r>
          </w:p>
        </w:tc>
        <w:tc>
          <w:tcPr>
            <w:tcW w:w="1722" w:type="dxa"/>
            <w:tcBorders>
              <w:top w:val="single" w:color="000000" w:sz="4" w:space="0"/>
              <w:left w:val="single" w:color="000000" w:sz="4" w:space="0"/>
              <w:bottom w:val="single" w:color="000000" w:sz="4" w:space="0"/>
              <w:right w:val="single" w:color="000000" w:sz="4" w:space="0"/>
            </w:tcBorders>
            <w:vAlign w:val="center"/>
          </w:tcPr>
          <w:p w14:paraId="186E129C">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51CCBA18">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企业人员持证</w:t>
            </w:r>
          </w:p>
        </w:tc>
        <w:tc>
          <w:tcPr>
            <w:tcW w:w="1556" w:type="dxa"/>
            <w:tcBorders>
              <w:top w:val="single" w:color="000000" w:sz="4" w:space="0"/>
              <w:left w:val="single" w:color="000000" w:sz="4" w:space="0"/>
              <w:bottom w:val="single" w:color="000000" w:sz="4" w:space="0"/>
              <w:right w:val="single" w:color="000000" w:sz="4" w:space="0"/>
            </w:tcBorders>
            <w:vAlign w:val="center"/>
          </w:tcPr>
          <w:p w14:paraId="360C193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09310FEE">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bookmarkStart w:id="122" w:name="OLE_LINK30"/>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bookmarkEnd w:id="122"/>
          </w:p>
        </w:tc>
      </w:tr>
      <w:tr w14:paraId="4674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5DEE6F74">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18</w:t>
            </w:r>
          </w:p>
        </w:tc>
        <w:tc>
          <w:tcPr>
            <w:tcW w:w="1722" w:type="dxa"/>
            <w:tcBorders>
              <w:top w:val="single" w:color="000000" w:sz="4" w:space="0"/>
              <w:left w:val="single" w:color="000000" w:sz="4" w:space="0"/>
              <w:bottom w:val="single" w:color="000000" w:sz="4" w:space="0"/>
              <w:right w:val="single" w:color="000000" w:sz="4" w:space="0"/>
            </w:tcBorders>
            <w:vAlign w:val="center"/>
          </w:tcPr>
          <w:p w14:paraId="1F36A9F5">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0F22D64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企业实力</w:t>
            </w:r>
          </w:p>
        </w:tc>
        <w:tc>
          <w:tcPr>
            <w:tcW w:w="1556" w:type="dxa"/>
            <w:tcBorders>
              <w:top w:val="single" w:color="000000" w:sz="4" w:space="0"/>
              <w:left w:val="single" w:color="000000" w:sz="4" w:space="0"/>
              <w:bottom w:val="single" w:color="000000" w:sz="4" w:space="0"/>
              <w:right w:val="single" w:color="000000" w:sz="4" w:space="0"/>
            </w:tcBorders>
            <w:vAlign w:val="center"/>
          </w:tcPr>
          <w:p w14:paraId="4684079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5223E77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62063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0936E4A">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19</w:t>
            </w:r>
          </w:p>
        </w:tc>
        <w:tc>
          <w:tcPr>
            <w:tcW w:w="1722" w:type="dxa"/>
            <w:tcBorders>
              <w:top w:val="single" w:color="000000" w:sz="4" w:space="0"/>
              <w:left w:val="single" w:color="000000" w:sz="4" w:space="0"/>
              <w:bottom w:val="single" w:color="000000" w:sz="4" w:space="0"/>
              <w:right w:val="single" w:color="000000" w:sz="4" w:space="0"/>
            </w:tcBorders>
            <w:vAlign w:val="center"/>
          </w:tcPr>
          <w:p w14:paraId="72FAF22F">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2029E518">
            <w:pPr>
              <w:tabs>
                <w:tab w:val="left" w:pos="3375"/>
              </w:tabs>
              <w:jc w:val="center"/>
              <w:rPr>
                <w:rFonts w:asciiTheme="majorEastAsia" w:hAnsiTheme="majorEastAsia" w:eastAsiaTheme="majorEastAsia"/>
                <w:bCs/>
                <w:color w:val="000000" w:themeColor="text1"/>
                <w:sz w:val="24"/>
                <w:szCs w:val="24"/>
                <w:lang w:val="zh-CN"/>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业绩</w:t>
            </w:r>
          </w:p>
        </w:tc>
        <w:tc>
          <w:tcPr>
            <w:tcW w:w="1556" w:type="dxa"/>
            <w:tcBorders>
              <w:top w:val="single" w:color="000000" w:sz="4" w:space="0"/>
              <w:left w:val="single" w:color="000000" w:sz="4" w:space="0"/>
              <w:bottom w:val="single" w:color="000000" w:sz="4" w:space="0"/>
              <w:right w:val="single" w:color="000000" w:sz="4" w:space="0"/>
            </w:tcBorders>
            <w:vAlign w:val="center"/>
          </w:tcPr>
          <w:p w14:paraId="0246927A">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686E141B">
            <w:pPr>
              <w:tabs>
                <w:tab w:val="left" w:pos="3375"/>
              </w:tabs>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15C5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414DBBB">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20</w:t>
            </w:r>
          </w:p>
        </w:tc>
        <w:tc>
          <w:tcPr>
            <w:tcW w:w="1722" w:type="dxa"/>
            <w:tcBorders>
              <w:top w:val="single" w:color="000000" w:sz="4" w:space="0"/>
              <w:left w:val="single" w:color="000000" w:sz="4" w:space="0"/>
              <w:bottom w:val="single" w:color="000000" w:sz="4" w:space="0"/>
              <w:right w:val="single" w:color="000000" w:sz="4" w:space="0"/>
            </w:tcBorders>
            <w:vAlign w:val="center"/>
          </w:tcPr>
          <w:p w14:paraId="6F3E6C8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商务技术评分点</w:t>
            </w:r>
          </w:p>
        </w:tc>
        <w:tc>
          <w:tcPr>
            <w:tcW w:w="2953" w:type="dxa"/>
            <w:tcBorders>
              <w:top w:val="single" w:color="000000" w:sz="4" w:space="0"/>
              <w:left w:val="single" w:color="000000" w:sz="4" w:space="0"/>
              <w:bottom w:val="single" w:color="000000" w:sz="4" w:space="0"/>
              <w:right w:val="single" w:color="000000" w:sz="4" w:space="0"/>
            </w:tcBorders>
            <w:vAlign w:val="center"/>
          </w:tcPr>
          <w:p w14:paraId="48D6377B">
            <w:pPr>
              <w:tabs>
                <w:tab w:val="left" w:pos="3375"/>
              </w:tabs>
              <w:jc w:val="center"/>
              <w:rPr>
                <w:rFonts w:asciiTheme="majorEastAsia" w:hAnsiTheme="majorEastAsia" w:eastAsiaTheme="majorEastAsia"/>
                <w:bCs/>
                <w:color w:val="000000" w:themeColor="text1"/>
                <w:sz w:val="24"/>
                <w:szCs w:val="24"/>
                <w:lang w:val="zh-CN"/>
                <w14:textFill>
                  <w14:solidFill>
                    <w14:schemeClr w14:val="tx1"/>
                  </w14:solidFill>
                </w14:textFill>
              </w:rPr>
            </w:pPr>
            <w:r>
              <w:rPr>
                <w:rFonts w:hint="eastAsia" w:asciiTheme="majorEastAsia" w:hAnsiTheme="majorEastAsia" w:eastAsiaTheme="majorEastAsia"/>
                <w:bCs/>
                <w:color w:val="000000" w:themeColor="text1"/>
                <w:sz w:val="24"/>
                <w:szCs w:val="24"/>
                <w:lang w:val="zh-CN"/>
                <w14:textFill>
                  <w14:solidFill>
                    <w14:schemeClr w14:val="tx1"/>
                  </w14:solidFill>
                </w14:textFill>
              </w:rPr>
              <w:t>应急服务响应时间</w:t>
            </w:r>
          </w:p>
        </w:tc>
        <w:tc>
          <w:tcPr>
            <w:tcW w:w="1556" w:type="dxa"/>
            <w:tcBorders>
              <w:top w:val="single" w:color="000000" w:sz="4" w:space="0"/>
              <w:left w:val="single" w:color="000000" w:sz="4" w:space="0"/>
              <w:bottom w:val="single" w:color="000000" w:sz="4" w:space="0"/>
              <w:right w:val="single" w:color="000000" w:sz="4" w:space="0"/>
            </w:tcBorders>
            <w:vAlign w:val="center"/>
          </w:tcPr>
          <w:p w14:paraId="5D1B4B9D">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第    页</w:t>
            </w:r>
          </w:p>
        </w:tc>
        <w:tc>
          <w:tcPr>
            <w:tcW w:w="1669" w:type="dxa"/>
            <w:tcBorders>
              <w:top w:val="single" w:color="000000" w:sz="4" w:space="0"/>
              <w:left w:val="single" w:color="000000" w:sz="4" w:space="0"/>
              <w:bottom w:val="single" w:color="000000" w:sz="4" w:space="0"/>
              <w:right w:val="single" w:color="000000" w:sz="4" w:space="0"/>
            </w:tcBorders>
            <w:vAlign w:val="center"/>
          </w:tcPr>
          <w:p w14:paraId="7B30AF62">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见商务技术评分表</w:t>
            </w:r>
          </w:p>
        </w:tc>
      </w:tr>
      <w:tr w14:paraId="542C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blCellSpacing w:w="0" w:type="dxa"/>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84CECE6">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21</w:t>
            </w:r>
          </w:p>
        </w:tc>
        <w:tc>
          <w:tcPr>
            <w:tcW w:w="1722" w:type="dxa"/>
            <w:tcBorders>
              <w:top w:val="single" w:color="000000" w:sz="4" w:space="0"/>
              <w:left w:val="single" w:color="000000" w:sz="4" w:space="0"/>
              <w:bottom w:val="single" w:color="000000" w:sz="4" w:space="0"/>
              <w:right w:val="single" w:color="000000" w:sz="4" w:space="0"/>
            </w:tcBorders>
            <w:vAlign w:val="center"/>
          </w:tcPr>
          <w:p w14:paraId="428ABC51">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Cs/>
                <w:color w:val="000000" w:themeColor="text1"/>
                <w:kern w:val="0"/>
                <w:sz w:val="24"/>
                <w:szCs w:val="24"/>
                <w14:textFill>
                  <w14:solidFill>
                    <w14:schemeClr w14:val="tx1"/>
                  </w14:solidFill>
                </w14:textFill>
              </w:rPr>
              <w:t>报价一览表</w:t>
            </w:r>
          </w:p>
        </w:tc>
        <w:tc>
          <w:tcPr>
            <w:tcW w:w="6178" w:type="dxa"/>
            <w:gridSpan w:val="3"/>
            <w:tcBorders>
              <w:top w:val="single" w:color="000000" w:sz="4" w:space="0"/>
              <w:left w:val="single" w:color="000000" w:sz="4" w:space="0"/>
              <w:bottom w:val="single" w:color="000000" w:sz="4" w:space="0"/>
              <w:right w:val="single" w:color="000000" w:sz="4" w:space="0"/>
            </w:tcBorders>
            <w:vAlign w:val="center"/>
          </w:tcPr>
          <w:p w14:paraId="3887EECB">
            <w:pPr>
              <w:tabs>
                <w:tab w:val="left" w:pos="3375"/>
              </w:tabs>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须单独密封</w:t>
            </w:r>
          </w:p>
        </w:tc>
      </w:tr>
    </w:tbl>
    <w:p w14:paraId="649C3C93">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（1）磋商资料目录装订于磋商文件第1页。</w:t>
      </w:r>
    </w:p>
    <w:p w14:paraId="5BBFB7DD">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（2）《授权书》、相关《承诺函》、《报价一览表》等格式详见附件。</w:t>
      </w:r>
    </w:p>
    <w:p w14:paraId="506240E7">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（3）报价一览表须单独密封。</w:t>
      </w:r>
    </w:p>
    <w:p w14:paraId="36DDBB7B">
      <w:pPr>
        <w:spacing w:after="120"/>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6551399">
      <w:pPr>
        <w:spacing w:after="120"/>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70EDC19E">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299ACADE">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0BFEF70B">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28B6972">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0721CAC">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FF44FDA">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1D83C60">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84EA7FF">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20E708C3">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8425BA4">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B67FD96">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CBAE5EA">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0A4237D2">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8BEADC8">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4A21B7A2">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0ABB85E9">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CF86409">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BE6227D">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CFBDBDB">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F4A5A89">
      <w:pPr>
        <w:ind w:firstLine="6462" w:firstLineChars="2682"/>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1F99A44">
      <w:pP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正（副）本</w:t>
      </w:r>
    </w:p>
    <w:p w14:paraId="749FBE02">
      <w:pPr>
        <w:spacing w:line="360" w:lineRule="auto"/>
        <w:ind w:firstLine="361"/>
        <w:jc w:val="center"/>
        <w:rPr>
          <w:rFonts w:cs="宋体" w:asciiTheme="majorEastAsia" w:hAnsiTheme="majorEastAsia" w:eastAsiaTheme="majorEastAsia"/>
          <w:b/>
          <w:color w:val="000000" w:themeColor="text1"/>
          <w:kern w:val="0"/>
          <w:sz w:val="32"/>
          <w:szCs w:val="32"/>
          <w:u w:val="single"/>
          <w14:textFill>
            <w14:solidFill>
              <w14:schemeClr w14:val="tx1"/>
            </w14:solidFill>
          </w14:textFill>
        </w:rPr>
      </w:pPr>
      <w:r>
        <w:rPr>
          <w:rFonts w:hint="eastAsia" w:cs="宋体" w:asciiTheme="majorEastAsia" w:hAnsiTheme="majorEastAsia" w:eastAsiaTheme="majorEastAsia"/>
          <w:b/>
          <w:bCs/>
          <w:color w:val="000000" w:themeColor="text1"/>
          <w:kern w:val="0"/>
          <w:sz w:val="32"/>
          <w:szCs w:val="32"/>
          <w14:textFill>
            <w14:solidFill>
              <w14:schemeClr w14:val="tx1"/>
            </w14:solidFill>
          </w14:textFill>
        </w:rPr>
        <w:t>项目名称：</w:t>
      </w:r>
      <w:r>
        <w:rPr>
          <w:rFonts w:hint="eastAsia" w:cs="宋体" w:asciiTheme="majorEastAsia" w:hAnsiTheme="majorEastAsia" w:eastAsiaTheme="majorEastAsia"/>
          <w:b/>
          <w:color w:val="000000" w:themeColor="text1"/>
          <w:kern w:val="0"/>
          <w:sz w:val="32"/>
          <w:szCs w:val="32"/>
          <w:u w:val="single"/>
          <w14:textFill>
            <w14:solidFill>
              <w14:schemeClr w14:val="tx1"/>
            </w14:solidFill>
          </w14:textFill>
        </w:rPr>
        <w:t>南通市海门区三厂街道中心卫生院</w:t>
      </w:r>
    </w:p>
    <w:p w14:paraId="7F9B776E">
      <w:pPr>
        <w:spacing w:line="360" w:lineRule="auto"/>
        <w:ind w:firstLine="361"/>
        <w:jc w:val="center"/>
        <w:rPr>
          <w:rFonts w:cs="宋体" w:asciiTheme="majorEastAsia" w:hAnsiTheme="majorEastAsia" w:eastAsiaTheme="majorEastAsia"/>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u w:val="single"/>
          <w14:textFill>
            <w14:solidFill>
              <w14:schemeClr w14:val="tx1"/>
            </w14:solidFill>
          </w14:textFill>
        </w:rPr>
        <w:t>采购安保服务</w:t>
      </w:r>
    </w:p>
    <w:p w14:paraId="47B4AEDE">
      <w:pPr>
        <w:spacing w:line="360" w:lineRule="auto"/>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磋商文件</w:t>
      </w:r>
    </w:p>
    <w:p w14:paraId="61150485">
      <w:pPr>
        <w:keepNext/>
        <w:keepLines/>
        <w:spacing w:before="120" w:after="120"/>
        <w:rPr>
          <w:rFonts w:cs="宋体" w:asciiTheme="majorEastAsia" w:hAnsiTheme="majorEastAsia" w:eastAsiaTheme="majorEastAsia"/>
          <w:b/>
          <w:bCs/>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项目名称：</w:t>
      </w:r>
    </w:p>
    <w:p w14:paraId="5328BB7F">
      <w:pPr>
        <w:keepNext/>
        <w:keepLines/>
        <w:spacing w:before="120" w:after="120"/>
        <w:rPr>
          <w:rFonts w:cs="宋体" w:asciiTheme="majorEastAsia" w:hAnsiTheme="majorEastAsia" w:eastAsiaTheme="majorEastAsia"/>
          <w:b/>
          <w:bCs/>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磋商单位名称（盖章）：</w:t>
      </w:r>
    </w:p>
    <w:p w14:paraId="5126B06E">
      <w:pPr>
        <w:keepNext/>
        <w:keepLines/>
        <w:spacing w:before="120" w:after="120"/>
        <w:rPr>
          <w:rFonts w:cs="宋体" w:asciiTheme="majorEastAsia" w:hAnsiTheme="majorEastAsia" w:eastAsiaTheme="majorEastAsia"/>
          <w:b/>
          <w:bCs/>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法定代表人或委托代理人（盖章或签字）：</w:t>
      </w:r>
    </w:p>
    <w:p w14:paraId="400720C8">
      <w:pPr>
        <w:keepNext/>
        <w:keepLines/>
        <w:spacing w:before="120" w:after="120"/>
        <w:rPr>
          <w:rFonts w:cs="宋体" w:asciiTheme="majorEastAsia" w:hAnsiTheme="majorEastAsia" w:eastAsiaTheme="majorEastAsia"/>
          <w:b/>
          <w:bCs/>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日期：</w:t>
      </w:r>
    </w:p>
    <w:p w14:paraId="3D09D4DE">
      <w:pPr>
        <w:keepNext/>
        <w:keepLines/>
        <w:spacing w:before="120" w:after="1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附件：</w:t>
      </w:r>
    </w:p>
    <w:p w14:paraId="5652671B">
      <w:pPr>
        <w:keepNext/>
        <w:keepLines/>
        <w:spacing w:before="120" w:after="120"/>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8B40F2D">
      <w:pPr>
        <w:keepNext/>
        <w:keepLines/>
        <w:spacing w:before="120" w:after="120"/>
        <w:ind w:firstLine="602"/>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磋商承诺函</w:t>
      </w:r>
    </w:p>
    <w:p w14:paraId="3AEF81C1">
      <w:pPr>
        <w:ind w:firstLine="198"/>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w:t>
      </w:r>
      <w:r>
        <w:rPr>
          <w:rFonts w:hint="eastAsia" w:cs="宋体" w:asciiTheme="majorEastAsia" w:hAnsiTheme="majorEastAsia" w:eastAsiaTheme="majorEastAsia"/>
          <w:color w:val="000000" w:themeColor="text1"/>
          <w:kern w:val="0"/>
          <w:sz w:val="24"/>
          <w:szCs w:val="24"/>
          <w14:textFill>
            <w14:solidFill>
              <w14:schemeClr w14:val="tx1"/>
            </w14:solidFill>
          </w14:textFill>
        </w:rPr>
        <w:t>：</w:t>
      </w:r>
    </w:p>
    <w:p w14:paraId="45AB573F">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依据贵单位</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南通市海门区三厂街道中心卫生院采购安保服务</w:t>
      </w:r>
      <w:r>
        <w:rPr>
          <w:rFonts w:hint="eastAsia" w:cs="宋体" w:asciiTheme="majorEastAsia" w:hAnsiTheme="majorEastAsia" w:eastAsiaTheme="majorEastAsia"/>
          <w:color w:val="000000" w:themeColor="text1"/>
          <w:kern w:val="0"/>
          <w:sz w:val="24"/>
          <w:szCs w:val="24"/>
          <w14:textFill>
            <w14:solidFill>
              <w14:schemeClr w14:val="tx1"/>
            </w14:solidFill>
          </w14:textFill>
        </w:rPr>
        <w:t>磋商公告，我方授权</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（姓名）  （职务）</w:t>
      </w:r>
      <w:r>
        <w:rPr>
          <w:rFonts w:hint="eastAsia" w:cs="宋体" w:asciiTheme="majorEastAsia" w:hAnsiTheme="majorEastAsia" w:eastAsiaTheme="majorEastAsia"/>
          <w:color w:val="000000" w:themeColor="text1"/>
          <w:kern w:val="0"/>
          <w:sz w:val="24"/>
          <w:szCs w:val="24"/>
          <w14:textFill>
            <w14:solidFill>
              <w14:schemeClr w14:val="tx1"/>
            </w14:solidFill>
          </w14:textFill>
        </w:rPr>
        <w:t>为全权代表参加该项目的磋商，全权处理本次磋商采购的有关事宜。同时，我公司声明如下：</w:t>
      </w:r>
    </w:p>
    <w:p w14:paraId="0A1BC8B9">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1.我方符合采购人提出的资格要求，同意并接受磋商文件的各项要求，遵守磋商文件中的各项规定，按磋商文件的要求提供报价。</w:t>
      </w:r>
    </w:p>
    <w:p w14:paraId="7659D140">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2.我公司已经详细阅读了全部磋商文件及其附件，我方已完全清晰理解磋商文件的要求，不存在任何含糊不清和误解之处，同意放弃对这些文件所提出的异议和质疑的权利。</w:t>
      </w:r>
    </w:p>
    <w:p w14:paraId="282F8240">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3.我公司承诺在本次磋商中提供的一切文件，无论是原件还是复印件均真实有效，绝无任何虚假、伪造和夸大的成份。否则，愿承担相应的后果和法律责任。</w:t>
      </w:r>
    </w:p>
    <w:p w14:paraId="1EDC87BE">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4.磋商文件有效期为开标之日起60日。</w:t>
      </w:r>
    </w:p>
    <w:p w14:paraId="1E0CD9CF">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5.我公司尊重评审委员会所作的评定结果。</w:t>
      </w:r>
    </w:p>
    <w:p w14:paraId="255AEA9C">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6.一旦我方中标,我方将根据磋商文件的规定，在规定的时限内与采购方签订合同，并严格履行合同的责任和义务,保证在磋商文件及合同规定的时间内完成项目，交付采购人验收、使用。否则我方愿意承担一切后果，并不再寻求任何旨在减轻或免除法律责任的辩解。</w:t>
      </w:r>
    </w:p>
    <w:p w14:paraId="37AC7EAB">
      <w:pPr>
        <w:ind w:firstLine="16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406BAB2">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供应商：（加盖公章）</w:t>
      </w:r>
    </w:p>
    <w:p w14:paraId="38C82233">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法定代表人：（签字或盖章）           </w:t>
      </w:r>
    </w:p>
    <w:p w14:paraId="2A2D80CF">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授权代表：（签字）</w:t>
      </w:r>
    </w:p>
    <w:p w14:paraId="143C5727">
      <w:pPr>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时间：       年  月  日</w:t>
      </w:r>
    </w:p>
    <w:p w14:paraId="288DAC3A">
      <w:pPr>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15A526F">
      <w:pPr>
        <w:jc w:val="center"/>
        <w:rPr>
          <w:rFonts w:cs="宋体" w:asciiTheme="majorEastAsia" w:hAnsiTheme="majorEastAsia" w:eastAsiaTheme="majorEastAsia"/>
          <w:color w:val="000000" w:themeColor="text1"/>
          <w:kern w:val="0"/>
          <w:sz w:val="24"/>
          <w:szCs w:val="24"/>
          <w14:textFill>
            <w14:solidFill>
              <w14:schemeClr w14:val="tx1"/>
            </w14:solidFill>
          </w14:textFill>
        </w:rPr>
      </w:pPr>
    </w:p>
    <w:p w14:paraId="65D66F66">
      <w:pPr>
        <w:rPr>
          <w:rFonts w:cs="宋体" w:asciiTheme="majorEastAsia" w:hAnsiTheme="majorEastAsia" w:eastAsiaTheme="majorEastAsia"/>
          <w:color w:val="000000" w:themeColor="text1"/>
          <w:kern w:val="0"/>
          <w:sz w:val="24"/>
          <w:szCs w:val="24"/>
          <w14:textFill>
            <w14:solidFill>
              <w14:schemeClr w14:val="tx1"/>
            </w14:solidFill>
          </w14:textFill>
        </w:rPr>
      </w:pPr>
    </w:p>
    <w:p w14:paraId="67A7B94D">
      <w:pPr>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BC57BCC">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法定代表人身份证明</w:t>
      </w:r>
    </w:p>
    <w:p w14:paraId="0F3F41D5">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1264ABAA">
      <w:pPr>
        <w:ind w:firstLine="618"/>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w:t>
      </w:r>
      <w:r>
        <w:rPr>
          <w:rFonts w:hint="eastAsia" w:cs="宋体" w:asciiTheme="majorEastAsia" w:hAnsiTheme="majorEastAsia" w:eastAsiaTheme="majorEastAsia"/>
          <w:color w:val="000000" w:themeColor="text1"/>
          <w:kern w:val="0"/>
          <w:sz w:val="24"/>
          <w:szCs w:val="24"/>
          <w14:textFill>
            <w14:solidFill>
              <w14:schemeClr w14:val="tx1"/>
            </w14:solidFill>
          </w14:textFill>
        </w:rPr>
        <w:t>先生/女士：现任我单位</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职务，为法定代表人，特此证明。</w:t>
      </w:r>
    </w:p>
    <w:p w14:paraId="6A0C1AEF">
      <w:pPr>
        <w:ind w:firstLine="618"/>
        <w:rPr>
          <w:rFonts w:cs="宋体" w:asciiTheme="majorEastAsia" w:hAnsiTheme="majorEastAsia" w:eastAsiaTheme="majorEastAsia"/>
          <w:color w:val="000000" w:themeColor="text1"/>
          <w:kern w:val="0"/>
          <w:sz w:val="24"/>
          <w:szCs w:val="24"/>
          <w14:textFill>
            <w14:solidFill>
              <w14:schemeClr w14:val="tx1"/>
            </w14:solidFill>
          </w14:textFill>
        </w:rPr>
      </w:pPr>
    </w:p>
    <w:p w14:paraId="4B392B5B">
      <w:pPr>
        <w:ind w:firstLine="480"/>
        <w:rPr>
          <w:rFonts w:cs="宋体" w:asciiTheme="majorEastAsia" w:hAnsiTheme="majorEastAsia" w:eastAsiaTheme="majorEastAsia"/>
          <w:color w:val="000000" w:themeColor="text1"/>
          <w:kern w:val="0"/>
          <w:sz w:val="24"/>
          <w:szCs w:val="24"/>
          <w:u w:val="single"/>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身份证号码：</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p>
    <w:p w14:paraId="5A96CA14">
      <w:pPr>
        <w:ind w:firstLine="480"/>
        <w:rPr>
          <w:rFonts w:cs="宋体" w:asciiTheme="majorEastAsia" w:hAnsiTheme="majorEastAsia" w:eastAsiaTheme="majorEastAsia"/>
          <w:color w:val="000000" w:themeColor="text1"/>
          <w:kern w:val="0"/>
          <w:sz w:val="24"/>
          <w:szCs w:val="24"/>
          <w:u w:val="single"/>
          <w14:textFill>
            <w14:solidFill>
              <w14:schemeClr w14:val="tx1"/>
            </w14:solidFill>
          </w14:textFill>
        </w:rPr>
      </w:pPr>
    </w:p>
    <w:p w14:paraId="0BF3993E">
      <w:pPr>
        <w:ind w:firstLine="480"/>
        <w:rPr>
          <w:rFonts w:cs="宋体" w:asciiTheme="majorEastAsia" w:hAnsiTheme="majorEastAsia" w:eastAsiaTheme="majorEastAsia"/>
          <w:color w:val="000000" w:themeColor="text1"/>
          <w:kern w:val="0"/>
          <w:sz w:val="24"/>
          <w:szCs w:val="24"/>
          <w:u w:val="single"/>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联系电话：</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p>
    <w:p w14:paraId="4304503B">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p>
    <w:p w14:paraId="29954747">
      <w:pPr>
        <w:ind w:firstLine="480"/>
        <w:rPr>
          <w:rFonts w:cs="宋体" w:asciiTheme="majorEastAsia" w:hAnsiTheme="majorEastAsia" w:eastAsiaTheme="majorEastAsia"/>
          <w:b/>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r>
        <w:rPr>
          <w:rFonts w:hint="eastAsia" w:cs="宋体" w:asciiTheme="majorEastAsia" w:hAnsiTheme="majorEastAsia" w:eastAsiaTheme="majorEastAsia"/>
          <w:b/>
          <w:color w:val="000000" w:themeColor="text1"/>
          <w:kern w:val="0"/>
          <w:sz w:val="24"/>
          <w:szCs w:val="24"/>
          <w14:textFill>
            <w14:solidFill>
              <w14:schemeClr w14:val="tx1"/>
            </w14:solidFill>
          </w14:textFill>
        </w:rPr>
        <w:t>注：提供法定代表人的</w:t>
      </w:r>
      <w:r>
        <w:rPr>
          <w:rFonts w:hint="eastAsia" w:cs="宋体" w:asciiTheme="majorEastAsia" w:hAnsiTheme="majorEastAsia" w:eastAsiaTheme="majorEastAsia"/>
          <w:b/>
          <w:bCs/>
          <w:color w:val="000000" w:themeColor="text1"/>
          <w:kern w:val="0"/>
          <w:sz w:val="24"/>
          <w:szCs w:val="24"/>
          <w14:textFill>
            <w14:solidFill>
              <w14:schemeClr w14:val="tx1"/>
            </w14:solidFill>
          </w14:textFill>
        </w:rPr>
        <w:t>身份证复印件</w:t>
      </w:r>
      <w:r>
        <w:rPr>
          <w:rFonts w:hint="eastAsia" w:cs="宋体" w:asciiTheme="majorEastAsia" w:hAnsiTheme="majorEastAsia" w:eastAsiaTheme="majorEastAsia"/>
          <w:b/>
          <w:color w:val="000000" w:themeColor="text1"/>
          <w:kern w:val="0"/>
          <w:sz w:val="24"/>
          <w:szCs w:val="24"/>
          <w14:textFill>
            <w14:solidFill>
              <w14:schemeClr w14:val="tx1"/>
            </w14:solidFill>
          </w14:textFill>
        </w:rPr>
        <w:t>盖公章</w:t>
      </w:r>
    </w:p>
    <w:p w14:paraId="414C5C82">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0BFCD5E3">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5F1A7AC">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221A6441">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D2AE35D">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CE56C36">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8F7F8D8">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4CDE9A47">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70A89E3">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2A969A43">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EAF8BEC">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03F7D18A">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193375A">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EA0AFF1">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BF9E03B">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98142EB">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26C8527">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2CFDC84">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42C786A">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4DF08B97">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4A5E1624">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4A19F3BB">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3B3B862">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F8B9D49">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59D1E3B">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0B45B88">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EF6AD1F">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E37E954">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6CDC3D6">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2E6DD5C">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D4B0505">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FC62095">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2412AF9C">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B0C933F">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EDB88EF">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317981EC">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134AFD57">
      <w:pPr>
        <w:ind w:firstLine="480"/>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B091A1B">
      <w:pPr>
        <w:ind w:firstLine="480"/>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法人授权委托书</w:t>
      </w:r>
    </w:p>
    <w:p w14:paraId="7648146C">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p>
    <w:p w14:paraId="5780287C">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兹授权</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（被授权人的姓名、职务）代表我公司参加</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南通市海门区三厂街道中心卫生院采购安保服务</w:t>
      </w:r>
      <w:r>
        <w:rPr>
          <w:rFonts w:hint="eastAsia" w:cs="宋体" w:asciiTheme="majorEastAsia" w:hAnsiTheme="majorEastAsia" w:eastAsiaTheme="majorEastAsia"/>
          <w:color w:val="000000" w:themeColor="text1"/>
          <w:kern w:val="0"/>
          <w:sz w:val="24"/>
          <w:szCs w:val="24"/>
          <w14:textFill>
            <w14:solidFill>
              <w14:schemeClr w14:val="tx1"/>
            </w14:solidFill>
          </w14:textFill>
        </w:rPr>
        <w:t>的磋商采购活动，全权处理一切与该项目磋商有关的事务。其在办理上述事宜过程中所签署的所有文件我公司均予以承认，我公司对被授权人签名的所有文件负全部责任。</w:t>
      </w:r>
    </w:p>
    <w:p w14:paraId="6C3DFD12">
      <w:pPr>
        <w:ind w:firstLine="198"/>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附：授权代表情况：</w:t>
      </w:r>
    </w:p>
    <w:p w14:paraId="585ED6EA">
      <w:pPr>
        <w:ind w:firstLine="193"/>
        <w:rPr>
          <w:rFonts w:cs="宋体" w:asciiTheme="majorEastAsia" w:hAnsiTheme="majorEastAsia" w:eastAsiaTheme="majorEastAsia"/>
          <w:color w:val="000000" w:themeColor="text1"/>
          <w:kern w:val="0"/>
          <w:sz w:val="24"/>
          <w:szCs w:val="24"/>
          <w:u w:val="single"/>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姓名：</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性别：</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年龄：</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职务：</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w:t>
      </w:r>
    </w:p>
    <w:p w14:paraId="5663EDE2">
      <w:pPr>
        <w:ind w:firstLine="193"/>
        <w:rPr>
          <w:rFonts w:cs="宋体" w:asciiTheme="majorEastAsia" w:hAnsiTheme="majorEastAsia" w:eastAsiaTheme="majorEastAsia"/>
          <w:color w:val="000000" w:themeColor="text1"/>
          <w:kern w:val="0"/>
          <w:sz w:val="24"/>
          <w:szCs w:val="24"/>
          <w:u w:val="single"/>
          <w14:textFill>
            <w14:solidFill>
              <w14:schemeClr w14:val="tx1"/>
            </w14:solidFill>
          </w14:textFill>
        </w:rPr>
      </w:pPr>
    </w:p>
    <w:p w14:paraId="067FB1F1">
      <w:pPr>
        <w:ind w:firstLine="240" w:firstLineChars="100"/>
        <w:rPr>
          <w:rFonts w:cs="宋体" w:asciiTheme="majorEastAsia" w:hAnsiTheme="majorEastAsia" w:eastAsiaTheme="majorEastAsia"/>
          <w:color w:val="000000" w:themeColor="text1"/>
          <w:kern w:val="0"/>
          <w:sz w:val="24"/>
          <w:szCs w:val="24"/>
          <w:u w:val="single"/>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联系电话：</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p>
    <w:p w14:paraId="0366D9D0">
      <w:pPr>
        <w:ind w:firstLine="240" w:firstLineChars="100"/>
        <w:rPr>
          <w:rFonts w:cs="宋体" w:asciiTheme="majorEastAsia" w:hAnsiTheme="majorEastAsia" w:eastAsiaTheme="majorEastAsia"/>
          <w:color w:val="000000" w:themeColor="text1"/>
          <w:kern w:val="0"/>
          <w:sz w:val="24"/>
          <w:szCs w:val="24"/>
          <w14:textFill>
            <w14:solidFill>
              <w14:schemeClr w14:val="tx1"/>
            </w14:solidFill>
          </w14:textFill>
        </w:rPr>
      </w:pPr>
    </w:p>
    <w:p w14:paraId="0EADAB3A">
      <w:pPr>
        <w:ind w:firstLine="193"/>
        <w:rPr>
          <w:rFonts w:cs="宋体" w:asciiTheme="majorEastAsia" w:hAnsiTheme="majorEastAsia" w:eastAsiaTheme="majorEastAsia"/>
          <w:color w:val="000000" w:themeColor="text1"/>
          <w:kern w:val="0"/>
          <w:sz w:val="24"/>
          <w:szCs w:val="24"/>
          <w:u w:val="single"/>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身份证号码：</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p>
    <w:p w14:paraId="56EDE73F">
      <w:pPr>
        <w:ind w:firstLine="193"/>
        <w:rPr>
          <w:rFonts w:cs="宋体" w:asciiTheme="majorEastAsia" w:hAnsiTheme="majorEastAsia" w:eastAsiaTheme="majorEastAsia"/>
          <w:color w:val="000000" w:themeColor="text1"/>
          <w:kern w:val="0"/>
          <w:sz w:val="24"/>
          <w:szCs w:val="24"/>
          <w14:textFill>
            <w14:solidFill>
              <w14:schemeClr w14:val="tx1"/>
            </w14:solidFill>
          </w14:textFill>
        </w:rPr>
      </w:pPr>
    </w:p>
    <w:p w14:paraId="47029013">
      <w:pPr>
        <w:ind w:firstLine="193"/>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详细通讯地址：</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 </w:t>
      </w:r>
    </w:p>
    <w:p w14:paraId="1840150B">
      <w:pPr>
        <w:ind w:firstLine="193"/>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 </w:t>
      </w:r>
    </w:p>
    <w:p w14:paraId="7AF1F392">
      <w:pPr>
        <w:ind w:firstLine="193"/>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传真：</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w:t>
      </w:r>
    </w:p>
    <w:p w14:paraId="62642403">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6E2483E3">
      <w:pPr>
        <w:ind w:firstLine="240" w:firstLineChars="1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单位名称（公章） </w:t>
      </w:r>
    </w:p>
    <w:p w14:paraId="22DA2082">
      <w:pPr>
        <w:ind w:firstLine="240" w:firstLineChars="1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w:t>
      </w:r>
    </w:p>
    <w:p w14:paraId="4B7EB0D2">
      <w:pPr>
        <w:ind w:firstLine="2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法定代表人（签字）</w:t>
      </w:r>
    </w:p>
    <w:p w14:paraId="50239FDA">
      <w:pPr>
        <w:ind w:firstLine="14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                              时间：      年   月    日  </w:t>
      </w:r>
    </w:p>
    <w:p w14:paraId="3B12ED74">
      <w:pPr>
        <w:ind w:firstLine="14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01B4FFC9">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67B8F5A">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注：提供被受权人的身份证复印件盖公章，将身份证原件带至磋商现场。</w:t>
      </w:r>
    </w:p>
    <w:p w14:paraId="3DFB67CA">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E83EF71">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D80277C">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D10A21A">
      <w:pPr>
        <w:keepNext/>
        <w:keepLines/>
        <w:spacing w:before="120" w:after="120"/>
        <w:ind w:firstLine="562"/>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br w:type="page"/>
      </w:r>
      <w:r>
        <w:rPr>
          <w:rFonts w:hint="eastAsia" w:cs="宋体" w:asciiTheme="majorEastAsia" w:hAnsiTheme="majorEastAsia" w:eastAsiaTheme="majorEastAsia"/>
          <w:b/>
          <w:bCs/>
          <w:color w:val="000000" w:themeColor="text1"/>
          <w:kern w:val="0"/>
          <w:sz w:val="24"/>
          <w:szCs w:val="24"/>
          <w14:textFill>
            <w14:solidFill>
              <w14:schemeClr w14:val="tx1"/>
            </w14:solidFill>
          </w14:textFill>
        </w:rPr>
        <w:t> 诚信承诺函</w:t>
      </w:r>
    </w:p>
    <w:p w14:paraId="3B2C34E4">
      <w:pPr>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w:t>
      </w:r>
      <w:r>
        <w:rPr>
          <w:rFonts w:hint="eastAsia" w:cs="宋体" w:asciiTheme="majorEastAsia" w:hAnsiTheme="majorEastAsia" w:eastAsiaTheme="majorEastAsia"/>
          <w:color w:val="000000" w:themeColor="text1"/>
          <w:kern w:val="0"/>
          <w:sz w:val="24"/>
          <w:szCs w:val="24"/>
          <w14:textFill>
            <w14:solidFill>
              <w14:schemeClr w14:val="tx1"/>
            </w14:solidFill>
          </w14:textFill>
        </w:rPr>
        <w:t>：</w:t>
      </w:r>
    </w:p>
    <w:p w14:paraId="3B334FEB">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为营造公开、公平、公正的公共资源交易环境，树立诚信守法的供应商形象，本人代表本单位作出以下承诺：</w:t>
      </w:r>
    </w:p>
    <w:p w14:paraId="18B5C168">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一、本单位对所提交的单位基本信息、单位负责人、项目负责人、技术负责人、从业资质和资格、业绩、财务状况、信誉等所有资料，均合法、真实、准确、有效，无任何伪造、修改、虚假成分；</w:t>
      </w:r>
    </w:p>
    <w:p w14:paraId="764D80F7">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二、严格依照国家和省、市、县关于政府采购等方面的法律、法规、规章、规范性文件，参加公共资源交易招标投标活动；积极履行社会责任，促进廉政建设；</w:t>
      </w:r>
    </w:p>
    <w:p w14:paraId="02B63179">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三、严格遵守即时信息公示规定，及时更新信息库中信息；</w:t>
      </w:r>
    </w:p>
    <w:p w14:paraId="32FFE9D5">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四、自我约束、自我管理，守合同、重信用，不参与围标串标、弄虚作假、骗取中标、干扰评标、违约毁约、恶意投诉等行为，主动维护公共资源交易招标投标的良好秩序；</w:t>
      </w:r>
    </w:p>
    <w:p w14:paraId="7B796E9F">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37195970">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六、自觉接受政府部门、行业组织、社会公众、新闻舆论等监督；</w:t>
      </w:r>
    </w:p>
    <w:p w14:paraId="66C09666">
      <w:pPr>
        <w:spacing w:line="360" w:lineRule="auto"/>
        <w:ind w:firstLine="480" w:firstLineChars="200"/>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七、上述承诺已向本单位员工作了宣传教育；</w:t>
      </w:r>
    </w:p>
    <w:p w14:paraId="7DC11677">
      <w:pPr>
        <w:spacing w:line="360" w:lineRule="auto"/>
        <w:ind w:firstLine="482" w:firstLineChars="200"/>
        <w:rPr>
          <w:rFonts w:cs="宋体" w:asciiTheme="majorEastAsia" w:hAnsiTheme="majorEastAsia" w:eastAsiaTheme="majorEastAsia"/>
          <w:b/>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b/>
          <w:color w:val="000000" w:themeColor="text1"/>
          <w:kern w:val="0"/>
          <w:sz w:val="24"/>
          <w:szCs w:val="24"/>
          <w:lang w:val="zh-CN" w:bidi="ar"/>
          <w14:textFill>
            <w14:solidFill>
              <w14:schemeClr w14:val="tx1"/>
            </w14:solidFill>
          </w14:textFill>
        </w:rPr>
        <w:t>如有违反上述承诺的不良行为，本单位同意将其予以上网公示。</w:t>
      </w:r>
    </w:p>
    <w:p w14:paraId="73FDDDF0">
      <w:pPr>
        <w:spacing w:line="360" w:lineRule="auto"/>
        <w:rPr>
          <w:rFonts w:cs="宋体" w:asciiTheme="majorEastAsia" w:hAnsiTheme="majorEastAsia" w:eastAsiaTheme="majorEastAsia"/>
          <w:color w:val="000000" w:themeColor="text1"/>
          <w:kern w:val="0"/>
          <w:sz w:val="24"/>
          <w:szCs w:val="24"/>
          <w:u w:val="single"/>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供应商全称(盖公章)：</w:t>
      </w:r>
    </w:p>
    <w:p w14:paraId="12CCCCCF">
      <w:pPr>
        <w:spacing w:line="360" w:lineRule="auto"/>
        <w:rPr>
          <w:rFonts w:cs="宋体" w:asciiTheme="majorEastAsia" w:hAnsiTheme="majorEastAsia" w:eastAsiaTheme="majorEastAsia"/>
          <w:color w:val="000000" w:themeColor="text1"/>
          <w:sz w:val="24"/>
          <w:szCs w:val="24"/>
          <w:u w:val="single"/>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法定代表人（签字或盖章）：</w:t>
      </w:r>
    </w:p>
    <w:p w14:paraId="0D7FAD45">
      <w:pPr>
        <w:spacing w:line="360" w:lineRule="auto"/>
        <w:rPr>
          <w:rFonts w:cs="宋体" w:asciiTheme="majorEastAsia" w:hAnsiTheme="majorEastAsia" w:eastAsiaTheme="majorEastAsia"/>
          <w:color w:val="000000" w:themeColor="text1"/>
          <w:kern w:val="0"/>
          <w:sz w:val="24"/>
          <w:szCs w:val="24"/>
          <w:lang w:val="zh-CN"/>
          <w14:textFill>
            <w14:solidFill>
              <w14:schemeClr w14:val="tx1"/>
            </w14:solidFill>
          </w14:textFill>
        </w:rPr>
      </w:pPr>
      <w:r>
        <w:rPr>
          <w:rFonts w:hint="eastAsia" w:cs="宋体" w:asciiTheme="majorEastAsia" w:hAnsiTheme="majorEastAsia" w:eastAsiaTheme="majorEastAsia"/>
          <w:color w:val="000000" w:themeColor="text1"/>
          <w:kern w:val="0"/>
          <w:sz w:val="24"/>
          <w:szCs w:val="24"/>
          <w:lang w:val="zh-CN" w:bidi="ar"/>
          <w14:textFill>
            <w14:solidFill>
              <w14:schemeClr w14:val="tx1"/>
            </w14:solidFill>
          </w14:textFill>
        </w:rPr>
        <w:t>时间：  年  月   日</w:t>
      </w:r>
    </w:p>
    <w:p w14:paraId="1EEB1F99">
      <w:pPr>
        <w:widowControl/>
        <w:ind w:firstLine="592"/>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263587FB">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79BD4919">
      <w:pPr>
        <w:spacing w:after="120"/>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E4CAF48">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D6A8C40">
      <w:pPr>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526C13AF">
      <w:pPr>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4F075072">
      <w:pPr>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71A08129">
      <w:pPr>
        <w:jc w:val="center"/>
        <w:rPr>
          <w:rFonts w:cs="宋体" w:asciiTheme="majorEastAsia" w:hAnsiTheme="majorEastAsia" w:eastAsiaTheme="majorEastAsia"/>
          <w:b/>
          <w:bCs/>
          <w:color w:val="000000" w:themeColor="text1"/>
          <w:kern w:val="0"/>
          <w:sz w:val="24"/>
          <w:szCs w:val="24"/>
          <w14:textFill>
            <w14:solidFill>
              <w14:schemeClr w14:val="tx1"/>
            </w14:solidFill>
          </w14:textFill>
        </w:rPr>
      </w:pPr>
    </w:p>
    <w:p w14:paraId="61EFB562">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供应商符合《政府采购法》第二十二条规定条件的声明函</w:t>
      </w:r>
    </w:p>
    <w:p w14:paraId="518A3D6C">
      <w:pP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40652B3">
      <w:pPr>
        <w:ind w:firstLine="48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我单位参加</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南通市海门区三厂街道中心卫生院采购安保服务</w:t>
      </w:r>
      <w:r>
        <w:rPr>
          <w:rFonts w:hint="eastAsia" w:cs="宋体" w:asciiTheme="majorEastAsia" w:hAnsiTheme="majorEastAsia" w:eastAsiaTheme="majorEastAsia"/>
          <w:color w:val="000000" w:themeColor="text1"/>
          <w:kern w:val="0"/>
          <w:sz w:val="24"/>
          <w:szCs w:val="24"/>
          <w14:textFill>
            <w14:solidFill>
              <w14:schemeClr w14:val="tx1"/>
            </w14:solidFill>
          </w14:textFill>
        </w:rPr>
        <w:t>磋商活动。针对《中华人民共和国政府采购法》第二十二条规定做出如下声明：</w:t>
      </w:r>
    </w:p>
    <w:p w14:paraId="25D7A400">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1.我单位具有独立承担民事责任的能力；</w:t>
      </w:r>
    </w:p>
    <w:p w14:paraId="58BCA08E">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2.我单位具有良好的商业信誉和健全的财务会计制度；</w:t>
      </w:r>
    </w:p>
    <w:p w14:paraId="39C3DF2A">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3.我单位具有履行合同所必需的设备和专业技术能力；</w:t>
      </w:r>
    </w:p>
    <w:p w14:paraId="6811C7C2">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4.我单位有依法缴纳税收和社会保障资金的良好记录；</w:t>
      </w:r>
    </w:p>
    <w:p w14:paraId="06B9AAA7">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6D20ED">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6.我单位满足法律、行政法规规定的其他条件。</w:t>
      </w:r>
    </w:p>
    <w:p w14:paraId="16137078">
      <w:pPr>
        <w:ind w:firstLine="482"/>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21EADD96">
      <w:pP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7CE580A8">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承诺人名称（公章）：</w:t>
      </w:r>
    </w:p>
    <w:p w14:paraId="3B3CA925">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                               </w:t>
      </w:r>
    </w:p>
    <w:p w14:paraId="6E7F1B67">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日期：</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日</w:t>
      </w:r>
    </w:p>
    <w:p w14:paraId="69429FA2">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B09B68F">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B0680FF">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7ADE391A">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1DC4778">
      <w:pPr>
        <w:snapToGrid w:val="0"/>
        <w:spacing w:line="400" w:lineRule="exact"/>
        <w:contextualSpacing/>
        <w:rPr>
          <w:rFonts w:ascii="宋体" w:hAnsi="宋体" w:cs="宋体"/>
          <w:color w:val="000000" w:themeColor="text1"/>
          <w:kern w:val="0"/>
          <w:sz w:val="32"/>
          <w:szCs w:val="32"/>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6D5A5859">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6E26B085">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0A8366B2">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2DBFC457">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3078C620">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3833BC95">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1D0D64A7">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79B9A174">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0938B133">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2F61F605">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113E55A6">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47EBEBB5">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708AC312">
      <w:pPr>
        <w:tabs>
          <w:tab w:val="left" w:pos="1260"/>
        </w:tabs>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供应商情况一览表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0D2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gridSpan w:val="2"/>
            <w:tcBorders>
              <w:top w:val="double" w:color="auto" w:sz="4" w:space="0"/>
              <w:left w:val="double" w:color="auto" w:sz="4" w:space="0"/>
            </w:tcBorders>
            <w:vAlign w:val="center"/>
          </w:tcPr>
          <w:p w14:paraId="3509E7E5">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tc>
        <w:tc>
          <w:tcPr>
            <w:tcW w:w="7923" w:type="dxa"/>
            <w:gridSpan w:val="10"/>
            <w:tcBorders>
              <w:top w:val="double" w:color="auto" w:sz="4" w:space="0"/>
              <w:right w:val="double" w:color="auto" w:sz="4" w:space="0"/>
            </w:tcBorders>
            <w:vAlign w:val="center"/>
          </w:tcPr>
          <w:p w14:paraId="24977D17">
            <w:pPr>
              <w:tabs>
                <w:tab w:val="left" w:pos="4320"/>
              </w:tabs>
              <w:rPr>
                <w:rFonts w:ascii="宋体" w:hAnsi="宋体" w:cs="宋体"/>
                <w:color w:val="000000" w:themeColor="text1"/>
                <w:sz w:val="24"/>
                <w14:textFill>
                  <w14:solidFill>
                    <w14:schemeClr w14:val="tx1"/>
                  </w14:solidFill>
                </w14:textFill>
              </w:rPr>
            </w:pPr>
          </w:p>
        </w:tc>
      </w:tr>
      <w:tr w14:paraId="4F2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gridSpan w:val="3"/>
            <w:tcBorders>
              <w:left w:val="double" w:color="auto" w:sz="4" w:space="0"/>
              <w:right w:val="single" w:color="auto" w:sz="4" w:space="0"/>
            </w:tcBorders>
            <w:vAlign w:val="center"/>
          </w:tcPr>
          <w:p w14:paraId="114C3110">
            <w:pPr>
              <w:tabs>
                <w:tab w:val="left" w:pos="432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单位优势及特长</w:t>
            </w:r>
          </w:p>
        </w:tc>
        <w:tc>
          <w:tcPr>
            <w:tcW w:w="7072" w:type="dxa"/>
            <w:gridSpan w:val="9"/>
            <w:tcBorders>
              <w:left w:val="single" w:color="auto" w:sz="4" w:space="0"/>
              <w:right w:val="double" w:color="auto" w:sz="4" w:space="0"/>
            </w:tcBorders>
            <w:vAlign w:val="center"/>
          </w:tcPr>
          <w:p w14:paraId="1E6C121A">
            <w:pPr>
              <w:tabs>
                <w:tab w:val="left" w:pos="4320"/>
              </w:tabs>
              <w:rPr>
                <w:rFonts w:ascii="宋体" w:hAnsi="宋体" w:cs="宋体"/>
                <w:color w:val="000000" w:themeColor="text1"/>
                <w:sz w:val="24"/>
                <w14:textFill>
                  <w14:solidFill>
                    <w14:schemeClr w14:val="tx1"/>
                  </w14:solidFill>
                </w14:textFill>
              </w:rPr>
            </w:pPr>
          </w:p>
        </w:tc>
      </w:tr>
      <w:tr w14:paraId="2526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restart"/>
            <w:tcBorders>
              <w:left w:val="double" w:color="auto" w:sz="4" w:space="0"/>
            </w:tcBorders>
            <w:vAlign w:val="center"/>
          </w:tcPr>
          <w:p w14:paraId="52487282">
            <w:pPr>
              <w:tabs>
                <w:tab w:val="left" w:pos="4320"/>
              </w:tabs>
              <w:ind w:left="266" w:hanging="266" w:hangingChars="1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p w14:paraId="5C0F8DBF">
            <w:pPr>
              <w:tabs>
                <w:tab w:val="left" w:pos="4320"/>
              </w:tabs>
              <w:ind w:left="266" w:hanging="266" w:hangingChars="1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概况</w:t>
            </w:r>
          </w:p>
        </w:tc>
        <w:tc>
          <w:tcPr>
            <w:tcW w:w="1276" w:type="dxa"/>
            <w:gridSpan w:val="2"/>
            <w:vAlign w:val="center"/>
          </w:tcPr>
          <w:p w14:paraId="67F9D56C">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职工总数</w:t>
            </w:r>
          </w:p>
        </w:tc>
        <w:tc>
          <w:tcPr>
            <w:tcW w:w="1417" w:type="dxa"/>
            <w:gridSpan w:val="2"/>
            <w:vAlign w:val="center"/>
          </w:tcPr>
          <w:p w14:paraId="1150198C">
            <w:pPr>
              <w:tabs>
                <w:tab w:val="left" w:pos="4320"/>
              </w:tabs>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567" w:type="dxa"/>
            <w:vMerge w:val="restart"/>
            <w:vAlign w:val="center"/>
          </w:tcPr>
          <w:p w14:paraId="76412F79">
            <w:pPr>
              <w:tabs>
                <w:tab w:val="left" w:pos="432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上一年主要经济指标</w:t>
            </w:r>
          </w:p>
        </w:tc>
        <w:tc>
          <w:tcPr>
            <w:tcW w:w="946" w:type="dxa"/>
            <w:vAlign w:val="center"/>
          </w:tcPr>
          <w:p w14:paraId="081C06AC">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营业额</w:t>
            </w:r>
          </w:p>
        </w:tc>
        <w:tc>
          <w:tcPr>
            <w:tcW w:w="1414" w:type="dxa"/>
            <w:gridSpan w:val="2"/>
            <w:vAlign w:val="center"/>
          </w:tcPr>
          <w:p w14:paraId="0A0FFAE3">
            <w:pPr>
              <w:tabs>
                <w:tab w:val="left" w:pos="4320"/>
              </w:tabs>
              <w:rPr>
                <w:rFonts w:ascii="宋体" w:hAnsi="宋体" w:cs="宋体"/>
                <w:color w:val="000000" w:themeColor="text1"/>
                <w:sz w:val="24"/>
                <w14:textFill>
                  <w14:solidFill>
                    <w14:schemeClr w14:val="tx1"/>
                  </w14:solidFill>
                </w14:textFill>
              </w:rPr>
            </w:pPr>
          </w:p>
        </w:tc>
        <w:tc>
          <w:tcPr>
            <w:tcW w:w="1184" w:type="dxa"/>
            <w:gridSpan w:val="2"/>
            <w:vAlign w:val="center"/>
          </w:tcPr>
          <w:p w14:paraId="1A61109E">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实现利润</w:t>
            </w:r>
          </w:p>
        </w:tc>
        <w:tc>
          <w:tcPr>
            <w:tcW w:w="1544" w:type="dxa"/>
            <w:tcBorders>
              <w:right w:val="double" w:color="auto" w:sz="4" w:space="0"/>
            </w:tcBorders>
            <w:vAlign w:val="center"/>
          </w:tcPr>
          <w:p w14:paraId="61579F3A">
            <w:pPr>
              <w:tabs>
                <w:tab w:val="left" w:pos="4320"/>
              </w:tabs>
              <w:rPr>
                <w:rFonts w:ascii="宋体" w:hAnsi="宋体" w:cs="宋体"/>
                <w:color w:val="000000" w:themeColor="text1"/>
                <w:sz w:val="24"/>
                <w14:textFill>
                  <w14:solidFill>
                    <w14:schemeClr w14:val="tx1"/>
                  </w14:solidFill>
                </w14:textFill>
              </w:rPr>
            </w:pPr>
          </w:p>
        </w:tc>
      </w:tr>
      <w:tr w14:paraId="198D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14:paraId="5DB85510">
            <w:pPr>
              <w:tabs>
                <w:tab w:val="left" w:pos="4320"/>
              </w:tabs>
              <w:ind w:left="266" w:hanging="266" w:hangingChars="111"/>
              <w:rPr>
                <w:rFonts w:ascii="宋体" w:hAnsi="宋体" w:cs="宋体"/>
                <w:color w:val="000000" w:themeColor="text1"/>
                <w:sz w:val="24"/>
                <w14:textFill>
                  <w14:solidFill>
                    <w14:schemeClr w14:val="tx1"/>
                  </w14:solidFill>
                </w14:textFill>
              </w:rPr>
            </w:pPr>
          </w:p>
        </w:tc>
        <w:tc>
          <w:tcPr>
            <w:tcW w:w="1276" w:type="dxa"/>
            <w:gridSpan w:val="2"/>
            <w:vAlign w:val="center"/>
          </w:tcPr>
          <w:p w14:paraId="31C6D050">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流动资金</w:t>
            </w:r>
          </w:p>
        </w:tc>
        <w:tc>
          <w:tcPr>
            <w:tcW w:w="1417" w:type="dxa"/>
            <w:gridSpan w:val="2"/>
            <w:vAlign w:val="center"/>
          </w:tcPr>
          <w:p w14:paraId="07B2D90A">
            <w:pPr>
              <w:tabs>
                <w:tab w:val="left" w:pos="4320"/>
              </w:tabs>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567" w:type="dxa"/>
            <w:vMerge w:val="continue"/>
            <w:vAlign w:val="center"/>
          </w:tcPr>
          <w:p w14:paraId="02FD0D4F">
            <w:pPr>
              <w:tabs>
                <w:tab w:val="left" w:pos="4320"/>
              </w:tabs>
              <w:rPr>
                <w:rFonts w:ascii="宋体" w:hAnsi="宋体" w:cs="宋体"/>
                <w:color w:val="000000" w:themeColor="text1"/>
                <w:sz w:val="24"/>
                <w14:textFill>
                  <w14:solidFill>
                    <w14:schemeClr w14:val="tx1"/>
                  </w14:solidFill>
                </w14:textFill>
              </w:rPr>
            </w:pPr>
          </w:p>
        </w:tc>
        <w:tc>
          <w:tcPr>
            <w:tcW w:w="946" w:type="dxa"/>
            <w:vMerge w:val="restart"/>
            <w:vAlign w:val="center"/>
          </w:tcPr>
          <w:p w14:paraId="4A113F61">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主要</w:t>
            </w:r>
          </w:p>
          <w:p w14:paraId="4A7005BE">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w:t>
            </w:r>
          </w:p>
        </w:tc>
        <w:tc>
          <w:tcPr>
            <w:tcW w:w="4142" w:type="dxa"/>
            <w:gridSpan w:val="5"/>
            <w:tcBorders>
              <w:right w:val="double" w:color="auto" w:sz="4" w:space="0"/>
            </w:tcBorders>
            <w:vAlign w:val="center"/>
          </w:tcPr>
          <w:p w14:paraId="727B0D78">
            <w:pPr>
              <w:tabs>
                <w:tab w:val="left" w:pos="4320"/>
              </w:tabs>
              <w:spacing w:before="120" w:after="1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r>
      <w:tr w14:paraId="5E6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17" w:type="dxa"/>
            <w:vMerge w:val="continue"/>
            <w:tcBorders>
              <w:left w:val="double" w:color="auto" w:sz="4" w:space="0"/>
            </w:tcBorders>
            <w:vAlign w:val="center"/>
          </w:tcPr>
          <w:p w14:paraId="4D9F966B">
            <w:pPr>
              <w:tabs>
                <w:tab w:val="left" w:pos="4320"/>
              </w:tabs>
              <w:ind w:left="266" w:hanging="266" w:hangingChars="111"/>
              <w:rPr>
                <w:rFonts w:ascii="宋体" w:hAnsi="宋体" w:cs="宋体"/>
                <w:color w:val="000000" w:themeColor="text1"/>
                <w:sz w:val="24"/>
                <w14:textFill>
                  <w14:solidFill>
                    <w14:schemeClr w14:val="tx1"/>
                  </w14:solidFill>
                </w14:textFill>
              </w:rPr>
            </w:pPr>
          </w:p>
        </w:tc>
        <w:tc>
          <w:tcPr>
            <w:tcW w:w="1276" w:type="dxa"/>
            <w:gridSpan w:val="2"/>
            <w:vAlign w:val="center"/>
          </w:tcPr>
          <w:p w14:paraId="56BF8D33">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固定资产</w:t>
            </w:r>
          </w:p>
          <w:p w14:paraId="7616C8E9">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417" w:type="dxa"/>
            <w:gridSpan w:val="2"/>
            <w:vAlign w:val="center"/>
          </w:tcPr>
          <w:p w14:paraId="1615B06C">
            <w:pPr>
              <w:tabs>
                <w:tab w:val="left" w:pos="-48"/>
                <w:tab w:val="left" w:pos="4320"/>
              </w:tabs>
              <w:ind w:right="-133" w:hanging="4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原值：</w:t>
            </w:r>
          </w:p>
          <w:p w14:paraId="02C9E13B">
            <w:pPr>
              <w:tabs>
                <w:tab w:val="left" w:pos="-48"/>
                <w:tab w:val="left" w:pos="4320"/>
              </w:tabs>
              <w:ind w:hanging="48"/>
              <w:jc w:val="right"/>
              <w:rPr>
                <w:rFonts w:ascii="宋体" w:hAnsi="宋体" w:cs="宋体"/>
                <w:color w:val="000000" w:themeColor="text1"/>
                <w:sz w:val="24"/>
                <w14:textFill>
                  <w14:solidFill>
                    <w14:schemeClr w14:val="tx1"/>
                  </w14:solidFill>
                </w14:textFill>
              </w:rPr>
            </w:pPr>
          </w:p>
          <w:p w14:paraId="144BB07D">
            <w:pPr>
              <w:tabs>
                <w:tab w:val="left" w:pos="-48"/>
                <w:tab w:val="left" w:pos="4320"/>
              </w:tabs>
              <w:ind w:right="-133" w:hanging="4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净值：</w:t>
            </w:r>
          </w:p>
          <w:p w14:paraId="7967B021">
            <w:pPr>
              <w:tabs>
                <w:tab w:val="left" w:pos="-48"/>
                <w:tab w:val="left" w:pos="4320"/>
              </w:tabs>
              <w:ind w:hanging="48"/>
              <w:jc w:val="right"/>
              <w:rPr>
                <w:rFonts w:ascii="宋体" w:hAnsi="宋体" w:cs="宋体"/>
                <w:color w:val="000000" w:themeColor="text1"/>
                <w:sz w:val="24"/>
                <w14:textFill>
                  <w14:solidFill>
                    <w14:schemeClr w14:val="tx1"/>
                  </w14:solidFill>
                </w14:textFill>
              </w:rPr>
            </w:pPr>
          </w:p>
        </w:tc>
        <w:tc>
          <w:tcPr>
            <w:tcW w:w="567" w:type="dxa"/>
            <w:vMerge w:val="continue"/>
            <w:vAlign w:val="center"/>
          </w:tcPr>
          <w:p w14:paraId="616C9485">
            <w:pPr>
              <w:tabs>
                <w:tab w:val="left" w:pos="4320"/>
              </w:tabs>
              <w:rPr>
                <w:rFonts w:ascii="宋体" w:hAnsi="宋体" w:cs="宋体"/>
                <w:color w:val="000000" w:themeColor="text1"/>
                <w:sz w:val="24"/>
                <w14:textFill>
                  <w14:solidFill>
                    <w14:schemeClr w14:val="tx1"/>
                  </w14:solidFill>
                </w14:textFill>
              </w:rPr>
            </w:pPr>
          </w:p>
        </w:tc>
        <w:tc>
          <w:tcPr>
            <w:tcW w:w="946" w:type="dxa"/>
            <w:vMerge w:val="continue"/>
            <w:vAlign w:val="center"/>
          </w:tcPr>
          <w:p w14:paraId="5D0AABB2">
            <w:pPr>
              <w:tabs>
                <w:tab w:val="left" w:pos="4320"/>
              </w:tabs>
              <w:jc w:val="center"/>
              <w:rPr>
                <w:rFonts w:ascii="宋体" w:hAnsi="宋体" w:cs="宋体"/>
                <w:color w:val="000000" w:themeColor="text1"/>
                <w:sz w:val="24"/>
                <w14:textFill>
                  <w14:solidFill>
                    <w14:schemeClr w14:val="tx1"/>
                  </w14:solidFill>
                </w14:textFill>
              </w:rPr>
            </w:pPr>
          </w:p>
        </w:tc>
        <w:tc>
          <w:tcPr>
            <w:tcW w:w="4142" w:type="dxa"/>
            <w:gridSpan w:val="5"/>
            <w:tcBorders>
              <w:right w:val="double" w:color="auto" w:sz="4" w:space="0"/>
            </w:tcBorders>
            <w:vAlign w:val="center"/>
          </w:tcPr>
          <w:p w14:paraId="4E8E11C5">
            <w:pPr>
              <w:tabs>
                <w:tab w:val="left" w:pos="432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r>
      <w:tr w14:paraId="361A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14:paraId="7F00DE7D">
            <w:pPr>
              <w:tabs>
                <w:tab w:val="left" w:pos="4320"/>
              </w:tabs>
              <w:ind w:left="266" w:hanging="266" w:hangingChars="111"/>
              <w:rPr>
                <w:rFonts w:ascii="宋体" w:hAnsi="宋体" w:cs="宋体"/>
                <w:color w:val="000000" w:themeColor="text1"/>
                <w:sz w:val="24"/>
                <w14:textFill>
                  <w14:solidFill>
                    <w14:schemeClr w14:val="tx1"/>
                  </w14:solidFill>
                </w14:textFill>
              </w:rPr>
            </w:pPr>
          </w:p>
        </w:tc>
        <w:tc>
          <w:tcPr>
            <w:tcW w:w="1276" w:type="dxa"/>
            <w:gridSpan w:val="2"/>
            <w:vAlign w:val="center"/>
          </w:tcPr>
          <w:p w14:paraId="6EA2F64E">
            <w:pPr>
              <w:tabs>
                <w:tab w:val="left" w:pos="4320"/>
              </w:tabs>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占地面积</w:t>
            </w:r>
          </w:p>
        </w:tc>
        <w:tc>
          <w:tcPr>
            <w:tcW w:w="1417" w:type="dxa"/>
            <w:gridSpan w:val="2"/>
            <w:vAlign w:val="center"/>
          </w:tcPr>
          <w:p w14:paraId="71D4E18E">
            <w:pPr>
              <w:tabs>
                <w:tab w:val="left" w:pos="4320"/>
              </w:tabs>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w:t>
            </w:r>
            <w:r>
              <w:rPr>
                <w:rFonts w:hint="eastAsia" w:ascii="宋体" w:hAnsi="宋体" w:cs="宋体"/>
                <w:color w:val="000000" w:themeColor="text1"/>
                <w:sz w:val="24"/>
                <w:vertAlign w:val="superscript"/>
                <w14:textFill>
                  <w14:solidFill>
                    <w14:schemeClr w14:val="tx1"/>
                  </w14:solidFill>
                </w14:textFill>
              </w:rPr>
              <w:t>2</w:t>
            </w:r>
          </w:p>
        </w:tc>
        <w:tc>
          <w:tcPr>
            <w:tcW w:w="567" w:type="dxa"/>
            <w:vMerge w:val="continue"/>
            <w:vAlign w:val="center"/>
          </w:tcPr>
          <w:p w14:paraId="75FCBDFB">
            <w:pPr>
              <w:tabs>
                <w:tab w:val="left" w:pos="4320"/>
              </w:tabs>
              <w:rPr>
                <w:rFonts w:ascii="宋体" w:hAnsi="宋体" w:cs="宋体"/>
                <w:color w:val="000000" w:themeColor="text1"/>
                <w:sz w:val="24"/>
                <w14:textFill>
                  <w14:solidFill>
                    <w14:schemeClr w14:val="tx1"/>
                  </w14:solidFill>
                </w14:textFill>
              </w:rPr>
            </w:pPr>
          </w:p>
        </w:tc>
        <w:tc>
          <w:tcPr>
            <w:tcW w:w="946" w:type="dxa"/>
            <w:vMerge w:val="continue"/>
            <w:vAlign w:val="center"/>
          </w:tcPr>
          <w:p w14:paraId="63FCD45C">
            <w:pPr>
              <w:tabs>
                <w:tab w:val="left" w:pos="4320"/>
              </w:tabs>
              <w:jc w:val="center"/>
              <w:rPr>
                <w:rFonts w:ascii="宋体" w:hAnsi="宋体" w:cs="宋体"/>
                <w:color w:val="000000" w:themeColor="text1"/>
                <w:sz w:val="24"/>
                <w14:textFill>
                  <w14:solidFill>
                    <w14:schemeClr w14:val="tx1"/>
                  </w14:solidFill>
                </w14:textFill>
              </w:rPr>
            </w:pPr>
          </w:p>
        </w:tc>
        <w:tc>
          <w:tcPr>
            <w:tcW w:w="4142" w:type="dxa"/>
            <w:gridSpan w:val="5"/>
            <w:tcBorders>
              <w:right w:val="double" w:color="auto" w:sz="4" w:space="0"/>
            </w:tcBorders>
            <w:vAlign w:val="center"/>
          </w:tcPr>
          <w:p w14:paraId="41805566">
            <w:pPr>
              <w:tabs>
                <w:tab w:val="left" w:pos="4320"/>
              </w:tabs>
              <w:spacing w:before="120" w:after="1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r>
      <w:tr w14:paraId="42B7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restart"/>
            <w:tcBorders>
              <w:left w:val="double" w:color="auto" w:sz="4" w:space="0"/>
            </w:tcBorders>
            <w:vAlign w:val="center"/>
          </w:tcPr>
          <w:p w14:paraId="7312B3F3">
            <w:pPr>
              <w:tabs>
                <w:tab w:val="left" w:pos="4320"/>
              </w:tabs>
              <w:ind w:left="266" w:hanging="266" w:hangingChars="1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w:t>
            </w:r>
          </w:p>
          <w:p w14:paraId="0914A5CD">
            <w:pPr>
              <w:tabs>
                <w:tab w:val="left" w:pos="4320"/>
              </w:tabs>
              <w:ind w:left="266" w:hanging="266" w:hangingChars="1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w:t>
            </w:r>
          </w:p>
          <w:p w14:paraId="04662E45">
            <w:pPr>
              <w:tabs>
                <w:tab w:val="left" w:pos="4320"/>
              </w:tabs>
              <w:ind w:left="266" w:hanging="266" w:hangingChars="1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w:t>
            </w:r>
          </w:p>
          <w:p w14:paraId="2FFF7EC9">
            <w:pPr>
              <w:tabs>
                <w:tab w:val="left" w:pos="4320"/>
              </w:tabs>
              <w:ind w:left="266" w:hanging="266" w:hangingChars="1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情况</w:t>
            </w:r>
          </w:p>
        </w:tc>
        <w:tc>
          <w:tcPr>
            <w:tcW w:w="1643" w:type="dxa"/>
            <w:gridSpan w:val="3"/>
            <w:vAlign w:val="center"/>
          </w:tcPr>
          <w:p w14:paraId="24D147A9">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产品名称</w:t>
            </w:r>
          </w:p>
        </w:tc>
        <w:tc>
          <w:tcPr>
            <w:tcW w:w="1617" w:type="dxa"/>
            <w:gridSpan w:val="2"/>
            <w:vAlign w:val="center"/>
          </w:tcPr>
          <w:p w14:paraId="7BBC9ED1">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    号</w:t>
            </w:r>
          </w:p>
        </w:tc>
        <w:tc>
          <w:tcPr>
            <w:tcW w:w="946" w:type="dxa"/>
            <w:vAlign w:val="center"/>
          </w:tcPr>
          <w:p w14:paraId="05FEBE01">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上年</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产销量</w:t>
            </w:r>
          </w:p>
        </w:tc>
        <w:tc>
          <w:tcPr>
            <w:tcW w:w="1263" w:type="dxa"/>
            <w:vAlign w:val="center"/>
          </w:tcPr>
          <w:p w14:paraId="6A7CDB1C">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产品技术</w:t>
            </w:r>
          </w:p>
          <w:p w14:paraId="3EFFDE01">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先进水平</w:t>
            </w:r>
          </w:p>
        </w:tc>
        <w:tc>
          <w:tcPr>
            <w:tcW w:w="1273" w:type="dxa"/>
            <w:gridSpan w:val="2"/>
            <w:vAlign w:val="center"/>
          </w:tcPr>
          <w:p w14:paraId="00EB0D9F">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曾获何级</w:t>
            </w:r>
          </w:p>
          <w:p w14:paraId="3477F138">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何种奖励</w:t>
            </w:r>
          </w:p>
        </w:tc>
        <w:tc>
          <w:tcPr>
            <w:tcW w:w="1606" w:type="dxa"/>
            <w:gridSpan w:val="2"/>
            <w:tcBorders>
              <w:right w:val="double" w:color="auto" w:sz="4" w:space="0"/>
            </w:tcBorders>
            <w:vAlign w:val="center"/>
          </w:tcPr>
          <w:p w14:paraId="786BEC0B">
            <w:pPr>
              <w:tabs>
                <w:tab w:val="left" w:pos="4320"/>
              </w:tabs>
              <w:spacing w:before="60" w:after="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主要用户</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名称</w:t>
            </w:r>
          </w:p>
        </w:tc>
      </w:tr>
      <w:tr w14:paraId="2BF3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14:paraId="33B5409A">
            <w:pPr>
              <w:tabs>
                <w:tab w:val="left" w:pos="4320"/>
              </w:tabs>
              <w:rPr>
                <w:rFonts w:ascii="宋体" w:hAnsi="宋体" w:cs="宋体"/>
                <w:color w:val="000000" w:themeColor="text1"/>
                <w:sz w:val="24"/>
                <w14:textFill>
                  <w14:solidFill>
                    <w14:schemeClr w14:val="tx1"/>
                  </w14:solidFill>
                </w14:textFill>
              </w:rPr>
            </w:pPr>
          </w:p>
        </w:tc>
        <w:tc>
          <w:tcPr>
            <w:tcW w:w="1643" w:type="dxa"/>
            <w:gridSpan w:val="3"/>
            <w:vAlign w:val="center"/>
          </w:tcPr>
          <w:p w14:paraId="732E572B">
            <w:pPr>
              <w:tabs>
                <w:tab w:val="left" w:pos="4320"/>
              </w:tabs>
              <w:rPr>
                <w:rFonts w:ascii="宋体" w:hAnsi="宋体" w:cs="宋体"/>
                <w:color w:val="000000" w:themeColor="text1"/>
                <w:sz w:val="24"/>
                <w14:textFill>
                  <w14:solidFill>
                    <w14:schemeClr w14:val="tx1"/>
                  </w14:solidFill>
                </w14:textFill>
              </w:rPr>
            </w:pPr>
          </w:p>
        </w:tc>
        <w:tc>
          <w:tcPr>
            <w:tcW w:w="1617" w:type="dxa"/>
            <w:gridSpan w:val="2"/>
            <w:vAlign w:val="center"/>
          </w:tcPr>
          <w:p w14:paraId="53BC8502">
            <w:pPr>
              <w:tabs>
                <w:tab w:val="left" w:pos="4320"/>
              </w:tabs>
              <w:rPr>
                <w:rFonts w:ascii="宋体" w:hAnsi="宋体" w:cs="宋体"/>
                <w:color w:val="000000" w:themeColor="text1"/>
                <w:sz w:val="24"/>
                <w14:textFill>
                  <w14:solidFill>
                    <w14:schemeClr w14:val="tx1"/>
                  </w14:solidFill>
                </w14:textFill>
              </w:rPr>
            </w:pPr>
          </w:p>
        </w:tc>
        <w:tc>
          <w:tcPr>
            <w:tcW w:w="946" w:type="dxa"/>
            <w:vAlign w:val="center"/>
          </w:tcPr>
          <w:p w14:paraId="1E7001F7">
            <w:pPr>
              <w:tabs>
                <w:tab w:val="left" w:pos="4320"/>
              </w:tabs>
              <w:rPr>
                <w:rFonts w:ascii="宋体" w:hAnsi="宋体" w:cs="宋体"/>
                <w:color w:val="000000" w:themeColor="text1"/>
                <w:sz w:val="24"/>
                <w14:textFill>
                  <w14:solidFill>
                    <w14:schemeClr w14:val="tx1"/>
                  </w14:solidFill>
                </w14:textFill>
              </w:rPr>
            </w:pPr>
          </w:p>
        </w:tc>
        <w:tc>
          <w:tcPr>
            <w:tcW w:w="1263" w:type="dxa"/>
            <w:vAlign w:val="center"/>
          </w:tcPr>
          <w:p w14:paraId="477A9755">
            <w:pPr>
              <w:tabs>
                <w:tab w:val="left" w:pos="4320"/>
              </w:tabs>
              <w:rPr>
                <w:rFonts w:ascii="宋体" w:hAnsi="宋体" w:cs="宋体"/>
                <w:color w:val="000000" w:themeColor="text1"/>
                <w:sz w:val="24"/>
                <w14:textFill>
                  <w14:solidFill>
                    <w14:schemeClr w14:val="tx1"/>
                  </w14:solidFill>
                </w14:textFill>
              </w:rPr>
            </w:pPr>
          </w:p>
        </w:tc>
        <w:tc>
          <w:tcPr>
            <w:tcW w:w="1273" w:type="dxa"/>
            <w:gridSpan w:val="2"/>
            <w:vAlign w:val="center"/>
          </w:tcPr>
          <w:p w14:paraId="0A490C4F">
            <w:pPr>
              <w:tabs>
                <w:tab w:val="left" w:pos="4320"/>
              </w:tabs>
              <w:rPr>
                <w:rFonts w:ascii="宋体" w:hAnsi="宋体" w:cs="宋体"/>
                <w:color w:val="000000" w:themeColor="text1"/>
                <w:sz w:val="24"/>
                <w14:textFill>
                  <w14:solidFill>
                    <w14:schemeClr w14:val="tx1"/>
                  </w14:solidFill>
                </w14:textFill>
              </w:rPr>
            </w:pPr>
          </w:p>
        </w:tc>
        <w:tc>
          <w:tcPr>
            <w:tcW w:w="1606" w:type="dxa"/>
            <w:gridSpan w:val="2"/>
            <w:tcBorders>
              <w:right w:val="double" w:color="auto" w:sz="4" w:space="0"/>
            </w:tcBorders>
            <w:vAlign w:val="center"/>
          </w:tcPr>
          <w:p w14:paraId="35BA36CA">
            <w:pPr>
              <w:tabs>
                <w:tab w:val="left" w:pos="4320"/>
              </w:tabs>
              <w:rPr>
                <w:rFonts w:ascii="宋体" w:hAnsi="宋体" w:cs="宋体"/>
                <w:color w:val="000000" w:themeColor="text1"/>
                <w:sz w:val="24"/>
                <w14:textFill>
                  <w14:solidFill>
                    <w14:schemeClr w14:val="tx1"/>
                  </w14:solidFill>
                </w14:textFill>
              </w:rPr>
            </w:pPr>
          </w:p>
        </w:tc>
      </w:tr>
      <w:tr w14:paraId="1A4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14:paraId="7F3FC319">
            <w:pPr>
              <w:tabs>
                <w:tab w:val="left" w:pos="4320"/>
              </w:tabs>
              <w:rPr>
                <w:rFonts w:ascii="宋体" w:hAnsi="宋体" w:cs="宋体"/>
                <w:color w:val="000000" w:themeColor="text1"/>
                <w:sz w:val="24"/>
                <w14:textFill>
                  <w14:solidFill>
                    <w14:schemeClr w14:val="tx1"/>
                  </w14:solidFill>
                </w14:textFill>
              </w:rPr>
            </w:pPr>
          </w:p>
        </w:tc>
        <w:tc>
          <w:tcPr>
            <w:tcW w:w="1643" w:type="dxa"/>
            <w:gridSpan w:val="3"/>
            <w:vAlign w:val="center"/>
          </w:tcPr>
          <w:p w14:paraId="59B6D228">
            <w:pPr>
              <w:tabs>
                <w:tab w:val="left" w:pos="4320"/>
              </w:tabs>
              <w:rPr>
                <w:rFonts w:ascii="宋体" w:hAnsi="宋体" w:cs="宋体"/>
                <w:color w:val="000000" w:themeColor="text1"/>
                <w:sz w:val="24"/>
                <w14:textFill>
                  <w14:solidFill>
                    <w14:schemeClr w14:val="tx1"/>
                  </w14:solidFill>
                </w14:textFill>
              </w:rPr>
            </w:pPr>
          </w:p>
        </w:tc>
        <w:tc>
          <w:tcPr>
            <w:tcW w:w="1617" w:type="dxa"/>
            <w:gridSpan w:val="2"/>
            <w:vAlign w:val="center"/>
          </w:tcPr>
          <w:p w14:paraId="23787FBF">
            <w:pPr>
              <w:tabs>
                <w:tab w:val="left" w:pos="4320"/>
              </w:tabs>
              <w:rPr>
                <w:rFonts w:ascii="宋体" w:hAnsi="宋体" w:cs="宋体"/>
                <w:color w:val="000000" w:themeColor="text1"/>
                <w:sz w:val="24"/>
                <w14:textFill>
                  <w14:solidFill>
                    <w14:schemeClr w14:val="tx1"/>
                  </w14:solidFill>
                </w14:textFill>
              </w:rPr>
            </w:pPr>
          </w:p>
        </w:tc>
        <w:tc>
          <w:tcPr>
            <w:tcW w:w="946" w:type="dxa"/>
            <w:vAlign w:val="center"/>
          </w:tcPr>
          <w:p w14:paraId="1BCB6E39">
            <w:pPr>
              <w:tabs>
                <w:tab w:val="left" w:pos="4320"/>
              </w:tabs>
              <w:rPr>
                <w:rFonts w:ascii="宋体" w:hAnsi="宋体" w:cs="宋体"/>
                <w:color w:val="000000" w:themeColor="text1"/>
                <w:sz w:val="24"/>
                <w14:textFill>
                  <w14:solidFill>
                    <w14:schemeClr w14:val="tx1"/>
                  </w14:solidFill>
                </w14:textFill>
              </w:rPr>
            </w:pPr>
          </w:p>
        </w:tc>
        <w:tc>
          <w:tcPr>
            <w:tcW w:w="1263" w:type="dxa"/>
            <w:vAlign w:val="center"/>
          </w:tcPr>
          <w:p w14:paraId="087CF81D">
            <w:pPr>
              <w:tabs>
                <w:tab w:val="left" w:pos="4320"/>
              </w:tabs>
              <w:rPr>
                <w:rFonts w:ascii="宋体" w:hAnsi="宋体" w:cs="宋体"/>
                <w:color w:val="000000" w:themeColor="text1"/>
                <w:sz w:val="24"/>
                <w14:textFill>
                  <w14:solidFill>
                    <w14:schemeClr w14:val="tx1"/>
                  </w14:solidFill>
                </w14:textFill>
              </w:rPr>
            </w:pPr>
          </w:p>
        </w:tc>
        <w:tc>
          <w:tcPr>
            <w:tcW w:w="1273" w:type="dxa"/>
            <w:gridSpan w:val="2"/>
            <w:vAlign w:val="center"/>
          </w:tcPr>
          <w:p w14:paraId="67B099FD">
            <w:pPr>
              <w:tabs>
                <w:tab w:val="left" w:pos="4320"/>
              </w:tabs>
              <w:rPr>
                <w:rFonts w:ascii="宋体" w:hAnsi="宋体" w:cs="宋体"/>
                <w:color w:val="000000" w:themeColor="text1"/>
                <w:sz w:val="24"/>
                <w14:textFill>
                  <w14:solidFill>
                    <w14:schemeClr w14:val="tx1"/>
                  </w14:solidFill>
                </w14:textFill>
              </w:rPr>
            </w:pPr>
          </w:p>
        </w:tc>
        <w:tc>
          <w:tcPr>
            <w:tcW w:w="1606" w:type="dxa"/>
            <w:gridSpan w:val="2"/>
            <w:tcBorders>
              <w:right w:val="double" w:color="auto" w:sz="4" w:space="0"/>
            </w:tcBorders>
            <w:vAlign w:val="center"/>
          </w:tcPr>
          <w:p w14:paraId="24A33E59">
            <w:pPr>
              <w:tabs>
                <w:tab w:val="left" w:pos="4320"/>
              </w:tabs>
              <w:rPr>
                <w:rFonts w:ascii="宋体" w:hAnsi="宋体" w:cs="宋体"/>
                <w:color w:val="000000" w:themeColor="text1"/>
                <w:sz w:val="24"/>
                <w14:textFill>
                  <w14:solidFill>
                    <w14:schemeClr w14:val="tx1"/>
                  </w14:solidFill>
                </w14:textFill>
              </w:rPr>
            </w:pPr>
          </w:p>
        </w:tc>
      </w:tr>
      <w:tr w14:paraId="7F65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14:paraId="63E9E1F6">
            <w:pPr>
              <w:tabs>
                <w:tab w:val="left" w:pos="4320"/>
              </w:tabs>
              <w:rPr>
                <w:rFonts w:ascii="宋体" w:hAnsi="宋体" w:cs="宋体"/>
                <w:color w:val="000000" w:themeColor="text1"/>
                <w:sz w:val="24"/>
                <w14:textFill>
                  <w14:solidFill>
                    <w14:schemeClr w14:val="tx1"/>
                  </w14:solidFill>
                </w14:textFill>
              </w:rPr>
            </w:pPr>
          </w:p>
        </w:tc>
        <w:tc>
          <w:tcPr>
            <w:tcW w:w="1643" w:type="dxa"/>
            <w:gridSpan w:val="3"/>
            <w:vAlign w:val="center"/>
          </w:tcPr>
          <w:p w14:paraId="1C9D211B">
            <w:pPr>
              <w:tabs>
                <w:tab w:val="left" w:pos="4320"/>
              </w:tabs>
              <w:rPr>
                <w:rFonts w:ascii="宋体" w:hAnsi="宋体" w:cs="宋体"/>
                <w:color w:val="000000" w:themeColor="text1"/>
                <w:sz w:val="24"/>
                <w14:textFill>
                  <w14:solidFill>
                    <w14:schemeClr w14:val="tx1"/>
                  </w14:solidFill>
                </w14:textFill>
              </w:rPr>
            </w:pPr>
          </w:p>
        </w:tc>
        <w:tc>
          <w:tcPr>
            <w:tcW w:w="1617" w:type="dxa"/>
            <w:gridSpan w:val="2"/>
            <w:vAlign w:val="center"/>
          </w:tcPr>
          <w:p w14:paraId="6BB881EA">
            <w:pPr>
              <w:tabs>
                <w:tab w:val="left" w:pos="4320"/>
              </w:tabs>
              <w:rPr>
                <w:rFonts w:ascii="宋体" w:hAnsi="宋体" w:cs="宋体"/>
                <w:color w:val="000000" w:themeColor="text1"/>
                <w:sz w:val="24"/>
                <w14:textFill>
                  <w14:solidFill>
                    <w14:schemeClr w14:val="tx1"/>
                  </w14:solidFill>
                </w14:textFill>
              </w:rPr>
            </w:pPr>
          </w:p>
        </w:tc>
        <w:tc>
          <w:tcPr>
            <w:tcW w:w="946" w:type="dxa"/>
            <w:vAlign w:val="center"/>
          </w:tcPr>
          <w:p w14:paraId="3F0EFF01">
            <w:pPr>
              <w:tabs>
                <w:tab w:val="left" w:pos="4320"/>
              </w:tabs>
              <w:rPr>
                <w:rFonts w:ascii="宋体" w:hAnsi="宋体" w:cs="宋体"/>
                <w:color w:val="000000" w:themeColor="text1"/>
                <w:sz w:val="24"/>
                <w14:textFill>
                  <w14:solidFill>
                    <w14:schemeClr w14:val="tx1"/>
                  </w14:solidFill>
                </w14:textFill>
              </w:rPr>
            </w:pPr>
          </w:p>
        </w:tc>
        <w:tc>
          <w:tcPr>
            <w:tcW w:w="1263" w:type="dxa"/>
            <w:vAlign w:val="center"/>
          </w:tcPr>
          <w:p w14:paraId="3815BC75">
            <w:pPr>
              <w:tabs>
                <w:tab w:val="left" w:pos="4320"/>
              </w:tabs>
              <w:rPr>
                <w:rFonts w:ascii="宋体" w:hAnsi="宋体" w:cs="宋体"/>
                <w:color w:val="000000" w:themeColor="text1"/>
                <w:sz w:val="24"/>
                <w14:textFill>
                  <w14:solidFill>
                    <w14:schemeClr w14:val="tx1"/>
                  </w14:solidFill>
                </w14:textFill>
              </w:rPr>
            </w:pPr>
          </w:p>
        </w:tc>
        <w:tc>
          <w:tcPr>
            <w:tcW w:w="1273" w:type="dxa"/>
            <w:gridSpan w:val="2"/>
            <w:vAlign w:val="center"/>
          </w:tcPr>
          <w:p w14:paraId="614E691F">
            <w:pPr>
              <w:tabs>
                <w:tab w:val="left" w:pos="4320"/>
              </w:tabs>
              <w:rPr>
                <w:rFonts w:ascii="宋体" w:hAnsi="宋体" w:cs="宋体"/>
                <w:color w:val="000000" w:themeColor="text1"/>
                <w:sz w:val="24"/>
                <w14:textFill>
                  <w14:solidFill>
                    <w14:schemeClr w14:val="tx1"/>
                  </w14:solidFill>
                </w14:textFill>
              </w:rPr>
            </w:pPr>
          </w:p>
        </w:tc>
        <w:tc>
          <w:tcPr>
            <w:tcW w:w="1606" w:type="dxa"/>
            <w:gridSpan w:val="2"/>
            <w:tcBorders>
              <w:right w:val="double" w:color="auto" w:sz="4" w:space="0"/>
            </w:tcBorders>
            <w:vAlign w:val="center"/>
          </w:tcPr>
          <w:p w14:paraId="621E6192">
            <w:pPr>
              <w:tabs>
                <w:tab w:val="left" w:pos="4320"/>
              </w:tabs>
              <w:rPr>
                <w:rFonts w:ascii="宋体" w:hAnsi="宋体" w:cs="宋体"/>
                <w:color w:val="000000" w:themeColor="text1"/>
                <w:sz w:val="24"/>
                <w14:textFill>
                  <w14:solidFill>
                    <w14:schemeClr w14:val="tx1"/>
                  </w14:solidFill>
                </w14:textFill>
              </w:rPr>
            </w:pPr>
          </w:p>
        </w:tc>
      </w:tr>
      <w:tr w14:paraId="7A84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14:paraId="0AD7165E">
            <w:pPr>
              <w:tabs>
                <w:tab w:val="left" w:pos="4320"/>
              </w:tabs>
              <w:rPr>
                <w:rFonts w:ascii="宋体" w:hAnsi="宋体" w:cs="宋体"/>
                <w:color w:val="000000" w:themeColor="text1"/>
                <w:sz w:val="24"/>
                <w14:textFill>
                  <w14:solidFill>
                    <w14:schemeClr w14:val="tx1"/>
                  </w14:solidFill>
                </w14:textFill>
              </w:rPr>
            </w:pPr>
          </w:p>
        </w:tc>
        <w:tc>
          <w:tcPr>
            <w:tcW w:w="1643" w:type="dxa"/>
            <w:gridSpan w:val="3"/>
            <w:vAlign w:val="center"/>
          </w:tcPr>
          <w:p w14:paraId="511D9393">
            <w:pPr>
              <w:tabs>
                <w:tab w:val="left" w:pos="4320"/>
              </w:tabs>
              <w:rPr>
                <w:rFonts w:ascii="宋体" w:hAnsi="宋体" w:cs="宋体"/>
                <w:color w:val="000000" w:themeColor="text1"/>
                <w:sz w:val="24"/>
                <w14:textFill>
                  <w14:solidFill>
                    <w14:schemeClr w14:val="tx1"/>
                  </w14:solidFill>
                </w14:textFill>
              </w:rPr>
            </w:pPr>
          </w:p>
        </w:tc>
        <w:tc>
          <w:tcPr>
            <w:tcW w:w="1617" w:type="dxa"/>
            <w:gridSpan w:val="2"/>
            <w:vAlign w:val="center"/>
          </w:tcPr>
          <w:p w14:paraId="64E3153A">
            <w:pPr>
              <w:tabs>
                <w:tab w:val="left" w:pos="4320"/>
              </w:tabs>
              <w:rPr>
                <w:rFonts w:ascii="宋体" w:hAnsi="宋体" w:cs="宋体"/>
                <w:color w:val="000000" w:themeColor="text1"/>
                <w:sz w:val="24"/>
                <w14:textFill>
                  <w14:solidFill>
                    <w14:schemeClr w14:val="tx1"/>
                  </w14:solidFill>
                </w14:textFill>
              </w:rPr>
            </w:pPr>
          </w:p>
        </w:tc>
        <w:tc>
          <w:tcPr>
            <w:tcW w:w="946" w:type="dxa"/>
            <w:vAlign w:val="center"/>
          </w:tcPr>
          <w:p w14:paraId="15212E47">
            <w:pPr>
              <w:tabs>
                <w:tab w:val="left" w:pos="4320"/>
              </w:tabs>
              <w:rPr>
                <w:rFonts w:ascii="宋体" w:hAnsi="宋体" w:cs="宋体"/>
                <w:color w:val="000000" w:themeColor="text1"/>
                <w:sz w:val="24"/>
                <w14:textFill>
                  <w14:solidFill>
                    <w14:schemeClr w14:val="tx1"/>
                  </w14:solidFill>
                </w14:textFill>
              </w:rPr>
            </w:pPr>
          </w:p>
        </w:tc>
        <w:tc>
          <w:tcPr>
            <w:tcW w:w="1263" w:type="dxa"/>
            <w:vAlign w:val="center"/>
          </w:tcPr>
          <w:p w14:paraId="242238D3">
            <w:pPr>
              <w:tabs>
                <w:tab w:val="left" w:pos="4320"/>
              </w:tabs>
              <w:rPr>
                <w:rFonts w:ascii="宋体" w:hAnsi="宋体" w:cs="宋体"/>
                <w:color w:val="000000" w:themeColor="text1"/>
                <w:sz w:val="24"/>
                <w14:textFill>
                  <w14:solidFill>
                    <w14:schemeClr w14:val="tx1"/>
                  </w14:solidFill>
                </w14:textFill>
              </w:rPr>
            </w:pPr>
          </w:p>
        </w:tc>
        <w:tc>
          <w:tcPr>
            <w:tcW w:w="1273" w:type="dxa"/>
            <w:gridSpan w:val="2"/>
            <w:vAlign w:val="center"/>
          </w:tcPr>
          <w:p w14:paraId="769CC2DF">
            <w:pPr>
              <w:tabs>
                <w:tab w:val="left" w:pos="4320"/>
              </w:tabs>
              <w:rPr>
                <w:rFonts w:ascii="宋体" w:hAnsi="宋体" w:cs="宋体"/>
                <w:color w:val="000000" w:themeColor="text1"/>
                <w:sz w:val="24"/>
                <w14:textFill>
                  <w14:solidFill>
                    <w14:schemeClr w14:val="tx1"/>
                  </w14:solidFill>
                </w14:textFill>
              </w:rPr>
            </w:pPr>
          </w:p>
        </w:tc>
        <w:tc>
          <w:tcPr>
            <w:tcW w:w="1606" w:type="dxa"/>
            <w:gridSpan w:val="2"/>
            <w:tcBorders>
              <w:right w:val="double" w:color="auto" w:sz="4" w:space="0"/>
            </w:tcBorders>
            <w:vAlign w:val="center"/>
          </w:tcPr>
          <w:p w14:paraId="0C46043F">
            <w:pPr>
              <w:tabs>
                <w:tab w:val="left" w:pos="4320"/>
              </w:tabs>
              <w:rPr>
                <w:rFonts w:ascii="宋体" w:hAnsi="宋体" w:cs="宋体"/>
                <w:color w:val="000000" w:themeColor="text1"/>
                <w:sz w:val="24"/>
                <w14:textFill>
                  <w14:solidFill>
                    <w14:schemeClr w14:val="tx1"/>
                  </w14:solidFill>
                </w14:textFill>
              </w:rPr>
            </w:pPr>
          </w:p>
        </w:tc>
      </w:tr>
      <w:tr w14:paraId="7BED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restart"/>
            <w:tcBorders>
              <w:left w:val="double" w:color="auto" w:sz="4" w:space="0"/>
            </w:tcBorders>
            <w:vAlign w:val="center"/>
          </w:tcPr>
          <w:p w14:paraId="50BD0FEE">
            <w:pPr>
              <w:tabs>
                <w:tab w:val="left" w:pos="432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w:t>
            </w:r>
          </w:p>
        </w:tc>
        <w:tc>
          <w:tcPr>
            <w:tcW w:w="4206" w:type="dxa"/>
            <w:gridSpan w:val="6"/>
            <w:vAlign w:val="center"/>
          </w:tcPr>
          <w:p w14:paraId="2F612E27">
            <w:pPr>
              <w:tabs>
                <w:tab w:val="left" w:pos="4320"/>
              </w:tabs>
              <w:spacing w:before="60" w:after="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vAlign w:val="center"/>
          </w:tcPr>
          <w:p w14:paraId="239ABD3E">
            <w:pPr>
              <w:tabs>
                <w:tab w:val="left" w:pos="4320"/>
              </w:tabs>
              <w:spacing w:before="60" w:after="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5D6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jc w:val="center"/>
        </w:trPr>
        <w:tc>
          <w:tcPr>
            <w:tcW w:w="817" w:type="dxa"/>
            <w:vMerge w:val="continue"/>
            <w:tcBorders>
              <w:left w:val="double" w:color="auto" w:sz="4" w:space="0"/>
              <w:bottom w:val="double" w:color="auto" w:sz="4" w:space="0"/>
            </w:tcBorders>
            <w:vAlign w:val="center"/>
          </w:tcPr>
          <w:p w14:paraId="14FBE6BF">
            <w:pPr>
              <w:tabs>
                <w:tab w:val="left" w:pos="4320"/>
              </w:tabs>
              <w:rPr>
                <w:rFonts w:ascii="宋体" w:hAnsi="宋体" w:cs="宋体"/>
                <w:color w:val="000000" w:themeColor="text1"/>
                <w:sz w:val="24"/>
                <w14:textFill>
                  <w14:solidFill>
                    <w14:schemeClr w14:val="tx1"/>
                  </w14:solidFill>
                </w14:textFill>
              </w:rPr>
            </w:pPr>
          </w:p>
        </w:tc>
        <w:tc>
          <w:tcPr>
            <w:tcW w:w="4206" w:type="dxa"/>
            <w:gridSpan w:val="6"/>
            <w:tcBorders>
              <w:bottom w:val="double" w:color="auto" w:sz="4" w:space="0"/>
            </w:tcBorders>
            <w:vAlign w:val="center"/>
          </w:tcPr>
          <w:p w14:paraId="5DBF2EAA">
            <w:pPr>
              <w:tabs>
                <w:tab w:val="left" w:pos="4320"/>
              </w:tabs>
              <w:rPr>
                <w:rFonts w:ascii="宋体" w:hAnsi="宋体" w:cs="宋体"/>
                <w:color w:val="000000" w:themeColor="text1"/>
                <w:sz w:val="24"/>
                <w14:textFill>
                  <w14:solidFill>
                    <w14:schemeClr w14:val="tx1"/>
                  </w14:solidFill>
                </w14:textFill>
              </w:rPr>
            </w:pPr>
          </w:p>
        </w:tc>
        <w:tc>
          <w:tcPr>
            <w:tcW w:w="4142" w:type="dxa"/>
            <w:gridSpan w:val="5"/>
            <w:tcBorders>
              <w:bottom w:val="double" w:color="auto" w:sz="4" w:space="0"/>
              <w:right w:val="double" w:color="auto" w:sz="4" w:space="0"/>
            </w:tcBorders>
            <w:vAlign w:val="center"/>
          </w:tcPr>
          <w:p w14:paraId="01D44FCA">
            <w:pPr>
              <w:tabs>
                <w:tab w:val="left" w:pos="4320"/>
              </w:tabs>
              <w:rPr>
                <w:rFonts w:ascii="宋体" w:hAnsi="宋体" w:cs="宋体"/>
                <w:color w:val="000000" w:themeColor="text1"/>
                <w:sz w:val="24"/>
                <w14:textFill>
                  <w14:solidFill>
                    <w14:schemeClr w14:val="tx1"/>
                  </w14:solidFill>
                </w14:textFill>
              </w:rPr>
            </w:pPr>
          </w:p>
        </w:tc>
      </w:tr>
    </w:tbl>
    <w:p w14:paraId="46824D87">
      <w:pPr>
        <w:snapToGrid w:val="0"/>
        <w:spacing w:line="300" w:lineRule="auto"/>
        <w:contextualSpacing/>
        <w:rPr>
          <w:rFonts w:ascii="宋体" w:hAnsi="宋体" w:cs="宋体"/>
          <w:color w:val="000000" w:themeColor="text1"/>
          <w:sz w:val="28"/>
          <w:szCs w:val="28"/>
          <w14:textFill>
            <w14:solidFill>
              <w14:schemeClr w14:val="tx1"/>
            </w14:solidFill>
          </w14:textFill>
        </w:rPr>
      </w:pPr>
    </w:p>
    <w:p w14:paraId="6163FE74">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p>
    <w:p w14:paraId="10D31302">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1CB900E7">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r>
        <w:rPr>
          <w:rFonts w:hint="eastAsia" w:ascii="宋体" w:hAnsi="宋体" w:cs="宋体"/>
          <w:b/>
          <w:color w:val="000000" w:themeColor="text1"/>
          <w:sz w:val="32"/>
          <w:szCs w:val="32"/>
          <w14:textFill>
            <w14:solidFill>
              <w14:schemeClr w14:val="tx1"/>
            </w14:solidFill>
          </w14:textFill>
        </w:rPr>
        <w:t>技术部分正负偏离表</w:t>
      </w:r>
    </w:p>
    <w:p w14:paraId="0A21BD91">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F81DD3D">
        <w:tblPrEx>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9D3BE6C">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B52DF5C">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4C7F27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3D1DC1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磋商文件响应情况</w:t>
            </w:r>
          </w:p>
        </w:tc>
        <w:tc>
          <w:tcPr>
            <w:tcW w:w="778" w:type="pct"/>
            <w:tcBorders>
              <w:top w:val="single" w:color="auto" w:sz="12" w:space="0"/>
              <w:left w:val="single" w:color="auto" w:sz="6" w:space="0"/>
              <w:bottom w:val="single" w:color="auto" w:sz="6" w:space="0"/>
              <w:right w:val="single" w:color="auto" w:sz="12" w:space="0"/>
            </w:tcBorders>
          </w:tcPr>
          <w:p w14:paraId="7FE2572D">
            <w:pPr>
              <w:spacing w:line="340" w:lineRule="exact"/>
              <w:jc w:val="center"/>
              <w:rPr>
                <w:rFonts w:ascii="宋体" w:hAnsi="宋体" w:cs="宋体"/>
                <w:color w:val="000000" w:themeColor="text1"/>
                <w:sz w:val="24"/>
                <w14:textFill>
                  <w14:solidFill>
                    <w14:schemeClr w14:val="tx1"/>
                  </w14:solidFill>
                </w14:textFill>
              </w:rPr>
            </w:pPr>
          </w:p>
          <w:p w14:paraId="2086B6A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3B039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520861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D57C948">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812E4B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23C31CE7">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2FDAE8D">
            <w:pPr>
              <w:spacing w:line="340" w:lineRule="exact"/>
              <w:jc w:val="left"/>
              <w:rPr>
                <w:rFonts w:ascii="宋体" w:hAnsi="宋体" w:cs="宋体"/>
                <w:color w:val="000000" w:themeColor="text1"/>
                <w:sz w:val="24"/>
                <w14:textFill>
                  <w14:solidFill>
                    <w14:schemeClr w14:val="tx1"/>
                  </w14:solidFill>
                </w14:textFill>
              </w:rPr>
            </w:pPr>
          </w:p>
        </w:tc>
      </w:tr>
      <w:tr w14:paraId="76982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1D91D1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39E325CA">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63469180">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33C1CEB">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4D2F69E">
            <w:pPr>
              <w:spacing w:line="340" w:lineRule="exact"/>
              <w:jc w:val="left"/>
              <w:rPr>
                <w:rFonts w:ascii="宋体" w:hAnsi="宋体" w:cs="宋体"/>
                <w:color w:val="000000" w:themeColor="text1"/>
                <w:sz w:val="24"/>
                <w14:textFill>
                  <w14:solidFill>
                    <w14:schemeClr w14:val="tx1"/>
                  </w14:solidFill>
                </w14:textFill>
              </w:rPr>
            </w:pPr>
          </w:p>
        </w:tc>
      </w:tr>
      <w:tr w14:paraId="49BEB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E5792CD">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7C7135E2">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1F71ADD">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41BE424C">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FEE4ED5">
            <w:pPr>
              <w:spacing w:line="340" w:lineRule="exact"/>
              <w:jc w:val="left"/>
              <w:rPr>
                <w:rFonts w:ascii="宋体" w:hAnsi="宋体" w:cs="宋体"/>
                <w:color w:val="000000" w:themeColor="text1"/>
                <w:sz w:val="24"/>
                <w14:textFill>
                  <w14:solidFill>
                    <w14:schemeClr w14:val="tx1"/>
                  </w14:solidFill>
                </w14:textFill>
              </w:rPr>
            </w:pPr>
          </w:p>
        </w:tc>
      </w:tr>
      <w:tr w14:paraId="3D9A8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596F7E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5AEA62D2">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57571C5B">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6EAC2528">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67349715">
            <w:pPr>
              <w:spacing w:line="340" w:lineRule="exact"/>
              <w:jc w:val="left"/>
              <w:rPr>
                <w:rFonts w:ascii="宋体" w:hAnsi="宋体" w:cs="宋体"/>
                <w:color w:val="000000" w:themeColor="text1"/>
                <w:sz w:val="24"/>
                <w14:textFill>
                  <w14:solidFill>
                    <w14:schemeClr w14:val="tx1"/>
                  </w14:solidFill>
                </w14:textFill>
              </w:rPr>
            </w:pPr>
          </w:p>
        </w:tc>
      </w:tr>
    </w:tbl>
    <w:p w14:paraId="7BD2B9F6">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7A94EEA7">
      <w:pPr>
        <w:snapToGrid w:val="0"/>
        <w:spacing w:line="30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1.供应商提交的磋商文件中与磋商文件第三部分“项目需求”中的技术部分的要求，应逐条填列在偏离表中。</w:t>
      </w:r>
    </w:p>
    <w:p w14:paraId="2DB64B96">
      <w:pPr>
        <w:snapToGrid w:val="0"/>
        <w:spacing w:line="30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“偏离说明”一栏选择“正偏离”、“无偏离”、“负偏离”进行填写。正偏离、无偏离的确认和负偏离的是否响应磋商文件，由评委认定。</w:t>
      </w:r>
    </w:p>
    <w:p w14:paraId="1B9315CC">
      <w:pPr>
        <w:snapToGrid w:val="0"/>
        <w:spacing w:line="30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3.供应商如果虚假响应，将被暂停参加南通市政府采购中心组织政府采购活动。</w:t>
      </w:r>
    </w:p>
    <w:p w14:paraId="5C20A553">
      <w:pPr>
        <w:snapToGrid w:val="0"/>
        <w:spacing w:line="300" w:lineRule="auto"/>
        <w:ind w:firstLine="480" w:firstLineChars="20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4.供应商若提供其他增值服务，可以在表中自行据实填写。</w:t>
      </w:r>
    </w:p>
    <w:p w14:paraId="5C7510E6">
      <w:pPr>
        <w:snapToGrid w:val="0"/>
        <w:spacing w:line="400" w:lineRule="exact"/>
        <w:contextualSpacing/>
        <w:rPr>
          <w:rFonts w:ascii="宋体" w:hAnsi="宋体" w:cs="宋体"/>
          <w:color w:val="000000" w:themeColor="text1"/>
          <w:kern w:val="0"/>
          <w:sz w:val="32"/>
          <w:szCs w:val="32"/>
          <w14:textFill>
            <w14:solidFill>
              <w14:schemeClr w14:val="tx1"/>
            </w14:solidFill>
          </w14:textFill>
        </w:rPr>
      </w:pPr>
    </w:p>
    <w:p w14:paraId="65145DE5">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48962F1B">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752426A9">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4C335B56">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047A4F75">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2EFE9D10">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10FDC42D">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5C51B1A0">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2B019B36">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5AFD2962">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7DA5591E">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p>
    <w:p w14:paraId="28CE5C8C">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商务部分正负偏离表</w:t>
      </w:r>
    </w:p>
    <w:p w14:paraId="1B81126D">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DCE5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E0601D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F7F543B">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3F870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6C89A54">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磋商文件响应情况</w:t>
            </w:r>
          </w:p>
        </w:tc>
        <w:tc>
          <w:tcPr>
            <w:tcW w:w="778" w:type="pct"/>
            <w:tcBorders>
              <w:top w:val="single" w:color="auto" w:sz="12" w:space="0"/>
              <w:left w:val="single" w:color="auto" w:sz="6" w:space="0"/>
              <w:bottom w:val="single" w:color="auto" w:sz="6" w:space="0"/>
              <w:right w:val="single" w:color="auto" w:sz="12" w:space="0"/>
            </w:tcBorders>
          </w:tcPr>
          <w:p w14:paraId="4A9FE1E0">
            <w:pPr>
              <w:spacing w:line="340" w:lineRule="exact"/>
              <w:jc w:val="center"/>
              <w:rPr>
                <w:rFonts w:ascii="宋体" w:hAnsi="宋体" w:cs="宋体"/>
                <w:color w:val="000000" w:themeColor="text1"/>
                <w:sz w:val="24"/>
                <w14:textFill>
                  <w14:solidFill>
                    <w14:schemeClr w14:val="tx1"/>
                  </w14:solidFill>
                </w14:textFill>
              </w:rPr>
            </w:pPr>
          </w:p>
          <w:p w14:paraId="61012A0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77E8C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A5EA11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61ECF752">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65FF9BA2">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34996DE3">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5079A8FA">
            <w:pPr>
              <w:spacing w:line="340" w:lineRule="exact"/>
              <w:jc w:val="left"/>
              <w:rPr>
                <w:rFonts w:ascii="宋体" w:hAnsi="宋体" w:cs="宋体"/>
                <w:color w:val="000000" w:themeColor="text1"/>
                <w:sz w:val="24"/>
                <w14:textFill>
                  <w14:solidFill>
                    <w14:schemeClr w14:val="tx1"/>
                  </w14:solidFill>
                </w14:textFill>
              </w:rPr>
            </w:pPr>
          </w:p>
        </w:tc>
      </w:tr>
      <w:tr w14:paraId="731BC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11825FD">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2B5EBBE9">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76BA945">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164EC36A">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5B5D05EB">
            <w:pPr>
              <w:spacing w:line="340" w:lineRule="exact"/>
              <w:jc w:val="left"/>
              <w:rPr>
                <w:rFonts w:ascii="宋体" w:hAnsi="宋体" w:cs="宋体"/>
                <w:color w:val="000000" w:themeColor="text1"/>
                <w:sz w:val="24"/>
                <w14:textFill>
                  <w14:solidFill>
                    <w14:schemeClr w14:val="tx1"/>
                  </w14:solidFill>
                </w14:textFill>
              </w:rPr>
            </w:pPr>
          </w:p>
        </w:tc>
      </w:tr>
      <w:tr w14:paraId="4FBDE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03F257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3884EDB4">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7B34CA4">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43621747">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8AE0848">
            <w:pPr>
              <w:spacing w:line="340" w:lineRule="exact"/>
              <w:jc w:val="left"/>
              <w:rPr>
                <w:rFonts w:ascii="宋体" w:hAnsi="宋体" w:cs="宋体"/>
                <w:color w:val="000000" w:themeColor="text1"/>
                <w:sz w:val="24"/>
                <w14:textFill>
                  <w14:solidFill>
                    <w14:schemeClr w14:val="tx1"/>
                  </w14:solidFill>
                </w14:textFill>
              </w:rPr>
            </w:pPr>
          </w:p>
        </w:tc>
      </w:tr>
      <w:tr w14:paraId="5EFB6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33C634B">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293C7796">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218A637E">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1F39DBF">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569355C5">
            <w:pPr>
              <w:spacing w:line="340" w:lineRule="exact"/>
              <w:jc w:val="left"/>
              <w:rPr>
                <w:rFonts w:ascii="宋体" w:hAnsi="宋体" w:cs="宋体"/>
                <w:color w:val="000000" w:themeColor="text1"/>
                <w:sz w:val="24"/>
                <w14:textFill>
                  <w14:solidFill>
                    <w14:schemeClr w14:val="tx1"/>
                  </w14:solidFill>
                </w14:textFill>
              </w:rPr>
            </w:pPr>
          </w:p>
        </w:tc>
      </w:tr>
    </w:tbl>
    <w:p w14:paraId="32F1E597">
      <w:pPr>
        <w:snapToGrid w:val="0"/>
        <w:spacing w:line="300" w:lineRule="auto"/>
        <w:contextualSpacing/>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p>
    <w:p w14:paraId="55EDDDA1">
      <w:pPr>
        <w:snapToGrid w:val="0"/>
        <w:spacing w:line="30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1.供应商提交的磋商文件中与磋商文件第三部分“项目需求”中的商务部分的要求，应逐条填列在偏离表中。</w:t>
      </w:r>
    </w:p>
    <w:p w14:paraId="208CBC60">
      <w:pPr>
        <w:snapToGrid w:val="0"/>
        <w:spacing w:line="30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2.“偏离说明”一栏选择“正偏离”、“无偏离”、“负偏离”进行填写。正偏离、无偏离的确认和负偏离的是否响应磋商文件，由评委认定。</w:t>
      </w:r>
    </w:p>
    <w:p w14:paraId="71EA0CB6">
      <w:pPr>
        <w:snapToGrid w:val="0"/>
        <w:spacing w:line="30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3.供应商如果虚假响应，将被暂停参加南通市政府采购中心组织政府采购活动。</w:t>
      </w:r>
    </w:p>
    <w:p w14:paraId="6A8AE04A">
      <w:pPr>
        <w:snapToGrid w:val="0"/>
        <w:spacing w:line="300" w:lineRule="auto"/>
        <w:ind w:firstLine="480" w:firstLineChars="20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4.供应商若提供其他增值服务，可以在表中自行据实填写。</w:t>
      </w:r>
    </w:p>
    <w:p w14:paraId="1EE7DFEB">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D56CC59">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p>
    <w:p w14:paraId="3227DC06">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2FBD7D42">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6070AD4B">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2D87FB2F">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05703289">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77932C7A">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019054FB">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4285E962">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7FB76612">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37C704B4">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7A054990">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58754EB3">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10CF39C5">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2E8E31ED">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4B28DD8F">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1A1E4376">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6DAD7FFA">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4EEB00C2">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20FB2239">
      <w:pPr>
        <w:jc w:val="center"/>
        <w:rPr>
          <w:rFonts w:cs="Times New Roman" w:asciiTheme="majorEastAsia" w:hAnsiTheme="majorEastAsia" w:eastAsiaTheme="majorEastAsia"/>
          <w:b/>
          <w:bCs/>
          <w:color w:val="000000" w:themeColor="text1"/>
          <w:kern w:val="0"/>
          <w:sz w:val="24"/>
          <w:szCs w:val="24"/>
          <w14:textFill>
            <w14:solidFill>
              <w14:schemeClr w14:val="tx1"/>
            </w14:solidFill>
          </w14:textFill>
        </w:rPr>
      </w:pPr>
    </w:p>
    <w:p w14:paraId="7C6495FD">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Times New Roman" w:asciiTheme="majorEastAsia" w:hAnsiTheme="majorEastAsia" w:eastAsiaTheme="majorEastAsia"/>
          <w:b/>
          <w:bCs/>
          <w:color w:val="000000" w:themeColor="text1"/>
          <w:kern w:val="0"/>
          <w:sz w:val="24"/>
          <w:szCs w:val="24"/>
          <w14:textFill>
            <w14:solidFill>
              <w14:schemeClr w14:val="tx1"/>
            </w14:solidFill>
          </w14:textFill>
        </w:rPr>
        <w:t>现场踏勘承诺书</w:t>
      </w:r>
    </w:p>
    <w:p w14:paraId="5F3FCC0D">
      <w:pPr>
        <w:ind w:firstLine="42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Times New Roman" w:asciiTheme="majorEastAsia" w:hAnsiTheme="majorEastAsia" w:eastAsiaTheme="majorEastAsia"/>
          <w:color w:val="000000" w:themeColor="text1"/>
          <w:kern w:val="0"/>
          <w:sz w:val="24"/>
          <w:szCs w:val="24"/>
          <w14:textFill>
            <w14:solidFill>
              <w14:schemeClr w14:val="tx1"/>
            </w14:solidFill>
          </w14:textFill>
        </w:rPr>
        <w:t xml:space="preserve">   </w:t>
      </w:r>
    </w:p>
    <w:p w14:paraId="42827F50">
      <w:pPr>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w:t>
      </w:r>
      <w:r>
        <w:rPr>
          <w:rFonts w:hint="eastAsia" w:cs="宋体" w:asciiTheme="majorEastAsia" w:hAnsiTheme="majorEastAsia" w:eastAsiaTheme="majorEastAsia"/>
          <w:color w:val="000000" w:themeColor="text1"/>
          <w:kern w:val="0"/>
          <w:sz w:val="24"/>
          <w:szCs w:val="24"/>
          <w14:textFill>
            <w14:solidFill>
              <w14:schemeClr w14:val="tx1"/>
            </w14:solidFill>
          </w14:textFill>
        </w:rPr>
        <w:t>（采购人名称）</w:t>
      </w:r>
    </w:p>
    <w:p w14:paraId="61474A0E">
      <w:pPr>
        <w:ind w:firstLine="56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（供应商名称）参与</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南通市海门区三厂街道中心卫生院采购安保服务</w:t>
      </w:r>
      <w:r>
        <w:rPr>
          <w:rFonts w:hint="eastAsia" w:cs="宋体" w:asciiTheme="majorEastAsia" w:hAnsiTheme="majorEastAsia" w:eastAsiaTheme="majorEastAsia"/>
          <w:color w:val="000000" w:themeColor="text1"/>
          <w:kern w:val="0"/>
          <w:sz w:val="24"/>
          <w:szCs w:val="24"/>
          <w14:textFill>
            <w14:solidFill>
              <w14:schemeClr w14:val="tx1"/>
            </w14:solidFill>
          </w14:textFill>
        </w:rPr>
        <w:t>（项目名称及编号&lt;如有&gt;）磋商，我单位愿意作出以下承诺：</w:t>
      </w:r>
    </w:p>
    <w:p w14:paraId="3D74380D">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1、我单位已充分重视和认真考察了现场，收集编制磋商文件和签订合同所需的有关信息，充分理解并掌握了本工程现场的全部有关情况。一旦成交，应被认为考察结果已充分体现在磋商文件中。</w:t>
      </w:r>
    </w:p>
    <w:p w14:paraId="78A63AA0">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若我单位违反以上承诺，愿意放弃收回磋商保证金的权利，愿意接受业主和监管部门的处罚，并愿意承担因违反上述承诺内容所引发的一切责任与后果。</w:t>
      </w:r>
    </w:p>
    <w:p w14:paraId="469D18BE">
      <w:pPr>
        <w:ind w:firstLine="56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AC2C781">
      <w:pPr>
        <w:ind w:firstLine="56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76083F56">
      <w:pPr>
        <w:jc w:val="left"/>
        <w:rPr>
          <w:rFonts w:cs="宋体" w:asciiTheme="majorEastAsia" w:hAnsiTheme="majorEastAsia" w:eastAsiaTheme="majorEastAsia"/>
          <w:color w:val="000000" w:themeColor="text1"/>
          <w:kern w:val="0"/>
          <w:sz w:val="24"/>
          <w:szCs w:val="24"/>
          <w:u w:val="single"/>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供应商申请人（盖公章）： </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p>
    <w:p w14:paraId="6DB2939A">
      <w:pPr>
        <w:jc w:val="left"/>
        <w:rPr>
          <w:rFonts w:cs="宋体" w:asciiTheme="majorEastAsia" w:hAnsiTheme="majorEastAsia" w:eastAsiaTheme="majorEastAsia"/>
          <w:color w:val="000000" w:themeColor="text1"/>
          <w:kern w:val="0"/>
          <w:sz w:val="24"/>
          <w:szCs w:val="24"/>
          <w14:textFill>
            <w14:solidFill>
              <w14:schemeClr w14:val="tx1"/>
            </w14:solidFill>
          </w14:textFill>
        </w:rPr>
      </w:pPr>
    </w:p>
    <w:p w14:paraId="7B31DF3A">
      <w:pPr>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法定代表人（签字或盖章）：</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p>
    <w:p w14:paraId="1F02B649">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zCs w:val="24"/>
          <w14:textFill>
            <w14:solidFill>
              <w14:schemeClr w14:val="tx1"/>
            </w14:solidFill>
          </w14:textFill>
        </w:rPr>
        <w:t>日</w:t>
      </w:r>
    </w:p>
    <w:p w14:paraId="7BE67BEC">
      <w:pPr>
        <w:spacing w:after="120"/>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68386A28">
      <w:pPr>
        <w:jc w:val="right"/>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1A90BD0C">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056D4E5">
      <w:pPr>
        <w:ind w:firstLine="42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8FC310B">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65B095D0">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63E9F000">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58ADC34D">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7B1D9D77">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4222CD52">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6DA1E340">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647DFD3A">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1C649ED5">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27A37303">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65717CE9">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4483A33D">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5EFF5F94">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2EAA18FB">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0E956507">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200B9B91">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349F1994">
      <w:pPr>
        <w:ind w:firstLine="42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2BEA04AE">
      <w:pPr>
        <w:widowControl/>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35C5EFF2">
      <w:pPr>
        <w:widowControl/>
        <w:spacing w:line="360" w:lineRule="auto"/>
        <w:jc w:val="center"/>
        <w:rPr>
          <w:rFonts w:cs="宋体" w:asciiTheme="majorEastAsia" w:hAnsiTheme="majorEastAsia" w:eastAsiaTheme="majorEastAsia"/>
          <w:b/>
          <w:bCs/>
          <w:color w:val="000000"/>
          <w:kern w:val="0"/>
          <w:sz w:val="24"/>
          <w:szCs w:val="24"/>
        </w:rPr>
      </w:pPr>
    </w:p>
    <w:p w14:paraId="2E483BAF">
      <w:pPr>
        <w:widowControl/>
        <w:spacing w:line="360" w:lineRule="auto"/>
        <w:jc w:val="center"/>
        <w:rPr>
          <w:rFonts w:cs="宋体" w:asciiTheme="majorEastAsia" w:hAnsiTheme="majorEastAsia" w:eastAsiaTheme="majorEastAsia"/>
          <w:b/>
          <w:bCs/>
          <w:color w:val="000000"/>
          <w:kern w:val="0"/>
          <w:sz w:val="24"/>
          <w:szCs w:val="24"/>
        </w:rPr>
      </w:pPr>
    </w:p>
    <w:p w14:paraId="2EE7D3E1">
      <w:pPr>
        <w:widowControl/>
        <w:spacing w:line="360" w:lineRule="auto"/>
        <w:jc w:val="center"/>
        <w:rPr>
          <w:rFonts w:cs="宋体" w:asciiTheme="majorEastAsia" w:hAnsiTheme="majorEastAsia" w:eastAsiaTheme="majorEastAsia"/>
          <w:b/>
          <w:bCs/>
          <w:color w:val="000000"/>
          <w:kern w:val="0"/>
          <w:sz w:val="24"/>
          <w:szCs w:val="24"/>
        </w:rPr>
      </w:pPr>
    </w:p>
    <w:p w14:paraId="54BB5BDB">
      <w:pPr>
        <w:widowControl/>
        <w:spacing w:line="360" w:lineRule="auto"/>
        <w:jc w:val="center"/>
        <w:rPr>
          <w:rFonts w:cs="宋体" w:asciiTheme="majorEastAsia" w:hAnsiTheme="majorEastAsia" w:eastAsiaTheme="majorEastAsia"/>
          <w:b/>
          <w:bCs/>
          <w:color w:val="000000"/>
          <w:kern w:val="0"/>
          <w:sz w:val="24"/>
          <w:szCs w:val="24"/>
        </w:rPr>
      </w:pPr>
    </w:p>
    <w:p w14:paraId="22AB9EB6">
      <w:pPr>
        <w:widowControl/>
        <w:spacing w:line="360" w:lineRule="auto"/>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南通市海门区三厂街道中心卫生院采购安保服务</w:t>
      </w:r>
    </w:p>
    <w:p w14:paraId="3008D016">
      <w:pPr>
        <w:widowControl/>
        <w:spacing w:line="360" w:lineRule="auto"/>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 xml:space="preserve">报价一览表   </w:t>
      </w:r>
    </w:p>
    <w:p w14:paraId="0CC5EAD4">
      <w:pPr>
        <w:widowControl/>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bl>
      <w:tblPr>
        <w:tblStyle w:val="8"/>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1"/>
        <w:gridCol w:w="1686"/>
        <w:gridCol w:w="1755"/>
        <w:gridCol w:w="2350"/>
      </w:tblGrid>
      <w:tr w14:paraId="605E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blCellSpacing w:w="0" w:type="dxa"/>
          <w:jc w:val="center"/>
        </w:trPr>
        <w:tc>
          <w:tcPr>
            <w:tcW w:w="2998" w:type="dxa"/>
            <w:tcBorders>
              <w:top w:val="single" w:color="000000" w:sz="4" w:space="0"/>
              <w:left w:val="single" w:color="000000" w:sz="4" w:space="0"/>
              <w:bottom w:val="single" w:color="000000" w:sz="4" w:space="0"/>
              <w:right w:val="single" w:color="000000" w:sz="4" w:space="0"/>
            </w:tcBorders>
            <w:vAlign w:val="center"/>
          </w:tcPr>
          <w:p w14:paraId="3DEA9B38">
            <w:pPr>
              <w:ind w:firstLine="643"/>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项目名称</w:t>
            </w:r>
          </w:p>
        </w:tc>
        <w:tc>
          <w:tcPr>
            <w:tcW w:w="1796" w:type="dxa"/>
            <w:tcBorders>
              <w:top w:val="single" w:color="000000" w:sz="4" w:space="0"/>
              <w:left w:val="single" w:color="000000" w:sz="4" w:space="0"/>
              <w:bottom w:val="single" w:color="000000" w:sz="4" w:space="0"/>
              <w:right w:val="single" w:color="000000" w:sz="4" w:space="0"/>
            </w:tcBorders>
            <w:vAlign w:val="center"/>
          </w:tcPr>
          <w:p w14:paraId="1617622F">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最高限价（元）</w:t>
            </w:r>
          </w:p>
        </w:tc>
        <w:tc>
          <w:tcPr>
            <w:tcW w:w="1876" w:type="dxa"/>
            <w:tcBorders>
              <w:top w:val="single" w:color="000000" w:sz="4" w:space="0"/>
              <w:left w:val="single" w:color="000000" w:sz="4" w:space="0"/>
              <w:bottom w:val="single" w:color="000000" w:sz="4" w:space="0"/>
              <w:right w:val="single" w:color="000000" w:sz="4" w:space="0"/>
            </w:tcBorders>
            <w:vAlign w:val="center"/>
          </w:tcPr>
          <w:p w14:paraId="7529DF01">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磋商报价（元）</w:t>
            </w:r>
          </w:p>
        </w:tc>
        <w:tc>
          <w:tcPr>
            <w:tcW w:w="2634" w:type="dxa"/>
            <w:tcBorders>
              <w:top w:val="single" w:color="000000" w:sz="4" w:space="0"/>
              <w:left w:val="single" w:color="000000" w:sz="4" w:space="0"/>
              <w:bottom w:val="single" w:color="000000" w:sz="4" w:space="0"/>
              <w:right w:val="single" w:color="000000" w:sz="4" w:space="0"/>
            </w:tcBorders>
            <w:vAlign w:val="center"/>
          </w:tcPr>
          <w:p w14:paraId="2FA6502C">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备注</w:t>
            </w:r>
          </w:p>
        </w:tc>
      </w:tr>
      <w:tr w14:paraId="577E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blCellSpacing w:w="0" w:type="dxa"/>
          <w:jc w:val="center"/>
        </w:trPr>
        <w:tc>
          <w:tcPr>
            <w:tcW w:w="2998" w:type="dxa"/>
            <w:tcBorders>
              <w:top w:val="single" w:color="000000" w:sz="4" w:space="0"/>
              <w:left w:val="single" w:color="000000" w:sz="4" w:space="0"/>
              <w:bottom w:val="single" w:color="000000" w:sz="4" w:space="0"/>
              <w:right w:val="single" w:color="000000" w:sz="4" w:space="0"/>
            </w:tcBorders>
            <w:vAlign w:val="center"/>
          </w:tcPr>
          <w:p w14:paraId="210C0830">
            <w:pPr>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u w:val="single"/>
                <w14:textFill>
                  <w14:solidFill>
                    <w14:schemeClr w14:val="tx1"/>
                  </w14:solidFill>
                </w14:textFill>
              </w:rPr>
              <w:t>南通市海门区三厂街道中心卫生院采购安保服务</w:t>
            </w:r>
          </w:p>
        </w:tc>
        <w:tc>
          <w:tcPr>
            <w:tcW w:w="1796" w:type="dxa"/>
            <w:tcBorders>
              <w:top w:val="single" w:color="000000" w:sz="4" w:space="0"/>
              <w:left w:val="single" w:color="000000" w:sz="4" w:space="0"/>
              <w:bottom w:val="single" w:color="000000" w:sz="4" w:space="0"/>
              <w:right w:val="single" w:color="000000" w:sz="4" w:space="0"/>
            </w:tcBorders>
            <w:vAlign w:val="center"/>
          </w:tcPr>
          <w:p w14:paraId="6130AE91">
            <w:pPr>
              <w:jc w:val="center"/>
              <w:rPr>
                <w:rFonts w:cs="宋体" w:asciiTheme="majorEastAsia" w:hAnsiTheme="majorEastAsia" w:eastAsiaTheme="majorEastAsia"/>
                <w:color w:val="000000" w:themeColor="text1"/>
                <w:kern w:val="0"/>
                <w:sz w:val="24"/>
                <w:szCs w:val="24"/>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vAlign w:val="center"/>
          </w:tcPr>
          <w:p w14:paraId="2D7E2980">
            <w:pPr>
              <w:spacing w:line="360" w:lineRule="auto"/>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tc>
        <w:tc>
          <w:tcPr>
            <w:tcW w:w="2634" w:type="dxa"/>
            <w:tcBorders>
              <w:top w:val="single" w:color="000000" w:sz="4" w:space="0"/>
              <w:left w:val="single" w:color="000000" w:sz="4" w:space="0"/>
              <w:bottom w:val="single" w:color="000000" w:sz="4" w:space="0"/>
              <w:right w:val="single" w:color="000000" w:sz="4" w:space="0"/>
            </w:tcBorders>
            <w:vAlign w:val="center"/>
          </w:tcPr>
          <w:p w14:paraId="557F9F6F">
            <w:pPr>
              <w:jc w:val="left"/>
              <w:rPr>
                <w:rFonts w:cs="宋体" w:asciiTheme="majorEastAsia" w:hAnsiTheme="majorEastAsia" w:eastAsiaTheme="majorEastAsia"/>
                <w:color w:val="000000" w:themeColor="text1"/>
                <w:kern w:val="0"/>
                <w:sz w:val="24"/>
                <w:szCs w:val="24"/>
                <w14:textFill>
                  <w14:solidFill>
                    <w14:schemeClr w14:val="tx1"/>
                  </w14:solidFill>
                </w14:textFill>
              </w:rPr>
            </w:pPr>
          </w:p>
        </w:tc>
      </w:tr>
      <w:tr w14:paraId="600C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blCellSpacing w:w="0" w:type="dxa"/>
          <w:jc w:val="center"/>
        </w:trPr>
        <w:tc>
          <w:tcPr>
            <w:tcW w:w="9304" w:type="dxa"/>
            <w:gridSpan w:val="4"/>
            <w:tcBorders>
              <w:top w:val="single" w:color="000000" w:sz="4" w:space="0"/>
              <w:left w:val="single" w:color="000000" w:sz="4" w:space="0"/>
              <w:bottom w:val="single" w:color="000000" w:sz="4" w:space="0"/>
              <w:right w:val="single" w:color="000000" w:sz="4" w:space="0"/>
            </w:tcBorders>
            <w:vAlign w:val="center"/>
          </w:tcPr>
          <w:p w14:paraId="2A8BAD06">
            <w:pP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大写（人民币）：</w:t>
            </w:r>
          </w:p>
        </w:tc>
      </w:tr>
    </w:tbl>
    <w:p w14:paraId="1D3943A6">
      <w:pPr>
        <w:spacing w:line="36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供应商单位：（公章）</w:t>
      </w:r>
    </w:p>
    <w:p w14:paraId="4AE6AAF1">
      <w:pPr>
        <w:spacing w:line="36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法定代表人（授权代表）签名： </w:t>
      </w:r>
    </w:p>
    <w:p w14:paraId="18CC7CFD">
      <w:pPr>
        <w:spacing w:line="360" w:lineRule="auto"/>
        <w:ind w:firstLine="1440" w:firstLineChars="6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年   月   日</w:t>
      </w:r>
    </w:p>
    <w:p w14:paraId="384E41B1">
      <w:pPr>
        <w:spacing w:line="36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445BA711">
      <w:pPr>
        <w:spacing w:line="36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以下内容为开标时填写：</w:t>
      </w:r>
    </w:p>
    <w:p w14:paraId="458DA5FF">
      <w:pPr>
        <w:spacing w:line="48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现场最终报价(总价)为：（单位：元）</w:t>
      </w:r>
    </w:p>
    <w:p w14:paraId="1C30A946">
      <w:pPr>
        <w:spacing w:line="48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大写：</w:t>
      </w:r>
    </w:p>
    <w:p w14:paraId="48D590DA">
      <w:pPr>
        <w:spacing w:line="48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小写：</w:t>
      </w:r>
    </w:p>
    <w:p w14:paraId="5309ACBD">
      <w:pPr>
        <w:spacing w:line="48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签字：</w:t>
      </w:r>
    </w:p>
    <w:p w14:paraId="31F13641">
      <w:pPr>
        <w:spacing w:line="480" w:lineRule="auto"/>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 xml:space="preserve">日期：   年   月   日              </w:t>
      </w:r>
    </w:p>
    <w:p w14:paraId="6839970E">
      <w:pPr>
        <w:spacing w:after="12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14:textFill>
            <w14:solidFill>
              <w14:schemeClr w14:val="tx1"/>
            </w14:solidFill>
          </w14:textFill>
        </w:rPr>
        <w:t>法定代表人或者授权代表（签字或盖章）：</w:t>
      </w:r>
    </w:p>
    <w:p w14:paraId="27448DE0">
      <w:pPr>
        <w:spacing w:before="291"/>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BD7A9E3">
      <w:pP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3EB5C53B">
      <w:pPr>
        <w:spacing w:after="120"/>
        <w:ind w:left="420"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0A1ED916">
      <w:pPr>
        <w:spacing w:after="146"/>
        <w:rPr>
          <w:rFonts w:cs="宋体" w:asciiTheme="majorEastAsia" w:hAnsiTheme="majorEastAsia" w:eastAsiaTheme="majorEastAsia"/>
          <w:color w:val="000000" w:themeColor="text1"/>
          <w:kern w:val="0"/>
          <w:sz w:val="24"/>
          <w:szCs w:val="24"/>
          <w14:textFill>
            <w14:solidFill>
              <w14:schemeClr w14:val="tx1"/>
            </w14:solidFill>
          </w14:textFill>
        </w:rPr>
      </w:pPr>
    </w:p>
    <w:p w14:paraId="66CEE554">
      <w:pPr>
        <w:spacing w:after="146"/>
        <w:jc w:val="center"/>
        <w:rPr>
          <w:rFonts w:cs="宋体" w:asciiTheme="majorEastAsia" w:hAnsiTheme="majorEastAsia" w:eastAsiaTheme="majorEastAsia"/>
          <w:color w:val="000000" w:themeColor="text1"/>
          <w:kern w:val="0"/>
          <w:sz w:val="24"/>
          <w:szCs w:val="24"/>
          <w14:textFill>
            <w14:solidFill>
              <w14:schemeClr w14:val="tx1"/>
            </w14:solidFill>
          </w14:textFill>
        </w:rPr>
      </w:pPr>
    </w:p>
    <w:p w14:paraId="328E79AA">
      <w:pPr>
        <w:spacing w:after="146"/>
        <w:jc w:val="center"/>
        <w:rPr>
          <w:rFonts w:cs="宋体" w:asciiTheme="majorEastAsia" w:hAnsiTheme="majorEastAsia" w:eastAsiaTheme="majorEastAsia"/>
          <w:color w:val="000000" w:themeColor="text1"/>
          <w:kern w:val="0"/>
          <w:sz w:val="24"/>
          <w:szCs w:val="24"/>
          <w14:textFill>
            <w14:solidFill>
              <w14:schemeClr w14:val="tx1"/>
            </w14:solidFill>
          </w14:textFill>
        </w:rPr>
      </w:pPr>
    </w:p>
    <w:p w14:paraId="7E33A38F">
      <w:pPr>
        <w:spacing w:after="146"/>
        <w:jc w:val="center"/>
        <w:rPr>
          <w:rFonts w:cs="宋体" w:asciiTheme="majorEastAsia" w:hAnsiTheme="majorEastAsia" w:eastAsiaTheme="majorEastAsia"/>
          <w:color w:val="000000" w:themeColor="text1"/>
          <w:kern w:val="0"/>
          <w:sz w:val="24"/>
          <w:szCs w:val="24"/>
          <w14:textFill>
            <w14:solidFill>
              <w14:schemeClr w14:val="tx1"/>
            </w14:solidFill>
          </w14:textFill>
        </w:rPr>
      </w:pPr>
    </w:p>
    <w:p w14:paraId="22EAF040">
      <w:pPr>
        <w:spacing w:after="146"/>
        <w:jc w:val="center"/>
        <w:rPr>
          <w:rFonts w:cs="宋体" w:asciiTheme="majorEastAsia" w:hAnsiTheme="majorEastAsia" w:eastAsiaTheme="majorEastAsia"/>
          <w:color w:val="000000" w:themeColor="text1"/>
          <w:kern w:val="0"/>
          <w:sz w:val="24"/>
          <w:szCs w:val="24"/>
          <w14:textFill>
            <w14:solidFill>
              <w14:schemeClr w14:val="tx1"/>
            </w14:solidFill>
          </w14:textFill>
        </w:rPr>
      </w:pPr>
    </w:p>
    <w:p w14:paraId="79BB5AD5">
      <w:pPr>
        <w:spacing w:after="146"/>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质疑函范本</w:t>
      </w:r>
    </w:p>
    <w:p w14:paraId="5DB38210">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一、质疑供应商基本信息</w:t>
      </w:r>
    </w:p>
    <w:p w14:paraId="7A397A1E">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质疑供应商：</w:t>
      </w:r>
    </w:p>
    <w:p w14:paraId="4A516556">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地址：                邮编：</w:t>
      </w:r>
    </w:p>
    <w:p w14:paraId="2163132C">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联系人：              联系电话：</w:t>
      </w:r>
    </w:p>
    <w:p w14:paraId="5A953A1E">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授权代表：</w:t>
      </w:r>
    </w:p>
    <w:p w14:paraId="608DB681">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联系电话：</w:t>
      </w:r>
    </w:p>
    <w:p w14:paraId="3AC34615">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地址：                邮编：</w:t>
      </w:r>
    </w:p>
    <w:p w14:paraId="7E1C52EC">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二、质疑项目基本情况</w:t>
      </w:r>
    </w:p>
    <w:p w14:paraId="7C1554D3">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质疑项目的名称：</w:t>
      </w:r>
    </w:p>
    <w:p w14:paraId="3B15C4C1">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质疑项目的编号：                包号：</w:t>
      </w:r>
    </w:p>
    <w:p w14:paraId="78C42876">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采购人名称：</w:t>
      </w:r>
    </w:p>
    <w:p w14:paraId="0A8E3F1E">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采购文件获取日期：</w:t>
      </w:r>
    </w:p>
    <w:p w14:paraId="2B3629F8">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三、质疑事项具体内容</w:t>
      </w:r>
    </w:p>
    <w:p w14:paraId="51BE54E3">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质疑事项1：</w:t>
      </w:r>
    </w:p>
    <w:p w14:paraId="32DCF2D4">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事实依据：</w:t>
      </w:r>
    </w:p>
    <w:p w14:paraId="321DAD23">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法律依据：</w:t>
      </w:r>
    </w:p>
    <w:p w14:paraId="031C097B">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质疑事项2</w:t>
      </w:r>
    </w:p>
    <w:p w14:paraId="1EB87FBF">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w:t>
      </w:r>
    </w:p>
    <w:p w14:paraId="4F0D859F">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四、与质疑事项相关的质疑请求</w:t>
      </w:r>
    </w:p>
    <w:p w14:paraId="3A8A1D01">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请求：</w:t>
      </w:r>
    </w:p>
    <w:p w14:paraId="64382A20">
      <w:pPr>
        <w:ind w:firstLine="56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 xml:space="preserve">签字(签章)：                   公章：                      日期：    </w:t>
      </w:r>
    </w:p>
    <w:p w14:paraId="012EB815">
      <w:pPr>
        <w:spacing w:after="120"/>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2EAFED6F">
      <w:pPr>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6EC7C70F">
      <w:pPr>
        <w:spacing w:after="120"/>
        <w:ind w:firstLine="200"/>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r>
        <w:rPr>
          <w:rFonts w:hint="eastAsia" w:cs="宋体" w:asciiTheme="majorEastAsia" w:hAnsiTheme="majorEastAsia" w:eastAsiaTheme="majorEastAsia"/>
          <w:b/>
          <w:bCs/>
          <w:color w:val="000000" w:themeColor="text1"/>
          <w:kern w:val="0"/>
          <w:sz w:val="24"/>
          <w:szCs w:val="24"/>
          <w14:textFill>
            <w14:solidFill>
              <w14:schemeClr w14:val="tx1"/>
            </w14:solidFill>
          </w14:textFill>
        </w:rPr>
        <w:t>质疑函制作说明：</w:t>
      </w:r>
    </w:p>
    <w:p w14:paraId="1BF1D124">
      <w:pPr>
        <w:widowControl/>
        <w:ind w:firstLine="48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1.供应商提出质疑时，应提交质疑函和必要的证明材料。</w:t>
      </w:r>
    </w:p>
    <w:p w14:paraId="6E34CCA1">
      <w:pPr>
        <w:widowControl/>
        <w:ind w:firstLine="48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AF5C87">
      <w:pPr>
        <w:widowControl/>
        <w:ind w:firstLine="48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3.质疑供应商若对项目的某一分包进行质疑，质疑函中应列明具体分包号。</w:t>
      </w:r>
    </w:p>
    <w:p w14:paraId="495209EE">
      <w:pPr>
        <w:widowControl/>
        <w:ind w:firstLine="48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4.质疑函的质疑事项应具体、明确，并有必要的事实依据和法律依据。</w:t>
      </w:r>
    </w:p>
    <w:p w14:paraId="1A32A3D5">
      <w:pPr>
        <w:widowControl/>
        <w:ind w:firstLine="48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5.质疑函的质疑请求应与质疑事项相关。</w:t>
      </w:r>
    </w:p>
    <w:p w14:paraId="110D0ACC">
      <w:pPr>
        <w:widowControl/>
        <w:ind w:firstLine="480"/>
        <w:jc w:val="left"/>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07D53B6">
      <w:pPr>
        <w:spacing w:line="360" w:lineRule="auto"/>
        <w:ind w:left="-360" w:firstLine="883"/>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color w:val="000000" w:themeColor="text1"/>
          <w:kern w:val="0"/>
          <w:sz w:val="24"/>
          <w:szCs w:val="24"/>
          <w14:textFill>
            <w14:solidFill>
              <w14:schemeClr w14:val="tx1"/>
            </w14:solidFill>
          </w14:textFill>
        </w:rPr>
        <w:t> </w:t>
      </w:r>
    </w:p>
    <w:p w14:paraId="51D1AB4E">
      <w:pPr>
        <w:spacing w:line="360" w:lineRule="auto"/>
        <w:ind w:left="-360" w:firstLine="883"/>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245C4B97">
      <w:pPr>
        <w:spacing w:line="360" w:lineRule="auto"/>
        <w:ind w:left="-360" w:firstLine="883"/>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3361DCE0">
      <w:pPr>
        <w:spacing w:line="360" w:lineRule="auto"/>
        <w:ind w:left="-360" w:firstLine="883"/>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w:t>
      </w:r>
    </w:p>
    <w:p w14:paraId="19C539DB">
      <w:pPr>
        <w:spacing w:line="360" w:lineRule="auto"/>
        <w:ind w:left="-360" w:firstLine="883"/>
        <w:jc w:val="center"/>
        <w:rPr>
          <w:rFonts w:cs="宋体" w:asciiTheme="majorEastAsia" w:hAnsiTheme="majorEastAsia" w:eastAsiaTheme="majorEastAsia"/>
          <w:color w:val="000000" w:themeColor="text1"/>
          <w:kern w:val="0"/>
          <w:sz w:val="24"/>
          <w:szCs w:val="24"/>
          <w14:textFill>
            <w14:solidFill>
              <w14:schemeClr w14:val="tx1"/>
            </w14:solidFill>
          </w14:textFill>
        </w:rPr>
      </w:pPr>
      <w:r>
        <w:rPr>
          <w:rFonts w:cs="宋体" w:asciiTheme="majorEastAsia" w:hAnsiTheme="majorEastAsia" w:eastAsiaTheme="majorEastAsia"/>
          <w:kern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FB"/>
    <w:rsid w:val="00015754"/>
    <w:rsid w:val="00026554"/>
    <w:rsid w:val="00026D99"/>
    <w:rsid w:val="00043043"/>
    <w:rsid w:val="000C5185"/>
    <w:rsid w:val="000C633F"/>
    <w:rsid w:val="000D0CC6"/>
    <w:rsid w:val="000E73CC"/>
    <w:rsid w:val="000F1DFB"/>
    <w:rsid w:val="000F339F"/>
    <w:rsid w:val="00114DFE"/>
    <w:rsid w:val="001704B0"/>
    <w:rsid w:val="001C780B"/>
    <w:rsid w:val="001F034C"/>
    <w:rsid w:val="001F459D"/>
    <w:rsid w:val="002531B6"/>
    <w:rsid w:val="002547CD"/>
    <w:rsid w:val="002704D2"/>
    <w:rsid w:val="002768B0"/>
    <w:rsid w:val="00281E25"/>
    <w:rsid w:val="002A1760"/>
    <w:rsid w:val="002D447F"/>
    <w:rsid w:val="002E70AC"/>
    <w:rsid w:val="002F4EF3"/>
    <w:rsid w:val="002F68D1"/>
    <w:rsid w:val="00304E2A"/>
    <w:rsid w:val="003102D5"/>
    <w:rsid w:val="00321D7E"/>
    <w:rsid w:val="00322A88"/>
    <w:rsid w:val="0032665A"/>
    <w:rsid w:val="00326E0E"/>
    <w:rsid w:val="00331874"/>
    <w:rsid w:val="00332E5D"/>
    <w:rsid w:val="003444C4"/>
    <w:rsid w:val="00353D0F"/>
    <w:rsid w:val="00357E31"/>
    <w:rsid w:val="003B08BE"/>
    <w:rsid w:val="003C1F4B"/>
    <w:rsid w:val="003C3328"/>
    <w:rsid w:val="003D13DE"/>
    <w:rsid w:val="00410762"/>
    <w:rsid w:val="00422D99"/>
    <w:rsid w:val="00426395"/>
    <w:rsid w:val="00426756"/>
    <w:rsid w:val="00435449"/>
    <w:rsid w:val="0044548D"/>
    <w:rsid w:val="004947D5"/>
    <w:rsid w:val="004A3B35"/>
    <w:rsid w:val="004B2273"/>
    <w:rsid w:val="004D149C"/>
    <w:rsid w:val="004E3175"/>
    <w:rsid w:val="004E5A42"/>
    <w:rsid w:val="00503170"/>
    <w:rsid w:val="00514358"/>
    <w:rsid w:val="00580134"/>
    <w:rsid w:val="00592780"/>
    <w:rsid w:val="005A12DD"/>
    <w:rsid w:val="005A2BDD"/>
    <w:rsid w:val="005A5A1E"/>
    <w:rsid w:val="005B0B58"/>
    <w:rsid w:val="005C1805"/>
    <w:rsid w:val="005C7DEC"/>
    <w:rsid w:val="005D08C2"/>
    <w:rsid w:val="005D2BF3"/>
    <w:rsid w:val="005F5C0E"/>
    <w:rsid w:val="00604372"/>
    <w:rsid w:val="0061795C"/>
    <w:rsid w:val="006676A3"/>
    <w:rsid w:val="00670229"/>
    <w:rsid w:val="00686AEF"/>
    <w:rsid w:val="00692055"/>
    <w:rsid w:val="006B2EB7"/>
    <w:rsid w:val="006E26F6"/>
    <w:rsid w:val="00724FE3"/>
    <w:rsid w:val="00741A43"/>
    <w:rsid w:val="00743417"/>
    <w:rsid w:val="00744F41"/>
    <w:rsid w:val="00757D33"/>
    <w:rsid w:val="007B25AC"/>
    <w:rsid w:val="007C49A5"/>
    <w:rsid w:val="007E5230"/>
    <w:rsid w:val="007E6932"/>
    <w:rsid w:val="007F589E"/>
    <w:rsid w:val="00815E1C"/>
    <w:rsid w:val="00823FBF"/>
    <w:rsid w:val="00853354"/>
    <w:rsid w:val="00860DED"/>
    <w:rsid w:val="0086535A"/>
    <w:rsid w:val="00886507"/>
    <w:rsid w:val="00896B35"/>
    <w:rsid w:val="008B3F4E"/>
    <w:rsid w:val="008B4D9C"/>
    <w:rsid w:val="008C13DA"/>
    <w:rsid w:val="008C4179"/>
    <w:rsid w:val="008E5AE0"/>
    <w:rsid w:val="008F6661"/>
    <w:rsid w:val="009006BA"/>
    <w:rsid w:val="0096578B"/>
    <w:rsid w:val="009873B5"/>
    <w:rsid w:val="0099570C"/>
    <w:rsid w:val="009A6671"/>
    <w:rsid w:val="009C1487"/>
    <w:rsid w:val="009C1773"/>
    <w:rsid w:val="009D072B"/>
    <w:rsid w:val="009D4306"/>
    <w:rsid w:val="009D5231"/>
    <w:rsid w:val="00A01FC3"/>
    <w:rsid w:val="00A30C34"/>
    <w:rsid w:val="00A54666"/>
    <w:rsid w:val="00A5582B"/>
    <w:rsid w:val="00A57FD2"/>
    <w:rsid w:val="00A64D03"/>
    <w:rsid w:val="00A9154E"/>
    <w:rsid w:val="00A9434C"/>
    <w:rsid w:val="00AB6F1D"/>
    <w:rsid w:val="00AC6722"/>
    <w:rsid w:val="00AC7B17"/>
    <w:rsid w:val="00AF5CF7"/>
    <w:rsid w:val="00B24915"/>
    <w:rsid w:val="00B2681B"/>
    <w:rsid w:val="00B52DDA"/>
    <w:rsid w:val="00B56924"/>
    <w:rsid w:val="00B82AB2"/>
    <w:rsid w:val="00BA459C"/>
    <w:rsid w:val="00BB6186"/>
    <w:rsid w:val="00BE76D4"/>
    <w:rsid w:val="00BF226B"/>
    <w:rsid w:val="00BF3BED"/>
    <w:rsid w:val="00BF6137"/>
    <w:rsid w:val="00C00DED"/>
    <w:rsid w:val="00C238B5"/>
    <w:rsid w:val="00C642CD"/>
    <w:rsid w:val="00C6532F"/>
    <w:rsid w:val="00CA2B81"/>
    <w:rsid w:val="00CB357A"/>
    <w:rsid w:val="00CC40E6"/>
    <w:rsid w:val="00CD319F"/>
    <w:rsid w:val="00CD3514"/>
    <w:rsid w:val="00CD42E7"/>
    <w:rsid w:val="00CE0067"/>
    <w:rsid w:val="00CE19BF"/>
    <w:rsid w:val="00D333A1"/>
    <w:rsid w:val="00D35ABC"/>
    <w:rsid w:val="00D44632"/>
    <w:rsid w:val="00D54D31"/>
    <w:rsid w:val="00D5647A"/>
    <w:rsid w:val="00D67A3A"/>
    <w:rsid w:val="00D71A4E"/>
    <w:rsid w:val="00D75BC4"/>
    <w:rsid w:val="00D91BB8"/>
    <w:rsid w:val="00DB3933"/>
    <w:rsid w:val="00DC337D"/>
    <w:rsid w:val="00DD36D3"/>
    <w:rsid w:val="00DE6E90"/>
    <w:rsid w:val="00DF314D"/>
    <w:rsid w:val="00E07734"/>
    <w:rsid w:val="00E33BF8"/>
    <w:rsid w:val="00E559D0"/>
    <w:rsid w:val="00E571DB"/>
    <w:rsid w:val="00E62C4E"/>
    <w:rsid w:val="00E95335"/>
    <w:rsid w:val="00E96567"/>
    <w:rsid w:val="00E96FB9"/>
    <w:rsid w:val="00EA40FD"/>
    <w:rsid w:val="00EE4A17"/>
    <w:rsid w:val="00EF6FBB"/>
    <w:rsid w:val="00F22361"/>
    <w:rsid w:val="00F31BD2"/>
    <w:rsid w:val="00F56ADD"/>
    <w:rsid w:val="00F65211"/>
    <w:rsid w:val="00F95C14"/>
    <w:rsid w:val="00F97950"/>
    <w:rsid w:val="00FA0269"/>
    <w:rsid w:val="00FA3556"/>
    <w:rsid w:val="00FB79BE"/>
    <w:rsid w:val="00FB7CAD"/>
    <w:rsid w:val="00FC2B2A"/>
    <w:rsid w:val="00FC7A8D"/>
    <w:rsid w:val="00FD22BA"/>
    <w:rsid w:val="00FE2349"/>
    <w:rsid w:val="0DCD1894"/>
    <w:rsid w:val="4C5C6CDB"/>
    <w:rsid w:val="68AD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3"/>
    <w:qFormat/>
    <w:uiPriority w:val="0"/>
    <w:pPr>
      <w:spacing w:line="500" w:lineRule="exact"/>
      <w:ind w:firstLine="560" w:firstLineChars="200"/>
    </w:pPr>
    <w:rPr>
      <w:rFonts w:ascii="Times New Roman" w:hAnsi="Times New Roman" w:eastAsia="仿宋_GB2312" w:cs="Times New Roman"/>
      <w:kern w:val="0"/>
      <w:sz w:val="28"/>
      <w:szCs w:val="20"/>
    </w:rPr>
  </w:style>
  <w:style w:type="paragraph" w:styleId="5">
    <w:name w:val="Balloon Text"/>
    <w:basedOn w:val="1"/>
    <w:link w:val="2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缩进 2 Char"/>
    <w:basedOn w:val="9"/>
    <w:semiHidden/>
    <w:qFormat/>
    <w:uiPriority w:val="99"/>
  </w:style>
  <w:style w:type="character" w:customStyle="1" w:styleId="13">
    <w:name w:val="正文文本缩进 2 Char1"/>
    <w:link w:val="4"/>
    <w:qFormat/>
    <w:uiPriority w:val="0"/>
    <w:rPr>
      <w:rFonts w:ascii="Times New Roman" w:hAnsi="Times New Roman" w:eastAsia="仿宋_GB2312" w:cs="Times New Roman"/>
      <w:kern w:val="0"/>
      <w:sz w:val="28"/>
      <w:szCs w:val="20"/>
    </w:rPr>
  </w:style>
  <w:style w:type="paragraph" w:styleId="14">
    <w:name w:val="List Paragraph"/>
    <w:basedOn w:val="1"/>
    <w:qFormat/>
    <w:uiPriority w:val="34"/>
    <w:pPr>
      <w:ind w:firstLine="420" w:firstLineChars="200"/>
    </w:pPr>
  </w:style>
  <w:style w:type="character" w:customStyle="1" w:styleId="15">
    <w:name w:val="标题 1 Char"/>
    <w:basedOn w:val="9"/>
    <w:qFormat/>
    <w:uiPriority w:val="9"/>
    <w:rPr>
      <w:b/>
      <w:bCs/>
      <w:kern w:val="44"/>
      <w:sz w:val="44"/>
      <w:szCs w:val="44"/>
    </w:rPr>
  </w:style>
  <w:style w:type="character" w:customStyle="1" w:styleId="16">
    <w:name w:val="标题 1 Char1"/>
    <w:link w:val="2"/>
    <w:qFormat/>
    <w:uiPriority w:val="0"/>
    <w:rPr>
      <w:rFonts w:ascii="Times New Roman" w:hAnsi="Times New Roman" w:eastAsia="宋体" w:cs="Times New Roman"/>
      <w:b/>
      <w:bCs/>
      <w:kern w:val="44"/>
      <w:sz w:val="44"/>
      <w:szCs w:val="44"/>
    </w:rPr>
  </w:style>
  <w:style w:type="character" w:customStyle="1" w:styleId="17">
    <w:name w:val="普通正文 Char"/>
    <w:link w:val="18"/>
    <w:qFormat/>
    <w:uiPriority w:val="0"/>
    <w:rPr>
      <w:rFonts w:ascii="Arial" w:hAnsi="Arial"/>
      <w:sz w:val="24"/>
      <w:szCs w:val="24"/>
    </w:rPr>
  </w:style>
  <w:style w:type="paragraph" w:customStyle="1" w:styleId="18">
    <w:name w:val="普通正文"/>
    <w:basedOn w:val="1"/>
    <w:link w:val="17"/>
    <w:qFormat/>
    <w:uiPriority w:val="0"/>
    <w:pPr>
      <w:adjustRightInd w:val="0"/>
      <w:spacing w:before="120" w:after="120" w:line="360" w:lineRule="auto"/>
      <w:ind w:left="-2" w:right="120" w:firstLine="480"/>
      <w:jc w:val="center"/>
      <w:textAlignment w:val="baseline"/>
    </w:pPr>
    <w:rPr>
      <w:rFonts w:ascii="Arial" w:hAnsi="Arial"/>
      <w:sz w:val="24"/>
      <w:szCs w:val="24"/>
    </w:rPr>
  </w:style>
  <w:style w:type="character" w:customStyle="1" w:styleId="19">
    <w:name w:val="正文缩进2格 Char"/>
    <w:link w:val="20"/>
    <w:qFormat/>
    <w:uiPriority w:val="0"/>
    <w:rPr>
      <w:rFonts w:ascii="仿宋_GB2312" w:hAnsi="宋体" w:eastAsia="仿宋_GB2312" w:cs="Times New Roman"/>
      <w:sz w:val="31"/>
      <w:szCs w:val="28"/>
    </w:rPr>
  </w:style>
  <w:style w:type="paragraph" w:customStyle="1" w:styleId="20">
    <w:name w:val="正文缩进2格"/>
    <w:basedOn w:val="1"/>
    <w:link w:val="19"/>
    <w:qFormat/>
    <w:uiPriority w:val="0"/>
    <w:pPr>
      <w:spacing w:line="600" w:lineRule="exact"/>
      <w:ind w:firstLine="639" w:firstLineChars="206"/>
    </w:pPr>
    <w:rPr>
      <w:rFonts w:ascii="仿宋_GB2312" w:hAnsi="宋体" w:eastAsia="仿宋_GB2312" w:cs="Times New Roman"/>
      <w:sz w:val="31"/>
      <w:szCs w:val="28"/>
    </w:rPr>
  </w:style>
  <w:style w:type="character" w:customStyle="1" w:styleId="21">
    <w:name w:val="标题 4 Char"/>
    <w:basedOn w:val="9"/>
    <w:link w:val="3"/>
    <w:qFormat/>
    <w:uiPriority w:val="9"/>
    <w:rPr>
      <w:rFonts w:asciiTheme="majorHAnsi" w:hAnsiTheme="majorHAnsi" w:eastAsiaTheme="majorEastAsia" w:cstheme="majorBidi"/>
      <w:b/>
      <w:bCs/>
      <w:sz w:val="28"/>
      <w:szCs w:val="28"/>
    </w:rPr>
  </w:style>
  <w:style w:type="character" w:customStyle="1" w:styleId="22">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49</Pages>
  <Words>18264</Words>
  <Characters>19089</Characters>
  <Lines>208</Lines>
  <Paragraphs>58</Paragraphs>
  <TotalTime>1017</TotalTime>
  <ScaleCrop>false</ScaleCrop>
  <LinksUpToDate>false</LinksUpToDate>
  <CharactersWithSpaces>19246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2025-02-27T06:32:00Z</dcterms:created>
  <dc:creator>Administrator</dc:creator>
  <cp:lastModifiedBy>lenovo</cp:lastModifiedBy>
  <cp:lastPrinted>2025-03-10T02:49:00Z</cp:lastPrinted>
  <dcterms:modified xsi:type="dcterms:W3CDTF">2025-09-08T02:50:57Z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eyJoZGlkIjoiYmM3NDZjYWMyZTcyMjIwNzc1MTExNDM0ODI5YWY2YTIifQ==</vt:lpwstr>
  </property>
  <property fmtid="{D5CDD505-2E9C-101B-9397-08002B2CF9AE}" pid="3" name="KSOProductBuildVer">
    <vt:lpwstr>2052-12.1.0.22529</vt:lpwstr>
  </property>
  <property fmtid="{D5CDD505-2E9C-101B-9397-08002B2CF9AE}" pid="4" name="ICV">
    <vt:lpwstr>51A438E0799C4F26BA64F5736DB02F3E_13</vt:lpwstr>
  </property>
</Properties>
</file>