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911D">
      <w:pPr>
        <w:jc w:val="center"/>
        <w:rPr>
          <w:rFonts w:hint="eastAsia" w:ascii="黑体" w:hAnsi="黑体" w:eastAsia="黑体" w:cs="黑体"/>
          <w:b/>
          <w:bCs/>
          <w:color w:val="auto"/>
          <w:sz w:val="48"/>
          <w:szCs w:val="48"/>
          <w:highlight w:val="none"/>
          <w:lang w:eastAsia="zh-CN"/>
        </w:rPr>
      </w:pPr>
      <w:r>
        <w:rPr>
          <w:rFonts w:hint="eastAsia" w:ascii="黑体" w:hAnsi="黑体" w:eastAsia="黑体" w:cs="黑体"/>
          <w:b/>
          <w:bCs/>
          <w:color w:val="auto"/>
          <w:sz w:val="48"/>
          <w:szCs w:val="48"/>
          <w:highlight w:val="none"/>
          <w:lang w:val="en-US" w:eastAsia="zh-CN"/>
        </w:rPr>
        <w:t xml:space="preserve">  </w:t>
      </w:r>
      <w:r>
        <w:rPr>
          <w:rFonts w:hint="eastAsia" w:ascii="黑体" w:hAnsi="黑体" w:eastAsia="黑体" w:cs="黑体"/>
          <w:b/>
          <w:bCs/>
          <w:color w:val="auto"/>
          <w:sz w:val="48"/>
          <w:szCs w:val="48"/>
          <w:highlight w:val="none"/>
        </w:rPr>
        <w:t>南通市海门区悦来镇卫生院采购彩色多普勒超声诊断仪项目</w:t>
      </w:r>
      <w:r>
        <w:rPr>
          <w:rFonts w:hint="eastAsia" w:ascii="黑体" w:hAnsi="黑体" w:eastAsia="黑体" w:cs="黑体"/>
          <w:b/>
          <w:bCs/>
          <w:color w:val="auto"/>
          <w:sz w:val="48"/>
          <w:szCs w:val="48"/>
          <w:highlight w:val="none"/>
          <w:lang w:eastAsia="zh-CN"/>
        </w:rPr>
        <w:t>（第二次）</w:t>
      </w:r>
    </w:p>
    <w:p w14:paraId="09FDBA5B">
      <w:pPr>
        <w:ind w:firstLine="2249" w:firstLineChars="700"/>
        <w:jc w:val="left"/>
        <w:rPr>
          <w:rFonts w:hint="eastAsia" w:ascii="黑体" w:hAnsi="黑体" w:eastAsia="黑体" w:cs="黑体"/>
          <w:b/>
          <w:bCs/>
          <w:color w:val="auto"/>
          <w:sz w:val="32"/>
          <w:szCs w:val="32"/>
          <w:highlight w:val="none"/>
        </w:rPr>
      </w:pPr>
    </w:p>
    <w:p w14:paraId="20582EE2">
      <w:pPr>
        <w:ind w:firstLine="2249" w:firstLineChars="700"/>
        <w:jc w:val="left"/>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项目</w:t>
      </w:r>
      <w:r>
        <w:rPr>
          <w:rFonts w:ascii="黑体" w:hAnsi="黑体" w:eastAsia="黑体" w:cs="黑体"/>
          <w:b/>
          <w:bCs/>
          <w:color w:val="auto"/>
          <w:sz w:val="32"/>
          <w:szCs w:val="32"/>
          <w:highlight w:val="none"/>
        </w:rPr>
        <w:t>编号：</w:t>
      </w:r>
      <w:r>
        <w:rPr>
          <w:rFonts w:hint="eastAsia" w:ascii="黑体" w:hAnsi="黑体" w:eastAsia="黑体" w:cs="黑体"/>
          <w:b/>
          <w:bCs/>
          <w:color w:val="auto"/>
          <w:sz w:val="32"/>
          <w:szCs w:val="32"/>
          <w:highlight w:val="none"/>
        </w:rPr>
        <w:t>NTSHMQYLZWSY-01</w:t>
      </w:r>
    </w:p>
    <w:p w14:paraId="46979D2A">
      <w:pPr>
        <w:ind w:firstLine="2249" w:firstLineChars="700"/>
        <w:jc w:val="left"/>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代理机构编号：</w:t>
      </w:r>
      <w:r>
        <w:rPr>
          <w:rFonts w:hint="eastAsia" w:ascii="黑体" w:hAnsi="黑体" w:eastAsia="黑体" w:cs="黑体"/>
          <w:b/>
          <w:bCs/>
          <w:color w:val="auto"/>
          <w:sz w:val="32"/>
          <w:szCs w:val="32"/>
          <w:highlight w:val="none"/>
          <w:lang w:eastAsia="zh-CN"/>
        </w:rPr>
        <w:t>1009-2541HOLLY</w:t>
      </w:r>
      <w:r>
        <w:rPr>
          <w:rFonts w:hint="eastAsia" w:ascii="黑体" w:hAnsi="黑体" w:eastAsia="黑体" w:cs="黑体"/>
          <w:b/>
          <w:bCs/>
          <w:color w:val="auto"/>
          <w:sz w:val="32"/>
          <w:szCs w:val="32"/>
          <w:highlight w:val="none"/>
          <w:lang w:val="en-US" w:eastAsia="zh-CN"/>
        </w:rPr>
        <w:t>18M-03</w:t>
      </w:r>
    </w:p>
    <w:p w14:paraId="5DC26817">
      <w:pPr>
        <w:rPr>
          <w:rFonts w:hint="eastAsia" w:ascii="黑体" w:hAnsi="黑体" w:eastAsia="黑体" w:cs="黑体"/>
          <w:b/>
          <w:bCs/>
          <w:color w:val="auto"/>
          <w:sz w:val="32"/>
          <w:szCs w:val="32"/>
          <w:highlight w:val="none"/>
        </w:rPr>
      </w:pPr>
      <w:bookmarkStart w:id="0" w:name="EB3ace3d43b98b41779337deb808be6fa3"/>
      <w:r>
        <w:rPr>
          <w:rFonts w:hint="eastAsia" w:ascii="黑体" w:hAnsi="黑体" w:eastAsia="黑体" w:cs="黑体"/>
          <w:b/>
          <w:bCs/>
          <w:color w:val="auto"/>
          <w:sz w:val="32"/>
          <w:szCs w:val="32"/>
          <w:highlight w:val="none"/>
        </w:rPr>
        <w:t xml:space="preserve"> </w:t>
      </w:r>
      <w:bookmarkEnd w:id="0"/>
      <w:bookmarkStart w:id="1" w:name="EB57dd2a69e2b54b0cb3f5c2f03a1ab7bf"/>
      <w:r>
        <w:rPr>
          <w:rFonts w:hint="eastAsia" w:ascii="黑体" w:hAnsi="黑体" w:eastAsia="黑体" w:cs="黑体"/>
          <w:b/>
          <w:bCs/>
          <w:color w:val="auto"/>
          <w:sz w:val="32"/>
          <w:szCs w:val="32"/>
          <w:highlight w:val="none"/>
        </w:rPr>
        <w:t xml:space="preserve"> </w:t>
      </w:r>
      <w:bookmarkEnd w:id="1"/>
    </w:p>
    <w:p w14:paraId="757CF0DA">
      <w:pPr>
        <w:rPr>
          <w:rFonts w:hint="eastAsia" w:ascii="宋体"/>
          <w:color w:val="auto"/>
          <w:sz w:val="36"/>
          <w:szCs w:val="36"/>
          <w:highlight w:val="none"/>
        </w:rPr>
      </w:pPr>
    </w:p>
    <w:p w14:paraId="65944F60">
      <w:pPr>
        <w:rPr>
          <w:rFonts w:ascii="华文琥珀" w:eastAsia="华文琥珀"/>
          <w:color w:val="auto"/>
          <w:sz w:val="36"/>
          <w:szCs w:val="36"/>
          <w:highlight w:val="none"/>
        </w:rPr>
      </w:pPr>
    </w:p>
    <w:p w14:paraId="72587778">
      <w:pPr>
        <w:rPr>
          <w:rFonts w:hint="eastAsia" w:ascii="华文琥珀" w:eastAsia="华文琥珀"/>
          <w:color w:val="auto"/>
          <w:sz w:val="36"/>
          <w:szCs w:val="36"/>
          <w:highlight w:val="none"/>
        </w:rPr>
      </w:pPr>
    </w:p>
    <w:p w14:paraId="6CC27CAC">
      <w:pPr>
        <w:jc w:val="center"/>
        <w:rPr>
          <w:rFonts w:hint="eastAsia" w:ascii="方正大标宋简体" w:eastAsia="方正大标宋简体"/>
          <w:b/>
          <w:color w:val="auto"/>
          <w:sz w:val="18"/>
          <w:szCs w:val="18"/>
          <w:highlight w:val="none"/>
        </w:rPr>
      </w:pPr>
    </w:p>
    <w:p w14:paraId="6246986F">
      <w:pPr>
        <w:jc w:val="center"/>
        <w:rPr>
          <w:rFonts w:hint="eastAsia" w:ascii="黑体" w:eastAsia="黑体"/>
          <w:color w:val="auto"/>
          <w:sz w:val="82"/>
          <w:szCs w:val="72"/>
          <w:highlight w:val="none"/>
        </w:rPr>
      </w:pPr>
      <w:r>
        <w:rPr>
          <w:rFonts w:hint="eastAsia" w:ascii="黑体" w:eastAsia="黑体"/>
          <w:color w:val="auto"/>
          <w:sz w:val="82"/>
          <w:szCs w:val="72"/>
          <w:highlight w:val="none"/>
        </w:rPr>
        <w:t>院内采购文件</w:t>
      </w:r>
    </w:p>
    <w:p w14:paraId="5DDBF9A2">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7E74F62">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58346B1">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618DE021">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00AF9587">
      <w:pPr>
        <w:rPr>
          <w:rFonts w:hint="eastAsia"/>
          <w:color w:val="auto"/>
          <w:highlight w:val="none"/>
        </w:rPr>
      </w:pPr>
    </w:p>
    <w:p w14:paraId="15CE7873">
      <w:pPr>
        <w:rPr>
          <w:rFonts w:hint="eastAsia"/>
          <w:color w:val="auto"/>
          <w:highlight w:val="none"/>
        </w:rPr>
      </w:pPr>
    </w:p>
    <w:p w14:paraId="4D6AF48E">
      <w:pPr>
        <w:rPr>
          <w:rFonts w:hint="eastAsia"/>
          <w:color w:val="auto"/>
          <w:highlight w:val="none"/>
        </w:rPr>
      </w:pPr>
    </w:p>
    <w:p w14:paraId="3E50FC6D">
      <w:pPr>
        <w:rPr>
          <w:color w:val="auto"/>
          <w:highlight w:val="none"/>
        </w:rPr>
      </w:pPr>
    </w:p>
    <w:p w14:paraId="46DC49B1">
      <w:pPr>
        <w:rPr>
          <w:color w:val="auto"/>
          <w:highlight w:val="none"/>
        </w:rPr>
      </w:pPr>
    </w:p>
    <w:p w14:paraId="09905D21">
      <w:pPr>
        <w:rPr>
          <w:rFonts w:hint="eastAsia"/>
          <w:color w:val="auto"/>
          <w:highlight w:val="none"/>
        </w:rPr>
      </w:pPr>
    </w:p>
    <w:p w14:paraId="596CD846">
      <w:pPr>
        <w:rPr>
          <w:rFonts w:hint="eastAsia"/>
          <w:color w:val="auto"/>
          <w:highlight w:val="none"/>
        </w:rPr>
      </w:pPr>
    </w:p>
    <w:tbl>
      <w:tblPr>
        <w:tblStyle w:val="9"/>
        <w:tblW w:w="0" w:type="auto"/>
        <w:jc w:val="center"/>
        <w:tblLayout w:type="fixed"/>
        <w:tblCellMar>
          <w:top w:w="0" w:type="dxa"/>
          <w:left w:w="108" w:type="dxa"/>
          <w:bottom w:w="0" w:type="dxa"/>
          <w:right w:w="108" w:type="dxa"/>
        </w:tblCellMar>
      </w:tblPr>
      <w:tblGrid>
        <w:gridCol w:w="2348"/>
        <w:gridCol w:w="5454"/>
      </w:tblGrid>
      <w:tr w14:paraId="2FAC746A">
        <w:tblPrEx>
          <w:tblCellMar>
            <w:top w:w="0" w:type="dxa"/>
            <w:left w:w="108" w:type="dxa"/>
            <w:bottom w:w="0" w:type="dxa"/>
            <w:right w:w="108" w:type="dxa"/>
          </w:tblCellMar>
        </w:tblPrEx>
        <w:trPr>
          <w:jc w:val="center"/>
        </w:trPr>
        <w:tc>
          <w:tcPr>
            <w:tcW w:w="2348" w:type="dxa"/>
            <w:noWrap w:val="0"/>
            <w:vAlign w:val="top"/>
          </w:tcPr>
          <w:p w14:paraId="73DECAB4">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采购人：</w:t>
            </w:r>
          </w:p>
        </w:tc>
        <w:tc>
          <w:tcPr>
            <w:tcW w:w="5454" w:type="dxa"/>
            <w:noWrap w:val="0"/>
            <w:vAlign w:val="top"/>
          </w:tcPr>
          <w:p w14:paraId="300A4476">
            <w:pP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南通市海门区悦来镇卫生院</w:t>
            </w:r>
          </w:p>
        </w:tc>
      </w:tr>
      <w:tr w14:paraId="17FE66A8">
        <w:tblPrEx>
          <w:tblCellMar>
            <w:top w:w="0" w:type="dxa"/>
            <w:left w:w="108" w:type="dxa"/>
            <w:bottom w:w="0" w:type="dxa"/>
            <w:right w:w="108" w:type="dxa"/>
          </w:tblCellMar>
        </w:tblPrEx>
        <w:trPr>
          <w:jc w:val="center"/>
        </w:trPr>
        <w:tc>
          <w:tcPr>
            <w:tcW w:w="2348" w:type="dxa"/>
            <w:noWrap w:val="0"/>
            <w:vAlign w:val="top"/>
          </w:tcPr>
          <w:p w14:paraId="5EDB528C">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采购代理机构：</w:t>
            </w:r>
          </w:p>
        </w:tc>
        <w:tc>
          <w:tcPr>
            <w:tcW w:w="5454" w:type="dxa"/>
            <w:noWrap w:val="0"/>
            <w:vAlign w:val="top"/>
          </w:tcPr>
          <w:p w14:paraId="7EC50173">
            <w:pPr>
              <w:rPr>
                <w:rFonts w:hint="eastAsia" w:ascii="黑体" w:hAnsi="黑体" w:eastAsia="黑体" w:cs="黑体"/>
                <w:b/>
                <w:bCs/>
                <w:color w:val="auto"/>
                <w:sz w:val="32"/>
                <w:szCs w:val="32"/>
                <w:highlight w:val="none"/>
              </w:rPr>
            </w:pPr>
            <w:bookmarkStart w:id="2" w:name="EB467128df5f344d64af2c93ecdb42da19"/>
            <w:r>
              <w:rPr>
                <w:rFonts w:hint="eastAsia" w:ascii="黑体" w:hAnsi="黑体" w:eastAsia="黑体" w:cs="黑体"/>
                <w:b/>
                <w:bCs/>
                <w:color w:val="auto"/>
                <w:sz w:val="32"/>
                <w:szCs w:val="32"/>
                <w:highlight w:val="none"/>
              </w:rPr>
              <w:t>江苏弘业国际技术工程有限公司</w:t>
            </w:r>
            <w:bookmarkEnd w:id="2"/>
          </w:p>
        </w:tc>
      </w:tr>
      <w:tr w14:paraId="63153DE2">
        <w:tblPrEx>
          <w:tblCellMar>
            <w:top w:w="0" w:type="dxa"/>
            <w:left w:w="108" w:type="dxa"/>
            <w:bottom w:w="0" w:type="dxa"/>
            <w:right w:w="108" w:type="dxa"/>
          </w:tblCellMar>
        </w:tblPrEx>
        <w:trPr>
          <w:jc w:val="center"/>
        </w:trPr>
        <w:tc>
          <w:tcPr>
            <w:tcW w:w="2348" w:type="dxa"/>
            <w:noWrap w:val="0"/>
            <w:vAlign w:val="top"/>
          </w:tcPr>
          <w:p w14:paraId="130F51FF">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日  期：</w:t>
            </w:r>
          </w:p>
        </w:tc>
        <w:tc>
          <w:tcPr>
            <w:tcW w:w="5454" w:type="dxa"/>
            <w:noWrap w:val="0"/>
            <w:vAlign w:val="top"/>
          </w:tcPr>
          <w:p w14:paraId="236838C2">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202</w:t>
            </w:r>
            <w:r>
              <w:rPr>
                <w:rFonts w:hint="eastAsia" w:ascii="黑体" w:hAnsi="黑体" w:eastAsia="黑体" w:cs="黑体"/>
                <w:b/>
                <w:bCs/>
                <w:color w:val="auto"/>
                <w:sz w:val="32"/>
                <w:szCs w:val="32"/>
                <w:highlight w:val="none"/>
                <w:lang w:val="en-US" w:eastAsia="zh-CN"/>
              </w:rPr>
              <w:t>5</w:t>
            </w:r>
            <w:r>
              <w:rPr>
                <w:rFonts w:hint="eastAsia" w:ascii="黑体" w:hAnsi="黑体" w:eastAsia="黑体" w:cs="黑体"/>
                <w:b/>
                <w:bCs/>
                <w:color w:val="auto"/>
                <w:sz w:val="32"/>
                <w:szCs w:val="32"/>
                <w:highlight w:val="none"/>
              </w:rPr>
              <w:t>年</w:t>
            </w:r>
            <w:r>
              <w:rPr>
                <w:rFonts w:hint="eastAsia" w:ascii="黑体" w:hAnsi="黑体" w:eastAsia="黑体" w:cs="黑体"/>
                <w:b/>
                <w:bCs/>
                <w:color w:val="auto"/>
                <w:sz w:val="32"/>
                <w:szCs w:val="32"/>
                <w:highlight w:val="none"/>
                <w:lang w:val="en-US" w:eastAsia="zh-CN"/>
              </w:rPr>
              <w:t>7</w:t>
            </w:r>
            <w:r>
              <w:rPr>
                <w:rFonts w:hint="eastAsia" w:ascii="黑体" w:hAnsi="黑体" w:eastAsia="黑体" w:cs="黑体"/>
                <w:b/>
                <w:bCs/>
                <w:color w:val="auto"/>
                <w:sz w:val="32"/>
                <w:szCs w:val="32"/>
                <w:highlight w:val="none"/>
              </w:rPr>
              <w:t>月</w:t>
            </w:r>
          </w:p>
        </w:tc>
      </w:tr>
    </w:tbl>
    <w:p w14:paraId="2E11A376">
      <w:pPr>
        <w:rPr>
          <w:rFonts w:hint="eastAsia"/>
          <w:color w:val="auto"/>
          <w:highlight w:val="none"/>
        </w:rPr>
      </w:pPr>
    </w:p>
    <w:p w14:paraId="1034F15F">
      <w:pPr>
        <w:rPr>
          <w:rFonts w:hint="eastAsia"/>
          <w:color w:val="auto"/>
          <w:highlight w:val="none"/>
        </w:rPr>
      </w:pPr>
    </w:p>
    <w:p w14:paraId="13934A6D">
      <w:pPr>
        <w:rPr>
          <w:rFonts w:hint="eastAsia"/>
          <w:color w:val="auto"/>
          <w:highlight w:val="none"/>
        </w:rPr>
      </w:pPr>
      <w:bookmarkStart w:id="3" w:name="EB06f4f849a067447382c5c19bd1747a07"/>
      <w:r>
        <w:rPr>
          <w:rFonts w:hint="eastAsia"/>
          <w:color w:val="auto"/>
          <w:sz w:val="20"/>
          <w:highlight w:val="none"/>
        </w:rPr>
        <w:t xml:space="preserve"> </w:t>
      </w:r>
      <w:bookmarkEnd w:id="3"/>
    </w:p>
    <w:p w14:paraId="1830F119">
      <w:pPr>
        <w:rPr>
          <w:rFonts w:hint="eastAsia" w:ascii="宋体" w:hAnsi="宋体"/>
          <w:color w:val="auto"/>
          <w:sz w:val="24"/>
          <w:szCs w:val="24"/>
          <w:highlight w:val="none"/>
        </w:rPr>
      </w:pPr>
      <w:bookmarkStart w:id="4" w:name="EB8d9f95f968a24eedaa25409f8fd39929"/>
      <w:r>
        <w:rPr>
          <w:rFonts w:hint="eastAsia" w:ascii="宋体" w:hAnsi="宋体"/>
          <w:color w:val="auto"/>
          <w:sz w:val="24"/>
          <w:szCs w:val="24"/>
          <w:highlight w:val="none"/>
        </w:rPr>
        <w:t xml:space="preserve"> </w:t>
      </w:r>
      <w:bookmarkEnd w:id="4"/>
    </w:p>
    <w:p w14:paraId="3BB18EE6">
      <w:pPr>
        <w:rPr>
          <w:rFonts w:hint="eastAsia" w:ascii="宋体" w:hAnsi="宋体"/>
          <w:color w:val="auto"/>
          <w:sz w:val="24"/>
          <w:szCs w:val="24"/>
          <w:highlight w:val="none"/>
        </w:rPr>
      </w:pPr>
    </w:p>
    <w:p w14:paraId="47FAF4D4">
      <w:pPr>
        <w:rPr>
          <w:rFonts w:hint="eastAsia" w:ascii="宋体" w:hAnsi="宋体"/>
          <w:color w:val="auto"/>
          <w:sz w:val="24"/>
          <w:szCs w:val="24"/>
          <w:highlight w:val="none"/>
        </w:rPr>
      </w:pPr>
    </w:p>
    <w:p w14:paraId="5999B893">
      <w:pPr>
        <w:pStyle w:val="4"/>
        <w:rPr>
          <w:rFonts w:hint="eastAsia"/>
          <w:color w:val="auto"/>
          <w:highlight w:val="none"/>
        </w:rPr>
      </w:pPr>
    </w:p>
    <w:p w14:paraId="6395521A">
      <w:pPr>
        <w:jc w:val="center"/>
        <w:rPr>
          <w:rFonts w:hint="eastAsia" w:eastAsia="仿宋_GB2312"/>
          <w:color w:val="auto"/>
          <w:highlight w:val="none"/>
        </w:rPr>
      </w:pPr>
      <w:r>
        <w:rPr>
          <w:rFonts w:ascii="宋体" w:hAnsi="宋体"/>
          <w:b/>
          <w:bCs/>
          <w:color w:val="auto"/>
          <w:sz w:val="24"/>
          <w:szCs w:val="28"/>
          <w:highlight w:val="none"/>
        </w:rPr>
        <w:t>目录</w:t>
      </w:r>
    </w:p>
    <w:p w14:paraId="63BCF850">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TOC \o "1-2" \h \u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_Toc14268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第一部分  采购公告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_Toc14268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59390B9">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_Toc1881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第二部分  投标人须知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_Toc1881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4</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5A6744B4">
      <w:pPr>
        <w:pStyle w:val="11"/>
        <w:tabs>
          <w:tab w:val="right" w:leader="dot" w:pos="8844"/>
        </w:tabs>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_Toc22015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第三部分  资格审查及评标办法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_Toc22015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17</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ECDA6BF">
      <w:pPr>
        <w:pStyle w:val="11"/>
        <w:tabs>
          <w:tab w:val="right" w:leader="dot" w:pos="8844"/>
        </w:tabs>
        <w:spacing w:line="44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_Toc1505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第四部分  采购需求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_Toc1505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19</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94FE447">
      <w:pPr>
        <w:pStyle w:val="11"/>
        <w:tabs>
          <w:tab w:val="right" w:leader="dot" w:pos="8844"/>
        </w:tabs>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_Toc9306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第五部分  合同格式及条款</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_Toc9306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22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6ECECAA">
      <w:pPr>
        <w:pStyle w:val="11"/>
        <w:tabs>
          <w:tab w:val="right" w:leader="dot" w:pos="8844"/>
        </w:tabs>
        <w:spacing w:line="440" w:lineRule="exact"/>
        <w:rPr>
          <w:rFonts w:ascii="宋体" w:hAnsi="宋体" w:cs="宋体"/>
          <w:b/>
          <w:color w:val="auto"/>
          <w:sz w:val="24"/>
          <w:szCs w:val="24"/>
          <w:highlight w:val="none"/>
        </w:rPr>
        <w:sectPr>
          <w:footerReference r:id="rId3" w:type="default"/>
          <w:pgSz w:w="11906" w:h="16838"/>
          <w:pgMar w:top="1440" w:right="1474" w:bottom="1440" w:left="1247" w:header="851" w:footer="992" w:gutter="0"/>
          <w:cols w:space="720" w:num="1"/>
          <w:docGrid w:type="lines" w:linePitch="312" w:charSpace="0"/>
        </w:sect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_Toc12366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第六部分  投标文件格式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_Toc12366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36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B2B94C7">
      <w:pPr>
        <w:keepNext/>
        <w:keepLines/>
        <w:pageBreakBefore/>
        <w:jc w:val="center"/>
        <w:rPr>
          <w:b/>
          <w:color w:val="auto"/>
          <w:sz w:val="32"/>
          <w:highlight w:val="none"/>
        </w:rPr>
      </w:pPr>
      <w:r>
        <w:rPr>
          <w:rFonts w:hint="eastAsia" w:ascii="宋体" w:hAnsi="宋体" w:cs="宋体"/>
          <w:b/>
          <w:color w:val="auto"/>
          <w:sz w:val="24"/>
          <w:szCs w:val="24"/>
          <w:highlight w:val="none"/>
        </w:rPr>
        <w:fldChar w:fldCharType="end"/>
      </w:r>
      <w:bookmarkStart w:id="5" w:name="_Toc14268"/>
      <w:bookmarkStart w:id="6" w:name="_Toc514054470"/>
      <w:r>
        <w:rPr>
          <w:rFonts w:hint="eastAsia"/>
          <w:b/>
          <w:color w:val="auto"/>
          <w:sz w:val="44"/>
          <w:szCs w:val="44"/>
          <w:highlight w:val="none"/>
        </w:rPr>
        <w:t>第一部分  采购公告</w:t>
      </w:r>
      <w:bookmarkEnd w:id="5"/>
      <w:bookmarkEnd w:id="6"/>
    </w:p>
    <w:p w14:paraId="112EDF77">
      <w:pPr>
        <w:pStyle w:val="12"/>
        <w:tabs>
          <w:tab w:val="left" w:pos="1134"/>
          <w:tab w:val="left" w:pos="5612"/>
        </w:tabs>
        <w:spacing w:line="312" w:lineRule="auto"/>
        <w:ind w:firstLine="480"/>
        <w:outlineLvl w:val="1"/>
        <w:rPr>
          <w:rFonts w:hint="eastAsia" w:ascii="宋体" w:hAnsi="宋体" w:cs="宋体"/>
          <w:color w:val="auto"/>
          <w:sz w:val="24"/>
          <w:szCs w:val="24"/>
          <w:highlight w:val="none"/>
        </w:rPr>
      </w:pPr>
      <w:bookmarkStart w:id="7" w:name="_Toc2298"/>
      <w:r>
        <w:rPr>
          <w:rFonts w:hint="eastAsia" w:ascii="宋体" w:hAnsi="宋体" w:cs="宋体"/>
          <w:color w:val="auto"/>
          <w:sz w:val="24"/>
          <w:szCs w:val="24"/>
          <w:highlight w:val="none"/>
        </w:rPr>
        <w:t>一、项目基本情况</w:t>
      </w:r>
      <w:bookmarkEnd w:id="7"/>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p>
    <w:p w14:paraId="1E377569">
      <w:pPr>
        <w:pStyle w:val="12"/>
        <w:tabs>
          <w:tab w:val="left" w:pos="1134"/>
        </w:tabs>
        <w:spacing w:line="312" w:lineRule="auto"/>
        <w:ind w:left="1134" w:leftChars="54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项目编号：NTSHMQYLZWSY-02</w:t>
      </w:r>
    </w:p>
    <w:p w14:paraId="3EE5C083">
      <w:pPr>
        <w:pStyle w:val="12"/>
        <w:tabs>
          <w:tab w:val="left" w:pos="1134"/>
        </w:tabs>
        <w:spacing w:line="312" w:lineRule="auto"/>
        <w:ind w:left="1134" w:leftChars="54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代理机构编号：</w:t>
      </w:r>
      <w:r>
        <w:rPr>
          <w:rFonts w:hint="eastAsia" w:ascii="宋体" w:hAnsi="宋体" w:cs="宋体"/>
          <w:color w:val="auto"/>
          <w:sz w:val="24"/>
          <w:szCs w:val="24"/>
          <w:highlight w:val="none"/>
          <w:lang w:eastAsia="zh-CN"/>
        </w:rPr>
        <w:t>1009-2541HOLLY18M</w:t>
      </w:r>
      <w:r>
        <w:rPr>
          <w:rFonts w:hint="eastAsia" w:ascii="宋体" w:hAnsi="宋体" w:cs="宋体"/>
          <w:color w:val="auto"/>
          <w:sz w:val="24"/>
          <w:szCs w:val="24"/>
          <w:highlight w:val="none"/>
          <w:lang w:val="en-US" w:eastAsia="zh-CN"/>
        </w:rPr>
        <w:t>-01</w:t>
      </w:r>
    </w:p>
    <w:p w14:paraId="07CF6B5B">
      <w:pPr>
        <w:pStyle w:val="12"/>
        <w:tabs>
          <w:tab w:val="left" w:pos="1134"/>
        </w:tabs>
        <w:spacing w:line="312" w:lineRule="auto"/>
        <w:ind w:left="1134" w:leftChars="54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彩色多普勒超声诊断仪</w:t>
      </w:r>
    </w:p>
    <w:tbl>
      <w:tblPr>
        <w:tblStyle w:val="9"/>
        <w:tblW w:w="7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25"/>
        <w:gridCol w:w="1230"/>
        <w:gridCol w:w="1545"/>
        <w:gridCol w:w="1541"/>
      </w:tblGrid>
      <w:tr w14:paraId="3EA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noWrap w:val="0"/>
            <w:vAlign w:val="center"/>
          </w:tcPr>
          <w:p w14:paraId="28BBCC45">
            <w:pPr>
              <w:jc w:val="center"/>
              <w:rPr>
                <w:rFonts w:ascii="宋体" w:hAnsi="宋体"/>
                <w:color w:val="auto"/>
                <w:sz w:val="24"/>
                <w:szCs w:val="24"/>
                <w:highlight w:val="none"/>
              </w:rPr>
            </w:pPr>
            <w:r>
              <w:rPr>
                <w:rFonts w:ascii="宋体" w:hAnsi="宋体"/>
                <w:color w:val="auto"/>
                <w:sz w:val="24"/>
                <w:szCs w:val="24"/>
                <w:highlight w:val="none"/>
              </w:rPr>
              <w:t>包号</w:t>
            </w:r>
          </w:p>
        </w:tc>
        <w:tc>
          <w:tcPr>
            <w:tcW w:w="2925" w:type="dxa"/>
            <w:noWrap w:val="0"/>
            <w:vAlign w:val="center"/>
          </w:tcPr>
          <w:p w14:paraId="66E1D42D">
            <w:pPr>
              <w:jc w:val="center"/>
              <w:rPr>
                <w:rFonts w:ascii="宋体" w:hAnsi="宋体"/>
                <w:color w:val="auto"/>
                <w:sz w:val="24"/>
                <w:szCs w:val="24"/>
                <w:highlight w:val="none"/>
              </w:rPr>
            </w:pPr>
            <w:r>
              <w:rPr>
                <w:rFonts w:hint="eastAsia" w:ascii="宋体" w:hAnsi="宋体"/>
                <w:color w:val="auto"/>
                <w:sz w:val="24"/>
                <w:szCs w:val="24"/>
                <w:highlight w:val="none"/>
              </w:rPr>
              <w:t>设备名称</w:t>
            </w:r>
          </w:p>
        </w:tc>
        <w:tc>
          <w:tcPr>
            <w:tcW w:w="1230" w:type="dxa"/>
            <w:noWrap w:val="0"/>
            <w:vAlign w:val="center"/>
          </w:tcPr>
          <w:p w14:paraId="309177A9">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1545" w:type="dxa"/>
            <w:noWrap w:val="0"/>
            <w:vAlign w:val="center"/>
          </w:tcPr>
          <w:p w14:paraId="34AC983F">
            <w:pPr>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预算</w:t>
            </w:r>
          </w:p>
          <w:p w14:paraId="621008E6">
            <w:pPr>
              <w:jc w:val="center"/>
              <w:rPr>
                <w:rFonts w:ascii="宋体" w:hAnsi="宋体"/>
                <w:color w:val="auto"/>
                <w:sz w:val="24"/>
                <w:szCs w:val="24"/>
                <w:highlight w:val="none"/>
              </w:rPr>
            </w:pPr>
            <w:r>
              <w:rPr>
                <w:rFonts w:hint="eastAsia" w:ascii="宋体" w:hAnsi="宋体"/>
                <w:color w:val="auto"/>
                <w:sz w:val="24"/>
                <w:szCs w:val="24"/>
                <w:highlight w:val="none"/>
              </w:rPr>
              <w:t>（万元）</w:t>
            </w:r>
          </w:p>
        </w:tc>
        <w:tc>
          <w:tcPr>
            <w:tcW w:w="1541" w:type="dxa"/>
            <w:noWrap w:val="0"/>
            <w:vAlign w:val="center"/>
          </w:tcPr>
          <w:p w14:paraId="1C6DAFEF">
            <w:pPr>
              <w:jc w:val="center"/>
              <w:rPr>
                <w:rFonts w:hint="eastAsia" w:ascii="宋体" w:hAnsi="宋体"/>
                <w:color w:val="auto"/>
                <w:sz w:val="24"/>
                <w:szCs w:val="24"/>
                <w:highlight w:val="none"/>
              </w:rPr>
            </w:pPr>
            <w:r>
              <w:rPr>
                <w:rFonts w:hint="eastAsia" w:ascii="宋体" w:hAnsi="宋体"/>
                <w:color w:val="auto"/>
                <w:sz w:val="24"/>
                <w:szCs w:val="24"/>
                <w:highlight w:val="none"/>
              </w:rPr>
              <w:t>质保期</w:t>
            </w:r>
          </w:p>
        </w:tc>
      </w:tr>
      <w:tr w14:paraId="1422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40" w:type="dxa"/>
            <w:noWrap w:val="0"/>
            <w:vAlign w:val="center"/>
          </w:tcPr>
          <w:p w14:paraId="6E0A46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25" w:type="dxa"/>
            <w:noWrap w:val="0"/>
            <w:vAlign w:val="center"/>
          </w:tcPr>
          <w:p w14:paraId="38EBC1C0">
            <w:pPr>
              <w:pStyle w:val="2"/>
              <w:ind w:left="0" w:leftChars="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彩色多普勒超声诊断仪</w:t>
            </w:r>
          </w:p>
        </w:tc>
        <w:tc>
          <w:tcPr>
            <w:tcW w:w="1230" w:type="dxa"/>
            <w:noWrap w:val="0"/>
            <w:vAlign w:val="center"/>
          </w:tcPr>
          <w:p w14:paraId="4488D248">
            <w:pPr>
              <w:pStyle w:val="2"/>
              <w:ind w:left="0" w:leftChars="0" w:right="700" w:rightChars="0" w:firstLine="0" w:firstLineChars="0"/>
              <w:jc w:val="center"/>
              <w:rPr>
                <w:rFonts w:hint="eastAsia" w:ascii="宋体" w:hAnsi="宋体" w:eastAsia="宋体" w:cs="宋体"/>
                <w:color w:val="auto"/>
                <w:sz w:val="24"/>
                <w:szCs w:val="24"/>
                <w:highlight w:val="none"/>
                <w:lang w:val="en-US"/>
              </w:rPr>
            </w:pPr>
            <w:r>
              <w:rPr>
                <w:rFonts w:hint="eastAsia" w:ascii="宋体" w:hAnsi="宋体" w:eastAsia="宋体" w:cs="宋体"/>
                <w:sz w:val="24"/>
                <w:szCs w:val="24"/>
                <w:lang w:val="en-US" w:eastAsia="zh-CN"/>
              </w:rPr>
              <w:t>1</w:t>
            </w:r>
          </w:p>
        </w:tc>
        <w:tc>
          <w:tcPr>
            <w:tcW w:w="1545" w:type="dxa"/>
            <w:noWrap w:val="0"/>
            <w:vAlign w:val="center"/>
          </w:tcPr>
          <w:p w14:paraId="3AB95F8A">
            <w:pPr>
              <w:pStyle w:val="2"/>
              <w:ind w:left="0" w:leftChars="0" w:right="70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万</w:t>
            </w:r>
          </w:p>
        </w:tc>
        <w:tc>
          <w:tcPr>
            <w:tcW w:w="1541" w:type="dxa"/>
            <w:noWrap w:val="0"/>
            <w:vAlign w:val="center"/>
          </w:tcPr>
          <w:p w14:paraId="46B533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1</w:t>
            </w:r>
            <w:r>
              <w:rPr>
                <w:rFonts w:hint="eastAsia" w:ascii="宋体" w:hAnsi="宋体" w:eastAsia="宋体" w:cs="宋体"/>
                <w:color w:val="auto"/>
                <w:sz w:val="24"/>
                <w:szCs w:val="24"/>
                <w:highlight w:val="yellow"/>
              </w:rPr>
              <w:t>年</w:t>
            </w:r>
          </w:p>
        </w:tc>
      </w:tr>
    </w:tbl>
    <w:p w14:paraId="61C555DB">
      <w:pPr>
        <w:spacing w:line="329" w:lineRule="auto"/>
        <w:ind w:left="769"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采购需求：详见采购文件。</w:t>
      </w:r>
    </w:p>
    <w:p w14:paraId="31C22348">
      <w:pPr>
        <w:spacing w:line="329" w:lineRule="auto"/>
        <w:ind w:left="7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51CC26D5">
      <w:pPr>
        <w:pStyle w:val="12"/>
        <w:tabs>
          <w:tab w:val="left" w:pos="1134"/>
        </w:tabs>
        <w:spacing w:line="312" w:lineRule="auto"/>
        <w:ind w:left="567" w:firstLine="0" w:firstLineChars="0"/>
        <w:outlineLvl w:val="1"/>
        <w:rPr>
          <w:rFonts w:hint="eastAsia" w:ascii="宋体" w:hAnsi="宋体" w:cs="宋体"/>
          <w:color w:val="auto"/>
          <w:sz w:val="24"/>
          <w:szCs w:val="24"/>
          <w:highlight w:val="none"/>
        </w:rPr>
      </w:pPr>
      <w:bookmarkStart w:id="8" w:name="_Toc3038"/>
      <w:r>
        <w:rPr>
          <w:rFonts w:hint="eastAsia" w:ascii="宋体" w:hAnsi="宋体" w:cs="宋体"/>
          <w:color w:val="auto"/>
          <w:sz w:val="24"/>
          <w:szCs w:val="24"/>
          <w:highlight w:val="none"/>
        </w:rPr>
        <w:t>二、申请人的资格要求：</w:t>
      </w:r>
      <w:bookmarkEnd w:id="8"/>
    </w:p>
    <w:p w14:paraId="2B920DB0">
      <w:pPr>
        <w:pStyle w:val="13"/>
        <w:spacing w:line="329" w:lineRule="auto"/>
        <w:ind w:left="709"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30784610">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w:t>
      </w:r>
    </w:p>
    <w:p w14:paraId="22BBD72B">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年度的财务报表</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年1月1日之后成立的供应商需提供基本开户银行出具的资信证明）；（资产负债表、利润表、现金流量表）</w:t>
      </w:r>
    </w:p>
    <w:p w14:paraId="4021C5B0">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3）202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年1月以来任意一个月依法缴纳税收和社会保障资金的相关材料；</w:t>
      </w:r>
    </w:p>
    <w:p w14:paraId="5509F611">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4）具备履行合同所必需的设备和专业技术能力的证明材料；</w:t>
      </w:r>
    </w:p>
    <w:p w14:paraId="2787244B">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5）参加采购活动前3年内在经营活动中没有重大违法记录的书面声明；</w:t>
      </w:r>
    </w:p>
    <w:p w14:paraId="1D667E93">
      <w:pPr>
        <w:spacing w:line="329" w:lineRule="auto"/>
        <w:ind w:left="1134"/>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1A8112E9">
      <w:pPr>
        <w:pStyle w:val="13"/>
        <w:spacing w:line="329" w:lineRule="auto"/>
        <w:ind w:left="709" w:firstLine="0" w:firstLineChars="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.本项目的特定资格要求：</w:t>
      </w:r>
    </w:p>
    <w:p w14:paraId="4CA34943">
      <w:pPr>
        <w:pStyle w:val="13"/>
        <w:spacing w:line="329" w:lineRule="auto"/>
        <w:ind w:left="1134" w:firstLine="0" w:firstLineChars="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拒绝被“信用中国”（www.creditchina.gov.cn）、“中国政府采购网”(www.ccgp.gov.cn）、“信用江苏”（http://credit.jiangsu.gov.cn/）列入失信被执行人、重大税收违法案件当事人、政府采购严重失信行为的供应商参加投标。</w:t>
      </w:r>
    </w:p>
    <w:p w14:paraId="013C1AA2">
      <w:pPr>
        <w:spacing w:line="440" w:lineRule="exact"/>
        <w:ind w:left="1134"/>
        <w:rPr>
          <w:rFonts w:hint="eastAsia" w:ascii="宋体" w:hAnsi="宋体" w:cs="宋体"/>
          <w:color w:val="auto"/>
          <w:sz w:val="24"/>
          <w:szCs w:val="24"/>
          <w:highlight w:val="none"/>
        </w:rPr>
      </w:pPr>
      <w:r>
        <w:rPr>
          <w:rFonts w:hint="eastAsia" w:ascii="宋体" w:hAnsi="宋体" w:cs="宋体"/>
          <w:bCs/>
          <w:color w:val="auto"/>
          <w:sz w:val="24"/>
          <w:szCs w:val="24"/>
          <w:highlight w:val="none"/>
        </w:rPr>
        <w:t>2）投标</w:t>
      </w:r>
      <w:r>
        <w:rPr>
          <w:rFonts w:hint="eastAsia" w:ascii="宋体" w:hAnsi="宋体" w:cs="宋体"/>
          <w:color w:val="auto"/>
          <w:sz w:val="24"/>
          <w:szCs w:val="24"/>
          <w:highlight w:val="none"/>
        </w:rPr>
        <w:t>货物若为进口设备，投标人须提供</w:t>
      </w:r>
      <w:r>
        <w:rPr>
          <w:rFonts w:hint="eastAsia" w:ascii="宋体" w:hAnsi="宋体" w:cs="宋体"/>
          <w:bCs/>
          <w:color w:val="auto"/>
          <w:sz w:val="24"/>
          <w:szCs w:val="24"/>
          <w:highlight w:val="none"/>
        </w:rPr>
        <w:t>代理商/经销商证书</w:t>
      </w:r>
      <w:r>
        <w:rPr>
          <w:rFonts w:hint="eastAsia" w:ascii="宋体" w:hAnsi="宋体" w:cs="宋体"/>
          <w:color w:val="auto"/>
          <w:sz w:val="24"/>
          <w:szCs w:val="24"/>
          <w:highlight w:val="none"/>
        </w:rPr>
        <w:t>（代理授权书复印件，原件备查）或</w:t>
      </w:r>
      <w:r>
        <w:rPr>
          <w:rFonts w:hint="eastAsia" w:ascii="宋体" w:hAnsi="宋体" w:cs="宋体"/>
          <w:bCs/>
          <w:color w:val="auto"/>
          <w:sz w:val="24"/>
          <w:szCs w:val="24"/>
          <w:highlight w:val="none"/>
        </w:rPr>
        <w:t>制造商专项授权书（原件）；（本项目为院内采购项目，如无特别说明，均接受进口设备投标）</w:t>
      </w:r>
    </w:p>
    <w:p w14:paraId="447A6BB0">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3）投标产品按国家规定须医疗器械注册证的，投标人须提供投标产品的《医疗器械注册证》（复印件加盖公章）；</w:t>
      </w:r>
    </w:p>
    <w:p w14:paraId="15FCB928">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4）投标人为医疗器械经营企业的，须根据投标产品的类别，提供投标人的《医疗器械经营许可证》或者《二类医疗器械经营备案凭证》（复印件加盖公章）；</w:t>
      </w:r>
    </w:p>
    <w:p w14:paraId="05604DB3">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5）医疗器械生产企业投标本企业产品的，须提供《医疗器械生产许可证》（复印件加盖公章）；</w:t>
      </w:r>
    </w:p>
    <w:p w14:paraId="17A6629C">
      <w:pPr>
        <w:spacing w:line="440" w:lineRule="exact"/>
        <w:ind w:left="1134"/>
        <w:rPr>
          <w:rFonts w:hint="eastAsia" w:ascii="宋体" w:hAnsi="宋体" w:cs="宋体"/>
          <w:bCs/>
          <w:color w:val="auto"/>
          <w:sz w:val="24"/>
          <w:szCs w:val="24"/>
          <w:highlight w:val="none"/>
        </w:rPr>
      </w:pPr>
      <w:r>
        <w:rPr>
          <w:rFonts w:hint="eastAsia" w:ascii="宋体" w:hAnsi="宋体" w:cs="宋体"/>
          <w:bCs/>
          <w:color w:val="auto"/>
          <w:sz w:val="24"/>
          <w:szCs w:val="24"/>
          <w:highlight w:val="none"/>
        </w:rPr>
        <w:t>6）投标产品按国家规定须进行3C强制认证的，投标人须提供3C证书（复印件加盖公章）。</w:t>
      </w:r>
    </w:p>
    <w:p w14:paraId="29D78BCB">
      <w:pPr>
        <w:pStyle w:val="13"/>
        <w:spacing w:line="329" w:lineRule="auto"/>
        <w:ind w:left="1197" w:leftChars="570"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1B07F45">
      <w:pPr>
        <w:pStyle w:val="12"/>
        <w:tabs>
          <w:tab w:val="left" w:pos="1134"/>
        </w:tabs>
        <w:spacing w:line="360" w:lineRule="exact"/>
        <w:ind w:left="709" w:firstLine="0" w:firstLineChars="0"/>
        <w:outlineLvl w:val="1"/>
        <w:rPr>
          <w:rFonts w:hint="eastAsia" w:ascii="宋体" w:hAnsi="宋体" w:cs="宋体"/>
          <w:color w:val="auto"/>
          <w:sz w:val="24"/>
          <w:szCs w:val="24"/>
          <w:highlight w:val="none"/>
        </w:rPr>
      </w:pPr>
      <w:bookmarkStart w:id="9" w:name="_Toc26697"/>
      <w:r>
        <w:rPr>
          <w:rFonts w:hint="eastAsia" w:ascii="宋体" w:hAnsi="宋体" w:cs="宋体"/>
          <w:color w:val="auto"/>
          <w:sz w:val="24"/>
          <w:szCs w:val="24"/>
          <w:highlight w:val="none"/>
        </w:rPr>
        <w:t>三</w:t>
      </w:r>
      <w:bookmarkEnd w:id="9"/>
      <w:bookmarkStart w:id="10" w:name="_Toc2291"/>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和地点</w:t>
      </w:r>
      <w:r>
        <w:rPr>
          <w:rFonts w:hint="eastAsia" w:ascii="宋体" w:hAnsi="宋体" w:cs="宋体"/>
          <w:color w:val="auto"/>
          <w:sz w:val="24"/>
          <w:szCs w:val="24"/>
          <w:highlight w:val="none"/>
        </w:rPr>
        <w:t>、开标时间和地点</w:t>
      </w:r>
      <w:bookmarkEnd w:id="10"/>
    </w:p>
    <w:p w14:paraId="47504593">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5年7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0A8B2E15">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地点：南通市崇川区通甲路6号中江国际广场3号楼2106室。</w:t>
      </w:r>
    </w:p>
    <w:p w14:paraId="1FC2709E">
      <w:pPr>
        <w:pStyle w:val="12"/>
        <w:tabs>
          <w:tab w:val="left" w:pos="1134"/>
        </w:tabs>
        <w:spacing w:line="312" w:lineRule="auto"/>
        <w:ind w:left="708" w:firstLine="0" w:firstLineChars="0"/>
        <w:outlineLvl w:val="1"/>
        <w:rPr>
          <w:rFonts w:hint="eastAsia" w:ascii="宋体" w:hAnsi="宋体" w:cs="宋体"/>
          <w:color w:val="auto"/>
          <w:sz w:val="24"/>
          <w:szCs w:val="24"/>
          <w:highlight w:val="none"/>
        </w:rPr>
      </w:pPr>
      <w:bookmarkStart w:id="11" w:name="_Toc5544"/>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、公告期限</w:t>
      </w:r>
      <w:bookmarkEnd w:id="11"/>
    </w:p>
    <w:p w14:paraId="0D5303A6">
      <w:pPr>
        <w:pStyle w:val="12"/>
        <w:tabs>
          <w:tab w:val="left" w:pos="1134"/>
        </w:tabs>
        <w:spacing w:line="312" w:lineRule="auto"/>
        <w:ind w:left="1134"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bookmarkStart w:id="153" w:name="_GoBack"/>
      <w:bookmarkEnd w:id="153"/>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4912F536">
      <w:pPr>
        <w:pStyle w:val="12"/>
        <w:tabs>
          <w:tab w:val="left" w:pos="1276"/>
        </w:tabs>
        <w:spacing w:line="312" w:lineRule="auto"/>
        <w:ind w:left="720" w:firstLine="0" w:firstLineChars="0"/>
        <w:outlineLvl w:val="1"/>
        <w:rPr>
          <w:rFonts w:hint="eastAsia" w:ascii="宋体" w:hAnsi="宋体" w:cs="宋体"/>
          <w:color w:val="auto"/>
          <w:sz w:val="24"/>
          <w:szCs w:val="24"/>
          <w:highlight w:val="none"/>
        </w:rPr>
      </w:pPr>
      <w:bookmarkStart w:id="12" w:name="_Toc12830"/>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、其他补充事宜</w:t>
      </w:r>
      <w:bookmarkEnd w:id="12"/>
      <w:r>
        <w:rPr>
          <w:rFonts w:hint="eastAsia" w:ascii="宋体" w:hAnsi="宋体" w:cs="宋体"/>
          <w:color w:val="auto"/>
          <w:sz w:val="24"/>
          <w:szCs w:val="24"/>
          <w:highlight w:val="none"/>
        </w:rPr>
        <w:t>：无</w:t>
      </w:r>
    </w:p>
    <w:p w14:paraId="5C27E092">
      <w:pPr>
        <w:pStyle w:val="12"/>
        <w:numPr>
          <w:ilvl w:val="0"/>
          <w:numId w:val="0"/>
        </w:numPr>
        <w:tabs>
          <w:tab w:val="left" w:pos="1276"/>
        </w:tabs>
        <w:spacing w:line="312" w:lineRule="auto"/>
        <w:ind w:firstLine="720" w:firstLineChars="300"/>
        <w:outlineLvl w:val="1"/>
        <w:rPr>
          <w:rFonts w:hint="eastAsia" w:ascii="宋体" w:hAnsi="宋体" w:cs="宋体"/>
          <w:color w:val="auto"/>
          <w:sz w:val="24"/>
          <w:szCs w:val="24"/>
          <w:highlight w:val="none"/>
        </w:rPr>
      </w:pPr>
      <w:bookmarkStart w:id="13" w:name="_Toc10479"/>
      <w:r>
        <w:rPr>
          <w:rFonts w:hint="eastAsia" w:ascii="宋体" w:hAnsi="宋体" w:cs="宋体"/>
          <w:color w:val="auto"/>
          <w:kern w:val="2"/>
          <w:sz w:val="24"/>
          <w:szCs w:val="24"/>
          <w:lang w:val="en-US" w:eastAsia="zh-CN" w:bidi="ar-SA"/>
        </w:rPr>
        <w:t>六</w:t>
      </w:r>
      <w:r>
        <w:rPr>
          <w:rFonts w:hint="eastAsia" w:ascii="宋体" w:hAnsi="宋体" w:eastAsia="宋体" w:cs="宋体"/>
          <w:color w:val="auto"/>
          <w:kern w:val="2"/>
          <w:sz w:val="24"/>
          <w:szCs w:val="24"/>
          <w:lang w:val="en-US" w:eastAsia="zh-CN" w:bidi="ar-SA"/>
        </w:rPr>
        <w:t>、</w:t>
      </w:r>
      <w:r>
        <w:rPr>
          <w:rFonts w:hint="eastAsia" w:ascii="宋体" w:hAnsi="宋体" w:cs="宋体"/>
          <w:color w:val="auto"/>
          <w:sz w:val="24"/>
          <w:szCs w:val="24"/>
          <w:highlight w:val="none"/>
        </w:rPr>
        <w:t>对本次招标提出询问，请按以下方式联系。</w:t>
      </w:r>
      <w:bookmarkEnd w:id="13"/>
    </w:p>
    <w:p w14:paraId="05D149CE">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12D31CD1">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南通市海门区悦来镇卫生院</w:t>
      </w:r>
      <w:r>
        <w:rPr>
          <w:rFonts w:hint="eastAsia" w:ascii="宋体" w:hAnsi="宋体" w:cs="宋体"/>
          <w:color w:val="auto"/>
          <w:sz w:val="24"/>
          <w:szCs w:val="24"/>
          <w:highlight w:val="none"/>
        </w:rPr>
        <w:t xml:space="preserve">        </w:t>
      </w:r>
    </w:p>
    <w:p w14:paraId="7CD7E358">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sz w:val="24"/>
          <w:szCs w:val="24"/>
          <w:highlight w:val="none"/>
        </w:rPr>
        <w:t>地址：南通市海门区悦来镇三条桥路20号</w:t>
      </w:r>
      <w:r>
        <w:rPr>
          <w:rFonts w:hint="eastAsia" w:ascii="宋体" w:hAnsi="宋体" w:cs="宋体"/>
          <w:color w:val="auto"/>
          <w:kern w:val="0"/>
          <w:sz w:val="24"/>
          <w:szCs w:val="24"/>
          <w:highlight w:val="none"/>
          <w:shd w:val="clear" w:color="auto" w:fill="FFFFFF"/>
        </w:rPr>
        <w:t xml:space="preserve"> </w:t>
      </w:r>
    </w:p>
    <w:p w14:paraId="58411689">
      <w:pPr>
        <w:pStyle w:val="4"/>
        <w:ind w:left="840"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r>
        <w:rPr>
          <w:rFonts w:hint="eastAsia" w:ascii="宋体" w:hAnsi="宋体" w:eastAsia="宋体" w:cs="宋体"/>
          <w:color w:val="auto"/>
          <w:sz w:val="24"/>
          <w:szCs w:val="24"/>
          <w:highlight w:val="none"/>
          <w:lang w:val="en-US" w:eastAsia="zh-CN"/>
        </w:rPr>
        <w:t>王先生</w:t>
      </w:r>
      <w:r>
        <w:rPr>
          <w:rFonts w:hint="eastAsia" w:ascii="宋体" w:hAnsi="宋体" w:eastAsia="宋体" w:cs="宋体"/>
          <w:color w:val="auto"/>
          <w:sz w:val="24"/>
          <w:szCs w:val="24"/>
          <w:highlight w:val="none"/>
        </w:rPr>
        <w:t xml:space="preserve"> 0513-82842404</w:t>
      </w:r>
    </w:p>
    <w:p w14:paraId="1EA17B10">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2.采购</w:t>
      </w:r>
      <w:r>
        <w:rPr>
          <w:rFonts w:hint="eastAsia" w:ascii="宋体" w:hAnsi="宋体" w:cs="宋体"/>
          <w:color w:val="auto"/>
          <w:sz w:val="24"/>
          <w:szCs w:val="24"/>
          <w:highlight w:val="none"/>
        </w:rPr>
        <w:t>代理机构信息</w:t>
      </w:r>
    </w:p>
    <w:p w14:paraId="28328ECA">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名称：江苏弘业国际技术工程有限公司 </w:t>
      </w:r>
    </w:p>
    <w:p w14:paraId="50F4D00A">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sz w:val="24"/>
          <w:szCs w:val="24"/>
          <w:highlight w:val="none"/>
        </w:rPr>
        <w:t>地址：南京市中华路50号弘业大厦10楼</w:t>
      </w:r>
    </w:p>
    <w:p w14:paraId="495D712C">
      <w:pPr>
        <w:pStyle w:val="12"/>
        <w:tabs>
          <w:tab w:val="left" w:pos="1276"/>
        </w:tabs>
        <w:spacing w:line="312" w:lineRule="auto"/>
        <w:ind w:firstLine="1200" w:firstLineChars="5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联系方式：</w:t>
      </w:r>
      <w:r>
        <w:rPr>
          <w:rFonts w:ascii="宋体" w:hAnsi="宋体" w:cs="宋体"/>
          <w:color w:val="auto"/>
          <w:kern w:val="0"/>
          <w:sz w:val="24"/>
          <w:szCs w:val="24"/>
          <w:highlight w:val="none"/>
          <w:shd w:val="clear" w:color="auto" w:fill="FFFFFF"/>
        </w:rPr>
        <w:t>13515216336</w:t>
      </w:r>
    </w:p>
    <w:p w14:paraId="3BEAAC88">
      <w:pPr>
        <w:pStyle w:val="12"/>
        <w:tabs>
          <w:tab w:val="left" w:pos="1276"/>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传真：025-52278761</w:t>
      </w:r>
    </w:p>
    <w:p w14:paraId="774476AE">
      <w:pPr>
        <w:pStyle w:val="12"/>
        <w:tabs>
          <w:tab w:val="left" w:pos="1134"/>
        </w:tabs>
        <w:spacing w:line="312" w:lineRule="auto"/>
        <w:ind w:firstLine="1252" w:firstLineChars="522"/>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"mailto:hollyzbzy@artall.com"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hollyzbzy@artall.com</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 xml:space="preserve">  </w:t>
      </w:r>
    </w:p>
    <w:p w14:paraId="2901EEF7">
      <w:pPr>
        <w:pStyle w:val="12"/>
        <w:tabs>
          <w:tab w:val="left" w:pos="1134"/>
        </w:tabs>
        <w:spacing w:line="312" w:lineRule="auto"/>
        <w:ind w:firstLine="1252" w:firstLineChars="522"/>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项目联系方式</w:t>
      </w:r>
    </w:p>
    <w:p w14:paraId="239AF782">
      <w:pPr>
        <w:pStyle w:val="12"/>
        <w:tabs>
          <w:tab w:val="left" w:pos="1134"/>
        </w:tabs>
        <w:spacing w:line="312"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项目联系人：王苏琪        </w:t>
      </w:r>
    </w:p>
    <w:p w14:paraId="0E97DCDE">
      <w:pPr>
        <w:pStyle w:val="12"/>
        <w:tabs>
          <w:tab w:val="left" w:pos="1134"/>
        </w:tabs>
        <w:spacing w:line="312"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shd w:val="clear" w:color="auto" w:fill="FFFFFF"/>
        </w:rPr>
        <w:t>18352665859</w:t>
      </w:r>
    </w:p>
    <w:p w14:paraId="29BE2A5D">
      <w:pPr>
        <w:jc w:val="center"/>
        <w:rPr>
          <w:rFonts w:ascii="宋体" w:hAnsi="宋体" w:cs="宋体"/>
          <w:color w:val="auto"/>
          <w:sz w:val="24"/>
          <w:szCs w:val="24"/>
          <w:highlight w:val="none"/>
        </w:rPr>
      </w:pPr>
    </w:p>
    <w:p w14:paraId="00DF1987">
      <w:pPr>
        <w:jc w:val="center"/>
        <w:outlineLvl w:val="0"/>
        <w:rPr>
          <w:rFonts w:hint="eastAsia"/>
          <w:b/>
          <w:color w:val="auto"/>
          <w:sz w:val="44"/>
          <w:szCs w:val="44"/>
          <w:highlight w:val="none"/>
        </w:rPr>
      </w:pPr>
      <w:bookmarkStart w:id="14" w:name="_Toc1881"/>
      <w:r>
        <w:rPr>
          <w:rFonts w:ascii="宋体" w:hAnsi="宋体" w:cs="宋体"/>
          <w:color w:val="auto"/>
          <w:sz w:val="24"/>
          <w:szCs w:val="24"/>
          <w:highlight w:val="none"/>
        </w:rPr>
        <w:br w:type="page"/>
      </w:r>
      <w:r>
        <w:rPr>
          <w:rFonts w:hint="eastAsia"/>
          <w:b/>
          <w:color w:val="auto"/>
          <w:sz w:val="44"/>
          <w:szCs w:val="44"/>
          <w:highlight w:val="none"/>
        </w:rPr>
        <w:t>第二部分  投标人须知</w:t>
      </w:r>
      <w:bookmarkEnd w:id="14"/>
    </w:p>
    <w:p w14:paraId="32927098">
      <w:pPr>
        <w:pStyle w:val="3"/>
        <w:keepNext w:val="0"/>
        <w:keepLines w:val="0"/>
        <w:jc w:val="center"/>
        <w:rPr>
          <w:rFonts w:hint="eastAsia"/>
          <w:color w:val="auto"/>
          <w:highlight w:val="none"/>
        </w:rPr>
      </w:pPr>
      <w:bookmarkStart w:id="15" w:name="_Toc514054471"/>
      <w:bookmarkStart w:id="16" w:name="_Toc17705"/>
      <w:r>
        <w:rPr>
          <w:rFonts w:hint="eastAsia"/>
          <w:color w:val="auto"/>
          <w:highlight w:val="none"/>
        </w:rPr>
        <w:t>投标人须知前附表</w:t>
      </w:r>
      <w:bookmarkEnd w:id="15"/>
      <w:bookmarkEnd w:id="1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432"/>
        <w:gridCol w:w="6080"/>
      </w:tblGrid>
      <w:tr w14:paraId="09BE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7" w:type="dxa"/>
            <w:noWrap w:val="0"/>
            <w:vAlign w:val="center"/>
          </w:tcPr>
          <w:p w14:paraId="7C600A4B">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序号</w:t>
            </w:r>
          </w:p>
        </w:tc>
        <w:tc>
          <w:tcPr>
            <w:tcW w:w="2432" w:type="dxa"/>
            <w:noWrap w:val="0"/>
            <w:vAlign w:val="center"/>
          </w:tcPr>
          <w:p w14:paraId="672CD3CB">
            <w:pPr>
              <w:jc w:val="center"/>
              <w:rPr>
                <w:rFonts w:hint="eastAsia"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内容</w:t>
            </w:r>
          </w:p>
        </w:tc>
        <w:tc>
          <w:tcPr>
            <w:tcW w:w="6080" w:type="dxa"/>
            <w:noWrap w:val="0"/>
            <w:vAlign w:val="center"/>
          </w:tcPr>
          <w:p w14:paraId="24FD440E">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说明及要求</w:t>
            </w:r>
          </w:p>
        </w:tc>
      </w:tr>
      <w:tr w14:paraId="66CB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323FFD6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32" w:type="dxa"/>
            <w:noWrap w:val="0"/>
            <w:vAlign w:val="center"/>
          </w:tcPr>
          <w:p w14:paraId="72CE30D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特别说明</w:t>
            </w:r>
          </w:p>
        </w:tc>
        <w:tc>
          <w:tcPr>
            <w:tcW w:w="6080" w:type="dxa"/>
            <w:noWrap w:val="0"/>
            <w:vAlign w:val="center"/>
          </w:tcPr>
          <w:p w14:paraId="7A8EA9B8">
            <w:pPr>
              <w:rPr>
                <w:rFonts w:hint="eastAsia" w:ascii="宋体" w:hAnsi="宋体" w:cs="宋体"/>
                <w:color w:val="auto"/>
                <w:sz w:val="24"/>
                <w:szCs w:val="24"/>
                <w:highlight w:val="none"/>
              </w:rPr>
            </w:pPr>
            <w:r>
              <w:rPr>
                <w:rFonts w:hint="eastAsia" w:ascii="宋体" w:hAnsi="宋体" w:cs="宋体"/>
                <w:b/>
                <w:bCs/>
                <w:color w:val="auto"/>
                <w:sz w:val="24"/>
                <w:szCs w:val="24"/>
                <w:highlight w:val="none"/>
              </w:rPr>
              <w:t>若有内容与投标人须知前附表内容不一致时，以投标人须知前附表为准。</w:t>
            </w:r>
          </w:p>
        </w:tc>
      </w:tr>
      <w:tr w14:paraId="4C0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07" w:type="dxa"/>
            <w:noWrap w:val="0"/>
            <w:vAlign w:val="center"/>
          </w:tcPr>
          <w:p w14:paraId="5A8F603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432" w:type="dxa"/>
            <w:noWrap w:val="0"/>
            <w:vAlign w:val="center"/>
          </w:tcPr>
          <w:p w14:paraId="671CEAF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080" w:type="dxa"/>
            <w:noWrap w:val="0"/>
            <w:vAlign w:val="center"/>
          </w:tcPr>
          <w:p w14:paraId="51B336B5">
            <w:pPr>
              <w:rPr>
                <w:rFonts w:ascii="宋体" w:hAnsi="宋体" w:cs="宋体"/>
                <w:color w:val="auto"/>
                <w:sz w:val="24"/>
                <w:szCs w:val="24"/>
                <w:highlight w:val="none"/>
              </w:rPr>
            </w:pPr>
            <w:r>
              <w:rPr>
                <w:rFonts w:hint="eastAsia" w:ascii="宋体" w:hAnsi="宋体" w:cs="宋体"/>
                <w:color w:val="auto"/>
                <w:sz w:val="24"/>
                <w:szCs w:val="24"/>
                <w:highlight w:val="none"/>
              </w:rPr>
              <w:t>本项目不收取投标保证金</w:t>
            </w:r>
          </w:p>
        </w:tc>
      </w:tr>
      <w:tr w14:paraId="279F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7" w:type="dxa"/>
            <w:noWrap w:val="0"/>
            <w:vAlign w:val="center"/>
          </w:tcPr>
          <w:p w14:paraId="268B8DE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432" w:type="dxa"/>
            <w:noWrap w:val="0"/>
            <w:vAlign w:val="center"/>
          </w:tcPr>
          <w:p w14:paraId="12C1A74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080" w:type="dxa"/>
            <w:noWrap w:val="0"/>
            <w:vAlign w:val="center"/>
          </w:tcPr>
          <w:p w14:paraId="5AB6B889">
            <w:pPr>
              <w:widowControl/>
              <w:rPr>
                <w:rFonts w:hint="eastAsia" w:ascii="宋体" w:hAnsi="宋体" w:cs="宋体"/>
                <w:color w:val="auto"/>
                <w:sz w:val="24"/>
                <w:szCs w:val="24"/>
                <w:highlight w:val="none"/>
              </w:rPr>
            </w:pPr>
            <w:bookmarkStart w:id="17" w:name="EBd40b5fb42f2944a3b45e579ce3941f02"/>
            <w:r>
              <w:rPr>
                <w:rFonts w:hint="eastAsia" w:ascii="宋体" w:hAnsi="宋体" w:cs="宋体"/>
                <w:color w:val="auto"/>
                <w:sz w:val="24"/>
                <w:szCs w:val="24"/>
                <w:highlight w:val="none"/>
              </w:rPr>
              <w:t>90</w:t>
            </w:r>
            <w:bookmarkEnd w:id="17"/>
            <w:r>
              <w:rPr>
                <w:rFonts w:hint="eastAsia" w:ascii="宋体" w:hAnsi="宋体" w:cs="宋体"/>
                <w:color w:val="auto"/>
                <w:sz w:val="24"/>
                <w:szCs w:val="24"/>
                <w:highlight w:val="none"/>
              </w:rPr>
              <w:t>日（从提交投标文件截止之日起算）</w:t>
            </w:r>
          </w:p>
        </w:tc>
      </w:tr>
      <w:tr w14:paraId="5769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4B3D6F6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432" w:type="dxa"/>
            <w:noWrap w:val="0"/>
            <w:vAlign w:val="center"/>
          </w:tcPr>
          <w:p w14:paraId="6900F9A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投标文件份数</w:t>
            </w:r>
          </w:p>
        </w:tc>
        <w:tc>
          <w:tcPr>
            <w:tcW w:w="6080" w:type="dxa"/>
            <w:noWrap w:val="0"/>
            <w:vAlign w:val="center"/>
          </w:tcPr>
          <w:p w14:paraId="69DF57E5">
            <w:pPr>
              <w:widowControl/>
              <w:rPr>
                <w:rFonts w:hint="eastAsia" w:ascii="宋体" w:hAnsi="宋体" w:cs="宋体"/>
                <w:color w:val="auto"/>
                <w:sz w:val="24"/>
                <w:szCs w:val="24"/>
                <w:highlight w:val="none"/>
              </w:rPr>
            </w:pPr>
            <w:r>
              <w:rPr>
                <w:rFonts w:hint="eastAsia" w:ascii="宋体" w:hAnsi="宋体" w:cs="宋体"/>
                <w:b/>
                <w:bCs/>
                <w:color w:val="auto"/>
                <w:sz w:val="24"/>
                <w:szCs w:val="24"/>
                <w:highlight w:val="none"/>
              </w:rPr>
              <w:t>正本1份，副本</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w:t>
            </w:r>
            <w:r>
              <w:rPr>
                <w:rFonts w:hint="eastAsia" w:ascii="宋体" w:hAnsi="宋体" w:cs="宋体"/>
                <w:color w:val="auto"/>
                <w:sz w:val="24"/>
                <w:szCs w:val="24"/>
                <w:highlight w:val="none"/>
              </w:rPr>
              <w:t>，电子版文件1份（盖章的pdf扫描件U盘 ）。</w:t>
            </w:r>
          </w:p>
        </w:tc>
      </w:tr>
      <w:tr w14:paraId="7A2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1007" w:type="dxa"/>
            <w:noWrap w:val="0"/>
            <w:vAlign w:val="center"/>
          </w:tcPr>
          <w:p w14:paraId="5FB9013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432" w:type="dxa"/>
            <w:noWrap w:val="0"/>
            <w:vAlign w:val="center"/>
          </w:tcPr>
          <w:p w14:paraId="700B248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投标文件的装订、密封及标记</w:t>
            </w:r>
          </w:p>
        </w:tc>
        <w:tc>
          <w:tcPr>
            <w:tcW w:w="6080" w:type="dxa"/>
            <w:noWrap w:val="0"/>
            <w:vAlign w:val="center"/>
          </w:tcPr>
          <w:p w14:paraId="348A564D">
            <w:pPr>
              <w:numPr>
                <w:ilvl w:val="0"/>
                <w:numId w:val="1"/>
              </w:numPr>
              <w:rPr>
                <w:rFonts w:hint="eastAsia" w:ascii="宋体" w:hAnsi="宋体" w:cs="宋体"/>
                <w:color w:val="auto"/>
                <w:sz w:val="24"/>
                <w:szCs w:val="24"/>
                <w:highlight w:val="none"/>
              </w:rPr>
            </w:pPr>
            <w:r>
              <w:rPr>
                <w:rFonts w:hint="eastAsia" w:ascii="宋体" w:hAnsi="宋体" w:cs="宋体"/>
                <w:b/>
                <w:bCs/>
                <w:color w:val="auto"/>
                <w:sz w:val="24"/>
                <w:szCs w:val="24"/>
                <w:highlight w:val="none"/>
              </w:rPr>
              <w:t>投标文件必须装订成册。</w:t>
            </w:r>
          </w:p>
          <w:p w14:paraId="6B4C3DB8">
            <w:pPr>
              <w:numPr>
                <w:ilvl w:val="0"/>
                <w:numId w:val="1"/>
              </w:numPr>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、“电子投标文件”均应单独密封，单独递交。</w:t>
            </w:r>
          </w:p>
          <w:p w14:paraId="38AD59D6">
            <w:pPr>
              <w:numPr>
                <w:ilvl w:val="0"/>
                <w:numId w:val="1"/>
              </w:numPr>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、“电子投标文件”在封套上注明“开标一览表</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、“投标文件正本”、“投标文件副本”、“电子投标文件”。</w:t>
            </w:r>
          </w:p>
          <w:p w14:paraId="6F834B28">
            <w:pPr>
              <w:numPr>
                <w:ilvl w:val="0"/>
                <w:numId w:val="1"/>
              </w:numPr>
              <w:rPr>
                <w:rFonts w:hint="eastAsia" w:ascii="宋体" w:hAnsi="宋体" w:cs="宋体"/>
                <w:color w:val="auto"/>
                <w:sz w:val="24"/>
                <w:szCs w:val="24"/>
                <w:highlight w:val="none"/>
              </w:rPr>
            </w:pPr>
            <w:r>
              <w:rPr>
                <w:rFonts w:hint="eastAsia" w:ascii="宋体" w:hAnsi="宋体" w:cs="宋体"/>
                <w:color w:val="auto"/>
                <w:sz w:val="24"/>
                <w:szCs w:val="24"/>
                <w:highlight w:val="none"/>
              </w:rPr>
              <w:t>所有封套上均须按如下格式写明：</w:t>
            </w:r>
          </w:p>
          <w:p w14:paraId="036FEDF2">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采购文件编号：</w:t>
            </w:r>
          </w:p>
          <w:p w14:paraId="1A5A87B6">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采购项目名称：</w:t>
            </w:r>
          </w:p>
          <w:p w14:paraId="2E950AE0">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投标人的全称、地址、邮编和电话。</w:t>
            </w:r>
          </w:p>
          <w:p w14:paraId="7041AA7D">
            <w:pPr>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并写明“在（投标截止时间）之前不得启封”字样。</w:t>
            </w:r>
          </w:p>
          <w:p w14:paraId="609961F5">
            <w:pPr>
              <w:numPr>
                <w:ilvl w:val="0"/>
                <w:numId w:val="1"/>
              </w:numPr>
              <w:rPr>
                <w:rFonts w:hint="eastAsia" w:ascii="宋体" w:hAnsi="宋体" w:cs="宋体"/>
                <w:color w:val="auto"/>
                <w:sz w:val="24"/>
                <w:szCs w:val="24"/>
                <w:highlight w:val="none"/>
              </w:rPr>
            </w:pPr>
            <w:r>
              <w:rPr>
                <w:rFonts w:hint="eastAsia" w:ascii="宋体" w:hAnsi="宋体" w:cs="宋体"/>
                <w:color w:val="auto"/>
                <w:sz w:val="24"/>
                <w:szCs w:val="24"/>
                <w:highlight w:val="none"/>
              </w:rPr>
              <w:t>未按上述规定密封的投标文件,采购代理机构将拒绝接收。</w:t>
            </w:r>
          </w:p>
        </w:tc>
      </w:tr>
      <w:tr w14:paraId="3C68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07" w:type="dxa"/>
            <w:tcBorders>
              <w:bottom w:val="single" w:color="auto" w:sz="4" w:space="0"/>
            </w:tcBorders>
            <w:noWrap w:val="0"/>
            <w:vAlign w:val="center"/>
          </w:tcPr>
          <w:p w14:paraId="64462F1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432" w:type="dxa"/>
            <w:noWrap w:val="0"/>
            <w:vAlign w:val="center"/>
          </w:tcPr>
          <w:p w14:paraId="5E88A42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6080" w:type="dxa"/>
            <w:noWrap w:val="0"/>
            <w:vAlign w:val="center"/>
          </w:tcPr>
          <w:p w14:paraId="6E4941DC">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综合评分法</w:t>
            </w:r>
          </w:p>
          <w:p w14:paraId="6460B2DD">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具体评标办法详见招标文件第三部分。</w:t>
            </w:r>
          </w:p>
          <w:p w14:paraId="74E2F6B9">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评标委员会按照招标文件规定的评标办法和标准，确定各投标人经评审后的得分，并按得分由高到低进行排序。</w:t>
            </w:r>
          </w:p>
        </w:tc>
      </w:tr>
      <w:tr w14:paraId="42E6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 w:type="dxa"/>
            <w:noWrap w:val="0"/>
            <w:vAlign w:val="center"/>
          </w:tcPr>
          <w:p w14:paraId="79D4803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432" w:type="dxa"/>
            <w:noWrap w:val="0"/>
            <w:vAlign w:val="center"/>
          </w:tcPr>
          <w:p w14:paraId="204C93B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中标通知书领取</w:t>
            </w:r>
          </w:p>
        </w:tc>
        <w:tc>
          <w:tcPr>
            <w:tcW w:w="6080" w:type="dxa"/>
            <w:noWrap w:val="0"/>
            <w:vAlign w:val="center"/>
          </w:tcPr>
          <w:p w14:paraId="3243AD1A">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领取地址：南通市崇川区通甲路6号中江国际广场3号楼2106室。</w:t>
            </w:r>
          </w:p>
          <w:p w14:paraId="1B5774FA">
            <w:pPr>
              <w:widowControl/>
              <w:rPr>
                <w:rFonts w:ascii="宋体" w:hAnsi="宋体" w:cs="宋体"/>
                <w:color w:val="auto"/>
                <w:sz w:val="24"/>
                <w:szCs w:val="24"/>
                <w:highlight w:val="none"/>
              </w:rPr>
            </w:pPr>
            <w:r>
              <w:rPr>
                <w:rFonts w:hint="eastAsia" w:ascii="宋体" w:hAnsi="宋体" w:cs="宋体"/>
                <w:color w:val="auto"/>
                <w:sz w:val="24"/>
                <w:szCs w:val="24"/>
                <w:highlight w:val="none"/>
              </w:rPr>
              <w:t>需提供材料：中标服务费缴纳水单截图。</w:t>
            </w:r>
          </w:p>
        </w:tc>
      </w:tr>
      <w:tr w14:paraId="2B1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07" w:type="dxa"/>
            <w:noWrap w:val="0"/>
            <w:vAlign w:val="center"/>
          </w:tcPr>
          <w:p w14:paraId="7260790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432" w:type="dxa"/>
            <w:noWrap w:val="0"/>
            <w:vAlign w:val="center"/>
          </w:tcPr>
          <w:p w14:paraId="5177A9A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中标服务费的收取</w:t>
            </w:r>
          </w:p>
        </w:tc>
        <w:tc>
          <w:tcPr>
            <w:tcW w:w="6080" w:type="dxa"/>
            <w:noWrap w:val="0"/>
            <w:vAlign w:val="center"/>
          </w:tcPr>
          <w:p w14:paraId="7504A138">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中标服务费按发改价格〔2011〕534号文、国家计价格〔2002〕1980号《招标代理服务收费管理暂行办法》规定标准向成交供应商收取，不足2000元的按2000元收取；由采购代理机构开具发票与成交供应商结算。</w:t>
            </w:r>
          </w:p>
          <w:p w14:paraId="37F3BA0A">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账户信息：</w:t>
            </w:r>
          </w:p>
          <w:p w14:paraId="7B52C653">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户    名：江苏弘业国际技术工程有限公司</w:t>
            </w:r>
          </w:p>
          <w:p w14:paraId="1032FB94">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开户银行：中国银行南京市中华路支行   </w:t>
            </w:r>
          </w:p>
          <w:p w14:paraId="41EE9E93">
            <w:pPr>
              <w:widowControl/>
              <w:rPr>
                <w:rFonts w:hint="eastAsia"/>
                <w:color w:val="auto"/>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    号：527460884999</w:t>
            </w:r>
          </w:p>
        </w:tc>
      </w:tr>
      <w:tr w14:paraId="2BB1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7" w:type="dxa"/>
            <w:noWrap w:val="0"/>
            <w:vAlign w:val="center"/>
          </w:tcPr>
          <w:p w14:paraId="5B01A25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432" w:type="dxa"/>
            <w:noWrap w:val="0"/>
            <w:vAlign w:val="center"/>
          </w:tcPr>
          <w:p w14:paraId="079579D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080" w:type="dxa"/>
            <w:noWrap w:val="0"/>
            <w:vAlign w:val="center"/>
          </w:tcPr>
          <w:p w14:paraId="3FFFC227">
            <w:pPr>
              <w:rPr>
                <w:rFonts w:hint="eastAsia"/>
                <w:color w:val="auto"/>
                <w:highlight w:val="none"/>
              </w:rPr>
            </w:pPr>
            <w:r>
              <w:rPr>
                <w:rFonts w:hint="eastAsia" w:ascii="宋体" w:hAnsi="宋体" w:cs="宋体"/>
                <w:color w:val="auto"/>
                <w:sz w:val="24"/>
                <w:szCs w:val="24"/>
                <w:highlight w:val="none"/>
              </w:rPr>
              <w:t>本项目不收取履约保证金。</w:t>
            </w:r>
          </w:p>
        </w:tc>
      </w:tr>
      <w:tr w14:paraId="2DDF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07" w:type="dxa"/>
            <w:noWrap w:val="0"/>
            <w:vAlign w:val="center"/>
          </w:tcPr>
          <w:p w14:paraId="44E19FD4">
            <w:pPr>
              <w:jc w:val="center"/>
              <w:rPr>
                <w:rFonts w:ascii="宋体" w:hAnsi="宋体" w:cs="宋体"/>
                <w:color w:val="auto"/>
                <w:sz w:val="24"/>
                <w:szCs w:val="24"/>
                <w:highlight w:val="none"/>
              </w:rPr>
            </w:pPr>
            <w:bookmarkStart w:id="18" w:name="_Toc25522"/>
            <w:bookmarkStart w:id="19" w:name="_Toc514054472"/>
            <w:r>
              <w:rPr>
                <w:rFonts w:hint="eastAsia" w:ascii="宋体" w:hAnsi="宋体" w:cs="宋体"/>
                <w:color w:val="auto"/>
                <w:sz w:val="24"/>
                <w:szCs w:val="24"/>
                <w:highlight w:val="none"/>
              </w:rPr>
              <w:t>10</w:t>
            </w:r>
          </w:p>
        </w:tc>
        <w:tc>
          <w:tcPr>
            <w:tcW w:w="2432" w:type="dxa"/>
            <w:noWrap w:val="0"/>
            <w:vAlign w:val="center"/>
          </w:tcPr>
          <w:p w14:paraId="58CCAD1D">
            <w:pPr>
              <w:jc w:val="center"/>
              <w:rPr>
                <w:rFonts w:ascii="宋体" w:hAnsi="宋体" w:cs="宋体"/>
                <w:color w:val="auto"/>
                <w:sz w:val="24"/>
                <w:szCs w:val="24"/>
                <w:highlight w:val="none"/>
              </w:rPr>
            </w:pPr>
            <w:r>
              <w:rPr>
                <w:rFonts w:hint="eastAsia" w:ascii="宋体" w:hAnsi="宋体" w:cs="宋体"/>
                <w:color w:val="auto"/>
                <w:sz w:val="24"/>
                <w:szCs w:val="24"/>
                <w:highlight w:val="none"/>
              </w:rPr>
              <w:t>采购标的所属行业</w:t>
            </w:r>
          </w:p>
        </w:tc>
        <w:tc>
          <w:tcPr>
            <w:tcW w:w="6080" w:type="dxa"/>
            <w:noWrap w:val="0"/>
            <w:vAlign w:val="center"/>
          </w:tcPr>
          <w:p w14:paraId="575BCAC3">
            <w:pPr>
              <w:rPr>
                <w:rFonts w:hint="eastAsia" w:ascii="宋体" w:hAnsi="宋体" w:cs="宋体"/>
                <w:color w:val="auto"/>
                <w:sz w:val="24"/>
                <w:szCs w:val="24"/>
                <w:highlight w:val="none"/>
              </w:rPr>
            </w:pPr>
            <w:r>
              <w:rPr>
                <w:rFonts w:hint="eastAsia" w:ascii="宋体" w:hAnsi="宋体" w:cs="宋体"/>
                <w:color w:val="auto"/>
                <w:sz w:val="24"/>
                <w:szCs w:val="24"/>
                <w:highlight w:val="none"/>
              </w:rPr>
              <w:t>本项目采购标的对应的行业主要为</w:t>
            </w:r>
            <w:r>
              <w:rPr>
                <w:rFonts w:hint="eastAsia" w:ascii="宋体" w:hAnsi="宋体" w:cs="宋体"/>
                <w:color w:val="auto"/>
                <w:sz w:val="24"/>
                <w:szCs w:val="24"/>
                <w:highlight w:val="none"/>
                <w:u w:val="single"/>
              </w:rPr>
              <w:t>工业</w:t>
            </w:r>
            <w:r>
              <w:rPr>
                <w:rFonts w:hint="eastAsia" w:ascii="宋体" w:hAnsi="宋体" w:cs="宋体"/>
                <w:color w:val="auto"/>
                <w:sz w:val="24"/>
                <w:szCs w:val="24"/>
                <w:highlight w:val="none"/>
              </w:rPr>
              <w:t>。</w:t>
            </w:r>
          </w:p>
        </w:tc>
      </w:tr>
    </w:tbl>
    <w:p w14:paraId="5B06BF74">
      <w:pPr>
        <w:pStyle w:val="14"/>
        <w:outlineLvl w:val="1"/>
        <w:rPr>
          <w:rFonts w:hint="eastAsia" w:ascii="宋体" w:hAnsi="宋体" w:eastAsia="宋体" w:cs="宋体"/>
          <w:color w:val="auto"/>
          <w:highlight w:val="none"/>
        </w:rPr>
      </w:pPr>
      <w:r>
        <w:rPr>
          <w:rFonts w:hint="eastAsia" w:ascii="宋体" w:hAnsi="宋体" w:eastAsia="宋体" w:cs="宋体"/>
          <w:color w:val="auto"/>
          <w:highlight w:val="none"/>
        </w:rPr>
        <w:t>一、总 则</w:t>
      </w:r>
      <w:bookmarkEnd w:id="18"/>
      <w:bookmarkEnd w:id="19"/>
    </w:p>
    <w:p w14:paraId="1157B38E">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1、采购方式</w:t>
      </w:r>
    </w:p>
    <w:p w14:paraId="725107DB">
      <w:pPr>
        <w:pStyle w:val="5"/>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本项目采购方式为院内招标采购。</w:t>
      </w:r>
    </w:p>
    <w:p w14:paraId="01C8DCE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2、合格的投标人</w:t>
      </w:r>
    </w:p>
    <w:p w14:paraId="021A3223">
      <w:pPr>
        <w:spacing w:line="500" w:lineRule="exact"/>
        <w:ind w:firstLine="480" w:firstLineChars="200"/>
        <w:rPr>
          <w:rFonts w:hint="eastAsia" w:ascii="宋体" w:hAnsi="宋体" w:cs="宋体"/>
          <w:color w:val="auto"/>
          <w:sz w:val="24"/>
          <w:highlight w:val="none"/>
          <w:shd w:val="clear" w:color="auto" w:fill="FFC000"/>
        </w:rPr>
      </w:pPr>
      <w:r>
        <w:rPr>
          <w:rFonts w:hint="eastAsia" w:ascii="宋体" w:hAnsi="宋体" w:cs="宋体"/>
          <w:color w:val="auto"/>
          <w:sz w:val="24"/>
          <w:highlight w:val="none"/>
        </w:rPr>
        <w:t>2.1合格的投标人必须是有能力按照本招标文件规定的要求提供设备和相关服务，且具有独立承担民事等法律责任的法人或其它经济组织。</w:t>
      </w:r>
    </w:p>
    <w:p w14:paraId="29B2E13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2.2合格的投标人必须符合招标文件第一部分《招标公告》第二条及须知前附表相关规定，且具备独立完成本项目的</w:t>
      </w:r>
      <w:r>
        <w:rPr>
          <w:rFonts w:hint="eastAsia" w:ascii="宋体" w:hAnsi="宋体" w:cs="宋体"/>
          <w:color w:val="auto"/>
          <w:kern w:val="10"/>
          <w:sz w:val="24"/>
          <w:highlight w:val="none"/>
        </w:rPr>
        <w:t>能</w:t>
      </w:r>
      <w:r>
        <w:rPr>
          <w:rFonts w:hint="eastAsia" w:ascii="宋体" w:hAnsi="宋体" w:cs="宋体"/>
          <w:color w:val="auto"/>
          <w:sz w:val="24"/>
          <w:highlight w:val="none"/>
        </w:rPr>
        <w:t>力，中标后不允许分包、转包。</w:t>
      </w:r>
    </w:p>
    <w:p w14:paraId="5B3D236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2.3合格的投标人应遵守《中华人民共和国政府采购法》、《中华人民共和国政府采购法实施条例》、《中华人民共和国民法典》等有关法律、法规。</w:t>
      </w:r>
    </w:p>
    <w:p w14:paraId="0DB023F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3、适用法律</w:t>
      </w:r>
    </w:p>
    <w:p w14:paraId="7C9D4E0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本次招标及由本次招标产生的合同受中华人民共和国的相关法律、法规制约和保护。</w:t>
      </w:r>
    </w:p>
    <w:p w14:paraId="524494A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4、投标费用</w:t>
      </w:r>
    </w:p>
    <w:p w14:paraId="7182147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投标人应自行承担所有参加投标有关的费用。</w:t>
      </w:r>
    </w:p>
    <w:p w14:paraId="598CFAD5">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5、招标文件的约束力</w:t>
      </w:r>
    </w:p>
    <w:p w14:paraId="29D7030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投标人一旦参加本项目投标，即被认为接受了本招标文件的所有条件和规定</w:t>
      </w:r>
      <w:r>
        <w:rPr>
          <w:rFonts w:hint="eastAsia" w:ascii="宋体" w:hAnsi="宋体" w:cs="宋体"/>
          <w:color w:val="auto"/>
          <w:sz w:val="24"/>
          <w:highlight w:val="none"/>
        </w:rPr>
        <w:t>。</w:t>
      </w:r>
    </w:p>
    <w:p w14:paraId="75290DEA">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6、相同品牌产品投标</w:t>
      </w:r>
    </w:p>
    <w:p w14:paraId="4EF4A4E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64E9FCD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14:paraId="29848D21">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6.3、非单一产品采购项目，采购人确定核心产品，并在招标文件中载明。多家投标人提供的核心产品品牌全部相同的，按前两款规定处理。</w:t>
      </w:r>
    </w:p>
    <w:p w14:paraId="661B598B">
      <w:pPr>
        <w:pStyle w:val="14"/>
        <w:outlineLvl w:val="1"/>
        <w:rPr>
          <w:rFonts w:hint="eastAsia" w:ascii="宋体" w:hAnsi="宋体" w:eastAsia="宋体" w:cs="宋体"/>
          <w:color w:val="auto"/>
          <w:highlight w:val="none"/>
        </w:rPr>
      </w:pPr>
      <w:bookmarkStart w:id="20" w:name="_Toc21335"/>
      <w:bookmarkStart w:id="21" w:name="_Toc514054473"/>
      <w:r>
        <w:rPr>
          <w:rFonts w:hint="eastAsia" w:ascii="宋体" w:hAnsi="宋体" w:eastAsia="宋体" w:cs="宋体"/>
          <w:color w:val="auto"/>
          <w:highlight w:val="none"/>
        </w:rPr>
        <w:t>二、招标文件</w:t>
      </w:r>
      <w:bookmarkEnd w:id="20"/>
      <w:bookmarkEnd w:id="21"/>
    </w:p>
    <w:p w14:paraId="32279EE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7、招标文件构成</w:t>
      </w:r>
    </w:p>
    <w:p w14:paraId="0E98A22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第一部分：招标公告；</w:t>
      </w:r>
    </w:p>
    <w:p w14:paraId="4D1CE79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第二部分：投标人须知； </w:t>
      </w:r>
    </w:p>
    <w:p w14:paraId="47D27FA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第三部分：资格审查及评分办法；</w:t>
      </w:r>
    </w:p>
    <w:p w14:paraId="7900CC0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第四部分：采购需求；</w:t>
      </w:r>
    </w:p>
    <w:p w14:paraId="71F0AB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第五部分：合同格式及条款；</w:t>
      </w:r>
    </w:p>
    <w:p w14:paraId="2869F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第六部分：投标文件格式。</w:t>
      </w:r>
    </w:p>
    <w:p w14:paraId="798BF3E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8、招标文件的澄清</w:t>
      </w:r>
    </w:p>
    <w:p w14:paraId="60849D3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任何要求对招标文件澄清的投标人，均应在法律法规规定的时间内提出，采购代理机构对规定时间内收到的澄清要求予以答复，答复不包括问题的来源。</w:t>
      </w:r>
    </w:p>
    <w:p w14:paraId="3ACABBF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9、招标文件的修改</w:t>
      </w:r>
    </w:p>
    <w:p w14:paraId="0BC3B2C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9.1在投标文件接收截止日期</w:t>
      </w:r>
      <w:r>
        <w:rPr>
          <w:rFonts w:ascii="宋体" w:hAnsi="宋体" w:cs="宋体"/>
          <w:color w:val="auto"/>
          <w:sz w:val="24"/>
          <w:highlight w:val="none"/>
        </w:rPr>
        <w:t>5</w:t>
      </w:r>
      <w:r>
        <w:rPr>
          <w:rFonts w:hint="eastAsia" w:ascii="宋体" w:hAnsi="宋体" w:cs="宋体"/>
          <w:color w:val="auto"/>
          <w:sz w:val="24"/>
          <w:highlight w:val="none"/>
        </w:rPr>
        <w:t>日前，采购代理机构可以更正公告或补充文件的形式对招标文件进行修改。</w:t>
      </w:r>
    </w:p>
    <w:p w14:paraId="6D3032DD">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9.2招标文件的修改将以通过邮件通知所有已获取招标文件的投标人，并对投标人具有约束力。投标人收到修改文件后，应于1个工作日内予以确认，逾期未确认的，视同已收。 </w:t>
      </w:r>
    </w:p>
    <w:p w14:paraId="037C0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9.3为使投标人有充分的时间对招标文件的修改部分进行分析、研究，采购代理机构有权推迟投标文件接收截止日期和开标日期，并将此变更通知所有已获取招标文件的投标人。</w:t>
      </w:r>
    </w:p>
    <w:p w14:paraId="21CD5540">
      <w:pPr>
        <w:spacing w:line="5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 xml:space="preserve">9.4采购代理机构发出的所有补充、修改和变更文件均作为招标文件的组成部分，与招标文件具有同等法律效力。 </w:t>
      </w:r>
      <w:bookmarkStart w:id="22" w:name="EB453bde7f4ddc418fae2aad9fbcd82554"/>
      <w:r>
        <w:rPr>
          <w:rFonts w:hint="eastAsia" w:ascii="宋体" w:hAnsi="宋体" w:cs="宋体"/>
          <w:color w:val="auto"/>
          <w:sz w:val="20"/>
          <w:highlight w:val="none"/>
        </w:rPr>
        <w:t xml:space="preserve"> </w:t>
      </w:r>
      <w:bookmarkEnd w:id="22"/>
      <w:bookmarkStart w:id="23" w:name="EBec71fc1696a240c4b620fe1e00b2ce58"/>
      <w:r>
        <w:rPr>
          <w:rFonts w:hint="eastAsia" w:ascii="宋体" w:hAnsi="宋体" w:cs="宋体"/>
          <w:color w:val="auto"/>
          <w:sz w:val="20"/>
          <w:highlight w:val="none"/>
        </w:rPr>
        <w:t xml:space="preserve"> </w:t>
      </w:r>
      <w:bookmarkEnd w:id="23"/>
    </w:p>
    <w:p w14:paraId="17815AA3">
      <w:pPr>
        <w:pStyle w:val="14"/>
        <w:outlineLvl w:val="1"/>
        <w:rPr>
          <w:rFonts w:hint="eastAsia" w:ascii="宋体" w:hAnsi="宋体" w:eastAsia="宋体" w:cs="宋体"/>
          <w:color w:val="auto"/>
          <w:highlight w:val="none"/>
        </w:rPr>
      </w:pPr>
      <w:bookmarkStart w:id="24" w:name="_Toc514054474"/>
      <w:bookmarkStart w:id="25" w:name="_Toc26908"/>
      <w:r>
        <w:rPr>
          <w:rFonts w:hint="eastAsia" w:ascii="宋体" w:hAnsi="宋体" w:eastAsia="宋体" w:cs="宋体"/>
          <w:color w:val="auto"/>
          <w:highlight w:val="none"/>
        </w:rPr>
        <w:t>三、投标文件的编制</w:t>
      </w:r>
      <w:bookmarkEnd w:id="24"/>
      <w:bookmarkEnd w:id="25"/>
    </w:p>
    <w:p w14:paraId="616304A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10、投标文件的编制要求</w:t>
      </w:r>
    </w:p>
    <w:p w14:paraId="5666164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投标人应仔细阅读“招标文件”的所有内容，按“招标文件”第六部分“投标文件格式”编制投标文件，如有必要，可以增加附页，作为投标文件的组成部分。投标人须保证所提供的全部资料的真实性、完整性及有效性，以使其投标对“招标文件”作出实质性响应。否则，可能被拒绝。</w:t>
      </w:r>
    </w:p>
    <w:p w14:paraId="3D6BEAE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10.2投标文件应当对招标文件有关交货期、投标有效期、质量要求、技术标准和要求、招标范围、付款方式等实质性内容作出响应。</w:t>
      </w:r>
    </w:p>
    <w:p w14:paraId="4550598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 投标文件须加盖公章之处，应按要求加盖投标单位法人公章（未加盖投标单位法人公章或加盖的为非投标单位法人公章的投标文件将被拒绝。）</w:t>
      </w:r>
    </w:p>
    <w:p w14:paraId="793F890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11、投标文件构成</w:t>
      </w:r>
    </w:p>
    <w:p w14:paraId="71D7DA9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11.1资格证明文件；</w:t>
      </w:r>
    </w:p>
    <w:p w14:paraId="1E8F12E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11.1.1投标人法人营业执照副本复印件(“三证合一”的营业执照）；</w:t>
      </w:r>
    </w:p>
    <w:p w14:paraId="62B5D2D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11.1.2 </w:t>
      </w:r>
      <w:r>
        <w:rPr>
          <w:rFonts w:ascii="宋体" w:hAnsi="宋体" w:cs="宋体"/>
          <w:color w:val="auto"/>
          <w:sz w:val="24"/>
          <w:highlight w:val="none"/>
        </w:rPr>
        <w:t>202</w:t>
      </w:r>
      <w:r>
        <w:rPr>
          <w:rFonts w:hint="eastAsia" w:ascii="宋体" w:hAnsi="宋体" w:cs="宋体"/>
          <w:color w:val="auto"/>
          <w:sz w:val="24"/>
          <w:highlight w:val="none"/>
          <w:lang w:val="en-US" w:eastAsia="zh-CN"/>
        </w:rPr>
        <w:t>4</w:t>
      </w:r>
      <w:r>
        <w:rPr>
          <w:rFonts w:ascii="宋体" w:hAnsi="宋体" w:cs="宋体"/>
          <w:color w:val="auto"/>
          <w:sz w:val="24"/>
          <w:highlight w:val="none"/>
        </w:rPr>
        <w:t>年度的财务报表</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年1月1日之后成立的供应商需提供基本开户银行出具的资信证明）；</w:t>
      </w:r>
    </w:p>
    <w:p w14:paraId="5AACF26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年1月以来任意一个月依法缴纳税收和社会保障资金的相关材料；</w:t>
      </w:r>
    </w:p>
    <w:p w14:paraId="0EE6282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11.1.4 具备履行合同所必需的设备和专业技术能力的证明材料；</w:t>
      </w:r>
    </w:p>
    <w:p w14:paraId="10F1305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11.1.5 参加采购活动前3年内在经营活动中没有重大违法记录的书面声明；</w:t>
      </w:r>
    </w:p>
    <w:p w14:paraId="68ACCF1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11.1.6法律、行政法规规定的其他条件；</w:t>
      </w:r>
    </w:p>
    <w:p w14:paraId="468A4CC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11.1.7提供“信用中国”（www.creditchina.gov.cn）、“中国政府采购网”(www.ccgp.gov.cn）、</w:t>
      </w:r>
      <w:r>
        <w:rPr>
          <w:rFonts w:hint="eastAsia" w:hAnsi="宋体"/>
          <w:bCs/>
          <w:color w:val="auto"/>
          <w:sz w:val="24"/>
          <w:highlight w:val="none"/>
        </w:rPr>
        <w:t>“信用江苏”（http://credit.jiangsu.gov.cn/）</w:t>
      </w:r>
      <w:r>
        <w:rPr>
          <w:rFonts w:hint="eastAsia" w:ascii="宋体" w:hAnsi="宋体" w:cs="宋体"/>
          <w:color w:val="auto"/>
          <w:sz w:val="24"/>
          <w:highlight w:val="none"/>
        </w:rPr>
        <w:t>查询结果截图。</w:t>
      </w:r>
    </w:p>
    <w:p w14:paraId="6EE7A602">
      <w:pPr>
        <w:pStyle w:val="13"/>
        <w:spacing w:line="329" w:lineRule="auto"/>
        <w:ind w:firstLine="480"/>
        <w:rPr>
          <w:color w:val="auto"/>
          <w:highlight w:val="none"/>
        </w:rPr>
      </w:pPr>
      <w:r>
        <w:rPr>
          <w:rFonts w:hint="eastAsia" w:ascii="宋体" w:hAnsi="宋体" w:cs="宋体"/>
          <w:color w:val="auto"/>
          <w:sz w:val="24"/>
          <w:highlight w:val="none"/>
        </w:rPr>
        <w:t>11.1.8投标货物若为进口设备，投标人须提供代理商/经销商证书（代理授权书复印件，原件备查）或制造商专项授权书（原件）；（本项目为院内采购项目，如无特别说明，均接受进口设备投标）</w:t>
      </w:r>
    </w:p>
    <w:p w14:paraId="78B7BBC5">
      <w:pPr>
        <w:spacing w:line="329" w:lineRule="auto"/>
        <w:ind w:firstLine="480" w:firstLineChars="200"/>
        <w:rPr>
          <w:color w:val="auto"/>
          <w:sz w:val="24"/>
          <w:highlight w:val="none"/>
        </w:rPr>
      </w:pPr>
      <w:r>
        <w:rPr>
          <w:rFonts w:hint="eastAsia" w:ascii="宋体" w:hAnsi="宋体" w:cs="宋体"/>
          <w:color w:val="auto"/>
          <w:sz w:val="24"/>
          <w:highlight w:val="none"/>
        </w:rPr>
        <w:t>11.1.9</w:t>
      </w:r>
      <w:r>
        <w:rPr>
          <w:rFonts w:hAnsi="宋体"/>
          <w:color w:val="auto"/>
          <w:sz w:val="24"/>
          <w:highlight w:val="none"/>
        </w:rPr>
        <w:t>投标产品按国家规定须医疗器械注册证的，投标人须提供</w:t>
      </w:r>
      <w:r>
        <w:rPr>
          <w:rFonts w:hint="eastAsia" w:hAnsi="宋体"/>
          <w:color w:val="auto"/>
          <w:sz w:val="24"/>
          <w:highlight w:val="none"/>
        </w:rPr>
        <w:t>投标产品</w:t>
      </w:r>
      <w:r>
        <w:rPr>
          <w:rFonts w:hAnsi="宋体"/>
          <w:color w:val="auto"/>
          <w:sz w:val="24"/>
          <w:highlight w:val="none"/>
        </w:rPr>
        <w:t>的</w:t>
      </w:r>
      <w:r>
        <w:rPr>
          <w:rFonts w:hint="eastAsia" w:hAnsi="宋体"/>
          <w:color w:val="auto"/>
          <w:sz w:val="24"/>
          <w:highlight w:val="none"/>
        </w:rPr>
        <w:t>《</w:t>
      </w:r>
      <w:r>
        <w:rPr>
          <w:rFonts w:hAnsi="宋体"/>
          <w:color w:val="auto"/>
          <w:sz w:val="24"/>
          <w:highlight w:val="none"/>
        </w:rPr>
        <w:t>医疗器械注册证</w:t>
      </w:r>
      <w:r>
        <w:rPr>
          <w:rFonts w:hint="eastAsia" w:hAnsi="宋体"/>
          <w:color w:val="auto"/>
          <w:sz w:val="24"/>
          <w:highlight w:val="none"/>
        </w:rPr>
        <w:t>》</w:t>
      </w:r>
      <w:r>
        <w:rPr>
          <w:rFonts w:hAnsi="宋体"/>
          <w:color w:val="auto"/>
          <w:sz w:val="24"/>
          <w:highlight w:val="none"/>
        </w:rPr>
        <w:t>（复印件</w:t>
      </w:r>
      <w:r>
        <w:rPr>
          <w:rFonts w:hint="eastAsia" w:hAnsi="宋体"/>
          <w:color w:val="auto"/>
          <w:sz w:val="24"/>
          <w:highlight w:val="none"/>
        </w:rPr>
        <w:t>加盖公章</w:t>
      </w:r>
      <w:r>
        <w:rPr>
          <w:rFonts w:hAnsi="宋体"/>
          <w:color w:val="auto"/>
          <w:sz w:val="24"/>
          <w:highlight w:val="none"/>
        </w:rPr>
        <w:t>）；</w:t>
      </w:r>
    </w:p>
    <w:p w14:paraId="19FF00ED">
      <w:pPr>
        <w:spacing w:line="329" w:lineRule="auto"/>
        <w:ind w:firstLine="480" w:firstLineChars="200"/>
        <w:rPr>
          <w:color w:val="auto"/>
          <w:sz w:val="24"/>
          <w:highlight w:val="none"/>
        </w:rPr>
      </w:pPr>
      <w:r>
        <w:rPr>
          <w:rFonts w:hint="eastAsia" w:ascii="宋体" w:hAnsi="宋体" w:cs="宋体"/>
          <w:color w:val="auto"/>
          <w:sz w:val="24"/>
          <w:highlight w:val="none"/>
        </w:rPr>
        <w:t>11.1.10</w:t>
      </w:r>
      <w:r>
        <w:rPr>
          <w:rFonts w:hAnsi="宋体"/>
          <w:color w:val="auto"/>
          <w:sz w:val="24"/>
          <w:highlight w:val="none"/>
        </w:rPr>
        <w:t>投标人</w:t>
      </w:r>
      <w:r>
        <w:rPr>
          <w:rFonts w:hint="eastAsia" w:hAnsi="宋体"/>
          <w:color w:val="auto"/>
          <w:sz w:val="24"/>
          <w:highlight w:val="none"/>
        </w:rPr>
        <w:t>为</w:t>
      </w:r>
      <w:r>
        <w:rPr>
          <w:rFonts w:hAnsi="宋体"/>
          <w:color w:val="auto"/>
          <w:sz w:val="24"/>
          <w:highlight w:val="none"/>
        </w:rPr>
        <w:t>医疗器械经营企业</w:t>
      </w:r>
      <w:r>
        <w:rPr>
          <w:rFonts w:hint="eastAsia" w:hAnsi="宋体"/>
          <w:color w:val="auto"/>
          <w:sz w:val="24"/>
          <w:highlight w:val="none"/>
        </w:rPr>
        <w:t>的</w:t>
      </w:r>
      <w:r>
        <w:rPr>
          <w:rFonts w:hAnsi="宋体"/>
          <w:color w:val="auto"/>
          <w:sz w:val="24"/>
          <w:highlight w:val="none"/>
        </w:rPr>
        <w:t>，须根据投标产品的类别，提供</w:t>
      </w:r>
      <w:r>
        <w:rPr>
          <w:rFonts w:hint="eastAsia" w:hAnsi="宋体"/>
          <w:color w:val="auto"/>
          <w:sz w:val="24"/>
          <w:highlight w:val="none"/>
        </w:rPr>
        <w:t>投标人</w:t>
      </w:r>
      <w:r>
        <w:rPr>
          <w:rFonts w:hAnsi="宋体"/>
          <w:color w:val="auto"/>
          <w:sz w:val="24"/>
          <w:highlight w:val="none"/>
        </w:rPr>
        <w:t>的《医疗器械经营许可证》或者《</w:t>
      </w:r>
      <w:r>
        <w:rPr>
          <w:rFonts w:hint="eastAsia" w:hAnsi="宋体"/>
          <w:color w:val="auto"/>
          <w:sz w:val="24"/>
          <w:highlight w:val="none"/>
        </w:rPr>
        <w:t>二类</w:t>
      </w:r>
      <w:r>
        <w:rPr>
          <w:rFonts w:hAnsi="宋体"/>
          <w:color w:val="auto"/>
          <w:sz w:val="24"/>
          <w:highlight w:val="none"/>
        </w:rPr>
        <w:t>医疗器械经营备案凭证》（复印件</w:t>
      </w:r>
      <w:r>
        <w:rPr>
          <w:rFonts w:hint="eastAsia" w:hAnsi="宋体"/>
          <w:color w:val="auto"/>
          <w:sz w:val="24"/>
          <w:highlight w:val="none"/>
        </w:rPr>
        <w:t>加盖公章</w:t>
      </w:r>
      <w:r>
        <w:rPr>
          <w:rFonts w:hAnsi="宋体"/>
          <w:color w:val="auto"/>
          <w:sz w:val="24"/>
          <w:highlight w:val="none"/>
        </w:rPr>
        <w:t>）</w:t>
      </w:r>
      <w:r>
        <w:rPr>
          <w:rFonts w:hint="eastAsia" w:hAnsi="宋体"/>
          <w:color w:val="auto"/>
          <w:sz w:val="24"/>
          <w:highlight w:val="none"/>
        </w:rPr>
        <w:t>；</w:t>
      </w:r>
    </w:p>
    <w:p w14:paraId="33F16F1D">
      <w:pPr>
        <w:spacing w:line="329" w:lineRule="auto"/>
        <w:ind w:firstLine="480" w:firstLineChars="200"/>
        <w:rPr>
          <w:color w:val="auto"/>
          <w:sz w:val="24"/>
          <w:highlight w:val="none"/>
        </w:rPr>
      </w:pPr>
      <w:r>
        <w:rPr>
          <w:rFonts w:hint="eastAsia" w:ascii="宋体" w:hAnsi="宋体" w:cs="宋体"/>
          <w:color w:val="auto"/>
          <w:sz w:val="24"/>
          <w:highlight w:val="none"/>
        </w:rPr>
        <w:t>11.1.11</w:t>
      </w:r>
      <w:r>
        <w:rPr>
          <w:rFonts w:hAnsi="宋体"/>
          <w:color w:val="auto"/>
          <w:sz w:val="24"/>
          <w:highlight w:val="none"/>
        </w:rPr>
        <w:t>医疗器械</w:t>
      </w:r>
      <w:r>
        <w:rPr>
          <w:rFonts w:hint="eastAsia" w:hAnsi="宋体"/>
          <w:color w:val="auto"/>
          <w:sz w:val="24"/>
          <w:highlight w:val="none"/>
        </w:rPr>
        <w:t>生产</w:t>
      </w:r>
      <w:r>
        <w:rPr>
          <w:rFonts w:hAnsi="宋体"/>
          <w:color w:val="auto"/>
          <w:sz w:val="24"/>
          <w:highlight w:val="none"/>
        </w:rPr>
        <w:t>企业</w:t>
      </w:r>
      <w:r>
        <w:rPr>
          <w:rFonts w:hint="eastAsia" w:hAnsi="宋体"/>
          <w:color w:val="auto"/>
          <w:sz w:val="24"/>
          <w:highlight w:val="none"/>
        </w:rPr>
        <w:t>投标本企业产品的，</w:t>
      </w:r>
      <w:r>
        <w:rPr>
          <w:rFonts w:hAnsi="宋体"/>
          <w:color w:val="auto"/>
          <w:sz w:val="24"/>
          <w:highlight w:val="none"/>
        </w:rPr>
        <w:t>须</w:t>
      </w:r>
      <w:r>
        <w:rPr>
          <w:rFonts w:hint="eastAsia" w:hAnsi="宋体"/>
          <w:color w:val="auto"/>
          <w:sz w:val="24"/>
          <w:highlight w:val="none"/>
        </w:rPr>
        <w:t>提供《医疗器械生产许可证》(复印件加盖公章）</w:t>
      </w:r>
      <w:r>
        <w:rPr>
          <w:rFonts w:hAnsi="宋体"/>
          <w:color w:val="auto"/>
          <w:sz w:val="24"/>
          <w:highlight w:val="none"/>
        </w:rPr>
        <w:t>；</w:t>
      </w:r>
    </w:p>
    <w:p w14:paraId="0D225E40">
      <w:pPr>
        <w:spacing w:line="329"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11.1.12</w:t>
      </w:r>
      <w:r>
        <w:rPr>
          <w:rFonts w:ascii="宋体" w:hAnsi="宋体" w:cs="宋体"/>
          <w:color w:val="auto"/>
          <w:sz w:val="24"/>
          <w:highlight w:val="none"/>
        </w:rPr>
        <w:t>投标产品按国家规定须进行3C强制认证的，投标人须提供3C证书（复印件</w:t>
      </w:r>
      <w:r>
        <w:rPr>
          <w:rFonts w:hint="eastAsia" w:ascii="宋体" w:hAnsi="宋体" w:cs="宋体"/>
          <w:color w:val="auto"/>
          <w:sz w:val="24"/>
          <w:highlight w:val="none"/>
        </w:rPr>
        <w:t>加盖公章</w:t>
      </w:r>
      <w:r>
        <w:rPr>
          <w:rFonts w:ascii="宋体" w:hAnsi="宋体" w:cs="宋体"/>
          <w:color w:val="auto"/>
          <w:sz w:val="24"/>
          <w:highlight w:val="none"/>
        </w:rPr>
        <w:t>）。</w:t>
      </w:r>
    </w:p>
    <w:p w14:paraId="12A8FF0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11.2法定代表人或其授权代理人签署的投标函；</w:t>
      </w:r>
    </w:p>
    <w:p w14:paraId="3FDD9EF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11.3法定代表人身份证明或法定代表人授权委托</w:t>
      </w:r>
      <w:bookmarkStart w:id="26" w:name="EB1a77376dbd044d229c365f6951816069"/>
      <w:r>
        <w:rPr>
          <w:rFonts w:hint="eastAsia" w:ascii="宋体" w:hAnsi="宋体" w:cs="宋体"/>
          <w:color w:val="auto"/>
          <w:sz w:val="24"/>
          <w:highlight w:val="none"/>
        </w:rPr>
        <w:t>书（并按要求提供法定代表人或授权委托人居民身份证复印件</w:t>
      </w:r>
      <w:r>
        <w:rPr>
          <w:rFonts w:hint="eastAsia" w:hAnsi="宋体"/>
          <w:color w:val="auto"/>
          <w:sz w:val="24"/>
          <w:highlight w:val="none"/>
        </w:rPr>
        <w:t>加盖公章</w:t>
      </w:r>
      <w:r>
        <w:rPr>
          <w:rFonts w:hint="eastAsia" w:ascii="宋体" w:hAnsi="宋体" w:cs="宋体"/>
          <w:color w:val="auto"/>
          <w:sz w:val="24"/>
          <w:highlight w:val="none"/>
        </w:rPr>
        <w:t>）；</w:t>
      </w:r>
      <w:bookmarkEnd w:id="26"/>
    </w:p>
    <w:p w14:paraId="5E5DB0A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11.4报价文件</w:t>
      </w:r>
    </w:p>
    <w:p w14:paraId="41DEA1B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11.4.1开标一览表；</w:t>
      </w:r>
    </w:p>
    <w:p w14:paraId="29E67F4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11.4.2明细报价表。</w:t>
      </w:r>
    </w:p>
    <w:p w14:paraId="2636D53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11.5技术文件</w:t>
      </w:r>
    </w:p>
    <w:p w14:paraId="5C6D15D7">
      <w:pPr>
        <w:spacing w:line="500" w:lineRule="exact"/>
        <w:ind w:firstLine="480" w:firstLineChars="200"/>
        <w:rPr>
          <w:rFonts w:hint="eastAsia" w:ascii="宋体" w:hAnsi="宋体" w:cs="宋体"/>
          <w:color w:val="auto"/>
          <w:sz w:val="24"/>
          <w:highlight w:val="none"/>
        </w:rPr>
      </w:pPr>
      <w:bookmarkStart w:id="27" w:name="EB7f6b24a996964930b08d6b290b36e3fd"/>
      <w:r>
        <w:rPr>
          <w:rFonts w:hint="eastAsia" w:ascii="宋体" w:hAnsi="宋体" w:cs="宋体"/>
          <w:color w:val="auto"/>
          <w:sz w:val="24"/>
          <w:highlight w:val="none"/>
        </w:rPr>
        <w:t>11.5.1项目整体实施方案、进度安排、设备使用维护及培训方案和验收方案等（格式自拟）；</w:t>
      </w:r>
    </w:p>
    <w:p w14:paraId="2DEDF07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11.5.2货物设备清单（以表格形式列明所投全部设备及配件清单）及主要货物详细技术资料（包括实物样图、使用手册、规格说明等）（格式自拟）；</w:t>
      </w:r>
    </w:p>
    <w:p w14:paraId="5F44AAC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11.5.3货物主要部件、辅材明细表；</w:t>
      </w:r>
    </w:p>
    <w:p w14:paraId="7BB98F0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11.5.4投标人项目管理、技术及售后服务人员一览表；</w:t>
      </w:r>
    </w:p>
    <w:p w14:paraId="271D770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11.5.5质量保证及详细售后服务方案（包括：售后服务管理体系、服务人员的技术水平及现场服务措施，本地化服务和质保期结束后相关承诺等）（格式自拟）；</w:t>
      </w:r>
    </w:p>
    <w:p w14:paraId="2B68A44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11.5.6技术响应偏差表</w:t>
      </w:r>
      <w:bookmarkEnd w:id="27"/>
      <w:r>
        <w:rPr>
          <w:rFonts w:hint="eastAsia" w:ascii="宋体" w:hAnsi="宋体" w:cs="宋体"/>
          <w:color w:val="auto"/>
          <w:sz w:val="24"/>
          <w:highlight w:val="none"/>
        </w:rPr>
        <w:t>,商务</w:t>
      </w:r>
      <w:r>
        <w:rPr>
          <w:rFonts w:ascii="宋体" w:hAnsi="宋体" w:cs="宋体"/>
          <w:color w:val="auto"/>
          <w:sz w:val="24"/>
          <w:highlight w:val="none"/>
        </w:rPr>
        <w:t>响应偏差表。</w:t>
      </w:r>
    </w:p>
    <w:p w14:paraId="190E20E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11.6商务文件</w:t>
      </w:r>
    </w:p>
    <w:p w14:paraId="4018475F">
      <w:pPr>
        <w:spacing w:line="500" w:lineRule="exact"/>
        <w:ind w:firstLine="480" w:firstLineChars="200"/>
        <w:rPr>
          <w:rFonts w:hint="eastAsia" w:ascii="宋体" w:hAnsi="宋体" w:cs="宋体"/>
          <w:color w:val="auto"/>
          <w:sz w:val="24"/>
          <w:highlight w:val="none"/>
        </w:rPr>
      </w:pPr>
      <w:bookmarkStart w:id="28" w:name="EBdc2c24f6358343e896cd43bd6621a619"/>
      <w:r>
        <w:rPr>
          <w:rFonts w:hint="eastAsia" w:ascii="宋体" w:hAnsi="宋体" w:cs="宋体"/>
          <w:color w:val="auto"/>
          <w:sz w:val="24"/>
          <w:highlight w:val="none"/>
        </w:rPr>
        <w:t>11.6.1投标人承担的类似项目业绩一览表，提供中标通知书或合同或验收资料；</w:t>
      </w:r>
    </w:p>
    <w:p w14:paraId="047DFBF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11.6.2其他商务文件。</w:t>
      </w:r>
      <w:bookmarkEnd w:id="28"/>
    </w:p>
    <w:p w14:paraId="43A8D23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11.7投标人认为有必要提供的其它材料。</w:t>
      </w:r>
    </w:p>
    <w:p w14:paraId="20E9C6B3">
      <w:pPr>
        <w:spacing w:line="500" w:lineRule="exact"/>
        <w:ind w:firstLine="480" w:firstLineChars="200"/>
        <w:rPr>
          <w:color w:val="auto"/>
          <w:highlight w:val="none"/>
        </w:rPr>
      </w:pPr>
      <w:r>
        <w:rPr>
          <w:rFonts w:hint="eastAsia" w:ascii="宋体" w:hAnsi="宋体" w:cs="宋体"/>
          <w:color w:val="auto"/>
          <w:sz w:val="24"/>
          <w:highlight w:val="none"/>
        </w:rPr>
        <w:t>11.</w:t>
      </w:r>
      <w:r>
        <w:rPr>
          <w:rFonts w:ascii="宋体" w:hAnsi="宋体" w:cs="宋体"/>
          <w:color w:val="auto"/>
          <w:sz w:val="24"/>
          <w:highlight w:val="none"/>
        </w:rPr>
        <w:t>8</w:t>
      </w:r>
      <w:r>
        <w:rPr>
          <w:rFonts w:hint="eastAsia" w:ascii="宋体" w:hAnsi="宋体" w:cs="宋体"/>
          <w:color w:val="auto"/>
          <w:sz w:val="24"/>
          <w:highlight w:val="none"/>
        </w:rPr>
        <w:t>以上所有资料均须加盖投标单位法人公章（未加盖投标单位法人公章或加盖的为非投标单位法人公章的投标文件将被拒绝）。</w:t>
      </w:r>
    </w:p>
    <w:p w14:paraId="669DF1B2">
      <w:pPr>
        <w:numPr>
          <w:ilvl w:val="0"/>
          <w:numId w:val="2"/>
        </w:num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投标文件构成资料为非中文时应提供中文译版，并以中文为准，否则可视为未提供；</w:t>
      </w:r>
    </w:p>
    <w:p w14:paraId="287EA6D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13、投标报价</w:t>
      </w:r>
    </w:p>
    <w:p w14:paraId="7FC0D8E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13.1报价为一次报价，于开标会议当场宣读。</w:t>
      </w:r>
    </w:p>
    <w:p w14:paraId="0FD0C6CB">
      <w:pPr>
        <w:spacing w:line="500" w:lineRule="exact"/>
        <w:ind w:firstLine="480" w:firstLineChars="200"/>
        <w:rPr>
          <w:rFonts w:hint="eastAsia" w:ascii="宋体" w:hAnsi="宋体" w:cs="宋体"/>
          <w:color w:val="auto"/>
          <w:sz w:val="24"/>
          <w:highlight w:val="none"/>
          <w:shd w:val="clear" w:color="auto" w:fill="FFC000"/>
        </w:rPr>
      </w:pPr>
      <w:r>
        <w:rPr>
          <w:rFonts w:hint="eastAsia" w:ascii="宋体" w:hAnsi="宋体" w:cs="宋体"/>
          <w:color w:val="auto"/>
          <w:sz w:val="24"/>
          <w:highlight w:val="none"/>
        </w:rPr>
        <w:t>13.2本项目不接受备选的投标方案或有选择的报价，只允许有一个报价。投标报价内容包括：</w:t>
      </w:r>
      <w:bookmarkStart w:id="29" w:name="EB54dd097a55df4796bd5f9b6bdf2ddc40"/>
      <w:r>
        <w:rPr>
          <w:rFonts w:hint="eastAsia" w:ascii="宋体" w:hAnsi="宋体" w:cs="宋体"/>
          <w:color w:val="auto"/>
          <w:sz w:val="24"/>
          <w:highlight w:val="none"/>
        </w:rPr>
        <w:t>设备本身、安装调试费、人工费、服务费、税金以及交付使用过程中涉及到的其他一切费用。</w:t>
      </w:r>
      <w:bookmarkEnd w:id="29"/>
    </w:p>
    <w:p w14:paraId="7CB73BB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13.3报价注意事项：</w:t>
      </w:r>
    </w:p>
    <w:p w14:paraId="39519AF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13.3.1价格一律以人民币计算，以元为单位标准；</w:t>
      </w:r>
    </w:p>
    <w:p w14:paraId="02C39B4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13.3.2投标人报价时应充分考虑所有可能影响到报价的因素，一旦评标结束最终中标，如发生漏、缺、少项，都将被认为是中标人的报价让利行为，损失自负。</w:t>
      </w:r>
    </w:p>
    <w:p w14:paraId="2B0FF98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14、投标保证金</w:t>
      </w:r>
    </w:p>
    <w:p w14:paraId="35980796">
      <w:pPr>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本项目不收取投标保证金</w:t>
      </w:r>
      <w:r>
        <w:rPr>
          <w:rFonts w:hint="eastAsia" w:ascii="宋体" w:hAnsi="宋体" w:cs="宋体"/>
          <w:color w:val="auto"/>
          <w:sz w:val="24"/>
          <w:highlight w:val="none"/>
        </w:rPr>
        <w:t>。</w:t>
      </w:r>
    </w:p>
    <w:p w14:paraId="742B1921">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15、投标有效期</w:t>
      </w:r>
    </w:p>
    <w:p w14:paraId="219AE2B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15.1在投标人须知前附表规定的投标有效期内，投标人不得要求撤销或者修改其投标文件。 </w:t>
      </w:r>
    </w:p>
    <w:p w14:paraId="7BAA54E0">
      <w:pPr>
        <w:spacing w:line="5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15.2在特殊情况下，采购人于原投标有效期满之前，可向投标人提出延长投标有效期的要求，这种要求与答复均应采用书面形式（如信件、传真或电子邮件等），投标人可拒绝采购人的这一要求而放弃投标，同意延长的投标人既不能要求也不允许修改其投标文件。</w:t>
      </w:r>
      <w:r>
        <w:rPr>
          <w:rFonts w:hint="eastAsia" w:ascii="宋体" w:hAnsi="宋体" w:cs="宋体"/>
          <w:color w:val="auto"/>
          <w:sz w:val="20"/>
          <w:highlight w:val="none"/>
        </w:rPr>
        <w:t xml:space="preserve">   </w:t>
      </w:r>
      <w:bookmarkStart w:id="30" w:name="EB12ed6b870f334fa092f7ed1f9a9dbab8"/>
      <w:r>
        <w:rPr>
          <w:rFonts w:hint="eastAsia" w:ascii="宋体" w:hAnsi="宋体" w:cs="宋体"/>
          <w:color w:val="auto"/>
          <w:sz w:val="20"/>
          <w:highlight w:val="none"/>
        </w:rPr>
        <w:t xml:space="preserve"> </w:t>
      </w:r>
      <w:bookmarkEnd w:id="30"/>
      <w:bookmarkStart w:id="31" w:name="EB5d36e8077cc64e309c0c0f0cd8a6f496"/>
      <w:r>
        <w:rPr>
          <w:rFonts w:hint="eastAsia" w:ascii="宋体" w:hAnsi="宋体" w:cs="宋体"/>
          <w:color w:val="auto"/>
          <w:sz w:val="20"/>
          <w:highlight w:val="none"/>
        </w:rPr>
        <w:t xml:space="preserve"> </w:t>
      </w:r>
      <w:bookmarkEnd w:id="31"/>
    </w:p>
    <w:p w14:paraId="26F27524">
      <w:pPr>
        <w:pStyle w:val="14"/>
        <w:outlineLvl w:val="1"/>
        <w:rPr>
          <w:rFonts w:hint="eastAsia" w:ascii="宋体" w:hAnsi="宋体" w:eastAsia="宋体" w:cs="宋体"/>
          <w:color w:val="auto"/>
          <w:highlight w:val="none"/>
        </w:rPr>
      </w:pPr>
      <w:bookmarkStart w:id="32" w:name="_Toc514054475"/>
      <w:bookmarkStart w:id="33" w:name="_Toc26211"/>
      <w:r>
        <w:rPr>
          <w:rFonts w:hint="eastAsia" w:ascii="宋体" w:hAnsi="宋体" w:eastAsia="宋体" w:cs="宋体"/>
          <w:color w:val="auto"/>
          <w:highlight w:val="none"/>
        </w:rPr>
        <w:t>四、投标文件的提交</w:t>
      </w:r>
      <w:bookmarkEnd w:id="32"/>
      <w:bookmarkEnd w:id="33"/>
    </w:p>
    <w:p w14:paraId="01D5732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16、投标文件的提交</w:t>
      </w:r>
    </w:p>
    <w:p w14:paraId="6CC59FD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16.1投标人应在招标文件规定的投标截止时间前提交投标文件。投标文件提交截止时间后，投标人对投标报价或其他实质性内容修正的函件和增加的任何优惠条件，一律拒绝接收。 </w:t>
      </w:r>
    </w:p>
    <w:p w14:paraId="610F3CE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16.2在递交投标文件截止时间前，投标人有权修改、撤回其投标文件，以截止时间前最终完成递交的为准；在递交投标文件截止时间后，除招标文件另有规定外，投标人所提交的投标文件不予退还。</w:t>
      </w:r>
    </w:p>
    <w:p w14:paraId="4E95971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采购人或采购代理机构可以通过修改招标文件酌情延长投标文件接收截止日期，在此情况下，投标人的所有权利和义务以及投标人受制约的截止日期均应以延长后新的截止日期为准。</w:t>
      </w:r>
    </w:p>
    <w:p w14:paraId="0498A93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17、投标文件被拒绝接收的情形</w:t>
      </w:r>
    </w:p>
    <w:p w14:paraId="074A8972">
      <w:pPr>
        <w:spacing w:line="500" w:lineRule="exact"/>
        <w:ind w:right="105" w:righ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17.1在招标文件规定的投标截止时间后递交的投标文件。</w:t>
      </w:r>
    </w:p>
    <w:p w14:paraId="6044EC5F">
      <w:pPr>
        <w:spacing w:line="500" w:lineRule="exact"/>
        <w:ind w:right="105" w:righ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17.2未按本招标文件前附表要求密封的投标文件。</w:t>
      </w:r>
      <w:bookmarkStart w:id="34" w:name="EB2abce7e2c6f440e8b25c6bbba111ee54"/>
      <w:r>
        <w:rPr>
          <w:rFonts w:ascii="宋体" w:hAnsi="宋体" w:cs="宋体"/>
          <w:color w:val="auto"/>
          <w:sz w:val="24"/>
          <w:szCs w:val="24"/>
          <w:highlight w:val="none"/>
        </w:rPr>
        <w:t>“</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投标文件正本</w:t>
      </w:r>
      <w:r>
        <w:rPr>
          <w:rFonts w:ascii="宋体" w:hAnsi="宋体" w:cs="宋体"/>
          <w:color w:val="auto"/>
          <w:sz w:val="24"/>
          <w:szCs w:val="24"/>
          <w:highlight w:val="none"/>
        </w:rPr>
        <w:t>”</w:t>
      </w:r>
      <w:r>
        <w:rPr>
          <w:rFonts w:hint="eastAsia" w:ascii="宋体" w:hAnsi="宋体" w:cs="宋体"/>
          <w:color w:val="auto"/>
          <w:sz w:val="24"/>
          <w:szCs w:val="24"/>
          <w:highlight w:val="none"/>
        </w:rPr>
        <w:t>、“投标文件副本</w:t>
      </w:r>
      <w:r>
        <w:rPr>
          <w:rFonts w:ascii="宋体" w:hAnsi="宋体" w:cs="宋体"/>
          <w:color w:val="auto"/>
          <w:sz w:val="24"/>
          <w:szCs w:val="24"/>
          <w:highlight w:val="none"/>
        </w:rPr>
        <w:t>”</w:t>
      </w:r>
      <w:r>
        <w:rPr>
          <w:rFonts w:hint="eastAsia" w:ascii="宋体" w:hAnsi="宋体" w:cs="宋体"/>
          <w:color w:val="auto"/>
          <w:sz w:val="24"/>
          <w:szCs w:val="24"/>
          <w:highlight w:val="none"/>
        </w:rPr>
        <w:t>、“电子投标文件”均应单独密封，单独递交。</w:t>
      </w:r>
    </w:p>
    <w:p w14:paraId="79D84811">
      <w:pPr>
        <w:spacing w:line="500" w:lineRule="exact"/>
        <w:ind w:right="105" w:rightChars="50" w:firstLine="480" w:firstLineChars="200"/>
        <w:rPr>
          <w:rFonts w:hint="eastAsia" w:ascii="宋体" w:hAnsi="宋体" w:cs="宋体"/>
          <w:color w:val="auto"/>
          <w:highlight w:val="none"/>
        </w:rPr>
      </w:pPr>
      <w:r>
        <w:rPr>
          <w:rFonts w:hint="eastAsia" w:ascii="宋体" w:hAnsi="宋体" w:cs="宋体"/>
          <w:color w:val="auto"/>
          <w:sz w:val="24"/>
          <w:szCs w:val="24"/>
          <w:highlight w:val="none"/>
        </w:rPr>
        <w:t>17.3未按本招标文件前附表要求份数递交的投标文件。</w:t>
      </w:r>
      <w:r>
        <w:rPr>
          <w:rFonts w:hint="eastAsia" w:ascii="宋体" w:hAnsi="宋体" w:cs="宋体"/>
          <w:color w:val="auto"/>
          <w:sz w:val="20"/>
          <w:highlight w:val="none"/>
        </w:rPr>
        <w:t xml:space="preserve"> </w:t>
      </w:r>
      <w:bookmarkEnd w:id="34"/>
      <w:bookmarkStart w:id="35" w:name="EB200c38d7a1c345f29b604b38d510a951"/>
      <w:r>
        <w:rPr>
          <w:rFonts w:hint="eastAsia" w:ascii="宋体" w:hAnsi="宋体" w:cs="宋体"/>
          <w:color w:val="auto"/>
          <w:sz w:val="20"/>
          <w:highlight w:val="none"/>
        </w:rPr>
        <w:t xml:space="preserve"> </w:t>
      </w:r>
      <w:bookmarkEnd w:id="35"/>
    </w:p>
    <w:p w14:paraId="7E56E165">
      <w:pPr>
        <w:pStyle w:val="14"/>
        <w:outlineLvl w:val="1"/>
        <w:rPr>
          <w:rFonts w:hint="eastAsia" w:ascii="宋体" w:hAnsi="宋体" w:eastAsia="宋体" w:cs="宋体"/>
          <w:color w:val="auto"/>
          <w:highlight w:val="none"/>
        </w:rPr>
      </w:pPr>
      <w:bookmarkStart w:id="36" w:name="_Toc514054476"/>
      <w:bookmarkStart w:id="37" w:name="_Toc11452"/>
      <w:r>
        <w:rPr>
          <w:rFonts w:hint="eastAsia" w:ascii="宋体" w:hAnsi="宋体" w:eastAsia="宋体" w:cs="宋体"/>
          <w:color w:val="auto"/>
          <w:highlight w:val="none"/>
        </w:rPr>
        <w:t>五、无效标、</w:t>
      </w:r>
      <w:r>
        <w:rPr>
          <w:rFonts w:hint="eastAsia" w:ascii="宋体" w:hAnsi="宋体" w:eastAsia="宋体" w:cs="宋体"/>
          <w:color w:val="auto"/>
          <w:highlight w:val="none"/>
          <w:lang w:eastAsia="zh-CN"/>
        </w:rPr>
        <w:t>投标被拒绝</w:t>
      </w:r>
      <w:r>
        <w:rPr>
          <w:rFonts w:hint="eastAsia" w:ascii="宋体" w:hAnsi="宋体" w:eastAsia="宋体" w:cs="宋体"/>
          <w:color w:val="auto"/>
          <w:highlight w:val="none"/>
        </w:rPr>
        <w:t>、串通投标认定条款</w:t>
      </w:r>
      <w:bookmarkEnd w:id="36"/>
      <w:bookmarkEnd w:id="37"/>
    </w:p>
    <w:p w14:paraId="5B5E49B8">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18、以下情形将视为无效投标</w:t>
      </w:r>
      <w:bookmarkStart w:id="38" w:name="EB94942e5430df4fb8a077f3cf7667f212"/>
    </w:p>
    <w:p w14:paraId="2DF89F9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18.1投标人不符合招标文件规定资格要求的或未按规定提交资质证件的；</w:t>
      </w:r>
    </w:p>
    <w:p w14:paraId="78F72D7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18.2投标文件签署、盖章不符合招标文件要求的；</w:t>
      </w:r>
    </w:p>
    <w:p w14:paraId="4E78443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18.3报价超过招标文件中规定的预算金额或者最高限价的；</w:t>
      </w:r>
    </w:p>
    <w:p w14:paraId="5697DC3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18.4投标文件出现重大偏差，未对招标文件进行实质性响应的（“*”部分为实质性要求）；</w:t>
      </w:r>
    </w:p>
    <w:p w14:paraId="713BE50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18.5投标文件出现商务条款（包括付款方式、交货期、质保期等）的负偏差，视为未对招标文件进行实质性响应；</w:t>
      </w:r>
    </w:p>
    <w:p w14:paraId="38E2D31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18.6投标文件含有采购人不能接受的附加条件的；</w:t>
      </w:r>
    </w:p>
    <w:p w14:paraId="4108D5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18.7投标人有本招标文件规定的恶意串通投标情形的；</w:t>
      </w:r>
    </w:p>
    <w:p w14:paraId="4E65001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18.8投标文件中</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_Toc28239_WPSOffice_Level2 </w:instrText>
      </w:r>
      <w:r>
        <w:rPr>
          <w:rFonts w:hint="eastAsia" w:ascii="宋体" w:hAnsi="宋体" w:cs="宋体"/>
          <w:color w:val="auto"/>
          <w:sz w:val="24"/>
          <w:highlight w:val="none"/>
        </w:rPr>
        <w:fldChar w:fldCharType="separate"/>
      </w:r>
      <w:r>
        <w:rPr>
          <w:rFonts w:hint="eastAsia" w:hAnsi="宋体"/>
          <w:color w:val="auto"/>
          <w:sz w:val="24"/>
          <w:highlight w:val="none"/>
        </w:rPr>
        <w:t>特定资格要求</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_Toc14913_WPSOffice_Level2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投标人财务状况报告</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_Toc21611_WPSOffice_Level2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缴纳税收和社会保障资金凭据、</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_Toc26460_WPSOffice_Level2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履行合同所必需的设备和专业技术能力的声明、</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_Toc14315_WPSOffice_Level2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无重大违法行为声明、</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_Toc24842_WPSOffice_Level2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投标函</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_Toc12406_WPSOffice_Level2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法定代表人身份证明或授权委托书</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_Toc20552_WPSOffice_Level2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开标一览表</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_Toc15170_WPSOffice_Level2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明细报价表、</w:t>
      </w:r>
      <w:r>
        <w:rPr>
          <w:rFonts w:hint="eastAsia" w:ascii="宋体" w:hAnsi="宋体" w:cs="宋体"/>
          <w:color w:val="auto"/>
          <w:sz w:val="24"/>
          <w:highlight w:val="none"/>
        </w:rPr>
        <w:fldChar w:fldCharType="end"/>
      </w:r>
      <w:r>
        <w:rPr>
          <w:rFonts w:hint="eastAsia" w:ascii="宋体" w:hAnsi="宋体" w:cs="宋体"/>
          <w:color w:val="auto"/>
          <w:sz w:val="24"/>
          <w:highlight w:val="none"/>
        </w:rPr>
        <w:t>技术</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_Toc18984_WPSOffice_Level2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响应偏差表、</w:t>
      </w:r>
      <w:r>
        <w:rPr>
          <w:rFonts w:hint="eastAsia" w:ascii="宋体" w:hAnsi="宋体" w:cs="宋体"/>
          <w:color w:val="auto"/>
          <w:sz w:val="24"/>
          <w:highlight w:val="none"/>
        </w:rPr>
        <w:fldChar w:fldCharType="end"/>
      </w:r>
      <w:r>
        <w:rPr>
          <w:rFonts w:hint="eastAsia" w:ascii="宋体" w:hAnsi="宋体" w:cs="宋体"/>
          <w:color w:val="auto"/>
          <w:sz w:val="24"/>
          <w:highlight w:val="none"/>
        </w:rPr>
        <w:t>商务</w:t>
      </w:r>
      <w:r>
        <w:rPr>
          <w:rFonts w:ascii="宋体" w:hAnsi="宋体" w:cs="宋体"/>
          <w:color w:val="auto"/>
          <w:sz w:val="24"/>
          <w:highlight w:val="none"/>
        </w:rPr>
        <w:t>响应偏差表</w:t>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_Toc21060_WPSOffice_Level2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质量保证及售后服务方案</w:t>
      </w:r>
      <w:r>
        <w:rPr>
          <w:rFonts w:hint="eastAsia" w:ascii="宋体" w:hAnsi="宋体" w:cs="宋体"/>
          <w:color w:val="auto"/>
          <w:sz w:val="24"/>
          <w:highlight w:val="none"/>
        </w:rPr>
        <w:fldChar w:fldCharType="end"/>
      </w:r>
      <w:r>
        <w:rPr>
          <w:rFonts w:hint="eastAsia" w:ascii="宋体" w:hAnsi="宋体" w:cs="宋体"/>
          <w:color w:val="auto"/>
          <w:sz w:val="24"/>
          <w:highlight w:val="none"/>
        </w:rPr>
        <w:t>未签字和盖章的；</w:t>
      </w:r>
    </w:p>
    <w:p w14:paraId="606EDD3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18.9其它评标委员会认为有必要取消的投标；</w:t>
      </w:r>
    </w:p>
    <w:p w14:paraId="2B37A8E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18.10法律、法规规定的其它情况。</w:t>
      </w:r>
    </w:p>
    <w:bookmarkEnd w:id="38"/>
    <w:p w14:paraId="323B6D9D">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19、以下情形投标将被拒绝</w:t>
      </w:r>
    </w:p>
    <w:p w14:paraId="7B8DE5A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19.1符合专业条件的供应商或者对招标文件作实质响应的供应商不足三家的（20条规定情形除外）；</w:t>
      </w:r>
    </w:p>
    <w:p w14:paraId="6E98810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19.2出现影响采购公正的违法、违规行为的；</w:t>
      </w:r>
    </w:p>
    <w:p w14:paraId="1ACC28B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19.3因重大变故，采购任务取消的。</w:t>
      </w:r>
    </w:p>
    <w:p w14:paraId="2E7241E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19.4招标文件中约定的其他投标将被拒绝的情形</w:t>
      </w:r>
    </w:p>
    <w:p w14:paraId="69CBA60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20、投标人不足三家情形处理</w:t>
      </w:r>
    </w:p>
    <w:p w14:paraId="5EF7C89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投标截止后投标人不足3家或者通过资格审查或符合性审查的投标人不足3家的，除采购任务取消情形外，参照财政部令第87号第四十三条条款进行处理。</w:t>
      </w:r>
    </w:p>
    <w:p w14:paraId="5566C80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21、凡有以下情形者，一经查实，取消中标候选人资格条款</w:t>
      </w:r>
    </w:p>
    <w:p w14:paraId="0FDAE4C5">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21.1提供虚假材料谋取中标的；</w:t>
      </w:r>
    </w:p>
    <w:p w14:paraId="06C2F908">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21.2采取不正当手段诋毁、排挤其他投标人的；</w:t>
      </w:r>
    </w:p>
    <w:p w14:paraId="267904DB">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21.3与采购人、其他投标人或者采购代理机构恶意串通的；</w:t>
      </w:r>
    </w:p>
    <w:p w14:paraId="45448A6B">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21.4向采购人、采购代理机构行贿或者提供其他不正当利益的；</w:t>
      </w:r>
    </w:p>
    <w:p w14:paraId="4CC408E6">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21.5未在规定时间内与采购人签订采购合同的；</w:t>
      </w:r>
    </w:p>
    <w:p w14:paraId="43E40EB0">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21.6法律、法规规定的其它情况。</w:t>
      </w:r>
    </w:p>
    <w:p w14:paraId="3985A5EC">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22、恶意串通投标的情形</w:t>
      </w:r>
    </w:p>
    <w:p w14:paraId="0152B978">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22.1供应商直接或间接从采购人或采购代理机构处获得其他供应商的投标情况，并修改其投标文件；</w:t>
      </w:r>
    </w:p>
    <w:p w14:paraId="0E21CB69">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22.2评审活动开始前供应商直接或间接从采购人或采购代理机构处获得评标委员会组成人员情况；</w:t>
      </w:r>
    </w:p>
    <w:p w14:paraId="04931A5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22.3供应商接受采购人或采购代理机构授意撤换、修改投标文件；</w:t>
      </w:r>
    </w:p>
    <w:p w14:paraId="2CF96ED0">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22.4供应商之间协商投标报价、技术方案等投标文件实质性内容；</w:t>
      </w:r>
    </w:p>
    <w:p w14:paraId="66B8538C">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22.5属于同一集团、协会、商会等组织成员的供应商按照该组织要求协同投标；</w:t>
      </w:r>
    </w:p>
    <w:p w14:paraId="6E46FF36">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22.6供应商之间事先约定由某一特定供应商中标、成交；</w:t>
      </w:r>
    </w:p>
    <w:p w14:paraId="06328E09">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22.7供应商之间商定部分供应商放弃投标或者放弃中标、成交；</w:t>
      </w:r>
    </w:p>
    <w:p w14:paraId="33AA284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22.8供应商与采购人或采购代理机构之间、供应商相互之间为谋求特定供应商中标成交或者排斥其他供应商的其他串通行为；</w:t>
      </w:r>
    </w:p>
    <w:p w14:paraId="67A60DB5">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22.9不同投标人的投标文件由同一单位或者个人编制；</w:t>
      </w:r>
    </w:p>
    <w:p w14:paraId="50E40CC3">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22.10不同投标人委托同一单位或者个人办理投标事宜；</w:t>
      </w:r>
    </w:p>
    <w:p w14:paraId="4636A58A">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22.11不同投标人的投标文件载明的项目管理成员或者联系人员为同一人；</w:t>
      </w:r>
    </w:p>
    <w:p w14:paraId="4BB969F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22.12不同投标人的投标文件异常一致或者投标报价呈规律性差异；</w:t>
      </w:r>
    </w:p>
    <w:p w14:paraId="5059BE0C">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22.13不同投标人的投标文件相互混装；</w:t>
      </w:r>
    </w:p>
    <w:p w14:paraId="29272647">
      <w:pPr>
        <w:pStyle w:val="14"/>
        <w:outlineLvl w:val="1"/>
        <w:rPr>
          <w:rFonts w:hint="eastAsia" w:ascii="宋体" w:hAnsi="宋体" w:eastAsia="宋体" w:cs="宋体"/>
          <w:color w:val="auto"/>
          <w:highlight w:val="none"/>
        </w:rPr>
      </w:pPr>
      <w:bookmarkStart w:id="39" w:name="_Toc29013"/>
      <w:bookmarkStart w:id="40" w:name="_Toc514054477"/>
      <w:r>
        <w:rPr>
          <w:rFonts w:hint="eastAsia" w:ascii="宋体" w:hAnsi="宋体" w:eastAsia="宋体" w:cs="宋体"/>
          <w:color w:val="auto"/>
          <w:highlight w:val="none"/>
        </w:rPr>
        <w:t>六、开标、资格审查、评标程序</w:t>
      </w:r>
      <w:bookmarkEnd w:id="39"/>
      <w:bookmarkEnd w:id="40"/>
    </w:p>
    <w:p w14:paraId="54AB184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23、开标会议</w:t>
      </w:r>
    </w:p>
    <w:p w14:paraId="50D0AFC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23.1代理机构工作人员按招标文件规定的时间、地点组织公开开标。采购单位代表及有关工作人员参加，采购监管等部门代表有权参与监管。</w:t>
      </w:r>
    </w:p>
    <w:p w14:paraId="120D46C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23.2开标会议由代理机构工作人员主持。</w:t>
      </w:r>
    </w:p>
    <w:p w14:paraId="5C58096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23.3开标会议上将当众公布投标人名称、投标报价等主要内容。</w:t>
      </w:r>
    </w:p>
    <w:p w14:paraId="06C5D9B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开标过程的相关记录，由参加开标的各投标人代表和相关工作人员签字确认。因投标人原因未签字确认的，视同认可开标结果。</w:t>
      </w:r>
    </w:p>
    <w:p w14:paraId="6A21609B">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24、开标流程</w:t>
      </w:r>
    </w:p>
    <w:p w14:paraId="38DB919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主持人按下列程序进行开标，开标按分包顺序进行。</w:t>
      </w:r>
    </w:p>
    <w:p w14:paraId="1757808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24.1宣读开标会议纪律；</w:t>
      </w:r>
    </w:p>
    <w:p w14:paraId="6667AB0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24.2公布投标单位名单；</w:t>
      </w:r>
    </w:p>
    <w:p w14:paraId="135D3AD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24.3唱标；</w:t>
      </w:r>
    </w:p>
    <w:p w14:paraId="44B0398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24.3.1 如项目有多个分包，按项目分包顺序依次唱标；</w:t>
      </w:r>
    </w:p>
    <w:p w14:paraId="580C7DC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24.3.2 每一分包按照递交投标文件的逆顺序唱标；</w:t>
      </w:r>
    </w:p>
    <w:p w14:paraId="3A9ED3A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24.4开标会议结束。</w:t>
      </w:r>
    </w:p>
    <w:p w14:paraId="796601E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25、资格审查</w:t>
      </w:r>
    </w:p>
    <w:p w14:paraId="77BFA6F6">
      <w:pPr>
        <w:spacing w:line="500" w:lineRule="exact"/>
        <w:ind w:firstLine="480" w:firstLineChars="200"/>
        <w:rPr>
          <w:rFonts w:hint="eastAsia" w:ascii="宋体" w:hAnsi="宋体" w:cs="宋体"/>
          <w:color w:val="auto"/>
          <w:sz w:val="24"/>
          <w:highlight w:val="none"/>
        </w:rPr>
      </w:pPr>
      <w:bookmarkStart w:id="41" w:name="EBa9c0a2c9e523494487594c65b2a92370"/>
      <w:r>
        <w:rPr>
          <w:rFonts w:hint="eastAsia" w:ascii="宋体" w:hAnsi="宋体" w:cs="宋体"/>
          <w:color w:val="auto"/>
          <w:sz w:val="24"/>
          <w:highlight w:val="none"/>
        </w:rPr>
        <w:t>开标结束后，采购人或经采购人委托的采购代理机构依法据招标文件规定对投标人的资格证明文件等进行审查。</w:t>
      </w:r>
      <w:bookmarkEnd w:id="41"/>
    </w:p>
    <w:p w14:paraId="6E77385A">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26、评标委员会</w:t>
      </w:r>
    </w:p>
    <w:p w14:paraId="5F7F5D0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采购人应根据本项目的特点依法组建评标委员会。评标委员会负责具体评标事务，对资格审查合格的投标人进行评标，并独立履行相关职责。</w:t>
      </w:r>
    </w:p>
    <w:p w14:paraId="5DE7064C">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27、评标原则</w:t>
      </w:r>
    </w:p>
    <w:p w14:paraId="606EF18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“公平、公正、客观、择优”为评标的基本原则，评标委员会将根据这一原则，公正、平等地对待各投标人。</w:t>
      </w:r>
    </w:p>
    <w:p w14:paraId="482CE47D">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28、评标程序</w:t>
      </w:r>
    </w:p>
    <w:p w14:paraId="0100D87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重大偏离的投标文件为无效标。</w:t>
      </w:r>
      <w:bookmarkStart w:id="42" w:name="EB48e5ba2667fe4390bf237677a47020dd"/>
      <w:r>
        <w:rPr>
          <w:rFonts w:hint="eastAsia" w:ascii="宋体" w:hAnsi="宋体" w:cs="宋体"/>
          <w:color w:val="auto"/>
          <w:sz w:val="24"/>
          <w:highlight w:val="none"/>
        </w:rPr>
        <w:t>所谓重大偏离是指投标人投标文件中所述设备质量、技术规格、数量、交货期和服务等明显不能满足招标文件要求。</w:t>
      </w:r>
      <w:bookmarkEnd w:id="42"/>
      <w:r>
        <w:rPr>
          <w:rFonts w:hint="eastAsia" w:ascii="宋体" w:hAnsi="宋体" w:cs="宋体"/>
          <w:color w:val="auto"/>
          <w:sz w:val="24"/>
          <w:highlight w:val="none"/>
        </w:rPr>
        <w:t>重大偏离的认定须经评标委员会三分之二以上同意。</w:t>
      </w:r>
    </w:p>
    <w:p w14:paraId="4FC8C8F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评标委员会判断“投标文件”的响应性，基于“投标文件”本身和招标文件要求提供的技术支持而不靠外部证据。对非实质性响应的投标文件，投标人不能通过修正或撤销不符之处，而使其成为实质性响应。</w:t>
      </w:r>
    </w:p>
    <w:p w14:paraId="4C55FF5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28.2澄清有关问题。</w:t>
      </w:r>
    </w:p>
    <w:p w14:paraId="00BA8A1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并加盖公章，或者由法定代表人或其授权的代表签字。投标人的澄清、说明或者补正不得超出投标文件的范围或者改变投标文件的实质性内容。</w:t>
      </w:r>
    </w:p>
    <w:p w14:paraId="31576710">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28.2.2投标文件报价出现前后不一致的，除招标文件另有规定外，按照下列规定修正：</w:t>
      </w:r>
    </w:p>
    <w:p w14:paraId="7C52E0D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①投标文件中开标一览表（报价表）内容与投标文件中相应内容不一致的，以开标一览表（报价表）为准；</w:t>
      </w:r>
    </w:p>
    <w:p w14:paraId="1959AD4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②大写金额和小写金额不一致的，以大写金额为准；</w:t>
      </w:r>
    </w:p>
    <w:p w14:paraId="1DD5BBEA">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③单价金额小数点或者百分比有明显错位的，以开标一览表的总价为准，并修改单价；</w:t>
      </w:r>
    </w:p>
    <w:p w14:paraId="4572248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④总价金额与按单价汇总金额不一致的，以单价金额计算结果为准。</w:t>
      </w:r>
    </w:p>
    <w:p w14:paraId="284CC0A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14:paraId="2CF303B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E32434">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28.4比较：评标委员会将按招标文件中规定的评标方法和标准，对符合性检查合格的投标文件进行商务和技术评比。</w:t>
      </w:r>
    </w:p>
    <w:p w14:paraId="1782014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28.5推荐中标候选人：评标委员会按照招标文件中规定的评标方法和标准推荐中标候选人。</w:t>
      </w:r>
      <w:bookmarkStart w:id="43" w:name="EB66024636071342209da8bda483232040"/>
      <w:r>
        <w:rPr>
          <w:rFonts w:hint="eastAsia" w:ascii="宋体" w:hAnsi="宋体" w:cs="宋体"/>
          <w:color w:val="auto"/>
          <w:sz w:val="24"/>
          <w:highlight w:val="none"/>
        </w:rPr>
        <w:t xml:space="preserve"> </w:t>
      </w:r>
      <w:bookmarkEnd w:id="43"/>
    </w:p>
    <w:p w14:paraId="7CEFBDE7">
      <w:pPr>
        <w:pStyle w:val="14"/>
        <w:outlineLvl w:val="1"/>
        <w:rPr>
          <w:rFonts w:hint="eastAsia" w:ascii="宋体" w:hAnsi="宋体" w:eastAsia="宋体" w:cs="宋体"/>
          <w:color w:val="auto"/>
          <w:highlight w:val="none"/>
        </w:rPr>
      </w:pPr>
      <w:bookmarkStart w:id="44" w:name="_Toc81493168"/>
      <w:bookmarkStart w:id="45" w:name="_Toc9744"/>
      <w:bookmarkStart w:id="46" w:name="_Toc514054478"/>
      <w:bookmarkStart w:id="47" w:name="EBf6bd108017b14bde8ec3ea4804c87c27"/>
      <w:r>
        <w:rPr>
          <w:rFonts w:hint="eastAsia" w:ascii="宋体" w:hAnsi="宋体" w:eastAsia="宋体" w:cs="宋体"/>
          <w:color w:val="auto"/>
          <w:highlight w:val="none"/>
        </w:rPr>
        <w:t>七、中标及合同签订</w:t>
      </w:r>
      <w:bookmarkEnd w:id="44"/>
      <w:bookmarkEnd w:id="45"/>
      <w:bookmarkEnd w:id="46"/>
    </w:p>
    <w:p w14:paraId="3B2778F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30、标后审查</w:t>
      </w:r>
    </w:p>
    <w:p w14:paraId="24CCA90A">
      <w:pPr>
        <w:spacing w:line="500" w:lineRule="exact"/>
        <w:ind w:firstLine="480" w:firstLineChars="200"/>
        <w:rPr>
          <w:rFonts w:hint="eastAsia" w:ascii="宋体" w:hAnsi="宋体" w:cs="宋体"/>
          <w:color w:val="auto"/>
          <w:sz w:val="24"/>
          <w:highlight w:val="none"/>
        </w:rPr>
      </w:pPr>
      <w:bookmarkStart w:id="48" w:name="EB17cdacdfdd1244abbb73389fe0bfffe7"/>
      <w:r>
        <w:rPr>
          <w:rFonts w:hint="eastAsia" w:ascii="宋体" w:hAnsi="宋体" w:cs="宋体"/>
          <w:color w:val="auto"/>
          <w:sz w:val="24"/>
          <w:highlight w:val="none"/>
        </w:rPr>
        <w:t>30.1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14:paraId="759060C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采购人若发现中标候选人在投标过程中提供虚假证明文件，故意隐瞒公司不良信誉和财务状况，以及存在可能对合同圆满履行造成风险的其他因素等，则报经采购监管部门按规定取消其中标资格，监管部门依法处理。如果确定第一中标候选人无法履行合同，采购人可以按排名依次对其余中标候选人进行类似的审查。</w:t>
      </w:r>
      <w:bookmarkEnd w:id="48"/>
    </w:p>
    <w:p w14:paraId="773AEEF9">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31、确定中标人</w:t>
      </w:r>
    </w:p>
    <w:p w14:paraId="732F0CE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31.1采购人应当自收到评标报告之日起5个工作日内，在评标报告确定的中标候选人名单中按顺序确定中标人。中标候选人并列的，由采购人在相关部门监督下通过随机抽取的方式确定。</w:t>
      </w:r>
    </w:p>
    <w:p w14:paraId="1770E62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31.2在中标结果公告届满之前，中标人被列为失信被执行人的，取消其中标资格，并重新确定中标人。</w:t>
      </w:r>
    </w:p>
    <w:p w14:paraId="0C583BB3">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31.3采购人不得通过对样品进行检测、对供应商进行考察等方式改变评审结果。</w:t>
      </w:r>
    </w:p>
    <w:p w14:paraId="111199C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31.4中标人（或中标候选人）放弃中标、因不可抗力不能履行合同，或者被查实存在影响中标结果的违法行为等情形，不符合中标条件的，招标人可以按照评标委员会确定的中标候选人名单排序依次确定其他中标候选人为中标人，也可以重新招标。</w:t>
      </w:r>
    </w:p>
    <w:p w14:paraId="765FD7C4">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32、中标通知书</w:t>
      </w:r>
    </w:p>
    <w:p w14:paraId="1CC0A45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32.1中标结果在南通市海门区卫生健康委员会官网上发布公告，招标代理机构将向中标人发出中标通知书。</w:t>
      </w:r>
    </w:p>
    <w:p w14:paraId="1811545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32.2中标人应及时到招标代理机构领取中标通知书，中标通知书是签订合同的依据和组成部分。</w:t>
      </w:r>
    </w:p>
    <w:p w14:paraId="43ED9DC6">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33、签订合同</w:t>
      </w:r>
    </w:p>
    <w:p w14:paraId="42324E1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33.1中标人与采购人应当在中标通知书发出之日起30日内签订采购合同。招标文件、中标人的投标文件以及评标过程中有关澄清文件均作为合同附件。</w:t>
      </w:r>
    </w:p>
    <w:p w14:paraId="7D8F2D0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33.2中标人无正当理由未在规定时间内与采购人签订合同的，采购人有权取消其中标资格，监管部门将对其依法处理。</w:t>
      </w:r>
    </w:p>
    <w:p w14:paraId="058A8F65">
      <w:pPr>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34、履约保证金</w:t>
      </w:r>
    </w:p>
    <w:p w14:paraId="0455434C">
      <w:pPr>
        <w:ind w:firstLine="480" w:firstLineChars="200"/>
        <w:rPr>
          <w:rFonts w:hint="eastAsia" w:ascii="宋体" w:hAnsi="宋体" w:cs="宋体"/>
          <w:color w:val="auto"/>
          <w:sz w:val="24"/>
          <w:szCs w:val="24"/>
          <w:highlight w:val="none"/>
        </w:rPr>
      </w:pPr>
      <w:bookmarkStart w:id="49" w:name="EB3094b551b51c42ca93e0255d679fb06f"/>
      <w:r>
        <w:rPr>
          <w:rFonts w:hint="eastAsia" w:ascii="宋体" w:hAnsi="宋体" w:cs="宋体"/>
          <w:color w:val="auto"/>
          <w:sz w:val="24"/>
          <w:szCs w:val="24"/>
          <w:highlight w:val="none"/>
        </w:rPr>
        <w:t xml:space="preserve">见前附表。 </w:t>
      </w:r>
      <w:bookmarkEnd w:id="49"/>
      <w:bookmarkStart w:id="50" w:name="EB0d6067c6e00d44b1ad5603550c455e87"/>
      <w:r>
        <w:rPr>
          <w:rFonts w:hint="eastAsia" w:ascii="宋体" w:hAnsi="宋体" w:cs="宋体"/>
          <w:color w:val="auto"/>
          <w:sz w:val="24"/>
          <w:szCs w:val="24"/>
          <w:highlight w:val="none"/>
        </w:rPr>
        <w:t xml:space="preserve"> </w:t>
      </w:r>
      <w:bookmarkEnd w:id="50"/>
    </w:p>
    <w:p w14:paraId="2A4AE9D7">
      <w:pPr>
        <w:pStyle w:val="14"/>
        <w:outlineLvl w:val="1"/>
        <w:rPr>
          <w:rFonts w:hint="eastAsia" w:ascii="宋体" w:hAnsi="宋体" w:eastAsia="宋体" w:cs="宋体"/>
          <w:color w:val="auto"/>
          <w:highlight w:val="none"/>
        </w:rPr>
      </w:pPr>
      <w:bookmarkStart w:id="51" w:name="_Toc514054479"/>
      <w:bookmarkStart w:id="52" w:name="_Toc81493169"/>
      <w:bookmarkStart w:id="53" w:name="_Toc25599"/>
      <w:r>
        <w:rPr>
          <w:rFonts w:hint="eastAsia" w:ascii="宋体" w:hAnsi="宋体" w:eastAsia="宋体" w:cs="宋体"/>
          <w:color w:val="auto"/>
          <w:highlight w:val="none"/>
        </w:rPr>
        <w:t>八、验收及付款</w:t>
      </w:r>
      <w:bookmarkEnd w:id="51"/>
      <w:bookmarkEnd w:id="52"/>
      <w:bookmarkEnd w:id="53"/>
    </w:p>
    <w:p w14:paraId="46516463">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35、验收</w:t>
      </w:r>
    </w:p>
    <w:p w14:paraId="0B6F9C4B">
      <w:pPr>
        <w:spacing w:line="500" w:lineRule="exact"/>
        <w:ind w:firstLine="480" w:firstLineChars="200"/>
        <w:rPr>
          <w:rFonts w:hint="eastAsia" w:ascii="宋体" w:hAnsi="宋体" w:cs="宋体"/>
          <w:color w:val="auto"/>
          <w:sz w:val="24"/>
          <w:highlight w:val="none"/>
        </w:rPr>
      </w:pPr>
      <w:bookmarkStart w:id="54" w:name="EBbbb2492ed6b84c9193a6bb6f72a512f3"/>
      <w:r>
        <w:rPr>
          <w:rFonts w:hint="eastAsia" w:ascii="宋体" w:hAnsi="宋体" w:cs="宋体"/>
          <w:color w:val="auto"/>
          <w:sz w:val="24"/>
          <w:highlight w:val="none"/>
        </w:rPr>
        <w:t>35.1由采购人组织验收，中标人配合。</w:t>
      </w:r>
      <w:bookmarkEnd w:id="54"/>
    </w:p>
    <w:p w14:paraId="2CE9B137">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36、付款</w:t>
      </w:r>
    </w:p>
    <w:p w14:paraId="79F91637">
      <w:pPr>
        <w:spacing w:line="500" w:lineRule="exact"/>
        <w:ind w:firstLine="480" w:firstLineChars="200"/>
        <w:rPr>
          <w:rFonts w:hint="eastAsia" w:ascii="宋体" w:hAnsi="宋体" w:cs="宋体"/>
          <w:color w:val="auto"/>
          <w:sz w:val="24"/>
          <w:highlight w:val="none"/>
        </w:rPr>
      </w:pPr>
      <w:bookmarkStart w:id="55" w:name="EBf0da31fab3a04ad0893de83144a87b34"/>
      <w:r>
        <w:rPr>
          <w:rFonts w:hint="eastAsia" w:ascii="宋体" w:hAnsi="宋体" w:cs="宋体"/>
          <w:color w:val="auto"/>
          <w:sz w:val="24"/>
          <w:highlight w:val="none"/>
        </w:rPr>
        <w:t>36.1</w:t>
      </w:r>
      <w:bookmarkEnd w:id="55"/>
      <w:r>
        <w:rPr>
          <w:rFonts w:hint="eastAsia" w:ascii="宋体" w:hAnsi="宋体" w:cs="宋体"/>
          <w:color w:val="auto"/>
          <w:sz w:val="24"/>
          <w:highlight w:val="none"/>
        </w:rPr>
        <w:t xml:space="preserve"> 中标人按招标文件和采购人要求办理采购款支付手续。</w:t>
      </w:r>
    </w:p>
    <w:p w14:paraId="6281C1F3">
      <w:pPr>
        <w:pStyle w:val="14"/>
        <w:outlineLvl w:val="1"/>
        <w:rPr>
          <w:rFonts w:hint="eastAsia" w:ascii="宋体" w:hAnsi="宋体" w:eastAsia="宋体" w:cs="宋体"/>
          <w:color w:val="auto"/>
          <w:highlight w:val="none"/>
          <w:lang w:eastAsia="zh-CN"/>
        </w:rPr>
      </w:pPr>
      <w:bookmarkStart w:id="56" w:name="_Toc10945"/>
      <w:bookmarkStart w:id="57" w:name="_Toc514054480"/>
      <w:bookmarkStart w:id="58" w:name="_Toc81493170"/>
      <w:r>
        <w:rPr>
          <w:rFonts w:hint="eastAsia" w:ascii="宋体" w:hAnsi="宋体" w:eastAsia="宋体" w:cs="宋体"/>
          <w:color w:val="auto"/>
          <w:highlight w:val="none"/>
        </w:rPr>
        <w:t>九、质疑</w:t>
      </w:r>
      <w:bookmarkEnd w:id="56"/>
      <w:bookmarkEnd w:id="57"/>
      <w:bookmarkEnd w:id="58"/>
    </w:p>
    <w:p w14:paraId="63E663A2">
      <w:pPr>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37、质疑</w:t>
      </w:r>
    </w:p>
    <w:p w14:paraId="3326D7C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37.1投标人认为采购文件、采购过程和中标结果使自己的权益受到损害的，可以在知道或者应知其权益受到损害之日起七个工作日内（具体起算时间见37.2），</w:t>
      </w:r>
      <w:r>
        <w:rPr>
          <w:rFonts w:hint="eastAsia" w:ascii="宋体" w:hAnsi="宋体" w:cs="宋体"/>
          <w:b/>
          <w:color w:val="auto"/>
          <w:sz w:val="24"/>
          <w:highlight w:val="none"/>
        </w:rPr>
        <w:t>将质疑函以书面形式由法定代表人或法人授权代表送达采购代理机构或采购单位</w:t>
      </w:r>
      <w:r>
        <w:rPr>
          <w:rFonts w:hint="eastAsia" w:ascii="宋体" w:hAnsi="宋体" w:cs="宋体"/>
          <w:color w:val="auto"/>
          <w:sz w:val="24"/>
          <w:highlight w:val="none"/>
        </w:rPr>
        <w:t>。质疑超出采购机构代理范围的，供应商应当向采购人提出。</w:t>
      </w:r>
    </w:p>
    <w:p w14:paraId="0EEBB3F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供应商应在法定质疑期内一次性提出针对同一采购程序环节的质疑。</w:t>
      </w:r>
    </w:p>
    <w:p w14:paraId="3B9FE9C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供应商质疑实行实名制，其质疑应当有具体的质疑事项及事实根据，并配合采购人、采购代理机构处理质疑。</w:t>
      </w:r>
    </w:p>
    <w:p w14:paraId="4873A91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37.2供应商应知其权益受到损害之日，是指：</w:t>
      </w:r>
    </w:p>
    <w:p w14:paraId="76A1920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（1）对本项目采购文件提出质疑的，为采购文件公告期限届满之日；</w:t>
      </w:r>
    </w:p>
    <w:p w14:paraId="44E571C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（2）对本项目采购过程提出质疑的，为各采购程序环节结束之日；</w:t>
      </w:r>
    </w:p>
    <w:p w14:paraId="4DD3DB7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（3）对本项目中标或者成交结果提出质疑的，为中标或者成交结果公告期限届满之日。</w:t>
      </w:r>
    </w:p>
    <w:p w14:paraId="70D2A1A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37.3投标人委托代理质疑的，应当向代理人提交授权委托书，并载明委托代理的具体权限和事项。 </w:t>
      </w:r>
    </w:p>
    <w:p w14:paraId="22D60CE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37.4质疑函的必备内容</w:t>
      </w:r>
    </w:p>
    <w:p w14:paraId="16DB68EF">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（1）质疑函必须注明质疑人单位名称、详细地址、邮编、单位和法定代表人电话号码、联系人及电话；</w:t>
      </w:r>
    </w:p>
    <w:p w14:paraId="24BF741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（2）所参加项目的具体质疑事项及事实依据；</w:t>
      </w:r>
    </w:p>
    <w:p w14:paraId="096F74FB">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（3）认为自己合法权益受到损害或可能受到损害的相关证据材料；</w:t>
      </w:r>
    </w:p>
    <w:p w14:paraId="66E7E2A3">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（4）提起质疑的日期； </w:t>
      </w:r>
    </w:p>
    <w:p w14:paraId="682582E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（5）质疑函必须由法定代表人签字并加盖公章（委托代理质疑的还应按37.3条规定提供授权委托书）。 </w:t>
      </w:r>
    </w:p>
    <w:p w14:paraId="120CBDA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37.5质疑应符合下列条件：</w:t>
      </w:r>
    </w:p>
    <w:p w14:paraId="62F67BE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（1）质疑人是参与所质疑项目的投标人；</w:t>
      </w:r>
    </w:p>
    <w:p w14:paraId="5E590A65">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（2）质疑函内容符合相关的规定；</w:t>
      </w:r>
    </w:p>
    <w:p w14:paraId="471C32F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（3）在规定的有效期限内提起质疑；</w:t>
      </w:r>
    </w:p>
    <w:p w14:paraId="6939B82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（4）国务院财政部门规定的其他条件。</w:t>
      </w:r>
    </w:p>
    <w:p w14:paraId="6511D4B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14:paraId="6FED330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37.7招标采购单位在收到投标人的书面质疑后七个工作日内作出答复，采购人、采购代理机构可以组织原评标委员会协助答复质疑，并以书面形式通知质疑投标人和其他有关人员，但答复的内容不涉及商业秘密。</w:t>
      </w:r>
    </w:p>
    <w:p w14:paraId="20A6D746">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37.8提出质疑的投标人对答复不满意的，或者采购人、采购代理机构未在规定期限内作出答复的，可以在答复期满后十五个工作日内向采购监督管理部门投诉。</w:t>
      </w:r>
    </w:p>
    <w:p w14:paraId="65B75ADF">
      <w:pPr>
        <w:spacing w:line="500" w:lineRule="exact"/>
        <w:ind w:firstLine="480" w:firstLineChars="200"/>
        <w:rPr>
          <w:rFonts w:hint="eastAsia" w:ascii="宋体" w:hAnsi="宋体" w:cs="宋体"/>
          <w:color w:val="auto"/>
          <w:sz w:val="24"/>
          <w:highlight w:val="none"/>
        </w:rPr>
      </w:pPr>
      <w:bookmarkStart w:id="59" w:name="EB8439d347654149b8973a575299810d6b"/>
      <w:r>
        <w:rPr>
          <w:rFonts w:hint="eastAsia" w:ascii="宋体" w:hAnsi="宋体" w:cs="宋体"/>
          <w:color w:val="auto"/>
          <w:sz w:val="24"/>
          <w:highlight w:val="none"/>
        </w:rPr>
        <w:t>37.9对虚假、恶意质疑投诉、举报将予以驳回。供应商捏造事实、提供虚假材料或者以非法手段取得证明材料进行投诉的，报请采购监管部门列入不良行为记录名单，禁止其1至3年内参加本单位组织的采购活动。</w:t>
      </w:r>
      <w:bookmarkEnd w:id="59"/>
    </w:p>
    <w:p w14:paraId="6761527B">
      <w:pPr>
        <w:rPr>
          <w:rFonts w:hint="eastAsia" w:ascii="宋体" w:hAnsi="宋体" w:cs="宋体"/>
          <w:color w:val="auto"/>
          <w:sz w:val="20"/>
          <w:highlight w:val="none"/>
        </w:rPr>
      </w:pPr>
      <w:r>
        <w:rPr>
          <w:rFonts w:hint="eastAsia" w:ascii="宋体" w:hAnsi="宋体" w:cs="宋体"/>
          <w:color w:val="auto"/>
          <w:sz w:val="20"/>
          <w:highlight w:val="none"/>
        </w:rPr>
        <w:t xml:space="preserve"> </w:t>
      </w:r>
      <w:bookmarkEnd w:id="47"/>
    </w:p>
    <w:p w14:paraId="52FDBCC8">
      <w:pPr>
        <w:jc w:val="center"/>
        <w:outlineLvl w:val="0"/>
        <w:rPr>
          <w:rFonts w:hint="eastAsia"/>
          <w:b/>
          <w:color w:val="auto"/>
          <w:sz w:val="44"/>
          <w:szCs w:val="44"/>
          <w:highlight w:val="none"/>
        </w:rPr>
      </w:pPr>
      <w:bookmarkStart w:id="60" w:name="EB4d341233595e4bf8ad7006b4bd78d974"/>
      <w:bookmarkEnd w:id="60"/>
      <w:r>
        <w:rPr>
          <w:rFonts w:hint="eastAsia"/>
          <w:b/>
          <w:color w:val="auto"/>
          <w:sz w:val="44"/>
          <w:szCs w:val="44"/>
          <w:highlight w:val="none"/>
        </w:rPr>
        <w:br w:type="page"/>
      </w:r>
      <w:bookmarkStart w:id="61" w:name="_Toc22015"/>
      <w:r>
        <w:rPr>
          <w:rFonts w:hint="eastAsia"/>
          <w:b/>
          <w:color w:val="auto"/>
          <w:sz w:val="44"/>
          <w:szCs w:val="44"/>
          <w:highlight w:val="none"/>
        </w:rPr>
        <w:t>第三部分  资格审查及评标办法</w:t>
      </w:r>
      <w:bookmarkEnd w:id="61"/>
    </w:p>
    <w:p w14:paraId="210A3A9E">
      <w:pPr>
        <w:spacing w:before="156" w:beforeLines="50" w:after="156" w:afterLines="50"/>
        <w:ind w:firstLine="643" w:firstLineChars="200"/>
        <w:outlineLvl w:val="1"/>
        <w:rPr>
          <w:b/>
          <w:color w:val="auto"/>
          <w:sz w:val="32"/>
          <w:szCs w:val="32"/>
          <w:highlight w:val="none"/>
        </w:rPr>
      </w:pPr>
      <w:bookmarkStart w:id="62" w:name="_Toc4647"/>
      <w:bookmarkStart w:id="63" w:name="_Toc24217_WPSOffice_Level2"/>
      <w:r>
        <w:rPr>
          <w:rFonts w:hint="eastAsia"/>
          <w:b/>
          <w:color w:val="auto"/>
          <w:sz w:val="32"/>
          <w:szCs w:val="32"/>
          <w:highlight w:val="none"/>
        </w:rPr>
        <w:t>一、资格审查</w:t>
      </w:r>
      <w:bookmarkEnd w:id="62"/>
      <w:bookmarkEnd w:id="63"/>
    </w:p>
    <w:p w14:paraId="3A65D0FC">
      <w:pPr>
        <w:ind w:firstLine="420"/>
        <w:rPr>
          <w:rFonts w:hint="eastAsia" w:ascii="宋体" w:hAnsi="宋体" w:cs="宋体"/>
          <w:color w:val="auto"/>
          <w:sz w:val="24"/>
          <w:highlight w:val="none"/>
        </w:rPr>
      </w:pPr>
      <w:r>
        <w:rPr>
          <w:rFonts w:hint="eastAsia" w:ascii="宋体" w:hAnsi="宋体" w:cs="宋体"/>
          <w:color w:val="auto"/>
          <w:sz w:val="24"/>
          <w:highlight w:val="none"/>
        </w:rPr>
        <w:t>采购人按照下列指标对各投标人的资格进行审查，未通过审查的为无效标，不参与评标。</w:t>
      </w: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7"/>
        <w:gridCol w:w="4132"/>
      </w:tblGrid>
      <w:tr w14:paraId="6657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4B9EFA6A">
            <w:pPr>
              <w:jc w:val="center"/>
              <w:rPr>
                <w:rFonts w:hint="eastAsia" w:ascii="宋体" w:hAnsi="宋体" w:cs="宋体"/>
                <w:color w:val="auto"/>
                <w:highlight w:val="none"/>
              </w:rPr>
            </w:pPr>
            <w:r>
              <w:rPr>
                <w:rFonts w:hint="eastAsia" w:ascii="宋体" w:hAnsi="宋体" w:cs="宋体"/>
                <w:color w:val="auto"/>
                <w:highlight w:val="none"/>
              </w:rPr>
              <w:t>资格审查因素</w:t>
            </w:r>
          </w:p>
        </w:tc>
        <w:tc>
          <w:tcPr>
            <w:tcW w:w="4132" w:type="dxa"/>
            <w:noWrap w:val="0"/>
            <w:vAlign w:val="center"/>
          </w:tcPr>
          <w:p w14:paraId="041E4A40">
            <w:pPr>
              <w:jc w:val="center"/>
              <w:rPr>
                <w:rFonts w:hint="eastAsia" w:ascii="宋体" w:hAnsi="宋体" w:cs="宋体"/>
                <w:color w:val="auto"/>
                <w:highlight w:val="none"/>
              </w:rPr>
            </w:pPr>
            <w:r>
              <w:rPr>
                <w:rFonts w:hint="eastAsia" w:ascii="宋体" w:hAnsi="宋体" w:cs="宋体"/>
                <w:color w:val="auto"/>
                <w:highlight w:val="none"/>
              </w:rPr>
              <w:t>审查标准</w:t>
            </w:r>
          </w:p>
        </w:tc>
      </w:tr>
      <w:tr w14:paraId="68CD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3103DC66">
            <w:pPr>
              <w:jc w:val="left"/>
              <w:rPr>
                <w:rFonts w:hint="eastAsia" w:ascii="宋体" w:hAnsi="宋体" w:cs="宋体"/>
                <w:color w:val="auto"/>
                <w:highlight w:val="none"/>
              </w:rPr>
            </w:pPr>
            <w:r>
              <w:rPr>
                <w:rFonts w:hint="eastAsia" w:ascii="宋体" w:hAnsi="宋体" w:cs="宋体"/>
                <w:color w:val="auto"/>
                <w:highlight w:val="none"/>
              </w:rPr>
              <w:t>投标人</w:t>
            </w:r>
            <w:r>
              <w:rPr>
                <w:rFonts w:ascii="宋体" w:hAnsi="宋体" w:cs="宋体"/>
                <w:color w:val="auto"/>
                <w:highlight w:val="none"/>
              </w:rPr>
              <w:t>法人营业执照副本（</w:t>
            </w:r>
            <w:r>
              <w:rPr>
                <w:rFonts w:hint="eastAsia" w:ascii="宋体" w:hAnsi="宋体" w:cs="宋体"/>
                <w:color w:val="auto"/>
                <w:highlight w:val="none"/>
              </w:rPr>
              <w:t>“三证合一”的营业执照</w:t>
            </w:r>
            <w:r>
              <w:rPr>
                <w:rFonts w:ascii="宋体" w:hAnsi="宋体" w:cs="宋体"/>
                <w:color w:val="auto"/>
                <w:highlight w:val="none"/>
              </w:rPr>
              <w:t>）</w:t>
            </w:r>
          </w:p>
        </w:tc>
        <w:tc>
          <w:tcPr>
            <w:tcW w:w="4132" w:type="dxa"/>
            <w:vMerge w:val="restart"/>
            <w:noWrap w:val="0"/>
            <w:vAlign w:val="center"/>
          </w:tcPr>
          <w:p w14:paraId="7DFE7A3B">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r w14:paraId="09F9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751B4A66">
            <w:pPr>
              <w:jc w:val="left"/>
              <w:rPr>
                <w:rFonts w:hint="eastAsia" w:ascii="宋体" w:hAnsi="宋体" w:cs="宋体"/>
                <w:color w:val="auto"/>
                <w:highlight w:val="none"/>
              </w:rPr>
            </w:pPr>
            <w:r>
              <w:rPr>
                <w:rFonts w:hint="eastAsia" w:ascii="宋体" w:hAnsi="宋体" w:cs="宋体"/>
                <w:color w:val="auto"/>
                <w:highlight w:val="none"/>
              </w:rPr>
              <w:t>投标人的财务报表</w:t>
            </w:r>
          </w:p>
        </w:tc>
        <w:tc>
          <w:tcPr>
            <w:tcW w:w="4132" w:type="dxa"/>
            <w:vMerge w:val="continue"/>
            <w:noWrap w:val="0"/>
            <w:vAlign w:val="center"/>
          </w:tcPr>
          <w:p w14:paraId="5E6AFA5D">
            <w:pPr>
              <w:jc w:val="left"/>
              <w:rPr>
                <w:rFonts w:hint="eastAsia" w:ascii="宋体" w:hAnsi="宋体" w:cs="宋体"/>
                <w:color w:val="auto"/>
                <w:highlight w:val="none"/>
              </w:rPr>
            </w:pPr>
          </w:p>
        </w:tc>
      </w:tr>
      <w:tr w14:paraId="021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2A038F17">
            <w:pPr>
              <w:jc w:val="left"/>
              <w:rPr>
                <w:rFonts w:hint="eastAsia" w:ascii="宋体" w:hAnsi="宋体" w:cs="宋体"/>
                <w:color w:val="auto"/>
                <w:highlight w:val="none"/>
              </w:rPr>
            </w:pPr>
            <w:r>
              <w:rPr>
                <w:rFonts w:hint="eastAsia" w:ascii="宋体" w:hAnsi="宋体" w:cs="宋体"/>
                <w:color w:val="auto"/>
                <w:highlight w:val="none"/>
              </w:rPr>
              <w:t>缴纳税收和社会保障资金的相关凭据</w:t>
            </w:r>
          </w:p>
        </w:tc>
        <w:tc>
          <w:tcPr>
            <w:tcW w:w="4132" w:type="dxa"/>
            <w:vMerge w:val="continue"/>
            <w:noWrap w:val="0"/>
            <w:vAlign w:val="center"/>
          </w:tcPr>
          <w:p w14:paraId="7535E43C">
            <w:pPr>
              <w:jc w:val="left"/>
              <w:rPr>
                <w:rFonts w:hint="eastAsia" w:ascii="宋体" w:hAnsi="宋体" w:cs="宋体"/>
                <w:color w:val="auto"/>
                <w:highlight w:val="none"/>
              </w:rPr>
            </w:pPr>
          </w:p>
        </w:tc>
      </w:tr>
      <w:tr w14:paraId="52A8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3CF9C26D">
            <w:pPr>
              <w:jc w:val="left"/>
              <w:rPr>
                <w:rFonts w:hint="eastAsia" w:ascii="宋体" w:hAnsi="宋体" w:cs="宋体"/>
                <w:color w:val="auto"/>
                <w:highlight w:val="none"/>
              </w:rPr>
            </w:pPr>
            <w:r>
              <w:rPr>
                <w:rFonts w:hint="eastAsia" w:ascii="宋体" w:hAnsi="宋体" w:cs="宋体"/>
                <w:color w:val="auto"/>
                <w:highlight w:val="none"/>
              </w:rPr>
              <w:t>具备履行合同所必需的设备和专业技术能力</w:t>
            </w:r>
          </w:p>
        </w:tc>
        <w:tc>
          <w:tcPr>
            <w:tcW w:w="4132" w:type="dxa"/>
            <w:vMerge w:val="continue"/>
            <w:noWrap w:val="0"/>
            <w:vAlign w:val="center"/>
          </w:tcPr>
          <w:p w14:paraId="4699D5F9">
            <w:pPr>
              <w:jc w:val="left"/>
              <w:rPr>
                <w:rFonts w:hint="eastAsia" w:ascii="宋体" w:hAnsi="宋体" w:cs="宋体"/>
                <w:color w:val="auto"/>
                <w:highlight w:val="none"/>
              </w:rPr>
            </w:pPr>
          </w:p>
        </w:tc>
      </w:tr>
      <w:tr w14:paraId="2E77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405CC183">
            <w:pPr>
              <w:jc w:val="left"/>
              <w:rPr>
                <w:rFonts w:hint="eastAsia" w:ascii="宋体" w:hAnsi="宋体" w:cs="宋体"/>
                <w:color w:val="auto"/>
                <w:highlight w:val="none"/>
              </w:rPr>
            </w:pPr>
            <w:r>
              <w:rPr>
                <w:rFonts w:hint="eastAsia" w:ascii="宋体" w:hAnsi="宋体" w:cs="宋体"/>
                <w:color w:val="auto"/>
                <w:highlight w:val="none"/>
              </w:rPr>
              <w:t>无重大违法行为声明</w:t>
            </w:r>
          </w:p>
        </w:tc>
        <w:tc>
          <w:tcPr>
            <w:tcW w:w="4132" w:type="dxa"/>
            <w:vMerge w:val="continue"/>
            <w:noWrap w:val="0"/>
            <w:vAlign w:val="center"/>
          </w:tcPr>
          <w:p w14:paraId="741081A1">
            <w:pPr>
              <w:jc w:val="left"/>
              <w:rPr>
                <w:rFonts w:hint="eastAsia" w:ascii="宋体" w:hAnsi="宋体" w:cs="宋体"/>
                <w:color w:val="auto"/>
                <w:highlight w:val="none"/>
              </w:rPr>
            </w:pPr>
          </w:p>
        </w:tc>
      </w:tr>
      <w:tr w14:paraId="1B3F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704B0EE0">
            <w:pPr>
              <w:jc w:val="left"/>
              <w:rPr>
                <w:rFonts w:hint="eastAsia" w:ascii="宋体" w:hAnsi="宋体" w:cs="宋体"/>
                <w:color w:val="auto"/>
                <w:highlight w:val="none"/>
              </w:rPr>
            </w:pPr>
            <w:r>
              <w:rPr>
                <w:rFonts w:hint="eastAsia" w:ascii="宋体" w:hAnsi="宋体" w:cs="宋体"/>
                <w:color w:val="auto"/>
                <w:highlight w:val="none"/>
              </w:rPr>
              <w:t>投标人资质</w:t>
            </w:r>
          </w:p>
        </w:tc>
        <w:tc>
          <w:tcPr>
            <w:tcW w:w="4132" w:type="dxa"/>
            <w:vMerge w:val="continue"/>
            <w:noWrap w:val="0"/>
            <w:vAlign w:val="center"/>
          </w:tcPr>
          <w:p w14:paraId="604267A0">
            <w:pPr>
              <w:jc w:val="left"/>
              <w:rPr>
                <w:rFonts w:hint="eastAsia" w:ascii="宋体" w:hAnsi="宋体" w:cs="宋体"/>
                <w:color w:val="auto"/>
                <w:highlight w:val="none"/>
              </w:rPr>
            </w:pPr>
          </w:p>
        </w:tc>
      </w:tr>
      <w:tr w14:paraId="0D4C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4947" w:type="dxa"/>
            <w:noWrap w:val="0"/>
            <w:vAlign w:val="center"/>
          </w:tcPr>
          <w:p w14:paraId="22BCD8CA">
            <w:pPr>
              <w:jc w:val="left"/>
              <w:rPr>
                <w:rFonts w:hint="eastAsia" w:ascii="宋体" w:hAnsi="宋体" w:cs="宋体"/>
                <w:color w:val="auto"/>
                <w:highlight w:val="none"/>
              </w:rPr>
            </w:pPr>
            <w:r>
              <w:rPr>
                <w:rFonts w:hint="eastAsia" w:ascii="宋体" w:hAnsi="宋体" w:cs="宋体"/>
                <w:color w:val="auto"/>
                <w:highlight w:val="none"/>
              </w:rPr>
              <w:t>信用信息</w:t>
            </w:r>
          </w:p>
        </w:tc>
        <w:tc>
          <w:tcPr>
            <w:tcW w:w="4132" w:type="dxa"/>
            <w:vMerge w:val="continue"/>
            <w:noWrap w:val="0"/>
            <w:vAlign w:val="center"/>
          </w:tcPr>
          <w:p w14:paraId="03F03B5B">
            <w:pPr>
              <w:jc w:val="left"/>
              <w:rPr>
                <w:rFonts w:hint="eastAsia" w:ascii="宋体" w:hAnsi="宋体" w:cs="宋体"/>
                <w:color w:val="auto"/>
                <w:highlight w:val="none"/>
              </w:rPr>
            </w:pPr>
          </w:p>
        </w:tc>
      </w:tr>
      <w:tr w14:paraId="7E7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4947" w:type="dxa"/>
            <w:noWrap w:val="0"/>
            <w:vAlign w:val="center"/>
          </w:tcPr>
          <w:p w14:paraId="11108A37">
            <w:pPr>
              <w:jc w:val="left"/>
              <w:rPr>
                <w:rFonts w:hint="eastAsia" w:ascii="宋体" w:hAnsi="宋体" w:cs="宋体"/>
                <w:color w:val="auto"/>
                <w:highlight w:val="none"/>
              </w:rPr>
            </w:pPr>
            <w:r>
              <w:rPr>
                <w:rFonts w:hint="eastAsia" w:ascii="宋体" w:hAnsi="宋体" w:cs="宋体"/>
                <w:color w:val="auto"/>
                <w:highlight w:val="none"/>
              </w:rPr>
              <w:t>联合体投标</w:t>
            </w:r>
          </w:p>
        </w:tc>
        <w:tc>
          <w:tcPr>
            <w:tcW w:w="4132" w:type="dxa"/>
            <w:noWrap w:val="0"/>
            <w:vAlign w:val="center"/>
          </w:tcPr>
          <w:p w14:paraId="726D8958">
            <w:pPr>
              <w:jc w:val="left"/>
              <w:rPr>
                <w:rFonts w:hint="eastAsia" w:ascii="宋体" w:hAnsi="宋体" w:cs="宋体"/>
                <w:color w:val="auto"/>
                <w:highlight w:val="none"/>
              </w:rPr>
            </w:pPr>
            <w:r>
              <w:rPr>
                <w:rFonts w:hint="eastAsia" w:ascii="宋体" w:hAnsi="宋体" w:cs="宋体"/>
                <w:color w:val="auto"/>
                <w:highlight w:val="none"/>
              </w:rPr>
              <w:t>不接受联合体投标</w:t>
            </w:r>
          </w:p>
        </w:tc>
      </w:tr>
    </w:tbl>
    <w:p w14:paraId="511AF667">
      <w:pPr>
        <w:outlineLvl w:val="1"/>
        <w:rPr>
          <w:rFonts w:hint="eastAsia" w:ascii="宋体" w:hAnsi="宋体" w:cs="宋体"/>
          <w:b/>
          <w:color w:val="auto"/>
          <w:sz w:val="32"/>
          <w:szCs w:val="32"/>
          <w:highlight w:val="none"/>
        </w:rPr>
      </w:pPr>
      <w:bookmarkStart w:id="64" w:name="EB9af8278fd1df4f8591f0fad951f64ddb"/>
      <w:r>
        <w:rPr>
          <w:rFonts w:hint="eastAsia" w:ascii="宋体" w:hAnsi="宋体" w:cs="宋体"/>
          <w:color w:val="auto"/>
          <w:sz w:val="20"/>
          <w:highlight w:val="none"/>
        </w:rPr>
        <w:t xml:space="preserve"> </w:t>
      </w:r>
      <w:bookmarkEnd w:id="64"/>
      <w:bookmarkStart w:id="65" w:name="_Toc13271_WPSOffice_Level2"/>
      <w:r>
        <w:rPr>
          <w:rFonts w:hint="eastAsia" w:ascii="宋体" w:hAnsi="宋体" w:cs="宋体"/>
          <w:color w:val="auto"/>
          <w:sz w:val="20"/>
          <w:highlight w:val="none"/>
        </w:rPr>
        <w:t xml:space="preserve">    </w:t>
      </w:r>
      <w:bookmarkStart w:id="66" w:name="_Toc11959"/>
      <w:r>
        <w:rPr>
          <w:rFonts w:hint="eastAsia" w:ascii="宋体" w:hAnsi="宋体" w:cs="宋体"/>
          <w:b/>
          <w:color w:val="auto"/>
          <w:sz w:val="32"/>
          <w:szCs w:val="32"/>
          <w:highlight w:val="none"/>
        </w:rPr>
        <w:t>二、评分办法—综合评分法</w:t>
      </w:r>
      <w:bookmarkEnd w:id="65"/>
      <w:bookmarkEnd w:id="66"/>
    </w:p>
    <w:p w14:paraId="2C42FC0D">
      <w:pPr>
        <w:spacing w:line="50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1、评标办法：</w:t>
      </w:r>
      <w:r>
        <w:rPr>
          <w:rFonts w:hint="eastAsia" w:ascii="宋体" w:hAnsi="宋体" w:cs="宋体"/>
          <w:color w:val="auto"/>
          <w:sz w:val="24"/>
          <w:highlight w:val="non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14:paraId="5C84BC5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评标委员会根据评审后投标人排序推荐中标候选人。投标文件满足招标文件全部实质性要求，且评审后排序第一的投标人为第一中标候选人，依次类推。</w:t>
      </w:r>
    </w:p>
    <w:p w14:paraId="123CB925">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综合评分保留至小数点后两位。 </w:t>
      </w:r>
    </w:p>
    <w:p w14:paraId="5ED44E69">
      <w:pPr>
        <w:spacing w:line="500" w:lineRule="exact"/>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2、符合性审查。</w:t>
      </w:r>
      <w:r>
        <w:rPr>
          <w:rFonts w:hint="eastAsia" w:ascii="宋体" w:hAnsi="宋体" w:cs="宋体"/>
          <w:color w:val="auto"/>
          <w:sz w:val="24"/>
          <w:highlight w:val="none"/>
        </w:rPr>
        <w:t>评标委员会首先按照下列指标对各投标人的投标文件进行符合性审查，未通过审查的为无效标，不再参与评审。</w:t>
      </w:r>
    </w:p>
    <w:tbl>
      <w:tblPr>
        <w:tblStyle w:val="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450"/>
        <w:gridCol w:w="4450"/>
      </w:tblGrid>
      <w:tr w14:paraId="2E9998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206FE6C1">
            <w:pPr>
              <w:jc w:val="center"/>
              <w:rPr>
                <w:rFonts w:hint="eastAsia" w:ascii="宋体" w:hAnsi="宋体" w:cs="宋体"/>
                <w:color w:val="auto"/>
                <w:highlight w:val="none"/>
              </w:rPr>
            </w:pPr>
            <w:r>
              <w:rPr>
                <w:rFonts w:hint="eastAsia" w:ascii="宋体" w:hAnsi="宋体" w:cs="宋体"/>
                <w:color w:val="auto"/>
                <w:highlight w:val="none"/>
              </w:rPr>
              <w:t>符合性审查因素</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0F2E8C09">
            <w:pPr>
              <w:jc w:val="center"/>
              <w:rPr>
                <w:rFonts w:hint="eastAsia" w:ascii="宋体" w:hAnsi="宋体" w:cs="宋体"/>
                <w:color w:val="auto"/>
                <w:highlight w:val="none"/>
              </w:rPr>
            </w:pPr>
            <w:r>
              <w:rPr>
                <w:rFonts w:hint="eastAsia" w:ascii="宋体" w:hAnsi="宋体" w:cs="宋体"/>
                <w:color w:val="auto"/>
                <w:highlight w:val="none"/>
              </w:rPr>
              <w:t>审查标准</w:t>
            </w:r>
          </w:p>
        </w:tc>
      </w:tr>
      <w:tr w14:paraId="523CB3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3FBEE672">
            <w:pPr>
              <w:jc w:val="left"/>
              <w:rPr>
                <w:rFonts w:hint="eastAsia" w:ascii="宋体" w:hAnsi="宋体" w:cs="宋体"/>
                <w:color w:val="auto"/>
                <w:highlight w:val="none"/>
              </w:rPr>
            </w:pPr>
            <w:r>
              <w:rPr>
                <w:rFonts w:hint="eastAsia" w:ascii="宋体" w:hAnsi="宋体" w:cs="宋体"/>
                <w:color w:val="auto"/>
                <w:highlight w:val="none"/>
              </w:rPr>
              <w:t>投标函</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55DD94DF">
            <w:pPr>
              <w:jc w:val="left"/>
              <w:rPr>
                <w:rFonts w:hint="eastAsia" w:ascii="宋体" w:hAnsi="宋体" w:cs="宋体"/>
                <w:color w:val="auto"/>
                <w:highlight w:val="none"/>
              </w:rPr>
            </w:pPr>
            <w:r>
              <w:rPr>
                <w:rFonts w:hint="eastAsia" w:ascii="宋体" w:hAnsi="宋体" w:cs="宋体"/>
                <w:color w:val="auto"/>
                <w:highlight w:val="none"/>
              </w:rPr>
              <w:t>符合招标文件第11.2条款的要求</w:t>
            </w:r>
          </w:p>
        </w:tc>
      </w:tr>
      <w:tr w14:paraId="331841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265276AE">
            <w:pPr>
              <w:jc w:val="left"/>
              <w:rPr>
                <w:rFonts w:hint="eastAsia" w:ascii="宋体" w:hAnsi="宋体" w:cs="宋体"/>
                <w:color w:val="auto"/>
                <w:highlight w:val="none"/>
              </w:rPr>
            </w:pPr>
            <w:r>
              <w:rPr>
                <w:rFonts w:hint="eastAsia" w:ascii="宋体" w:hAnsi="宋体" w:cs="宋体"/>
                <w:color w:val="auto"/>
                <w:highlight w:val="none"/>
              </w:rPr>
              <w:t>法定代表人身份证明或授权委托书</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379E6901">
            <w:pPr>
              <w:jc w:val="left"/>
              <w:rPr>
                <w:rFonts w:hint="eastAsia" w:ascii="宋体" w:hAnsi="宋体" w:cs="宋体"/>
                <w:color w:val="auto"/>
                <w:highlight w:val="none"/>
              </w:rPr>
            </w:pPr>
            <w:r>
              <w:rPr>
                <w:rFonts w:hint="eastAsia" w:ascii="宋体" w:hAnsi="宋体" w:cs="宋体"/>
                <w:color w:val="auto"/>
                <w:highlight w:val="none"/>
              </w:rPr>
              <w:t>符合招标文件第11.3条款的要求</w:t>
            </w:r>
          </w:p>
        </w:tc>
      </w:tr>
      <w:tr w14:paraId="5B7BC4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69653AA6">
            <w:pPr>
              <w:jc w:val="left"/>
              <w:rPr>
                <w:rFonts w:hint="eastAsia" w:ascii="宋体" w:hAnsi="宋体" w:cs="宋体"/>
                <w:color w:val="auto"/>
                <w:highlight w:val="none"/>
              </w:rPr>
            </w:pPr>
            <w:r>
              <w:rPr>
                <w:rFonts w:hint="eastAsia" w:ascii="宋体" w:hAnsi="宋体" w:cs="宋体"/>
                <w:color w:val="auto"/>
                <w:highlight w:val="none"/>
              </w:rPr>
              <w:t>开标一览表及投标报价</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3DC83020">
            <w:pPr>
              <w:jc w:val="left"/>
              <w:rPr>
                <w:rFonts w:hint="eastAsia" w:ascii="宋体" w:hAnsi="宋体" w:cs="宋体"/>
                <w:color w:val="auto"/>
                <w:highlight w:val="none"/>
              </w:rPr>
            </w:pPr>
            <w:r>
              <w:rPr>
                <w:rFonts w:hint="eastAsia" w:ascii="宋体" w:hAnsi="宋体" w:cs="宋体"/>
                <w:color w:val="auto"/>
                <w:highlight w:val="none"/>
              </w:rPr>
              <w:t>格式、填写要求符合招标文件规定</w:t>
            </w:r>
          </w:p>
        </w:tc>
      </w:tr>
      <w:tr w14:paraId="2F7052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1"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66FA4C34">
            <w:pPr>
              <w:jc w:val="left"/>
              <w:rPr>
                <w:rFonts w:hint="eastAsia" w:ascii="宋体" w:hAnsi="宋体" w:cs="宋体"/>
                <w:color w:val="auto"/>
                <w:highlight w:val="none"/>
              </w:rPr>
            </w:pPr>
            <w:r>
              <w:rPr>
                <w:rFonts w:hint="eastAsia" w:ascii="宋体" w:hAnsi="宋体" w:cs="宋体"/>
                <w:color w:val="auto"/>
                <w:highlight w:val="none"/>
              </w:rPr>
              <w:t>技术标准和要求</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517C670C">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r w14:paraId="398EB7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7" w:hRule="atLeast"/>
        </w:trPr>
        <w:tc>
          <w:tcPr>
            <w:tcW w:w="4450" w:type="dxa"/>
            <w:tcBorders>
              <w:top w:val="outset" w:color="auto" w:sz="6" w:space="0"/>
              <w:left w:val="outset" w:color="auto" w:sz="6" w:space="0"/>
              <w:bottom w:val="outset" w:color="auto" w:sz="6" w:space="0"/>
              <w:right w:val="outset" w:color="auto" w:sz="6" w:space="0"/>
            </w:tcBorders>
            <w:noWrap w:val="0"/>
            <w:vAlign w:val="center"/>
          </w:tcPr>
          <w:p w14:paraId="45DB999D">
            <w:pPr>
              <w:jc w:val="left"/>
              <w:rPr>
                <w:rFonts w:hint="eastAsia" w:ascii="宋体" w:hAnsi="宋体" w:cs="宋体"/>
                <w:color w:val="auto"/>
                <w:highlight w:val="none"/>
              </w:rPr>
            </w:pPr>
            <w:r>
              <w:rPr>
                <w:rFonts w:hint="eastAsia" w:ascii="宋体" w:hAnsi="宋体" w:cs="宋体"/>
                <w:color w:val="auto"/>
                <w:highlight w:val="none"/>
              </w:rPr>
              <w:t>其他</w:t>
            </w:r>
          </w:p>
        </w:tc>
        <w:tc>
          <w:tcPr>
            <w:tcW w:w="4450" w:type="dxa"/>
            <w:tcBorders>
              <w:top w:val="outset" w:color="auto" w:sz="6" w:space="0"/>
              <w:left w:val="outset" w:color="auto" w:sz="6" w:space="0"/>
              <w:bottom w:val="outset" w:color="auto" w:sz="6" w:space="0"/>
              <w:right w:val="outset" w:color="auto" w:sz="6" w:space="0"/>
            </w:tcBorders>
            <w:noWrap w:val="0"/>
            <w:vAlign w:val="center"/>
          </w:tcPr>
          <w:p w14:paraId="62C247BE">
            <w:pPr>
              <w:jc w:val="left"/>
              <w:rPr>
                <w:rFonts w:hint="eastAsia" w:ascii="宋体" w:hAnsi="宋体" w:cs="宋体"/>
                <w:color w:val="auto"/>
                <w:highlight w:val="none"/>
              </w:rPr>
            </w:pPr>
            <w:r>
              <w:rPr>
                <w:rFonts w:hint="eastAsia" w:ascii="宋体" w:hAnsi="宋体" w:cs="宋体"/>
                <w:color w:val="auto"/>
                <w:highlight w:val="none"/>
              </w:rPr>
              <w:t>符合招标文件第11条“投标文件构成”的要求</w:t>
            </w:r>
          </w:p>
        </w:tc>
      </w:tr>
    </w:tbl>
    <w:p w14:paraId="7B20AE97">
      <w:pPr>
        <w:spacing w:line="5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3、详细评审。</w:t>
      </w:r>
      <w:r>
        <w:rPr>
          <w:rFonts w:hint="eastAsia" w:ascii="宋体" w:hAnsi="宋体" w:cs="宋体"/>
          <w:color w:val="auto"/>
          <w:sz w:val="24"/>
          <w:highlight w:val="none"/>
        </w:rPr>
        <w:t>评标委员会按照招标文件规定的评分标准，对各投标文件进行详细评审打分。评标委员会组长对各评审专家的打分情况进行复核无误后汇总，形成评审报告。</w:t>
      </w:r>
    </w:p>
    <w:p w14:paraId="2DFAC2C1">
      <w:pPr>
        <w:pStyle w:val="4"/>
        <w:rPr>
          <w:color w:val="auto"/>
          <w:highlight w:val="none"/>
          <w:lang w:val="en-US" w:eastAsia="zh-CN"/>
        </w:rPr>
      </w:pPr>
    </w:p>
    <w:p w14:paraId="23255F93">
      <w:pPr>
        <w:pStyle w:val="4"/>
        <w:rPr>
          <w:rFonts w:hint="eastAsia"/>
          <w:color w:val="auto"/>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1"/>
      </w:tblGrid>
      <w:tr w14:paraId="6938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9361" w:type="dxa"/>
            <w:noWrap w:val="0"/>
            <w:vAlign w:val="top"/>
          </w:tcPr>
          <w:p w14:paraId="47BB7987">
            <w:pPr>
              <w:pageBreakBefore w:val="0"/>
              <w:widowControl w:val="0"/>
              <w:kinsoku/>
              <w:wordWrap/>
              <w:overflowPunct/>
              <w:topLinePunct w:val="0"/>
              <w:autoSpaceDE/>
              <w:autoSpaceDN/>
              <w:bidi w:val="0"/>
              <w:adjustRightInd/>
              <w:snapToGrid/>
              <w:spacing w:line="312" w:lineRule="auto"/>
              <w:jc w:val="left"/>
              <w:textAlignment w:val="auto"/>
              <w:rPr>
                <w:rFonts w:hint="eastAsia"/>
                <w:b/>
                <w:bCs/>
                <w:color w:val="auto"/>
                <w:sz w:val="24"/>
                <w:szCs w:val="24"/>
                <w:highlight w:val="none"/>
              </w:rPr>
            </w:pPr>
            <w:bookmarkStart w:id="67" w:name="_Hlk132631791"/>
            <w:r>
              <w:rPr>
                <w:rFonts w:hint="eastAsia"/>
                <w:b/>
                <w:bCs/>
                <w:color w:val="auto"/>
                <w:sz w:val="24"/>
                <w:szCs w:val="24"/>
                <w:highlight w:val="none"/>
              </w:rPr>
              <w:t>1、报价：</w:t>
            </w:r>
            <w:r>
              <w:rPr>
                <w:rFonts w:hint="eastAsia"/>
                <w:b/>
                <w:bCs/>
                <w:color w:val="auto"/>
                <w:sz w:val="24"/>
                <w:szCs w:val="24"/>
                <w:highlight w:val="none"/>
                <w:lang w:val="en-US" w:eastAsia="zh-CN"/>
              </w:rPr>
              <w:t>40</w:t>
            </w:r>
            <w:r>
              <w:rPr>
                <w:rFonts w:hint="eastAsia"/>
                <w:b/>
                <w:bCs/>
                <w:color w:val="auto"/>
                <w:sz w:val="24"/>
                <w:szCs w:val="24"/>
                <w:highlight w:val="none"/>
              </w:rPr>
              <w:t>分</w:t>
            </w:r>
          </w:p>
          <w:p w14:paraId="3B46A8E7">
            <w:pPr>
              <w:pageBreakBefore w:val="0"/>
              <w:widowControl w:val="0"/>
              <w:kinsoku/>
              <w:wordWrap/>
              <w:overflowPunct/>
              <w:topLinePunct w:val="0"/>
              <w:autoSpaceDE/>
              <w:autoSpaceDN/>
              <w:bidi w:val="0"/>
              <w:adjustRightInd/>
              <w:snapToGrid/>
              <w:spacing w:line="312" w:lineRule="auto"/>
              <w:jc w:val="left"/>
              <w:textAlignment w:val="auto"/>
              <w:rPr>
                <w:color w:val="auto"/>
                <w:sz w:val="24"/>
                <w:szCs w:val="24"/>
                <w:highlight w:val="none"/>
              </w:rPr>
            </w:pPr>
            <w:r>
              <w:rPr>
                <w:rFonts w:hint="eastAsia"/>
                <w:color w:val="auto"/>
                <w:sz w:val="24"/>
                <w:szCs w:val="24"/>
                <w:highlight w:val="none"/>
              </w:rPr>
              <w:t>初步评审合格的供应商的报价经勘误、缺漏项等因素修正后的最终价格作为该供应商评审价，评审价格最低者得</w:t>
            </w:r>
            <w:r>
              <w:rPr>
                <w:rFonts w:hint="eastAsia"/>
                <w:color w:val="auto"/>
                <w:sz w:val="24"/>
                <w:szCs w:val="24"/>
                <w:highlight w:val="none"/>
                <w:lang w:val="en-US" w:eastAsia="zh-CN"/>
              </w:rPr>
              <w:t>4</w:t>
            </w:r>
            <w:r>
              <w:rPr>
                <w:rFonts w:hint="eastAsia"/>
                <w:color w:val="auto"/>
                <w:sz w:val="24"/>
                <w:szCs w:val="24"/>
                <w:highlight w:val="none"/>
              </w:rPr>
              <w:t>0分，其它家得分=评审最低价/各家的评审价*</w:t>
            </w:r>
            <w:r>
              <w:rPr>
                <w:rFonts w:hint="eastAsia"/>
                <w:color w:val="auto"/>
                <w:sz w:val="24"/>
                <w:szCs w:val="24"/>
                <w:highlight w:val="none"/>
                <w:lang w:val="en-US" w:eastAsia="zh-CN"/>
              </w:rPr>
              <w:t>4</w:t>
            </w:r>
            <w:r>
              <w:rPr>
                <w:rFonts w:hint="eastAsia"/>
                <w:color w:val="auto"/>
                <w:sz w:val="24"/>
                <w:szCs w:val="24"/>
                <w:highlight w:val="none"/>
              </w:rPr>
              <w:t>0分。</w:t>
            </w:r>
          </w:p>
          <w:p w14:paraId="0C4382EE">
            <w:pPr>
              <w:keepNext/>
              <w:keepLines/>
              <w:pageBreakBefore w:val="0"/>
              <w:widowControl w:val="0"/>
              <w:kinsoku/>
              <w:wordWrap/>
              <w:overflowPunct/>
              <w:topLinePunct w:val="0"/>
              <w:autoSpaceDE/>
              <w:autoSpaceDN/>
              <w:bidi w:val="0"/>
              <w:adjustRightInd/>
              <w:snapToGrid/>
              <w:spacing w:line="312" w:lineRule="auto"/>
              <w:textAlignment w:val="auto"/>
              <w:rPr>
                <w:b/>
                <w:bCs/>
                <w:color w:val="auto"/>
                <w:sz w:val="24"/>
                <w:szCs w:val="24"/>
                <w:highlight w:val="none"/>
              </w:rPr>
            </w:pPr>
            <w:r>
              <w:rPr>
                <w:rFonts w:hint="eastAsia"/>
                <w:b/>
                <w:bCs/>
                <w:color w:val="auto"/>
                <w:sz w:val="24"/>
                <w:szCs w:val="24"/>
                <w:highlight w:val="none"/>
              </w:rPr>
              <w:t>2、技术、性能、配置：</w:t>
            </w:r>
            <w:r>
              <w:rPr>
                <w:rFonts w:hint="eastAsia"/>
                <w:b/>
                <w:bCs/>
                <w:color w:val="auto"/>
                <w:sz w:val="24"/>
                <w:szCs w:val="24"/>
                <w:highlight w:val="none"/>
                <w:lang w:val="en-US" w:eastAsia="zh-CN"/>
              </w:rPr>
              <w:t>30</w:t>
            </w:r>
            <w:r>
              <w:rPr>
                <w:rFonts w:hint="eastAsia"/>
                <w:b/>
                <w:bCs/>
                <w:color w:val="auto"/>
                <w:sz w:val="24"/>
                <w:szCs w:val="24"/>
                <w:highlight w:val="none"/>
              </w:rPr>
              <w:t>分</w:t>
            </w:r>
          </w:p>
          <w:p w14:paraId="6BE99BD8">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评审小组对响应文件中产品规格参数响应进行评分。</w:t>
            </w:r>
          </w:p>
          <w:p w14:paraId="709DE37B">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完全符合公开招标文件要求的，得30分；“</w:t>
            </w:r>
            <w:r>
              <w:rPr>
                <w:rFonts w:hint="eastAsia" w:ascii="宋体" w:hAnsi="宋体" w:eastAsia="宋体" w:cs="宋体"/>
                <w:b/>
                <w:bCs/>
                <w:color w:val="auto"/>
                <w:kern w:val="0"/>
                <w:sz w:val="24"/>
                <w:szCs w:val="24"/>
                <w:lang w:val="en-US" w:eastAsia="zh-CN" w:bidi="en-US"/>
              </w:rPr>
              <w:t>★</w:t>
            </w:r>
            <w:r>
              <w:rPr>
                <w:rFonts w:hint="eastAsia"/>
                <w:color w:val="auto"/>
                <w:sz w:val="24"/>
                <w:szCs w:val="24"/>
                <w:highlight w:val="none"/>
              </w:rPr>
              <w:t>”号条款每一项内有负偏离的扣5分（总分值15分）；其他为一般技术参数，每有一小项负偏离的扣1分（总分值15分），如扣分后得0分或者负分的，作无效标处理。</w:t>
            </w:r>
          </w:p>
          <w:p w14:paraId="6D8795A1">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注：（1）本项目需求中货物技术参数中按要求提供相关检测报告等证明材料及技术部分正负偏离表并在偏离表中标明所在页码，不提供或不符合要求的评标委员会有权做负偏离处理。投标单位须如实提供所投产品规格参数及对应的技术部分正负偏离表，如发现有虚假响应行为的视为无效响应处理。</w:t>
            </w:r>
          </w:p>
          <w:p w14:paraId="60AA9197">
            <w:pPr>
              <w:keepNext/>
              <w:keepLines/>
              <w:pageBreakBefore w:val="0"/>
              <w:widowControl w:val="0"/>
              <w:numPr>
                <w:ilvl w:val="0"/>
                <w:numId w:val="3"/>
              </w:numPr>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响应文件中须对应本公开招标文件第三部分项目需求中每个产品作出响应，明确注明所投产品的技术参数、数量、图片、投标品牌、制造商（供应商按照以上表格的顺序自行拟表列明），不提供或不符合要求的评标委员会有权做负偏离处理。</w:t>
            </w:r>
          </w:p>
          <w:p w14:paraId="08F47CAD">
            <w:pPr>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b/>
                <w:bCs/>
                <w:color w:val="auto"/>
                <w:sz w:val="24"/>
                <w:szCs w:val="24"/>
                <w:highlight w:val="none"/>
                <w:lang w:val="en-US" w:eastAsia="zh-CN"/>
              </w:rPr>
            </w:pPr>
            <w:r>
              <w:rPr>
                <w:rFonts w:hint="eastAsia" w:ascii="Times New Roman" w:hAnsi="Times New Roman" w:eastAsia="宋体" w:cs="Times New Roman"/>
                <w:b/>
                <w:bCs/>
                <w:color w:val="auto"/>
                <w:kern w:val="2"/>
                <w:sz w:val="24"/>
                <w:szCs w:val="24"/>
                <w:lang w:val="en-US" w:eastAsia="zh-CN" w:bidi="ar-SA"/>
              </w:rPr>
              <w:t>3、</w:t>
            </w:r>
            <w:r>
              <w:rPr>
                <w:rFonts w:hint="eastAsia"/>
                <w:b/>
                <w:bCs/>
                <w:color w:val="auto"/>
                <w:sz w:val="24"/>
                <w:szCs w:val="24"/>
                <w:highlight w:val="none"/>
              </w:rPr>
              <w:t>技术方案</w:t>
            </w:r>
            <w:r>
              <w:rPr>
                <w:rFonts w:hint="eastAsia"/>
                <w:b/>
                <w:bCs/>
                <w:color w:val="auto"/>
                <w:sz w:val="24"/>
                <w:szCs w:val="24"/>
                <w:highlight w:val="none"/>
                <w:lang w:eastAsia="zh-CN"/>
              </w:rPr>
              <w:t>：</w:t>
            </w:r>
            <w:r>
              <w:rPr>
                <w:rFonts w:hint="eastAsia"/>
                <w:b/>
                <w:bCs/>
                <w:color w:val="auto"/>
                <w:sz w:val="24"/>
                <w:szCs w:val="24"/>
                <w:highlight w:val="none"/>
                <w:lang w:val="en-US" w:eastAsia="zh-CN"/>
              </w:rPr>
              <w:t>10分</w:t>
            </w:r>
          </w:p>
          <w:p w14:paraId="7E23EF45">
            <w:pPr>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3.1、安装调试方案：投标供应商应根据招标文件要求提供具体详实的安装调试方案，方案内容包括但不仅限于货物安装、项目安装的组织架构、项目安装管理制度、安装总体实施计划、项目安装风险管理等。安装调试方案优于项目需求的，得5分；满足项目需求的，得2分；有以上方案内容没有偏离项目需求的，得1分；不提供或不符合项目需求的不得分。</w:t>
            </w:r>
          </w:p>
          <w:p w14:paraId="739AA220">
            <w:pPr>
              <w:pageBreakBefore w:val="0"/>
              <w:widowControl w:val="0"/>
              <w:kinsoku/>
              <w:wordWrap/>
              <w:overflowPunct/>
              <w:topLinePunct w:val="0"/>
              <w:autoSpaceDE/>
              <w:autoSpaceDN/>
              <w:bidi w:val="0"/>
              <w:adjustRightInd/>
              <w:snapToGrid/>
              <w:spacing w:line="312"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3.2、投标供应商应根据招标文件要求提供具体详实的维保方案，方案内容包括但不仅限于货物的响应标准、服务体系、备件体系、故障解决方案、专业技术人员保障、日常巡检等。方案内容完整且有实质性意义的得5分；满足项目需求的，得2分；有以上方案内容没有偏离项目需求的，得1分；不提供或不符合项目需求的不得分。</w:t>
            </w:r>
          </w:p>
          <w:p w14:paraId="3A700429">
            <w:pPr>
              <w:pageBreakBefore w:val="0"/>
              <w:widowControl w:val="0"/>
              <w:kinsoku/>
              <w:wordWrap/>
              <w:overflowPunct/>
              <w:topLinePunct w:val="0"/>
              <w:autoSpaceDE/>
              <w:autoSpaceDN/>
              <w:bidi w:val="0"/>
              <w:adjustRightInd/>
              <w:snapToGrid/>
              <w:spacing w:line="312" w:lineRule="auto"/>
              <w:textAlignment w:val="auto"/>
              <w:rPr>
                <w:b/>
                <w:bCs/>
                <w:color w:val="auto"/>
                <w:sz w:val="24"/>
                <w:szCs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产品综合性能：</w:t>
            </w:r>
            <w:r>
              <w:rPr>
                <w:rFonts w:hint="eastAsia"/>
                <w:b/>
                <w:bCs/>
                <w:color w:val="auto"/>
                <w:sz w:val="24"/>
                <w:szCs w:val="24"/>
                <w:highlight w:val="none"/>
                <w:lang w:val="en-US" w:eastAsia="zh-CN"/>
              </w:rPr>
              <w:t>5</w:t>
            </w:r>
            <w:r>
              <w:rPr>
                <w:rFonts w:hint="eastAsia"/>
                <w:b/>
                <w:bCs/>
                <w:color w:val="auto"/>
                <w:sz w:val="24"/>
                <w:szCs w:val="24"/>
                <w:highlight w:val="none"/>
              </w:rPr>
              <w:t>分</w:t>
            </w:r>
          </w:p>
          <w:p w14:paraId="41847431">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rPr>
            </w:pPr>
            <w:r>
              <w:rPr>
                <w:rFonts w:hint="eastAsia"/>
                <w:color w:val="auto"/>
                <w:sz w:val="24"/>
                <w:szCs w:val="24"/>
                <w:highlight w:val="none"/>
              </w:rPr>
              <w:t>产品综合性能评价：由评委根据所投设备的配置选型及品牌、所投产品的设计、制造等因素，综合投标文件提供的佐证材料等进行评审。成熟性、先进性和可靠性较好得5分，成熟性、先进性和可靠性一般得2分，未提供不得分。</w:t>
            </w:r>
          </w:p>
          <w:p w14:paraId="04DC4D6D">
            <w:pPr>
              <w:keepNext/>
              <w:keepLines/>
              <w:pageBreakBefore w:val="0"/>
              <w:widowControl w:val="0"/>
              <w:kinsoku/>
              <w:wordWrap/>
              <w:overflowPunct/>
              <w:topLinePunct w:val="0"/>
              <w:autoSpaceDE/>
              <w:autoSpaceDN/>
              <w:bidi w:val="0"/>
              <w:adjustRightInd/>
              <w:snapToGrid/>
              <w:spacing w:line="312" w:lineRule="auto"/>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5、</w:t>
            </w:r>
            <w:r>
              <w:rPr>
                <w:rFonts w:hint="eastAsia"/>
                <w:b/>
                <w:bCs/>
                <w:color w:val="auto"/>
                <w:sz w:val="24"/>
                <w:szCs w:val="24"/>
                <w:highlight w:val="none"/>
              </w:rPr>
              <w:t>销售业绩</w:t>
            </w:r>
            <w:r>
              <w:rPr>
                <w:rFonts w:hint="eastAsia"/>
                <w:b/>
                <w:bCs/>
                <w:color w:val="auto"/>
                <w:sz w:val="24"/>
                <w:szCs w:val="24"/>
                <w:highlight w:val="none"/>
                <w:lang w:eastAsia="zh-CN"/>
              </w:rPr>
              <w:t>：</w:t>
            </w:r>
            <w:r>
              <w:rPr>
                <w:rFonts w:hint="eastAsia"/>
                <w:b/>
                <w:bCs/>
                <w:color w:val="auto"/>
                <w:sz w:val="24"/>
                <w:szCs w:val="24"/>
                <w:highlight w:val="none"/>
                <w:lang w:val="en-US" w:eastAsia="zh-CN"/>
              </w:rPr>
              <w:t>6分</w:t>
            </w:r>
          </w:p>
          <w:p w14:paraId="0368E4D6">
            <w:pPr>
              <w:keepNext/>
              <w:keepLines/>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w:t>
            </w:r>
            <w:r>
              <w:rPr>
                <w:rFonts w:hint="eastAsia" w:ascii="Times New Roman" w:hAnsi="Times New Roman" w:cs="Times New Roman"/>
                <w:color w:val="auto"/>
                <w:kern w:val="2"/>
                <w:sz w:val="24"/>
                <w:szCs w:val="24"/>
                <w:highlight w:val="none"/>
                <w:lang w:val="en-US" w:eastAsia="zh-CN" w:bidi="ar-SA"/>
              </w:rPr>
              <w:t>2021年1月1日以来</w:t>
            </w:r>
            <w:r>
              <w:rPr>
                <w:rFonts w:hint="default" w:ascii="Times New Roman" w:hAnsi="Times New Roman" w:eastAsia="宋体" w:cs="Times New Roman"/>
                <w:color w:val="auto"/>
                <w:kern w:val="2"/>
                <w:sz w:val="24"/>
                <w:szCs w:val="24"/>
                <w:highlight w:val="none"/>
                <w:lang w:val="en-US" w:eastAsia="zh-CN" w:bidi="ar-SA"/>
              </w:rPr>
              <w:t>省内</w:t>
            </w:r>
            <w:r>
              <w:rPr>
                <w:rFonts w:hint="eastAsia" w:ascii="Times New Roman" w:hAnsi="Times New Roman" w:cs="Times New Roman"/>
                <w:color w:val="auto"/>
                <w:kern w:val="2"/>
                <w:sz w:val="24"/>
                <w:szCs w:val="24"/>
                <w:highlight w:val="none"/>
                <w:lang w:val="en-US" w:eastAsia="zh-CN" w:bidi="ar-SA"/>
              </w:rPr>
              <w:t>所投产品同</w:t>
            </w:r>
            <w:r>
              <w:rPr>
                <w:rFonts w:hint="default" w:ascii="Times New Roman" w:hAnsi="Times New Roman" w:eastAsia="宋体" w:cs="Times New Roman"/>
                <w:color w:val="auto"/>
                <w:kern w:val="2"/>
                <w:sz w:val="24"/>
                <w:szCs w:val="24"/>
                <w:highlight w:val="none"/>
                <w:lang w:val="en-US" w:eastAsia="zh-CN" w:bidi="ar-SA"/>
              </w:rPr>
              <w:t>品牌</w:t>
            </w:r>
            <w:r>
              <w:rPr>
                <w:rFonts w:hint="eastAsia" w:ascii="Times New Roman" w:hAnsi="Times New Roman" w:cs="Times New Roman"/>
                <w:color w:val="auto"/>
                <w:kern w:val="2"/>
                <w:sz w:val="24"/>
                <w:szCs w:val="24"/>
                <w:highlight w:val="none"/>
                <w:lang w:val="en-US" w:eastAsia="zh-CN" w:bidi="ar-SA"/>
              </w:rPr>
              <w:t>、同系列的</w:t>
            </w:r>
            <w:r>
              <w:rPr>
                <w:rFonts w:hint="default" w:ascii="Times New Roman" w:hAnsi="Times New Roman" w:eastAsia="宋体" w:cs="Times New Roman"/>
                <w:color w:val="auto"/>
                <w:kern w:val="2"/>
                <w:sz w:val="24"/>
                <w:szCs w:val="24"/>
                <w:highlight w:val="none"/>
                <w:lang w:val="en-US" w:eastAsia="zh-CN" w:bidi="ar-SA"/>
              </w:rPr>
              <w:t>销售业绩合同，每提供一份得</w:t>
            </w:r>
            <w:r>
              <w:rPr>
                <w:rFonts w:hint="eastAsia" w:ascii="Times New Roman" w:hAnsi="Times New Roman"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分，最多得6分</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需提供合同扫描件，扫描件需清晰可见内容主体，并提用户名单，注明联系人、联系方式，便于评标委员会需要时予以验证</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如提供虚假材料作废标处理，</w:t>
            </w:r>
            <w:r>
              <w:rPr>
                <w:rFonts w:hint="eastAsia" w:ascii="Times New Roman" w:hAnsi="Times New Roman" w:cs="Times New Roman"/>
                <w:color w:val="auto"/>
                <w:kern w:val="2"/>
                <w:sz w:val="24"/>
                <w:szCs w:val="24"/>
                <w:highlight w:val="none"/>
                <w:lang w:val="en-US" w:eastAsia="zh-CN" w:bidi="ar-SA"/>
              </w:rPr>
              <w:t>三年内</w:t>
            </w:r>
            <w:r>
              <w:rPr>
                <w:rFonts w:hint="default" w:ascii="Times New Roman" w:hAnsi="Times New Roman" w:eastAsia="宋体" w:cs="Times New Roman"/>
                <w:color w:val="auto"/>
                <w:kern w:val="2"/>
                <w:sz w:val="24"/>
                <w:szCs w:val="24"/>
                <w:highlight w:val="none"/>
                <w:lang w:val="en-US" w:eastAsia="zh-CN" w:bidi="ar-SA"/>
              </w:rPr>
              <w:t>并不得再参与医院后续招标项目。</w:t>
            </w:r>
          </w:p>
          <w:p w14:paraId="444803C9">
            <w:pPr>
              <w:keepNext/>
              <w:keepLines/>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b/>
                <w:bCs/>
                <w:color w:val="auto"/>
                <w:sz w:val="24"/>
                <w:szCs w:val="24"/>
                <w:highlight w:val="none"/>
              </w:rPr>
            </w:pPr>
            <w:r>
              <w:rPr>
                <w:rFonts w:hint="eastAsia" w:cs="Times New Roman"/>
                <w:b/>
                <w:bCs/>
                <w:color w:val="auto"/>
                <w:kern w:val="2"/>
                <w:sz w:val="24"/>
                <w:szCs w:val="24"/>
                <w:lang w:val="en-US" w:eastAsia="zh-CN" w:bidi="ar-SA"/>
              </w:rPr>
              <w:t>6</w:t>
            </w:r>
            <w:r>
              <w:rPr>
                <w:rFonts w:ascii="Times New Roman" w:hAnsi="Times New Roman" w:eastAsia="宋体" w:cs="Times New Roman"/>
                <w:b/>
                <w:bCs/>
                <w:color w:val="auto"/>
                <w:kern w:val="2"/>
                <w:sz w:val="24"/>
                <w:szCs w:val="24"/>
                <w:lang w:val="en-US" w:eastAsia="zh-CN" w:bidi="ar-SA"/>
              </w:rPr>
              <w:t>、</w:t>
            </w:r>
            <w:r>
              <w:rPr>
                <w:rFonts w:hint="eastAsia"/>
                <w:b/>
                <w:bCs/>
                <w:color w:val="auto"/>
                <w:sz w:val="24"/>
                <w:szCs w:val="24"/>
                <w:highlight w:val="none"/>
              </w:rPr>
              <w:t>售后服务：</w:t>
            </w:r>
            <w:r>
              <w:rPr>
                <w:rFonts w:hint="eastAsia"/>
                <w:b/>
                <w:bCs/>
                <w:color w:val="auto"/>
                <w:sz w:val="24"/>
                <w:szCs w:val="24"/>
                <w:highlight w:val="none"/>
                <w:lang w:val="en-US" w:eastAsia="zh-CN"/>
              </w:rPr>
              <w:t>8</w:t>
            </w:r>
            <w:r>
              <w:rPr>
                <w:rFonts w:hint="eastAsia"/>
                <w:b/>
                <w:bCs/>
                <w:color w:val="auto"/>
                <w:sz w:val="24"/>
                <w:szCs w:val="24"/>
                <w:highlight w:val="none"/>
              </w:rPr>
              <w:t>分</w:t>
            </w:r>
          </w:p>
          <w:p w14:paraId="4DDFA956">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6.1、根据供应商提供的售后服务方案进行评分。方案细致、合理，可行性强的得4分；满足项目需求的得2分；方案未提供或方案简单、可行性差、售后服务得不到保障的不得分。</w:t>
            </w:r>
          </w:p>
          <w:p w14:paraId="5D500A8B">
            <w:pPr>
              <w:keepNext/>
              <w:keepLines/>
              <w:pageBreakBefore w:val="0"/>
              <w:widowControl w:val="0"/>
              <w:kinsoku/>
              <w:wordWrap/>
              <w:overflowPunct/>
              <w:topLinePunct w:val="0"/>
              <w:autoSpaceDE/>
              <w:autoSpaceDN/>
              <w:bidi w:val="0"/>
              <w:adjustRightInd/>
              <w:snapToGrid/>
              <w:spacing w:line="312"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6.2、本项目原厂免费质保期1年基础上，每增加1年加2分，最高得4分，提供承诺书（格式自拟）。</w:t>
            </w:r>
          </w:p>
          <w:p w14:paraId="742ECD84">
            <w:pPr>
              <w:pStyle w:val="2"/>
              <w:pageBreakBefore w:val="0"/>
              <w:widowControl w:val="0"/>
              <w:numPr>
                <w:ilvl w:val="0"/>
                <w:numId w:val="0"/>
              </w:numPr>
              <w:kinsoku/>
              <w:wordWrap/>
              <w:overflowPunct/>
              <w:topLinePunct w:val="0"/>
              <w:autoSpaceDE/>
              <w:autoSpaceDN/>
              <w:bidi w:val="0"/>
              <w:adjustRightInd/>
              <w:snapToGrid/>
              <w:spacing w:line="312" w:lineRule="auto"/>
              <w:ind w:right="700" w:rightChars="0"/>
              <w:textAlignment w:val="auto"/>
              <w:rPr>
                <w:rFonts w:hint="eastAsia"/>
                <w:color w:val="auto"/>
                <w:sz w:val="24"/>
                <w:szCs w:val="24"/>
                <w:highlight w:val="none"/>
                <w:lang w:val="en-US" w:eastAsia="zh-CN"/>
              </w:rPr>
            </w:pPr>
            <w:r>
              <w:rPr>
                <w:rFonts w:hint="eastAsia" w:ascii="Times New Roman" w:hAnsi="Times New Roman"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、环保认证：1分</w:t>
            </w:r>
          </w:p>
          <w:p w14:paraId="493EE12C">
            <w:pPr>
              <w:pStyle w:val="2"/>
              <w:pageBreakBefore w:val="0"/>
              <w:widowControl w:val="0"/>
              <w:numPr>
                <w:ilvl w:val="0"/>
                <w:numId w:val="0"/>
              </w:numPr>
              <w:kinsoku/>
              <w:wordWrap/>
              <w:overflowPunct/>
              <w:topLinePunct w:val="0"/>
              <w:autoSpaceDE/>
              <w:autoSpaceDN/>
              <w:bidi w:val="0"/>
              <w:adjustRightInd/>
              <w:snapToGrid/>
              <w:spacing w:line="312" w:lineRule="auto"/>
              <w:ind w:right="0" w:rightChars="0"/>
              <w:textAlignment w:val="auto"/>
              <w:rPr>
                <w:rFonts w:hint="default"/>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投标产品属于财政部、生态环境部公布的“环境标志产品品目清单”范围内的，投标供应商提供国家确定的认证机构出具的、处于有效期内的该环保产品认证证书原件彩色扫描件的得1分，不提供或不符合项目需求的不得分。</w:t>
            </w:r>
          </w:p>
        </w:tc>
      </w:tr>
      <w:bookmarkEnd w:id="67"/>
    </w:tbl>
    <w:p w14:paraId="53091D88">
      <w:pPr>
        <w:adjustRightInd w:val="0"/>
        <w:snapToGrid w:val="0"/>
        <w:spacing w:line="360" w:lineRule="auto"/>
        <w:ind w:right="-10" w:firstLine="80" w:firstLineChars="200"/>
        <w:rPr>
          <w:rFonts w:hint="eastAsia" w:ascii="宋体" w:hAnsi="宋体" w:cs="宋体"/>
          <w:color w:val="auto"/>
          <w:sz w:val="4"/>
          <w:szCs w:val="2"/>
          <w:highlight w:val="none"/>
        </w:rPr>
      </w:pPr>
    </w:p>
    <w:p w14:paraId="33BF2F49">
      <w:pPr>
        <w:adjustRightInd w:val="0"/>
        <w:snapToGrid w:val="0"/>
        <w:spacing w:line="360" w:lineRule="auto"/>
        <w:ind w:right="-10" w:firstLine="482" w:firstLineChars="200"/>
        <w:jc w:val="left"/>
        <w:rPr>
          <w:rFonts w:ascii="宋体" w:hAnsi="宋体" w:cs="宋体"/>
          <w:color w:val="auto"/>
          <w:sz w:val="24"/>
          <w:highlight w:val="none"/>
        </w:rPr>
      </w:pPr>
      <w:r>
        <w:rPr>
          <w:rFonts w:hint="eastAsia" w:ascii="宋体" w:hAnsi="宋体" w:cs="宋体"/>
          <w:b/>
          <w:color w:val="auto"/>
          <w:sz w:val="24"/>
          <w:highlight w:val="none"/>
        </w:rPr>
        <w:t>4、评标结果。</w:t>
      </w:r>
      <w:r>
        <w:rPr>
          <w:rFonts w:hint="eastAsia" w:ascii="宋体" w:hAnsi="宋体" w:cs="宋体"/>
          <w:color w:val="auto"/>
          <w:sz w:val="24"/>
          <w:highlight w:val="none"/>
        </w:rPr>
        <w:t>评标委员会按照本办法规定推荐中标候选人，并形成评标报告。</w:t>
      </w:r>
      <w:bookmarkStart w:id="68" w:name="EBae7807b0bcbc478ea1f502c8f1955356"/>
      <w:bookmarkEnd w:id="68"/>
      <w:bookmarkStart w:id="69" w:name="_Toc514054481"/>
      <w:bookmarkStart w:id="70" w:name="_Toc1505"/>
    </w:p>
    <w:p w14:paraId="141D5DFB">
      <w:pPr>
        <w:pStyle w:val="4"/>
        <w:rPr>
          <w:color w:val="auto"/>
          <w:sz w:val="44"/>
          <w:szCs w:val="44"/>
          <w:highlight w:val="none"/>
        </w:rPr>
      </w:pPr>
      <w:r>
        <w:rPr>
          <w:color w:val="auto"/>
          <w:highlight w:val="none"/>
        </w:rPr>
        <w:br w:type="page"/>
      </w:r>
    </w:p>
    <w:p w14:paraId="60AFFD44">
      <w:pPr>
        <w:adjustRightInd w:val="0"/>
        <w:snapToGrid w:val="0"/>
        <w:spacing w:line="360" w:lineRule="auto"/>
        <w:ind w:right="-10" w:firstLine="883" w:firstLineChars="200"/>
        <w:jc w:val="center"/>
        <w:rPr>
          <w:rFonts w:hint="eastAsia"/>
          <w:b/>
          <w:color w:val="auto"/>
          <w:sz w:val="44"/>
          <w:szCs w:val="44"/>
          <w:highlight w:val="none"/>
        </w:rPr>
      </w:pPr>
      <w:r>
        <w:rPr>
          <w:rFonts w:hint="eastAsia"/>
          <w:b/>
          <w:color w:val="auto"/>
          <w:sz w:val="44"/>
          <w:szCs w:val="44"/>
          <w:highlight w:val="none"/>
        </w:rPr>
        <w:t>第四部分</w:t>
      </w:r>
      <w:r>
        <w:rPr>
          <w:b/>
          <w:color w:val="auto"/>
          <w:sz w:val="44"/>
          <w:szCs w:val="44"/>
          <w:highlight w:val="none"/>
        </w:rPr>
        <w:t xml:space="preserve">  </w:t>
      </w:r>
      <w:r>
        <w:rPr>
          <w:rFonts w:hint="eastAsia"/>
          <w:b/>
          <w:color w:val="auto"/>
          <w:sz w:val="44"/>
          <w:szCs w:val="44"/>
          <w:highlight w:val="none"/>
        </w:rPr>
        <w:t>采购需求</w:t>
      </w:r>
      <w:bookmarkEnd w:id="69"/>
      <w:bookmarkEnd w:id="70"/>
    </w:p>
    <w:p w14:paraId="31C77597">
      <w:pPr>
        <w:pStyle w:val="15"/>
        <w:numPr>
          <w:ilvl w:val="0"/>
          <w:numId w:val="4"/>
        </w:numPr>
        <w:jc w:val="center"/>
        <w:outlineLvl w:val="1"/>
        <w:rPr>
          <w:rFonts w:hint="eastAsia"/>
          <w:b/>
          <w:color w:val="auto"/>
          <w:sz w:val="32"/>
          <w:highlight w:val="none"/>
        </w:rPr>
      </w:pPr>
      <w:bookmarkStart w:id="71" w:name="_Toc28714"/>
      <w:bookmarkStart w:id="72" w:name="_Toc7704_WPSOffice_Level2"/>
      <w:bookmarkStart w:id="73" w:name="EB7816f6fdbc96408ea7b735c177a21493"/>
      <w:r>
        <w:rPr>
          <w:rFonts w:hint="eastAsia" w:ascii="Arial" w:hAnsi="Arial"/>
          <w:b/>
          <w:color w:val="auto"/>
          <w:sz w:val="32"/>
          <w:highlight w:val="none"/>
        </w:rPr>
        <w:t>货物需求一览表</w:t>
      </w:r>
      <w:bookmarkEnd w:id="71"/>
      <w:bookmarkEnd w:id="72"/>
      <w:bookmarkStart w:id="74" w:name="_Toc11678_WPSOffice_Level2"/>
    </w:p>
    <w:tbl>
      <w:tblPr>
        <w:tblStyle w:val="9"/>
        <w:tblW w:w="942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
        <w:gridCol w:w="2018"/>
        <w:gridCol w:w="992"/>
        <w:gridCol w:w="1560"/>
        <w:gridCol w:w="1842"/>
        <w:gridCol w:w="2127"/>
      </w:tblGrid>
      <w:tr w14:paraId="5E8CCA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882" w:type="dxa"/>
            <w:tcBorders>
              <w:top w:val="single" w:color="auto" w:sz="4" w:space="0"/>
              <w:left w:val="single" w:color="auto" w:sz="6" w:space="0"/>
              <w:bottom w:val="single" w:color="auto" w:sz="4" w:space="0"/>
              <w:right w:val="single" w:color="auto" w:sz="6" w:space="0"/>
            </w:tcBorders>
            <w:noWrap w:val="0"/>
            <w:vAlign w:val="center"/>
          </w:tcPr>
          <w:p w14:paraId="4BECE5B6">
            <w:pPr>
              <w:pStyle w:val="15"/>
              <w:jc w:val="center"/>
              <w:rPr>
                <w:rFonts w:ascii="宋体" w:hAnsi="宋体"/>
                <w:color w:val="auto"/>
                <w:sz w:val="24"/>
                <w:highlight w:val="none"/>
              </w:rPr>
            </w:pPr>
            <w:r>
              <w:rPr>
                <w:rFonts w:hint="eastAsia" w:ascii="宋体" w:hAnsi="宋体"/>
                <w:color w:val="auto"/>
                <w:sz w:val="24"/>
                <w:highlight w:val="none"/>
              </w:rPr>
              <w:t>序号</w:t>
            </w:r>
          </w:p>
        </w:tc>
        <w:tc>
          <w:tcPr>
            <w:tcW w:w="2018" w:type="dxa"/>
            <w:tcBorders>
              <w:top w:val="single" w:color="auto" w:sz="4" w:space="0"/>
              <w:left w:val="single" w:color="auto" w:sz="6" w:space="0"/>
              <w:bottom w:val="single" w:color="auto" w:sz="4" w:space="0"/>
              <w:right w:val="single" w:color="auto" w:sz="6" w:space="0"/>
            </w:tcBorders>
            <w:noWrap w:val="0"/>
            <w:vAlign w:val="center"/>
          </w:tcPr>
          <w:p w14:paraId="024EB85B">
            <w:pPr>
              <w:pStyle w:val="15"/>
              <w:jc w:val="center"/>
              <w:rPr>
                <w:rFonts w:ascii="宋体" w:hAnsi="宋体"/>
                <w:color w:val="auto"/>
                <w:sz w:val="24"/>
                <w:highlight w:val="none"/>
              </w:rPr>
            </w:pPr>
            <w:r>
              <w:rPr>
                <w:rFonts w:hint="eastAsia" w:ascii="宋体" w:hAnsi="宋体"/>
                <w:color w:val="auto"/>
                <w:sz w:val="24"/>
                <w:highlight w:val="none"/>
              </w:rPr>
              <w:t>货物名称</w:t>
            </w:r>
          </w:p>
        </w:tc>
        <w:tc>
          <w:tcPr>
            <w:tcW w:w="992" w:type="dxa"/>
            <w:tcBorders>
              <w:top w:val="single" w:color="auto" w:sz="4" w:space="0"/>
              <w:left w:val="single" w:color="auto" w:sz="6" w:space="0"/>
              <w:bottom w:val="single" w:color="auto" w:sz="4" w:space="0"/>
              <w:right w:val="single" w:color="auto" w:sz="4" w:space="0"/>
            </w:tcBorders>
            <w:noWrap w:val="0"/>
            <w:vAlign w:val="center"/>
          </w:tcPr>
          <w:p w14:paraId="6A132F49">
            <w:pPr>
              <w:pStyle w:val="15"/>
              <w:jc w:val="center"/>
              <w:rPr>
                <w:rFonts w:ascii="宋体" w:hAnsi="宋体"/>
                <w:color w:val="auto"/>
                <w:sz w:val="24"/>
                <w:highlight w:val="none"/>
              </w:rPr>
            </w:pPr>
            <w:r>
              <w:rPr>
                <w:rFonts w:hint="eastAsia" w:ascii="宋体" w:hAnsi="宋体"/>
                <w:color w:val="auto"/>
                <w:sz w:val="24"/>
                <w:highlight w:val="none"/>
              </w:rPr>
              <w:t>数量</w:t>
            </w:r>
          </w:p>
        </w:tc>
        <w:tc>
          <w:tcPr>
            <w:tcW w:w="1560" w:type="dxa"/>
            <w:tcBorders>
              <w:top w:val="single" w:color="auto" w:sz="4" w:space="0"/>
              <w:left w:val="single" w:color="auto" w:sz="4" w:space="0"/>
              <w:bottom w:val="single" w:color="auto" w:sz="6" w:space="0"/>
              <w:right w:val="single" w:color="auto" w:sz="4" w:space="0"/>
            </w:tcBorders>
            <w:noWrap w:val="0"/>
            <w:vAlign w:val="center"/>
          </w:tcPr>
          <w:p w14:paraId="3DFF4A5E">
            <w:pPr>
              <w:pStyle w:val="15"/>
              <w:jc w:val="center"/>
              <w:rPr>
                <w:rFonts w:ascii="宋体" w:hAnsi="宋体"/>
                <w:color w:val="auto"/>
                <w:sz w:val="24"/>
                <w:highlight w:val="none"/>
              </w:rPr>
            </w:pPr>
            <w:r>
              <w:rPr>
                <w:rFonts w:hint="eastAsia" w:ascii="宋体" w:hAnsi="宋体"/>
                <w:color w:val="auto"/>
                <w:sz w:val="24"/>
                <w:highlight w:val="none"/>
              </w:rPr>
              <w:t>交货期</w:t>
            </w:r>
          </w:p>
        </w:tc>
        <w:tc>
          <w:tcPr>
            <w:tcW w:w="1842" w:type="dxa"/>
            <w:tcBorders>
              <w:top w:val="single" w:color="auto" w:sz="4" w:space="0"/>
              <w:left w:val="single" w:color="auto" w:sz="4" w:space="0"/>
              <w:bottom w:val="single" w:color="auto" w:sz="6" w:space="0"/>
              <w:right w:val="single" w:color="auto" w:sz="4" w:space="0"/>
            </w:tcBorders>
            <w:noWrap w:val="0"/>
            <w:vAlign w:val="center"/>
          </w:tcPr>
          <w:p w14:paraId="4453512D">
            <w:pPr>
              <w:pStyle w:val="15"/>
              <w:jc w:val="center"/>
              <w:rPr>
                <w:rFonts w:hint="eastAsia" w:ascii="宋体" w:hAnsi="宋体"/>
                <w:color w:val="auto"/>
                <w:sz w:val="24"/>
                <w:highlight w:val="none"/>
              </w:rPr>
            </w:pPr>
            <w:r>
              <w:rPr>
                <w:rFonts w:hint="eastAsia" w:ascii="宋体" w:hAnsi="宋体"/>
                <w:color w:val="auto"/>
                <w:sz w:val="24"/>
                <w:highlight w:val="none"/>
              </w:rPr>
              <w:t>质保期要求</w:t>
            </w:r>
          </w:p>
        </w:tc>
        <w:tc>
          <w:tcPr>
            <w:tcW w:w="2127" w:type="dxa"/>
            <w:tcBorders>
              <w:top w:val="single" w:color="auto" w:sz="4" w:space="0"/>
              <w:left w:val="single" w:color="auto" w:sz="4" w:space="0"/>
              <w:bottom w:val="single" w:color="auto" w:sz="6" w:space="0"/>
              <w:right w:val="single" w:color="auto" w:sz="4" w:space="0"/>
            </w:tcBorders>
            <w:noWrap w:val="0"/>
            <w:vAlign w:val="center"/>
          </w:tcPr>
          <w:p w14:paraId="4D9DDFE6">
            <w:pPr>
              <w:pStyle w:val="15"/>
              <w:jc w:val="center"/>
              <w:rPr>
                <w:rFonts w:ascii="宋体" w:hAnsi="宋体"/>
                <w:color w:val="auto"/>
                <w:sz w:val="24"/>
                <w:highlight w:val="none"/>
              </w:rPr>
            </w:pPr>
            <w:r>
              <w:rPr>
                <w:rFonts w:hint="eastAsia" w:ascii="宋体" w:hAnsi="宋体"/>
                <w:color w:val="auto"/>
                <w:sz w:val="24"/>
                <w:highlight w:val="none"/>
              </w:rPr>
              <w:t>交货地点</w:t>
            </w:r>
          </w:p>
        </w:tc>
      </w:tr>
      <w:tr w14:paraId="4BF523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82" w:type="dxa"/>
            <w:tcBorders>
              <w:top w:val="single" w:color="auto" w:sz="4" w:space="0"/>
              <w:left w:val="single" w:color="auto" w:sz="6" w:space="0"/>
              <w:bottom w:val="single" w:color="auto" w:sz="4" w:space="0"/>
              <w:right w:val="single" w:color="auto" w:sz="4" w:space="0"/>
            </w:tcBorders>
            <w:shd w:val="clear" w:color="auto" w:fill="auto"/>
            <w:noWrap w:val="0"/>
            <w:vAlign w:val="center"/>
          </w:tcPr>
          <w:p w14:paraId="35D6DFBA">
            <w:pPr>
              <w:pStyle w:val="15"/>
              <w:jc w:val="center"/>
              <w:rPr>
                <w:rFonts w:ascii="宋体" w:hAnsi="宋体"/>
                <w:color w:val="auto"/>
                <w:sz w:val="24"/>
                <w:highlight w:val="none"/>
              </w:rPr>
            </w:pPr>
            <w:r>
              <w:rPr>
                <w:rFonts w:hint="eastAsia" w:ascii="宋体" w:hAnsi="宋体"/>
                <w:bCs/>
                <w:color w:val="auto"/>
                <w:sz w:val="24"/>
                <w:highlight w:val="none"/>
              </w:rPr>
              <w:t>1</w:t>
            </w:r>
          </w:p>
        </w:tc>
        <w:tc>
          <w:tcPr>
            <w:tcW w:w="2018" w:type="dxa"/>
            <w:tcBorders>
              <w:top w:val="single" w:color="auto" w:sz="4" w:space="0"/>
              <w:left w:val="single" w:color="auto" w:sz="6" w:space="0"/>
              <w:bottom w:val="single" w:color="auto" w:sz="4" w:space="0"/>
              <w:right w:val="single" w:color="auto" w:sz="4" w:space="0"/>
            </w:tcBorders>
            <w:shd w:val="clear" w:color="auto" w:fill="auto"/>
            <w:noWrap w:val="0"/>
            <w:vAlign w:val="center"/>
          </w:tcPr>
          <w:p w14:paraId="515653CD">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彩色多普勒超声诊断仪</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C00B5B">
            <w:pPr>
              <w:jc w:val="center"/>
              <w:rPr>
                <w:rFonts w:hint="default" w:ascii="宋体" w:hAnsi="宋体"/>
                <w:bCs/>
                <w:color w:val="auto"/>
                <w:sz w:val="24"/>
                <w:highlight w:val="none"/>
                <w:lang w:val="en-US"/>
              </w:rPr>
            </w:pPr>
            <w:r>
              <w:rPr>
                <w:rFonts w:hint="eastAsia" w:ascii="宋体" w:hAnsi="宋体"/>
                <w:color w:val="auto"/>
                <w:sz w:val="24"/>
                <w:szCs w:val="24"/>
                <w:highlight w:val="none"/>
                <w:lang w:val="en-US" w:eastAsia="zh-CN"/>
              </w:rPr>
              <w:t>1台</w:t>
            </w:r>
          </w:p>
        </w:tc>
        <w:tc>
          <w:tcPr>
            <w:tcW w:w="1560" w:type="dxa"/>
            <w:tcBorders>
              <w:top w:val="single" w:color="auto" w:sz="4" w:space="0"/>
              <w:left w:val="single" w:color="auto" w:sz="4" w:space="0"/>
              <w:right w:val="single" w:color="auto" w:sz="4" w:space="0"/>
            </w:tcBorders>
            <w:noWrap w:val="0"/>
            <w:vAlign w:val="center"/>
          </w:tcPr>
          <w:p w14:paraId="2BFA80D8">
            <w:pPr>
              <w:pStyle w:val="15"/>
              <w:jc w:val="center"/>
              <w:rPr>
                <w:rFonts w:hint="eastAsia" w:ascii="宋体" w:hAnsi="宋体"/>
                <w:bCs/>
                <w:color w:val="auto"/>
                <w:sz w:val="24"/>
                <w:highlight w:val="none"/>
              </w:rPr>
            </w:pPr>
            <w:r>
              <w:rPr>
                <w:rFonts w:hint="eastAsia" w:ascii="宋体" w:hAnsi="宋体"/>
                <w:bCs/>
                <w:color w:val="auto"/>
                <w:sz w:val="24"/>
                <w:highlight w:val="none"/>
              </w:rPr>
              <w:t>合同签订后3</w:t>
            </w:r>
            <w:r>
              <w:rPr>
                <w:rFonts w:ascii="宋体" w:hAnsi="宋体"/>
                <w:bCs/>
                <w:color w:val="auto"/>
                <w:sz w:val="24"/>
                <w:highlight w:val="none"/>
              </w:rPr>
              <w:t>0日</w:t>
            </w:r>
            <w:r>
              <w:rPr>
                <w:rFonts w:hint="eastAsia" w:ascii="宋体" w:hAnsi="宋体"/>
                <w:bCs/>
                <w:color w:val="auto"/>
                <w:sz w:val="24"/>
                <w:highlight w:val="none"/>
              </w:rPr>
              <w:t>内</w:t>
            </w:r>
          </w:p>
        </w:tc>
        <w:tc>
          <w:tcPr>
            <w:tcW w:w="1842" w:type="dxa"/>
            <w:tcBorders>
              <w:top w:val="single" w:color="auto" w:sz="4" w:space="0"/>
              <w:left w:val="single" w:color="auto" w:sz="4" w:space="0"/>
              <w:right w:val="single" w:color="auto" w:sz="4" w:space="0"/>
            </w:tcBorders>
            <w:noWrap w:val="0"/>
            <w:vAlign w:val="center"/>
          </w:tcPr>
          <w:p w14:paraId="5FF58FBE">
            <w:pPr>
              <w:pStyle w:val="15"/>
              <w:jc w:val="center"/>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hint="eastAsia" w:ascii="宋体" w:hAnsi="宋体"/>
                <w:bCs/>
                <w:color w:val="auto"/>
                <w:sz w:val="24"/>
                <w:highlight w:val="none"/>
              </w:rPr>
              <w:t>年</w:t>
            </w:r>
          </w:p>
        </w:tc>
        <w:tc>
          <w:tcPr>
            <w:tcW w:w="2127" w:type="dxa"/>
            <w:tcBorders>
              <w:top w:val="single" w:color="auto" w:sz="4" w:space="0"/>
              <w:left w:val="single" w:color="auto" w:sz="4" w:space="0"/>
              <w:right w:val="single" w:color="auto" w:sz="4" w:space="0"/>
            </w:tcBorders>
            <w:noWrap w:val="0"/>
            <w:vAlign w:val="center"/>
          </w:tcPr>
          <w:p w14:paraId="1AC57D36">
            <w:pPr>
              <w:widowControl/>
              <w:jc w:val="center"/>
              <w:textAlignment w:val="center"/>
              <w:rPr>
                <w:rFonts w:hint="eastAsia" w:ascii="宋体" w:hAnsi="宋体"/>
                <w:color w:val="auto"/>
                <w:sz w:val="24"/>
                <w:szCs w:val="24"/>
                <w:highlight w:val="none"/>
              </w:rPr>
            </w:pPr>
            <w:r>
              <w:rPr>
                <w:rFonts w:hint="eastAsia" w:ascii="宋体" w:hAnsi="宋体"/>
                <w:color w:val="auto"/>
                <w:sz w:val="24"/>
                <w:szCs w:val="24"/>
                <w:highlight w:val="none"/>
              </w:rPr>
              <w:t>院方指定地点</w:t>
            </w:r>
          </w:p>
        </w:tc>
      </w:tr>
    </w:tbl>
    <w:p w14:paraId="494F17F5">
      <w:pPr>
        <w:adjustRightInd w:val="0"/>
        <w:snapToGrid w:val="0"/>
        <w:spacing w:line="50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品牌要求：招标文件中提供材料（设备）推荐品牌（或规格、型号、产地）的，可以在推荐品牌（或规格、型号、产地）范围内自行选择一款并根据市场行情及自身实际情况进行报价；未提供推荐品牌的，报价人应根据清单及设计文件要求确定品牌后，根据市场行情及自身实际情况进行报价。报价人拟在推荐品牌（或规格、型号、产地）外自行选择品牌，自选品牌应在性能、价格、技术指标、技术参数等方面均不低于推荐品牌，并在本项目开标截止时间24小时前以书面形式向采购单位提出，并同时提交该品牌材料（设备）在品牌、信誉度、质量、性能、技术指标等方面不低于采购人推荐品牌的相关证明材料，采购单位认为合理的（必要时组织专家论证），可以增加可选品牌，没有得到采购单位书面认可的品牌一律不予接受，其相应的投标文件将视为未能对本招标文件作出实质性响应，</w:t>
      </w:r>
      <w:r>
        <w:rPr>
          <w:rFonts w:hint="eastAsia" w:ascii="宋体" w:hAnsi="宋体" w:cs="宋体"/>
          <w:b w:val="0"/>
          <w:bCs w:val="0"/>
          <w:sz w:val="28"/>
          <w:szCs w:val="28"/>
          <w:lang w:eastAsia="zh-CN"/>
        </w:rPr>
        <w:t>将</w:t>
      </w:r>
      <w:r>
        <w:rPr>
          <w:rFonts w:hint="eastAsia" w:ascii="宋体" w:hAnsi="宋体" w:cs="宋体"/>
          <w:b w:val="0"/>
          <w:bCs w:val="0"/>
          <w:sz w:val="28"/>
          <w:szCs w:val="28"/>
        </w:rPr>
        <w:t>判为无效标。</w:t>
      </w:r>
    </w:p>
    <w:bookmarkEnd w:id="73"/>
    <w:bookmarkEnd w:id="74"/>
    <w:p w14:paraId="7BBDAA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bCs/>
          <w:color w:val="auto"/>
          <w:sz w:val="28"/>
          <w:szCs w:val="28"/>
        </w:rPr>
      </w:pPr>
      <w:bookmarkStart w:id="75" w:name="_Toc9306"/>
      <w:bookmarkStart w:id="76" w:name="_Toc514054482"/>
      <w:r>
        <w:rPr>
          <w:rFonts w:hint="eastAsia" w:ascii="宋体" w:hAnsi="宋体" w:cs="宋体"/>
          <w:b/>
          <w:bCs/>
          <w:color w:val="auto"/>
          <w:sz w:val="28"/>
          <w:szCs w:val="28"/>
        </w:rPr>
        <w:t>一、基本情况</w:t>
      </w:r>
    </w:p>
    <w:p w14:paraId="0D1DA1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1.产品名称：彩色多普勒超声诊断仪</w:t>
      </w:r>
    </w:p>
    <w:p w14:paraId="7A01AA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2.采购数量：1台</w:t>
      </w:r>
    </w:p>
    <w:p w14:paraId="5C8D65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3.最高限价：45万元 </w:t>
      </w:r>
    </w:p>
    <w:p w14:paraId="6538E9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bCs/>
          <w:color w:val="auto"/>
          <w:sz w:val="28"/>
          <w:szCs w:val="28"/>
        </w:rPr>
      </w:pPr>
      <w:r>
        <w:rPr>
          <w:rFonts w:hint="eastAsia" w:ascii="宋体" w:hAnsi="宋体" w:cs="宋体"/>
          <w:b/>
          <w:bCs/>
          <w:color w:val="auto"/>
          <w:sz w:val="28"/>
          <w:szCs w:val="28"/>
        </w:rPr>
        <w:t>二、技术性能要求</w:t>
      </w:r>
    </w:p>
    <w:p w14:paraId="7FA94E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（1）数量：1台</w:t>
      </w:r>
    </w:p>
    <w:p w14:paraId="5FBC91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（2）设备用途说明：心脏、腹部、妇产科、泌尿科、浅表组织与小器官、外周血管、小儿与新生儿、术中、穿刺等全身应用，系统需为2020年以后推出的全新系统。</w:t>
      </w:r>
    </w:p>
    <w:p w14:paraId="311E37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（3）主要技术规格及系统概述：</w:t>
      </w:r>
    </w:p>
    <w:p w14:paraId="3ECFE8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3.1彩色多普勒超声波诊断仪包括：</w:t>
      </w:r>
    </w:p>
    <w:p w14:paraId="793550A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3.1.1高分辨率液晶显示器≥21英寸，扫描方式：逐行扫描，高分辨率，≥13英寸液晶触摸屏，操作控制台可以上下调整</w:t>
      </w:r>
    </w:p>
    <w:p w14:paraId="1C7738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3.1.2 超高集成度超声成像平台：a）应用板级集成优化技术，提高内部电路的整合程度，减少信号丢失，提高信噪比；b）应用多功能单元整合技术，将主机内部多个功能单元有机整合为可拆卸化整体结构，缩短维修时间，并降低维修成本和停机时间</w:t>
      </w:r>
    </w:p>
    <w:p w14:paraId="039478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3.1.3 数字化M型成像单元</w:t>
      </w:r>
    </w:p>
    <w:p w14:paraId="7E824B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3.1.4 数字化彩色多普勒血流成像单元</w:t>
      </w:r>
    </w:p>
    <w:p w14:paraId="26056E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3.1.5 数字化频谱多普勒显示和分析单元</w:t>
      </w:r>
    </w:p>
    <w:p w14:paraId="3168C4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3.1.6 数字化波束形成器，多倍声束处理</w:t>
      </w:r>
    </w:p>
    <w:p w14:paraId="17DBDD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3.1.7 空间复合成像技术：三种模式，每种模式有3档调节；空间复合成像的聚焦宽度、帧平均、线密度等多种参数均有多级可调；可做曲线别针试验证明≥9线发射</w:t>
      </w:r>
    </w:p>
    <w:p w14:paraId="487DB1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3.1.8 斑点噪声抑制技术：可以支持所有探头，B模式下支持≥6级调节</w:t>
      </w:r>
    </w:p>
    <w:p w14:paraId="079CE5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3.1.9 一键实时扫查优化技术：扫查前按下面板上该功能键，B模式扫查过程中可以实时动态优化图像的灰度、对比度和一致性等参数；彩色多普勒扫查过程中可以实时动态优化彩色血流显示；频谱模式扫查中可实时动态优化基线，速度标尺等参数；切换扫查部位无需重复按键</w:t>
      </w:r>
    </w:p>
    <w:p w14:paraId="25D46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3.1.10 曲线解剖M型</w:t>
      </w:r>
    </w:p>
    <w:p w14:paraId="5A8D4D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3.1.11 心内膜自动包络计算功能：在心肌的动态运动下自动追踪描记心内膜并计算出心功能参数，一幅图像分三部分显示动态包络曲线、舒张末期以及收缩末期包络曲线，自动得到EF、CO、SV等心功能数据 ，支持成人、小儿及新生儿心脏探头</w:t>
      </w:r>
    </w:p>
    <w:p w14:paraId="0C4429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3.1.12 血管内中膜厚度自动测量：可以在同切面且无需180°旋转切面方向的状态下先后测量血管前后壁的厚度，支持同屏获得6个测量参数</w:t>
      </w:r>
    </w:p>
    <w:p w14:paraId="42A1CF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3.1.13 灰阶血流成像：非多普勒原理，非造影技术，最直观地显示红细胞运动，具有不受流速和角度限制、无血流外溢现象、无取样框、不会降低帧频等优点</w:t>
      </w:r>
    </w:p>
    <w:p w14:paraId="449B62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3.1.14 灰阶血流成像彩色模式：在灰阶血流成像的基础上加彩色编码显示不同方向的血流</w:t>
      </w:r>
    </w:p>
    <w:p w14:paraId="289DA3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3.1.15 内置快捷操作指导模块：通过文字、图片、视频等形式指导用户快速掌握机器操作，可随时调阅（提供证明文件）</w:t>
      </w:r>
    </w:p>
    <w:p w14:paraId="621A95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3.1.16 乳腺智能工具包：能自动描记病灶对组织结构进行测量，并备注病变结构特征，进行Bi-RADS分级；提供专门的乳腺报告设计</w:t>
      </w:r>
    </w:p>
    <w:p w14:paraId="4883ED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3.1.17 甲状腺智能工具包：能自动描记病灶对组织结构进行测量，并备注病变结构特征，进行Ti-RADS分级；提供专门的甲状腺报告设计。</w:t>
      </w:r>
    </w:p>
    <w:p w14:paraId="77E945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3.1.18 智能随访工具包：可将前次扫描图像与当前实时扫描图像进行同屏对比，还原前次图像的扫查参数，前次的测量结果将作为比较参考（提供证明文件）</w:t>
      </w:r>
    </w:p>
    <w:p w14:paraId="13BF20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★3.1.19 膀胱容积自动测量：自动识别膀胱壁，标记各径线大小，系统自动计算膀胱容积。（提供证明文件）</w:t>
      </w:r>
    </w:p>
    <w:p w14:paraId="09E651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3.1.20 操作面板上的自定义按键，其功能可同时在屏幕上显示，显示功能个数≥4个</w:t>
      </w:r>
    </w:p>
    <w:p w14:paraId="782CBB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3.1.21自动记忆功能：系统自动记录自装机使用以来的最常用的探头及检查条件，并按照使用频率进行排序，显示在触摸屏右侧以便操作医生第一时间看到并选择。（附图）选择一个条件之后，触摸屏上立即显示在该条件下最常用的三个功能键，以便节省操作时间</w:t>
      </w:r>
    </w:p>
    <w:p w14:paraId="18BCC7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3.1.22 触摸屏快捷手势键：触摸屏上可自定义四个快捷手势键并赋予相应功能，通过手指上下左右滑动触摸屏即可实现该功能。</w:t>
      </w:r>
    </w:p>
    <w:p w14:paraId="77B837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 技术参数及要求</w:t>
      </w:r>
    </w:p>
    <w:p w14:paraId="3E988B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3.2.1 探头规格</w:t>
      </w:r>
    </w:p>
    <w:p w14:paraId="3F9EF9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3.2.1.1 激活探头接口≥4个</w:t>
      </w:r>
    </w:p>
    <w:p w14:paraId="39BF84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3.2.1.2 频率：宽频、变频探头，可视可调中心频率范围2-13 MHz</w:t>
      </w:r>
    </w:p>
    <w:p w14:paraId="667543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3.2.1.3 频率自动调节功能：在彩色和其他多普勒模式下，随着取样位置深度的变化自动调节频率</w:t>
      </w:r>
    </w:p>
    <w:p w14:paraId="3F1152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3.2.1.4 扫描频率：</w:t>
      </w:r>
    </w:p>
    <w:p w14:paraId="2BF726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电子凸阵：可视可调中心频率2.0—5.0 MHz；       </w:t>
      </w:r>
    </w:p>
    <w:p w14:paraId="056E41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电子线阵：可视可调中心频率6.0—13.0 MHz；       </w:t>
      </w:r>
    </w:p>
    <w:p w14:paraId="460E85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腔内微凸阵探头：可视可调中心频率4.0—10.0 MHz；   </w:t>
      </w:r>
    </w:p>
    <w:p w14:paraId="62F7EB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★3.2.1.5 相控阵探头扫描角度≥120°（提供证明文件）</w:t>
      </w:r>
    </w:p>
    <w:p w14:paraId="269050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 B型成像主要参数</w:t>
      </w:r>
    </w:p>
    <w:p w14:paraId="26B586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3.2.2.1 ≥256灰阶</w:t>
      </w:r>
    </w:p>
    <w:p w14:paraId="67AAFF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3.2.2.2 发射声束聚焦：≥8段</w:t>
      </w:r>
    </w:p>
    <w:p w14:paraId="4FF876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3.2.2.3 回放重现：灰阶图像回放≥5000帧、回放时间≥60秒</w:t>
      </w:r>
    </w:p>
    <w:p w14:paraId="43DDFE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3.2.2.4 预设条件：针对不同的检查脏器，预置最佳化图像的检查条件≥30种，减少常用所需的外部调节及组合调节</w:t>
      </w:r>
    </w:p>
    <w:p w14:paraId="61205E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3.2.2.5 增益调节：B/M/CF/D可独立调节，TGC调节≥8段</w:t>
      </w:r>
    </w:p>
    <w:p w14:paraId="72A4B7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3.2.2.6 LGC调节≥8段</w:t>
      </w:r>
    </w:p>
    <w:p w14:paraId="0CF06A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3.2.2.7 超声系统最大探查深度≥33 cm</w:t>
      </w:r>
    </w:p>
    <w:p w14:paraId="5EE3DC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3.2.2.8 系统动态范围≥265 dB；</w:t>
      </w:r>
    </w:p>
    <w:p w14:paraId="7DB8C0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3.2.2.9 凸阵探头最大视角，18 cm深度时，帧频≥50帧；</w:t>
      </w:r>
    </w:p>
    <w:p w14:paraId="68B8B8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相控阵探头90°视角，18 cm深度时，帧频≥81帧</w:t>
      </w:r>
    </w:p>
    <w:p w14:paraId="45BE85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   频谱多普勒</w:t>
      </w:r>
    </w:p>
    <w:p w14:paraId="6D0D65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3.2.3.1 方式：脉冲波多普勒PWD；高脉冲重复频率HPRF；连续波多普勒CWD</w:t>
      </w:r>
    </w:p>
    <w:p w14:paraId="1B9E4C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3.2.3.2 多普勒发射频率可视可调</w:t>
      </w:r>
    </w:p>
    <w:p w14:paraId="20B76F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3.2.3.3 最大测量速度：PWD：≥20m/s ；CWD: ≥40m/s；</w:t>
      </w:r>
    </w:p>
    <w:p w14:paraId="07218F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最小测量速度：≤1mm/s</w:t>
      </w:r>
    </w:p>
    <w:p w14:paraId="08A7DE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★3.2.3.4 多普勒取样容积距离体表的深度可在屏幕上实时显示（提供证明文件）</w:t>
      </w:r>
    </w:p>
    <w:p w14:paraId="20B699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3.2.3.5 PW取样容积宽度1—15mm</w:t>
      </w:r>
    </w:p>
    <w:p w14:paraId="1AA8AE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3.2.4   彩色多普勒</w:t>
      </w:r>
    </w:p>
    <w:p w14:paraId="520B4C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3.2.4.1 显示方式：速度分散显示、能量显示、速度显示、方差显示</w:t>
      </w:r>
    </w:p>
    <w:p w14:paraId="7C6030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3.2.4.2 彩色多普勒频率可视可调</w:t>
      </w:r>
    </w:p>
    <w:p w14:paraId="439E12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3.2.4.3 双幅实时显示、包括双幅不同模式实时显示（B/B；B/CFM）</w:t>
      </w:r>
    </w:p>
    <w:p w14:paraId="422B06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3.2.4.4 凸阵探头最大视角，最大取样框，18cm深度时，彩色帧频≥7帧；</w:t>
      </w:r>
    </w:p>
    <w:p w14:paraId="69162B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 xml:space="preserve"> 相控阵探头90°视角, 最大取样框，18cm深度时，彩色帧频≥12帧；</w:t>
      </w:r>
    </w:p>
    <w:p w14:paraId="404351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 测量和分析：(B型、M型、频谱多普勒、彩色模式)</w:t>
      </w:r>
    </w:p>
    <w:p w14:paraId="60247C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3.3.1 一般测量</w:t>
      </w:r>
    </w:p>
    <w:p w14:paraId="39623C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3.3.2 妇产科测量</w:t>
      </w:r>
    </w:p>
    <w:p w14:paraId="0B22C7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3.3.3 心功能测量与分析</w:t>
      </w:r>
    </w:p>
    <w:p w14:paraId="202202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3.3.4 多普勒血流测量与计算</w:t>
      </w:r>
    </w:p>
    <w:p w14:paraId="31F5FD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3.3.5 频谱多普勒自动包络测量和计算，可自动测量和计算≥12个参数</w:t>
      </w:r>
    </w:p>
    <w:p w14:paraId="30D19E9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3.4 电影回放重现及病案管理单元</w:t>
      </w:r>
    </w:p>
    <w:p w14:paraId="60C0FE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3.4.1 同屏一体化智能剪贴板, 可以实时同屏存储和回放动态及静态图像，将存储的图像显示在屏幕上实时图像的下方，随时调阅、删除、导出图像</w:t>
      </w:r>
    </w:p>
    <w:p w14:paraId="4F8E46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3.4.2 原始数据处理，可对回放的图像进行≥30种参数调节</w:t>
      </w:r>
    </w:p>
    <w:p w14:paraId="5984ED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3.4.3 内置硬盘≥512GB SSD</w:t>
      </w:r>
    </w:p>
    <w:p w14:paraId="76CF16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3.5 输入、输出信号</w:t>
      </w:r>
    </w:p>
    <w:p w14:paraId="5CDE6E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3.5.1 输入、输出接口：S-Video、USB、HDMI等</w:t>
      </w:r>
    </w:p>
    <w:p w14:paraId="2FDC36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3.5.2 DICOM3.0接口部件</w:t>
      </w:r>
    </w:p>
    <w:p w14:paraId="1E5A0A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（4）培训及其他</w:t>
      </w:r>
    </w:p>
    <w:p w14:paraId="2A79388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4.1 卖方应提供现场技术培训，保证使用人员正常操作设备的各种功能</w:t>
      </w:r>
    </w:p>
    <w:p w14:paraId="27F7CC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4.2 为保证设备正常运行，卖方应在中国境内方便的地点设置备件库，存入必需的备件，并保证10年以上的供应期</w:t>
      </w:r>
    </w:p>
    <w:p w14:paraId="408919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4.3 卖方须向买方提供操作手册一套</w:t>
      </w:r>
    </w:p>
    <w:p w14:paraId="17795E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卖方承担因此发生的一切费用。</w:t>
      </w:r>
    </w:p>
    <w:p w14:paraId="5CA61F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p>
    <w:p w14:paraId="2581FE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bCs/>
          <w:color w:val="auto"/>
          <w:sz w:val="28"/>
          <w:szCs w:val="28"/>
        </w:rPr>
        <w:t>三、其他要求</w:t>
      </w:r>
    </w:p>
    <w:p w14:paraId="23DBA2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所有招标要求条款投标供应商均必须如实反映响应或偏离情况，投标现场须出具产品生产厂家提供的产品技术指标说明，作为技术响应偏离表的佐证文件。如投标单位虚假响应招标文件要求，则一切后果由投标供应商自行承担。采购人保留追究法律责任的权利。</w:t>
      </w:r>
    </w:p>
    <w:p w14:paraId="1A6120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2.为保证货物来源合法、质量可靠，供应商须向采购人提供生产厂家针对本项目的专项授权文件。</w:t>
      </w:r>
    </w:p>
    <w:p w14:paraId="153EFA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3.生产厂商必须具有有效医疗器械生产许可证（进口设备可不提供）。</w:t>
      </w:r>
    </w:p>
    <w:p w14:paraId="748C35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4.所投设备必须具有有效医疗器械注册证。</w:t>
      </w:r>
    </w:p>
    <w:p w14:paraId="56AB3AA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bCs/>
          <w:color w:val="auto"/>
          <w:sz w:val="28"/>
          <w:szCs w:val="28"/>
        </w:rPr>
      </w:pPr>
      <w:r>
        <w:rPr>
          <w:rFonts w:hint="eastAsia" w:ascii="宋体" w:hAnsi="宋体" w:cs="宋体"/>
          <w:b/>
          <w:bCs/>
          <w:color w:val="auto"/>
          <w:sz w:val="28"/>
          <w:szCs w:val="28"/>
        </w:rPr>
        <w:t>四、商务要求</w:t>
      </w:r>
    </w:p>
    <w:p w14:paraId="56DA67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（一）交货安装调试完成时间、地点：</w:t>
      </w:r>
    </w:p>
    <w:p w14:paraId="2D49F0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交货安装调试完成时间：合同签订后30日内。</w:t>
      </w:r>
    </w:p>
    <w:p w14:paraId="08077B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交货安装调试地点：南通市海门区悦来镇卫生院指定地点。</w:t>
      </w:r>
    </w:p>
    <w:p w14:paraId="59FEC3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（二）培训及售后服务</w:t>
      </w:r>
    </w:p>
    <w:p w14:paraId="5DC683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1.根据采购人要求，中标人提供现场操作培训，至操作人员可熟练操作。</w:t>
      </w:r>
    </w:p>
    <w:p w14:paraId="003CC4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2.质保期限要求（自验收合格之日起计）：原厂整机免费质保1年，终身维修，在质保期外的维修配件按成本费收取。</w:t>
      </w:r>
    </w:p>
    <w:p w14:paraId="201321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3.在保修期内，中标人在接到用户维修电话通知后，应在2小时内响应，24小时内到位，及时修复设备故障。提供专业技术人员每年对设备进行不少于两次免费巡检。</w:t>
      </w:r>
    </w:p>
    <w:p w14:paraId="0E46CF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4.出现以下情形的成交供应商应无条件给予全套更新或退货</w:t>
      </w:r>
    </w:p>
    <w:p w14:paraId="68BDDA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（1）设备供货后3月内，出现非人为因素损坏的；</w:t>
      </w:r>
    </w:p>
    <w:p w14:paraId="35D82E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（2）设备供货后1年内，同一设备维修超过两次维修仍无法正常使用；</w:t>
      </w:r>
    </w:p>
    <w:p w14:paraId="2FF31D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val="0"/>
          <w:bCs w:val="0"/>
          <w:color w:val="auto"/>
          <w:sz w:val="28"/>
          <w:szCs w:val="28"/>
        </w:rPr>
      </w:pPr>
      <w:r>
        <w:rPr>
          <w:rFonts w:hint="eastAsia" w:ascii="宋体" w:hAnsi="宋体" w:cs="宋体"/>
          <w:b w:val="0"/>
          <w:bCs w:val="0"/>
          <w:color w:val="auto"/>
          <w:sz w:val="28"/>
          <w:szCs w:val="28"/>
        </w:rPr>
        <w:t>（3）设备供货后1年内，同一问题经两次维修，仍出现相同问题的。</w:t>
      </w:r>
    </w:p>
    <w:p w14:paraId="302528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textAlignment w:val="auto"/>
        <w:rPr>
          <w:rFonts w:hint="eastAsia" w:ascii="宋体" w:hAnsi="宋体" w:cs="宋体"/>
          <w:b/>
          <w:bCs/>
          <w:sz w:val="28"/>
          <w:szCs w:val="28"/>
          <w:lang w:val="en-US" w:eastAsia="zh-CN"/>
        </w:rPr>
      </w:pPr>
      <w:r>
        <w:rPr>
          <w:rFonts w:hint="eastAsia" w:ascii="宋体" w:hAnsi="宋体" w:cs="宋体"/>
          <w:b w:val="0"/>
          <w:bCs w:val="0"/>
          <w:color w:val="auto"/>
          <w:sz w:val="28"/>
          <w:szCs w:val="28"/>
        </w:rPr>
        <w:t>（三）付款方式：合同签订后，货物运送到采购方指定地点，且安装、调试、培训到位，并经验收通过合格后一个月内，支付合同价款90%，10%余款在设备安装验收完毕满一年付清。</w:t>
      </w:r>
    </w:p>
    <w:p w14:paraId="463B9646">
      <w:pPr>
        <w:pStyle w:val="4"/>
        <w:jc w:val="center"/>
        <w:outlineLvl w:val="0"/>
        <w:rPr>
          <w:b/>
          <w:color w:val="auto"/>
          <w:sz w:val="30"/>
          <w:szCs w:val="30"/>
          <w:highlight w:val="none"/>
        </w:rPr>
      </w:pPr>
      <w:r>
        <w:rPr>
          <w:rFonts w:hint="eastAsia" w:ascii="Calibri" w:eastAsia="宋体"/>
          <w:b/>
          <w:color w:val="auto"/>
          <w:sz w:val="44"/>
          <w:szCs w:val="44"/>
          <w:highlight w:val="none"/>
        </w:rPr>
        <w:br w:type="page"/>
      </w:r>
      <w:r>
        <w:rPr>
          <w:rFonts w:hint="eastAsia" w:ascii="Calibri" w:eastAsia="宋体"/>
          <w:b/>
          <w:color w:val="auto"/>
          <w:sz w:val="44"/>
          <w:szCs w:val="44"/>
          <w:highlight w:val="none"/>
        </w:rPr>
        <w:t>第五部分  合同格式及条款</w:t>
      </w:r>
      <w:bookmarkEnd w:id="75"/>
      <w:bookmarkEnd w:id="76"/>
    </w:p>
    <w:p w14:paraId="61631B1A">
      <w:pPr>
        <w:spacing w:line="480" w:lineRule="auto"/>
        <w:jc w:val="center"/>
        <w:rPr>
          <w:rFonts w:hint="eastAsia"/>
          <w:color w:val="auto"/>
          <w:szCs w:val="21"/>
          <w:highlight w:val="none"/>
        </w:rPr>
      </w:pPr>
      <w:r>
        <w:rPr>
          <w:rFonts w:hint="eastAsia"/>
          <w:color w:val="auto"/>
          <w:szCs w:val="21"/>
          <w:highlight w:val="none"/>
        </w:rPr>
        <w:t xml:space="preserve">医疗设备采购合同                                 </w:t>
      </w:r>
    </w:p>
    <w:p w14:paraId="0668AC96">
      <w:pPr>
        <w:spacing w:line="480" w:lineRule="auto"/>
        <w:rPr>
          <w:rFonts w:hint="eastAsia"/>
          <w:color w:val="auto"/>
          <w:szCs w:val="21"/>
          <w:highlight w:val="none"/>
        </w:rPr>
      </w:pPr>
      <w:r>
        <w:rPr>
          <w:rFonts w:hint="eastAsia"/>
          <w:color w:val="auto"/>
          <w:szCs w:val="21"/>
          <w:highlight w:val="none"/>
        </w:rPr>
        <w:t>需方：</w:t>
      </w:r>
      <w:r>
        <w:rPr>
          <w:rFonts w:hint="eastAsia"/>
          <w:color w:val="auto"/>
          <w:szCs w:val="21"/>
          <w:highlight w:val="none"/>
          <w:lang w:val="en-US" w:eastAsia="zh-CN"/>
        </w:rPr>
        <w:t xml:space="preserve">                    </w:t>
      </w:r>
      <w:r>
        <w:rPr>
          <w:rFonts w:hint="eastAsia"/>
          <w:color w:val="auto"/>
          <w:szCs w:val="21"/>
          <w:highlight w:val="none"/>
        </w:rPr>
        <w:t xml:space="preserve">        签订地点：海门     </w:t>
      </w:r>
    </w:p>
    <w:p w14:paraId="71599700">
      <w:pPr>
        <w:spacing w:line="480" w:lineRule="auto"/>
        <w:rPr>
          <w:rFonts w:hint="eastAsia"/>
          <w:color w:val="auto"/>
          <w:szCs w:val="21"/>
          <w:highlight w:val="none"/>
        </w:rPr>
      </w:pPr>
      <w:r>
        <w:rPr>
          <w:rFonts w:hint="eastAsia"/>
          <w:color w:val="auto"/>
          <w:szCs w:val="21"/>
          <w:highlight w:val="none"/>
        </w:rPr>
        <w:t xml:space="preserve">供方：                            </w:t>
      </w:r>
    </w:p>
    <w:p w14:paraId="15A9243B">
      <w:pPr>
        <w:spacing w:line="480" w:lineRule="auto"/>
        <w:rPr>
          <w:rFonts w:hint="eastAsia"/>
          <w:color w:val="auto"/>
          <w:szCs w:val="21"/>
          <w:highlight w:val="none"/>
        </w:rPr>
      </w:pPr>
      <w:r>
        <w:rPr>
          <w:rFonts w:hint="eastAsia"/>
          <w:color w:val="auto"/>
          <w:szCs w:val="21"/>
          <w:highlight w:val="none"/>
        </w:rPr>
        <w:t>根据南通市海门区</w:t>
      </w:r>
      <w:r>
        <w:rPr>
          <w:rFonts w:hint="eastAsia"/>
          <w:color w:val="auto"/>
          <w:szCs w:val="21"/>
          <w:highlight w:val="none"/>
          <w:lang w:val="en-US" w:eastAsia="zh-CN"/>
        </w:rPr>
        <w:t>悦来</w:t>
      </w:r>
      <w:r>
        <w:rPr>
          <w:rFonts w:hint="eastAsia"/>
          <w:color w:val="auto"/>
          <w:szCs w:val="21"/>
          <w:highlight w:val="none"/>
        </w:rPr>
        <w:t>镇卫生院********（项目名称）招标结果，经供需双方友好协商，本着平等互利和诚实信用的原则，一致同意签订本合同如下：</w:t>
      </w:r>
    </w:p>
    <w:p w14:paraId="10FCFB73">
      <w:pPr>
        <w:spacing w:line="480" w:lineRule="auto"/>
        <w:rPr>
          <w:rFonts w:hint="eastAsia"/>
          <w:color w:val="auto"/>
          <w:szCs w:val="21"/>
          <w:highlight w:val="none"/>
        </w:rPr>
      </w:pPr>
      <w:r>
        <w:rPr>
          <w:rFonts w:hint="eastAsia"/>
          <w:color w:val="auto"/>
          <w:szCs w:val="21"/>
          <w:highlight w:val="none"/>
        </w:rPr>
        <w:t xml:space="preserve">一、采购内容：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76"/>
        <w:gridCol w:w="708"/>
        <w:gridCol w:w="993"/>
        <w:gridCol w:w="1134"/>
        <w:gridCol w:w="850"/>
        <w:gridCol w:w="2410"/>
      </w:tblGrid>
      <w:tr w14:paraId="12E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89D2068">
            <w:pPr>
              <w:spacing w:line="480" w:lineRule="auto"/>
              <w:rPr>
                <w:rFonts w:hint="eastAsia"/>
                <w:color w:val="auto"/>
                <w:szCs w:val="21"/>
                <w:highlight w:val="none"/>
              </w:rPr>
            </w:pPr>
            <w:r>
              <w:rPr>
                <w:rFonts w:hint="eastAsia"/>
                <w:color w:val="auto"/>
                <w:szCs w:val="21"/>
                <w:highlight w:val="none"/>
              </w:rPr>
              <w:t>设备名称</w:t>
            </w:r>
          </w:p>
        </w:tc>
        <w:tc>
          <w:tcPr>
            <w:tcW w:w="1276" w:type="dxa"/>
            <w:noWrap w:val="0"/>
            <w:vAlign w:val="center"/>
          </w:tcPr>
          <w:p w14:paraId="41F7B069">
            <w:pPr>
              <w:spacing w:line="480" w:lineRule="auto"/>
              <w:rPr>
                <w:rFonts w:hint="eastAsia"/>
                <w:color w:val="auto"/>
                <w:szCs w:val="21"/>
                <w:highlight w:val="none"/>
              </w:rPr>
            </w:pPr>
            <w:r>
              <w:rPr>
                <w:rFonts w:hint="eastAsia"/>
                <w:color w:val="auto"/>
                <w:szCs w:val="21"/>
                <w:highlight w:val="none"/>
              </w:rPr>
              <w:t>规格型号</w:t>
            </w:r>
          </w:p>
        </w:tc>
        <w:tc>
          <w:tcPr>
            <w:tcW w:w="708" w:type="dxa"/>
            <w:noWrap w:val="0"/>
            <w:vAlign w:val="center"/>
          </w:tcPr>
          <w:p w14:paraId="187FCE0A">
            <w:pPr>
              <w:spacing w:line="480" w:lineRule="auto"/>
              <w:rPr>
                <w:rFonts w:hint="eastAsia"/>
                <w:color w:val="auto"/>
                <w:szCs w:val="21"/>
                <w:highlight w:val="none"/>
              </w:rPr>
            </w:pPr>
            <w:r>
              <w:rPr>
                <w:rFonts w:hint="eastAsia"/>
                <w:color w:val="auto"/>
                <w:szCs w:val="21"/>
                <w:highlight w:val="none"/>
              </w:rPr>
              <w:t>品牌</w:t>
            </w:r>
          </w:p>
        </w:tc>
        <w:tc>
          <w:tcPr>
            <w:tcW w:w="993" w:type="dxa"/>
            <w:noWrap w:val="0"/>
            <w:vAlign w:val="center"/>
          </w:tcPr>
          <w:p w14:paraId="14937BB5">
            <w:pPr>
              <w:spacing w:line="480" w:lineRule="auto"/>
              <w:rPr>
                <w:rFonts w:hint="eastAsia"/>
                <w:color w:val="auto"/>
                <w:szCs w:val="21"/>
                <w:highlight w:val="none"/>
              </w:rPr>
            </w:pPr>
            <w:r>
              <w:rPr>
                <w:rFonts w:hint="eastAsia"/>
                <w:color w:val="auto"/>
                <w:szCs w:val="21"/>
                <w:highlight w:val="none"/>
              </w:rPr>
              <w:t>原产地</w:t>
            </w:r>
          </w:p>
        </w:tc>
        <w:tc>
          <w:tcPr>
            <w:tcW w:w="1134" w:type="dxa"/>
            <w:noWrap w:val="0"/>
            <w:vAlign w:val="center"/>
          </w:tcPr>
          <w:p w14:paraId="6189CA1B">
            <w:pPr>
              <w:spacing w:line="480" w:lineRule="auto"/>
              <w:rPr>
                <w:rFonts w:hint="eastAsia"/>
                <w:color w:val="auto"/>
                <w:szCs w:val="21"/>
                <w:highlight w:val="none"/>
              </w:rPr>
            </w:pPr>
            <w:r>
              <w:rPr>
                <w:rFonts w:hint="eastAsia"/>
                <w:color w:val="auto"/>
                <w:szCs w:val="21"/>
                <w:highlight w:val="none"/>
              </w:rPr>
              <w:t>单价(元)</w:t>
            </w:r>
          </w:p>
        </w:tc>
        <w:tc>
          <w:tcPr>
            <w:tcW w:w="850" w:type="dxa"/>
            <w:noWrap w:val="0"/>
            <w:vAlign w:val="center"/>
          </w:tcPr>
          <w:p w14:paraId="4A52431A">
            <w:pPr>
              <w:spacing w:line="480" w:lineRule="auto"/>
              <w:rPr>
                <w:rFonts w:hint="eastAsia"/>
                <w:color w:val="auto"/>
                <w:szCs w:val="21"/>
                <w:highlight w:val="none"/>
              </w:rPr>
            </w:pPr>
            <w:r>
              <w:rPr>
                <w:rFonts w:hint="eastAsia"/>
                <w:color w:val="auto"/>
                <w:szCs w:val="21"/>
                <w:highlight w:val="none"/>
              </w:rPr>
              <w:t>数量</w:t>
            </w:r>
          </w:p>
        </w:tc>
        <w:tc>
          <w:tcPr>
            <w:tcW w:w="2410" w:type="dxa"/>
            <w:noWrap w:val="0"/>
            <w:vAlign w:val="center"/>
          </w:tcPr>
          <w:p w14:paraId="67646ECC">
            <w:pPr>
              <w:spacing w:line="480" w:lineRule="auto"/>
              <w:rPr>
                <w:rFonts w:hint="eastAsia"/>
                <w:color w:val="auto"/>
                <w:szCs w:val="21"/>
                <w:highlight w:val="none"/>
              </w:rPr>
            </w:pPr>
            <w:r>
              <w:rPr>
                <w:rFonts w:hint="eastAsia"/>
                <w:color w:val="auto"/>
                <w:szCs w:val="21"/>
                <w:highlight w:val="none"/>
              </w:rPr>
              <w:t>总金额（元）</w:t>
            </w:r>
          </w:p>
        </w:tc>
      </w:tr>
      <w:tr w14:paraId="5C7D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4546513">
            <w:pPr>
              <w:spacing w:line="480" w:lineRule="auto"/>
              <w:rPr>
                <w:rFonts w:hint="eastAsia"/>
                <w:color w:val="auto"/>
                <w:szCs w:val="21"/>
                <w:highlight w:val="none"/>
              </w:rPr>
            </w:pPr>
          </w:p>
        </w:tc>
        <w:tc>
          <w:tcPr>
            <w:tcW w:w="1276" w:type="dxa"/>
            <w:noWrap w:val="0"/>
            <w:vAlign w:val="center"/>
          </w:tcPr>
          <w:p w14:paraId="00F9EC37">
            <w:pPr>
              <w:spacing w:line="480" w:lineRule="auto"/>
              <w:rPr>
                <w:rFonts w:hint="eastAsia"/>
                <w:color w:val="auto"/>
                <w:szCs w:val="21"/>
                <w:highlight w:val="none"/>
              </w:rPr>
            </w:pPr>
          </w:p>
        </w:tc>
        <w:tc>
          <w:tcPr>
            <w:tcW w:w="708" w:type="dxa"/>
            <w:noWrap w:val="0"/>
            <w:vAlign w:val="center"/>
          </w:tcPr>
          <w:p w14:paraId="78B12AE9">
            <w:pPr>
              <w:spacing w:line="480" w:lineRule="auto"/>
              <w:rPr>
                <w:rFonts w:hint="eastAsia"/>
                <w:color w:val="auto"/>
                <w:szCs w:val="21"/>
                <w:highlight w:val="none"/>
              </w:rPr>
            </w:pPr>
          </w:p>
        </w:tc>
        <w:tc>
          <w:tcPr>
            <w:tcW w:w="993" w:type="dxa"/>
            <w:noWrap w:val="0"/>
            <w:vAlign w:val="center"/>
          </w:tcPr>
          <w:p w14:paraId="2867CBEC">
            <w:pPr>
              <w:spacing w:line="480" w:lineRule="auto"/>
              <w:rPr>
                <w:rFonts w:hint="eastAsia"/>
                <w:color w:val="auto"/>
                <w:szCs w:val="21"/>
                <w:highlight w:val="none"/>
              </w:rPr>
            </w:pPr>
          </w:p>
        </w:tc>
        <w:tc>
          <w:tcPr>
            <w:tcW w:w="1134" w:type="dxa"/>
            <w:noWrap w:val="0"/>
            <w:vAlign w:val="center"/>
          </w:tcPr>
          <w:p w14:paraId="7CD6031A">
            <w:pPr>
              <w:spacing w:line="480" w:lineRule="auto"/>
              <w:rPr>
                <w:rFonts w:hint="eastAsia"/>
                <w:color w:val="auto"/>
                <w:szCs w:val="21"/>
                <w:highlight w:val="none"/>
              </w:rPr>
            </w:pPr>
          </w:p>
        </w:tc>
        <w:tc>
          <w:tcPr>
            <w:tcW w:w="850" w:type="dxa"/>
            <w:noWrap w:val="0"/>
            <w:vAlign w:val="center"/>
          </w:tcPr>
          <w:p w14:paraId="179F0FA8">
            <w:pPr>
              <w:spacing w:line="480" w:lineRule="auto"/>
              <w:rPr>
                <w:rFonts w:hint="eastAsia"/>
                <w:color w:val="auto"/>
                <w:szCs w:val="21"/>
                <w:highlight w:val="none"/>
              </w:rPr>
            </w:pPr>
          </w:p>
        </w:tc>
        <w:tc>
          <w:tcPr>
            <w:tcW w:w="2410" w:type="dxa"/>
            <w:noWrap w:val="0"/>
            <w:vAlign w:val="center"/>
          </w:tcPr>
          <w:p w14:paraId="4E6E1B46">
            <w:pPr>
              <w:spacing w:line="480" w:lineRule="auto"/>
              <w:rPr>
                <w:rFonts w:hint="eastAsia"/>
                <w:color w:val="auto"/>
                <w:szCs w:val="21"/>
                <w:highlight w:val="none"/>
              </w:rPr>
            </w:pPr>
          </w:p>
        </w:tc>
      </w:tr>
      <w:tr w14:paraId="4E6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noWrap w:val="0"/>
            <w:vAlign w:val="center"/>
          </w:tcPr>
          <w:p w14:paraId="569C11A5">
            <w:pPr>
              <w:spacing w:line="480" w:lineRule="auto"/>
              <w:rPr>
                <w:rFonts w:hint="eastAsia"/>
                <w:color w:val="auto"/>
                <w:szCs w:val="21"/>
                <w:highlight w:val="none"/>
              </w:rPr>
            </w:pPr>
          </w:p>
        </w:tc>
        <w:tc>
          <w:tcPr>
            <w:tcW w:w="1276" w:type="dxa"/>
            <w:noWrap w:val="0"/>
            <w:vAlign w:val="center"/>
          </w:tcPr>
          <w:p w14:paraId="4968FD6B">
            <w:pPr>
              <w:spacing w:line="480" w:lineRule="auto"/>
              <w:rPr>
                <w:rFonts w:hint="eastAsia"/>
                <w:color w:val="auto"/>
                <w:szCs w:val="21"/>
                <w:highlight w:val="none"/>
              </w:rPr>
            </w:pPr>
          </w:p>
        </w:tc>
        <w:tc>
          <w:tcPr>
            <w:tcW w:w="708" w:type="dxa"/>
            <w:noWrap w:val="0"/>
            <w:vAlign w:val="center"/>
          </w:tcPr>
          <w:p w14:paraId="11D0B8C4">
            <w:pPr>
              <w:spacing w:line="480" w:lineRule="auto"/>
              <w:rPr>
                <w:rFonts w:hint="eastAsia"/>
                <w:color w:val="auto"/>
                <w:szCs w:val="21"/>
                <w:highlight w:val="none"/>
              </w:rPr>
            </w:pPr>
          </w:p>
        </w:tc>
        <w:tc>
          <w:tcPr>
            <w:tcW w:w="993" w:type="dxa"/>
            <w:noWrap w:val="0"/>
            <w:vAlign w:val="center"/>
          </w:tcPr>
          <w:p w14:paraId="5E6330C1">
            <w:pPr>
              <w:spacing w:line="480" w:lineRule="auto"/>
              <w:rPr>
                <w:rFonts w:hint="eastAsia"/>
                <w:color w:val="auto"/>
                <w:szCs w:val="21"/>
                <w:highlight w:val="none"/>
              </w:rPr>
            </w:pPr>
          </w:p>
        </w:tc>
        <w:tc>
          <w:tcPr>
            <w:tcW w:w="1134" w:type="dxa"/>
            <w:noWrap w:val="0"/>
            <w:vAlign w:val="center"/>
          </w:tcPr>
          <w:p w14:paraId="6C3C9C09">
            <w:pPr>
              <w:spacing w:line="480" w:lineRule="auto"/>
              <w:rPr>
                <w:rFonts w:hint="eastAsia"/>
                <w:color w:val="auto"/>
                <w:szCs w:val="21"/>
                <w:highlight w:val="none"/>
              </w:rPr>
            </w:pPr>
          </w:p>
        </w:tc>
        <w:tc>
          <w:tcPr>
            <w:tcW w:w="850" w:type="dxa"/>
            <w:noWrap w:val="0"/>
            <w:vAlign w:val="center"/>
          </w:tcPr>
          <w:p w14:paraId="38141F70">
            <w:pPr>
              <w:spacing w:line="480" w:lineRule="auto"/>
              <w:rPr>
                <w:rFonts w:hint="eastAsia"/>
                <w:color w:val="auto"/>
                <w:szCs w:val="21"/>
                <w:highlight w:val="none"/>
              </w:rPr>
            </w:pPr>
          </w:p>
        </w:tc>
        <w:tc>
          <w:tcPr>
            <w:tcW w:w="2410" w:type="dxa"/>
            <w:noWrap w:val="0"/>
            <w:vAlign w:val="center"/>
          </w:tcPr>
          <w:p w14:paraId="1926F1FD">
            <w:pPr>
              <w:spacing w:line="480" w:lineRule="auto"/>
              <w:rPr>
                <w:rFonts w:hint="eastAsia"/>
                <w:color w:val="auto"/>
                <w:szCs w:val="21"/>
                <w:highlight w:val="none"/>
              </w:rPr>
            </w:pPr>
          </w:p>
        </w:tc>
      </w:tr>
      <w:tr w14:paraId="7D6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noWrap w:val="0"/>
            <w:vAlign w:val="center"/>
          </w:tcPr>
          <w:p w14:paraId="620BF3ED">
            <w:pPr>
              <w:spacing w:line="480" w:lineRule="auto"/>
              <w:rPr>
                <w:rFonts w:hint="eastAsia"/>
                <w:color w:val="auto"/>
                <w:szCs w:val="21"/>
                <w:highlight w:val="none"/>
              </w:rPr>
            </w:pPr>
            <w:r>
              <w:rPr>
                <w:rFonts w:hint="eastAsia"/>
                <w:color w:val="auto"/>
                <w:szCs w:val="21"/>
                <w:highlight w:val="none"/>
              </w:rPr>
              <w:t>医疗器械注册证号：</w:t>
            </w:r>
          </w:p>
        </w:tc>
      </w:tr>
      <w:tr w14:paraId="26B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7"/>
            <w:noWrap w:val="0"/>
            <w:vAlign w:val="center"/>
          </w:tcPr>
          <w:p w14:paraId="1FBB8C82">
            <w:pPr>
              <w:spacing w:line="480" w:lineRule="auto"/>
              <w:rPr>
                <w:rFonts w:hint="eastAsia"/>
                <w:color w:val="auto"/>
                <w:szCs w:val="21"/>
                <w:highlight w:val="none"/>
              </w:rPr>
            </w:pPr>
            <w:r>
              <w:rPr>
                <w:rFonts w:hint="eastAsia"/>
                <w:color w:val="auto"/>
                <w:szCs w:val="21"/>
                <w:highlight w:val="none"/>
              </w:rPr>
              <w:t>合计成交金额（大写）：人民币********元整 （¥           ）</w:t>
            </w:r>
          </w:p>
        </w:tc>
      </w:tr>
    </w:tbl>
    <w:p w14:paraId="2512ADFE">
      <w:pPr>
        <w:spacing w:line="480" w:lineRule="auto"/>
        <w:rPr>
          <w:rFonts w:hint="eastAsia"/>
          <w:color w:val="auto"/>
          <w:szCs w:val="21"/>
          <w:highlight w:val="none"/>
        </w:rPr>
      </w:pPr>
      <w:r>
        <w:rPr>
          <w:rFonts w:hint="eastAsia"/>
          <w:color w:val="auto"/>
          <w:szCs w:val="21"/>
          <w:highlight w:val="none"/>
        </w:rPr>
        <w:t>二、设备配置：见配置清单（配置清单为合同不可分割的组成部分）</w:t>
      </w:r>
    </w:p>
    <w:p w14:paraId="26AC5785">
      <w:pPr>
        <w:spacing w:line="480" w:lineRule="auto"/>
        <w:rPr>
          <w:rFonts w:hint="eastAsia"/>
          <w:color w:val="auto"/>
          <w:szCs w:val="21"/>
          <w:highlight w:val="none"/>
        </w:rPr>
      </w:pPr>
      <w:r>
        <w:rPr>
          <w:rFonts w:hint="eastAsia"/>
          <w:color w:val="auto"/>
          <w:szCs w:val="21"/>
          <w:highlight w:val="none"/>
        </w:rPr>
        <w:t>三、质量要求和技术标准：供方所供商品必须为原装、原封、原标记完好的全新正品。国家有统一技术标准的，不低于国家标准。如需方有特殊要求，按招标要求有关条款执行。</w:t>
      </w:r>
    </w:p>
    <w:p w14:paraId="4AB00891">
      <w:pPr>
        <w:spacing w:line="480" w:lineRule="auto"/>
        <w:rPr>
          <w:rFonts w:hint="eastAsia"/>
          <w:color w:val="auto"/>
          <w:szCs w:val="21"/>
          <w:highlight w:val="none"/>
        </w:rPr>
      </w:pPr>
      <w:r>
        <w:rPr>
          <w:rFonts w:hint="eastAsia"/>
          <w:color w:val="auto"/>
          <w:szCs w:val="21"/>
          <w:highlight w:val="none"/>
        </w:rPr>
        <w:t>四、整机质保___月，人为损坏不在保修范围内。</w:t>
      </w:r>
      <w:r>
        <w:rPr>
          <w:rFonts w:hint="eastAsia"/>
          <w:color w:val="auto"/>
          <w:szCs w:val="21"/>
          <w:highlight w:val="none"/>
          <w:lang w:eastAsia="zh-CN"/>
        </w:rPr>
        <w:t>一年</w:t>
      </w:r>
      <w:r>
        <w:rPr>
          <w:rFonts w:hint="eastAsia"/>
          <w:color w:val="auto"/>
          <w:szCs w:val="21"/>
          <w:highlight w:val="none"/>
        </w:rPr>
        <w:t>内维修超过两次仍无法正常使用或同一问题经两次维修仍出现相同问题，供应商应无条件给予全套更新或退货。保修期满后供方提供终身维修服务。</w:t>
      </w:r>
    </w:p>
    <w:p w14:paraId="710C5348">
      <w:pPr>
        <w:spacing w:line="480" w:lineRule="auto"/>
        <w:rPr>
          <w:rFonts w:hint="eastAsia"/>
          <w:color w:val="auto"/>
          <w:szCs w:val="21"/>
          <w:highlight w:val="none"/>
        </w:rPr>
      </w:pPr>
      <w:r>
        <w:rPr>
          <w:rFonts w:hint="eastAsia"/>
          <w:color w:val="auto"/>
          <w:szCs w:val="21"/>
          <w:highlight w:val="none"/>
        </w:rPr>
        <w:t>五、付款方式： *******************************</w:t>
      </w:r>
    </w:p>
    <w:p w14:paraId="7BCAE9BA">
      <w:pPr>
        <w:spacing w:line="480" w:lineRule="auto"/>
        <w:rPr>
          <w:rFonts w:hint="eastAsia"/>
          <w:color w:val="auto"/>
          <w:szCs w:val="21"/>
          <w:highlight w:val="none"/>
        </w:rPr>
      </w:pPr>
      <w:r>
        <w:rPr>
          <w:rFonts w:hint="eastAsia"/>
          <w:color w:val="auto"/>
          <w:szCs w:val="21"/>
          <w:highlight w:val="none"/>
        </w:rPr>
        <w:t>五、验收标准：按厂方技术参数、招标要求、国家标准等组织验收。</w:t>
      </w:r>
    </w:p>
    <w:p w14:paraId="07B4E0D3">
      <w:pPr>
        <w:spacing w:line="480" w:lineRule="auto"/>
        <w:rPr>
          <w:rFonts w:hint="eastAsia"/>
          <w:color w:val="auto"/>
          <w:szCs w:val="21"/>
          <w:highlight w:val="none"/>
        </w:rPr>
      </w:pPr>
      <w:r>
        <w:rPr>
          <w:rFonts w:hint="eastAsia"/>
          <w:color w:val="auto"/>
          <w:szCs w:val="21"/>
          <w:highlight w:val="none"/>
        </w:rPr>
        <w:t>六、交货期：合同签订后    天内交货。</w:t>
      </w:r>
    </w:p>
    <w:p w14:paraId="0462BE53">
      <w:pPr>
        <w:spacing w:line="480" w:lineRule="auto"/>
        <w:rPr>
          <w:rFonts w:hint="eastAsia"/>
          <w:color w:val="auto"/>
          <w:szCs w:val="21"/>
          <w:highlight w:val="none"/>
        </w:rPr>
      </w:pPr>
      <w:r>
        <w:rPr>
          <w:rFonts w:hint="eastAsia"/>
          <w:color w:val="auto"/>
          <w:szCs w:val="21"/>
          <w:highlight w:val="none"/>
        </w:rPr>
        <w:t>七、交货地点：需方指定地点。交货前风险及费用由供方承担。</w:t>
      </w:r>
    </w:p>
    <w:p w14:paraId="6EA6B5D0">
      <w:pPr>
        <w:spacing w:line="480" w:lineRule="auto"/>
        <w:rPr>
          <w:rFonts w:hint="eastAsia"/>
          <w:color w:val="auto"/>
          <w:szCs w:val="21"/>
          <w:highlight w:val="none"/>
        </w:rPr>
      </w:pPr>
      <w:r>
        <w:rPr>
          <w:rFonts w:hint="eastAsia"/>
          <w:color w:val="auto"/>
          <w:szCs w:val="21"/>
          <w:highlight w:val="none"/>
        </w:rPr>
        <w:t>八、供方应随设备向需方交付设备使用说明书及相关的资料。供方须对用户进行相关使用培训，培训由供方免费提供。</w:t>
      </w:r>
    </w:p>
    <w:p w14:paraId="6AD79177">
      <w:pPr>
        <w:spacing w:line="480" w:lineRule="auto"/>
        <w:rPr>
          <w:rFonts w:hint="eastAsia"/>
          <w:color w:val="auto"/>
          <w:szCs w:val="21"/>
          <w:highlight w:val="none"/>
        </w:rPr>
      </w:pPr>
      <w:r>
        <w:rPr>
          <w:rFonts w:hint="eastAsia"/>
          <w:color w:val="auto"/>
          <w:szCs w:val="21"/>
          <w:highlight w:val="none"/>
        </w:rPr>
        <w:t>九、违约责任：任何一方违约，均须依照下列约定向对方支付违约金。</w:t>
      </w:r>
    </w:p>
    <w:p w14:paraId="1FC657CC">
      <w:pPr>
        <w:spacing w:line="480" w:lineRule="auto"/>
        <w:rPr>
          <w:rFonts w:hint="eastAsia"/>
          <w:color w:val="auto"/>
          <w:szCs w:val="21"/>
          <w:highlight w:val="none"/>
        </w:rPr>
      </w:pPr>
      <w:r>
        <w:rPr>
          <w:rFonts w:hint="eastAsia"/>
          <w:color w:val="auto"/>
          <w:szCs w:val="21"/>
          <w:highlight w:val="none"/>
        </w:rPr>
        <w:t>1.供方不能交货及需方中途退货，按照违约部分货款总额的 10 %结算。</w:t>
      </w:r>
    </w:p>
    <w:p w14:paraId="09F54F54">
      <w:pPr>
        <w:spacing w:line="480" w:lineRule="auto"/>
        <w:rPr>
          <w:rFonts w:hint="eastAsia"/>
          <w:color w:val="auto"/>
          <w:szCs w:val="21"/>
          <w:highlight w:val="none"/>
        </w:rPr>
      </w:pPr>
      <w:r>
        <w:rPr>
          <w:rFonts w:hint="eastAsia"/>
          <w:color w:val="auto"/>
          <w:szCs w:val="21"/>
          <w:highlight w:val="none"/>
        </w:rPr>
        <w:t>2.供方逾期交货，则按照逾期部分货款总额的每日万分之 十 结算。</w:t>
      </w:r>
    </w:p>
    <w:p w14:paraId="0B2EDEEB">
      <w:pPr>
        <w:spacing w:line="480" w:lineRule="auto"/>
        <w:rPr>
          <w:rFonts w:hint="eastAsia"/>
          <w:color w:val="auto"/>
          <w:szCs w:val="21"/>
          <w:highlight w:val="none"/>
        </w:rPr>
      </w:pPr>
      <w:r>
        <w:rPr>
          <w:rFonts w:hint="eastAsia"/>
          <w:color w:val="auto"/>
          <w:szCs w:val="21"/>
          <w:highlight w:val="none"/>
        </w:rPr>
        <w:t>3.供方交付的货物质量存在重大问题的，需方有权视为不能交货或逾期交货,并由供方承担相应的违约责任。</w:t>
      </w:r>
    </w:p>
    <w:p w14:paraId="19F64206">
      <w:pPr>
        <w:spacing w:line="480" w:lineRule="auto"/>
        <w:rPr>
          <w:rFonts w:hint="eastAsia"/>
          <w:color w:val="auto"/>
          <w:szCs w:val="21"/>
          <w:highlight w:val="none"/>
        </w:rPr>
      </w:pPr>
      <w:r>
        <w:rPr>
          <w:rFonts w:hint="eastAsia"/>
          <w:color w:val="auto"/>
          <w:szCs w:val="21"/>
          <w:highlight w:val="none"/>
        </w:rPr>
        <w:t>十、合同纠纷处理：本合同在履行过程中发生争议的， 由双方当事人协商解决，若未能达成一致意见，则可通过南通仲裁委员会申请仲裁。</w:t>
      </w:r>
    </w:p>
    <w:p w14:paraId="590846F9">
      <w:pPr>
        <w:spacing w:line="480" w:lineRule="auto"/>
        <w:rPr>
          <w:rFonts w:hint="eastAsia"/>
          <w:color w:val="auto"/>
          <w:szCs w:val="21"/>
          <w:highlight w:val="none"/>
        </w:rPr>
      </w:pPr>
      <w:r>
        <w:rPr>
          <w:rFonts w:hint="eastAsia"/>
          <w:color w:val="auto"/>
          <w:szCs w:val="21"/>
          <w:highlight w:val="none"/>
        </w:rPr>
        <w:t>十一、</w:t>
      </w:r>
      <w:r>
        <w:rPr>
          <w:rFonts w:hint="eastAsia"/>
          <w:color w:val="auto"/>
          <w:szCs w:val="21"/>
          <w:highlight w:val="none"/>
          <w:lang w:eastAsia="zh-CN"/>
        </w:rPr>
        <w:t>其他</w:t>
      </w:r>
      <w:r>
        <w:rPr>
          <w:rFonts w:hint="eastAsia"/>
          <w:color w:val="auto"/>
          <w:szCs w:val="21"/>
          <w:highlight w:val="none"/>
        </w:rPr>
        <w:t xml:space="preserve">事项： </w:t>
      </w:r>
    </w:p>
    <w:p w14:paraId="5D2A4193">
      <w:pPr>
        <w:spacing w:line="480" w:lineRule="auto"/>
        <w:rPr>
          <w:rFonts w:hint="eastAsia"/>
          <w:color w:val="auto"/>
          <w:szCs w:val="21"/>
          <w:highlight w:val="none"/>
        </w:rPr>
      </w:pPr>
      <w:r>
        <w:rPr>
          <w:rFonts w:hint="eastAsia"/>
          <w:color w:val="auto"/>
          <w:szCs w:val="21"/>
          <w:highlight w:val="none"/>
        </w:rPr>
        <w:t>1．__________________________________________________________。</w:t>
      </w:r>
    </w:p>
    <w:p w14:paraId="029A17B8">
      <w:pPr>
        <w:spacing w:line="480" w:lineRule="auto"/>
        <w:rPr>
          <w:rFonts w:hint="eastAsia"/>
          <w:color w:val="auto"/>
          <w:szCs w:val="21"/>
          <w:highlight w:val="none"/>
        </w:rPr>
      </w:pPr>
      <w:r>
        <w:rPr>
          <w:rFonts w:hint="eastAsia"/>
          <w:color w:val="auto"/>
          <w:szCs w:val="21"/>
          <w:highlight w:val="none"/>
        </w:rPr>
        <w:t>2．__________________________________________________________。</w:t>
      </w:r>
    </w:p>
    <w:p w14:paraId="5A1728E2">
      <w:pPr>
        <w:spacing w:line="480" w:lineRule="auto"/>
        <w:rPr>
          <w:rFonts w:hint="eastAsia"/>
          <w:color w:val="auto"/>
          <w:szCs w:val="21"/>
          <w:highlight w:val="none"/>
        </w:rPr>
      </w:pPr>
      <w:r>
        <w:rPr>
          <w:rFonts w:hint="eastAsia"/>
          <w:color w:val="auto"/>
          <w:szCs w:val="21"/>
          <w:highlight w:val="none"/>
        </w:rPr>
        <w:t>十二、合同不可分割部分：</w:t>
      </w:r>
    </w:p>
    <w:p w14:paraId="4D825E5A">
      <w:pPr>
        <w:spacing w:line="480" w:lineRule="auto"/>
        <w:rPr>
          <w:rFonts w:hint="eastAsia"/>
          <w:color w:val="auto"/>
          <w:szCs w:val="21"/>
          <w:highlight w:val="none"/>
        </w:rPr>
      </w:pPr>
      <w:r>
        <w:rPr>
          <w:rFonts w:hint="eastAsia"/>
          <w:color w:val="auto"/>
          <w:szCs w:val="21"/>
          <w:highlight w:val="none"/>
        </w:rPr>
        <w:t>招标文件及其补充文件，投标文件及其澄清文件或书面承诺，均作为本合同附件，合同附件均为合同不可分割的部分，与合同具有同等法律效力。</w:t>
      </w:r>
    </w:p>
    <w:p w14:paraId="2733038E">
      <w:pPr>
        <w:spacing w:line="480" w:lineRule="auto"/>
        <w:rPr>
          <w:rFonts w:hint="eastAsia"/>
          <w:color w:val="auto"/>
          <w:szCs w:val="21"/>
          <w:highlight w:val="none"/>
        </w:rPr>
      </w:pPr>
      <w:r>
        <w:rPr>
          <w:rFonts w:hint="eastAsia"/>
          <w:color w:val="auto"/>
          <w:szCs w:val="21"/>
          <w:highlight w:val="none"/>
        </w:rPr>
        <w:t>十三、合同生效：本合同由供需双方签字盖章后生效（多页合同供需双方必须加盖骑缝公章）。</w:t>
      </w:r>
    </w:p>
    <w:p w14:paraId="30010EB8">
      <w:pPr>
        <w:spacing w:line="480" w:lineRule="auto"/>
        <w:rPr>
          <w:rFonts w:hint="eastAsia"/>
          <w:color w:val="auto"/>
          <w:szCs w:val="21"/>
          <w:highlight w:val="none"/>
        </w:rPr>
      </w:pPr>
      <w:r>
        <w:rPr>
          <w:rFonts w:hint="eastAsia"/>
          <w:color w:val="auto"/>
          <w:szCs w:val="21"/>
          <w:highlight w:val="none"/>
        </w:rPr>
        <w:t>十四、本合同一式</w:t>
      </w:r>
      <w:r>
        <w:rPr>
          <w:rFonts w:hint="eastAsia"/>
          <w:color w:val="auto"/>
          <w:szCs w:val="21"/>
          <w:highlight w:val="none"/>
          <w:lang w:val="en-US" w:eastAsia="zh-CN"/>
        </w:rPr>
        <w:t>三</w:t>
      </w:r>
      <w:r>
        <w:rPr>
          <w:rFonts w:hint="eastAsia"/>
          <w:color w:val="auto"/>
          <w:szCs w:val="21"/>
          <w:highlight w:val="none"/>
        </w:rPr>
        <w:t>份。需方执</w:t>
      </w:r>
      <w:r>
        <w:rPr>
          <w:rFonts w:hint="eastAsia"/>
          <w:color w:val="auto"/>
          <w:szCs w:val="21"/>
          <w:highlight w:val="none"/>
          <w:lang w:val="en-US" w:eastAsia="zh-CN"/>
        </w:rPr>
        <w:t>二</w:t>
      </w:r>
      <w:r>
        <w:rPr>
          <w:rFonts w:hint="eastAsia"/>
          <w:color w:val="auto"/>
          <w:szCs w:val="21"/>
          <w:highlight w:val="none"/>
        </w:rPr>
        <w:t>份，供方执一份。</w:t>
      </w:r>
    </w:p>
    <w:p w14:paraId="746CEBDB">
      <w:pPr>
        <w:spacing w:line="480" w:lineRule="auto"/>
        <w:rPr>
          <w:rFonts w:hint="eastAsia"/>
          <w:color w:val="auto"/>
          <w:szCs w:val="21"/>
          <w:highlight w:val="none"/>
        </w:rPr>
      </w:pPr>
      <w:r>
        <w:rPr>
          <w:rFonts w:hint="eastAsia"/>
          <w:color w:val="auto"/>
          <w:szCs w:val="21"/>
          <w:highlight w:val="none"/>
        </w:rPr>
        <w:t xml:space="preserve">需 方： </w:t>
      </w:r>
      <w:r>
        <w:rPr>
          <w:rFonts w:hint="eastAsia"/>
          <w:color w:val="auto"/>
          <w:szCs w:val="21"/>
          <w:highlight w:val="none"/>
          <w:lang w:val="en-US" w:eastAsia="zh-CN"/>
        </w:rPr>
        <w:t xml:space="preserve">                  </w:t>
      </w:r>
      <w:r>
        <w:rPr>
          <w:rFonts w:hint="eastAsia"/>
          <w:color w:val="auto"/>
          <w:szCs w:val="21"/>
          <w:highlight w:val="none"/>
        </w:rPr>
        <w:t>（盖章）      供 方：***********（盖章）</w:t>
      </w:r>
    </w:p>
    <w:p w14:paraId="1F3850AC">
      <w:pPr>
        <w:spacing w:line="480" w:lineRule="auto"/>
        <w:rPr>
          <w:rFonts w:hint="eastAsia"/>
          <w:color w:val="auto"/>
          <w:szCs w:val="21"/>
          <w:highlight w:val="none"/>
        </w:rPr>
      </w:pPr>
      <w:r>
        <w:rPr>
          <w:rFonts w:hint="eastAsia"/>
          <w:color w:val="auto"/>
          <w:szCs w:val="21"/>
          <w:highlight w:val="none"/>
        </w:rPr>
        <w:t xml:space="preserve">地 址： </w:t>
      </w:r>
      <w:r>
        <w:rPr>
          <w:rFonts w:hint="eastAsia"/>
          <w:color w:val="auto"/>
          <w:szCs w:val="21"/>
          <w:highlight w:val="none"/>
          <w:lang w:val="en-US" w:eastAsia="zh-CN"/>
        </w:rPr>
        <w:t xml:space="preserve">                       </w:t>
      </w:r>
      <w:r>
        <w:rPr>
          <w:rFonts w:hint="eastAsia"/>
          <w:color w:val="auto"/>
          <w:szCs w:val="21"/>
          <w:highlight w:val="none"/>
        </w:rPr>
        <w:t xml:space="preserve">          地 址：                         </w:t>
      </w:r>
    </w:p>
    <w:p w14:paraId="1D58247F">
      <w:pPr>
        <w:spacing w:line="480" w:lineRule="auto"/>
        <w:rPr>
          <w:rFonts w:hint="eastAsia"/>
          <w:color w:val="auto"/>
          <w:szCs w:val="21"/>
          <w:highlight w:val="none"/>
        </w:rPr>
      </w:pPr>
      <w:r>
        <w:rPr>
          <w:rFonts w:hint="eastAsia"/>
          <w:color w:val="auto"/>
          <w:szCs w:val="21"/>
          <w:highlight w:val="none"/>
        </w:rPr>
        <w:t>法定(授权)代表人：                          法定(授权)代表人：</w:t>
      </w:r>
    </w:p>
    <w:p w14:paraId="4B18A578">
      <w:pPr>
        <w:spacing w:line="480" w:lineRule="auto"/>
        <w:rPr>
          <w:rFonts w:hint="eastAsia"/>
          <w:color w:val="auto"/>
          <w:szCs w:val="21"/>
          <w:highlight w:val="none"/>
        </w:rPr>
      </w:pPr>
      <w:r>
        <w:rPr>
          <w:rFonts w:hint="eastAsia"/>
          <w:color w:val="auto"/>
          <w:szCs w:val="21"/>
          <w:highlight w:val="none"/>
        </w:rPr>
        <w:t xml:space="preserve">联系电话：                                  联系电话： </w:t>
      </w:r>
    </w:p>
    <w:p w14:paraId="64EA6A37">
      <w:pPr>
        <w:spacing w:line="480" w:lineRule="auto"/>
        <w:rPr>
          <w:rFonts w:hint="eastAsia"/>
          <w:color w:val="auto"/>
          <w:szCs w:val="21"/>
          <w:highlight w:val="none"/>
        </w:rPr>
      </w:pPr>
    </w:p>
    <w:p w14:paraId="1FA04D9E">
      <w:pPr>
        <w:spacing w:line="480" w:lineRule="auto"/>
        <w:rPr>
          <w:rFonts w:hint="eastAsia"/>
          <w:color w:val="auto"/>
          <w:szCs w:val="21"/>
          <w:highlight w:val="none"/>
        </w:rPr>
      </w:pPr>
      <w:r>
        <w:rPr>
          <w:rFonts w:hint="eastAsia"/>
          <w:color w:val="auto"/>
          <w:szCs w:val="21"/>
          <w:highlight w:val="none"/>
        </w:rPr>
        <w:t>签订时间：</w:t>
      </w:r>
    </w:p>
    <w:p w14:paraId="0BC3B328">
      <w:pPr>
        <w:keepNext/>
        <w:keepLines/>
        <w:pageBreakBefore/>
        <w:jc w:val="center"/>
        <w:outlineLvl w:val="0"/>
        <w:rPr>
          <w:rFonts w:hint="eastAsia"/>
          <w:b/>
          <w:color w:val="auto"/>
          <w:sz w:val="44"/>
          <w:szCs w:val="44"/>
          <w:highlight w:val="none"/>
        </w:rPr>
      </w:pPr>
      <w:bookmarkStart w:id="77" w:name="_Toc12366"/>
      <w:bookmarkStart w:id="78" w:name="_Toc514054483"/>
      <w:r>
        <w:rPr>
          <w:rFonts w:hint="eastAsia"/>
          <w:b/>
          <w:color w:val="auto"/>
          <w:sz w:val="44"/>
          <w:szCs w:val="44"/>
          <w:highlight w:val="none"/>
        </w:rPr>
        <w:t>第六部分  投标文件格式</w:t>
      </w:r>
      <w:bookmarkEnd w:id="77"/>
      <w:bookmarkEnd w:id="78"/>
    </w:p>
    <w:p w14:paraId="45CE9A17">
      <w:pPr>
        <w:rPr>
          <w:color w:val="auto"/>
          <w:highlight w:val="none"/>
        </w:rPr>
      </w:pPr>
      <w:bookmarkStart w:id="79" w:name="EB819316f773b24a75aef829f9b72900c0"/>
    </w:p>
    <w:p w14:paraId="524DDFBC">
      <w:pPr>
        <w:pStyle w:val="16"/>
        <w:ind w:firstLine="321" w:firstLineChars="100"/>
        <w:jc w:val="center"/>
        <w:outlineLvl w:val="1"/>
        <w:rPr>
          <w:color w:val="auto"/>
          <w:highlight w:val="none"/>
        </w:rPr>
      </w:pPr>
      <w:bookmarkStart w:id="80" w:name="_Toc514054484"/>
      <w:bookmarkStart w:id="81" w:name="_Toc26779"/>
      <w:r>
        <w:rPr>
          <w:color w:val="auto"/>
          <w:highlight w:val="none"/>
        </w:rPr>
        <w:t>封面</w:t>
      </w:r>
      <w:bookmarkEnd w:id="80"/>
      <w:bookmarkEnd w:id="81"/>
    </w:p>
    <w:p w14:paraId="3975D7B6">
      <w:pPr>
        <w:pStyle w:val="17"/>
        <w:autoSpaceDE w:val="0"/>
        <w:autoSpaceDN w:val="0"/>
        <w:adjustRightInd w:val="0"/>
        <w:jc w:val="left"/>
        <w:rPr>
          <w:rFonts w:hint="eastAsia" w:ascii="黑体" w:eastAsia="黑体" w:cs="黑体"/>
          <w:color w:val="auto"/>
          <w:kern w:val="0"/>
          <w:sz w:val="32"/>
          <w:szCs w:val="32"/>
          <w:highlight w:val="none"/>
        </w:rPr>
      </w:pPr>
    </w:p>
    <w:p w14:paraId="08D54142">
      <w:pPr>
        <w:pStyle w:val="17"/>
        <w:autoSpaceDE w:val="0"/>
        <w:autoSpaceDN w:val="0"/>
        <w:adjustRightInd w:val="0"/>
        <w:jc w:val="left"/>
        <w:rPr>
          <w:rFonts w:hint="eastAsia" w:ascii="黑体" w:eastAsia="黑体" w:cs="黑体"/>
          <w:color w:val="auto"/>
          <w:kern w:val="0"/>
          <w:sz w:val="32"/>
          <w:szCs w:val="32"/>
          <w:highlight w:val="none"/>
        </w:rPr>
      </w:pPr>
    </w:p>
    <w:p w14:paraId="6977F92B">
      <w:pPr>
        <w:pStyle w:val="17"/>
        <w:autoSpaceDE w:val="0"/>
        <w:autoSpaceDN w:val="0"/>
        <w:adjustRightInd w:val="0"/>
        <w:jc w:val="left"/>
        <w:rPr>
          <w:rFonts w:hint="eastAsia" w:ascii="黑体" w:eastAsia="黑体" w:cs="黑体"/>
          <w:color w:val="auto"/>
          <w:kern w:val="0"/>
          <w:sz w:val="32"/>
          <w:szCs w:val="32"/>
          <w:highlight w:val="none"/>
        </w:rPr>
      </w:pPr>
    </w:p>
    <w:p w14:paraId="79583EB0">
      <w:pPr>
        <w:pStyle w:val="17"/>
        <w:autoSpaceDE w:val="0"/>
        <w:autoSpaceDN w:val="0"/>
        <w:adjustRightInd w:val="0"/>
        <w:jc w:val="center"/>
        <w:rPr>
          <w:rFonts w:ascii="黑体" w:eastAsia="黑体" w:cs="黑体"/>
          <w:color w:val="auto"/>
          <w:kern w:val="0"/>
          <w:sz w:val="44"/>
          <w:szCs w:val="44"/>
          <w:highlight w:val="none"/>
          <w:u w:val="single"/>
        </w:rPr>
      </w:pPr>
      <w:r>
        <w:rPr>
          <w:rFonts w:hint="eastAsia" w:ascii="黑体" w:eastAsia="黑体" w:cs="黑体"/>
          <w:color w:val="auto"/>
          <w:kern w:val="0"/>
          <w:sz w:val="44"/>
          <w:szCs w:val="44"/>
          <w:highlight w:val="none"/>
          <w:u w:val="single"/>
        </w:rPr>
        <w:t>（  项 目 名 称  ）</w:t>
      </w:r>
    </w:p>
    <w:p w14:paraId="4F2B8C30">
      <w:pPr>
        <w:pStyle w:val="17"/>
        <w:autoSpaceDE w:val="0"/>
        <w:autoSpaceDN w:val="0"/>
        <w:adjustRightInd w:val="0"/>
        <w:jc w:val="center"/>
        <w:rPr>
          <w:rFonts w:hint="eastAsia" w:ascii="黑体" w:eastAsia="黑体" w:cs="黑体"/>
          <w:color w:val="auto"/>
          <w:kern w:val="0"/>
          <w:sz w:val="52"/>
          <w:szCs w:val="52"/>
          <w:highlight w:val="none"/>
        </w:rPr>
      </w:pPr>
    </w:p>
    <w:p w14:paraId="482F25DD">
      <w:pPr>
        <w:pStyle w:val="17"/>
        <w:autoSpaceDE w:val="0"/>
        <w:autoSpaceDN w:val="0"/>
        <w:adjustRightInd w:val="0"/>
        <w:jc w:val="center"/>
        <w:rPr>
          <w:rFonts w:ascii="黑体" w:eastAsia="黑体" w:cs="黑体"/>
          <w:color w:val="auto"/>
          <w:kern w:val="0"/>
          <w:sz w:val="72"/>
          <w:szCs w:val="72"/>
          <w:highlight w:val="none"/>
        </w:rPr>
      </w:pPr>
      <w:r>
        <w:rPr>
          <w:rFonts w:hint="eastAsia" w:ascii="黑体" w:eastAsia="黑体" w:cs="黑体"/>
          <w:color w:val="auto"/>
          <w:kern w:val="0"/>
          <w:sz w:val="72"/>
          <w:szCs w:val="72"/>
          <w:highlight w:val="none"/>
        </w:rPr>
        <w:t>投</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件</w:t>
      </w:r>
    </w:p>
    <w:p w14:paraId="2B404C6A">
      <w:pPr>
        <w:pStyle w:val="17"/>
        <w:autoSpaceDE w:val="0"/>
        <w:autoSpaceDN w:val="0"/>
        <w:adjustRightInd w:val="0"/>
        <w:jc w:val="left"/>
        <w:rPr>
          <w:rFonts w:hint="eastAsia" w:ascii="黑体" w:eastAsia="黑体" w:cs="黑体"/>
          <w:color w:val="auto"/>
          <w:kern w:val="0"/>
          <w:sz w:val="28"/>
          <w:szCs w:val="28"/>
          <w:highlight w:val="none"/>
        </w:rPr>
      </w:pPr>
    </w:p>
    <w:p w14:paraId="000B8744">
      <w:pPr>
        <w:pStyle w:val="17"/>
        <w:autoSpaceDE w:val="0"/>
        <w:autoSpaceDN w:val="0"/>
        <w:adjustRightInd w:val="0"/>
        <w:jc w:val="center"/>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（分包号）</w:t>
      </w:r>
    </w:p>
    <w:p w14:paraId="7D6A6CE9">
      <w:pPr>
        <w:pStyle w:val="17"/>
        <w:autoSpaceDE w:val="0"/>
        <w:autoSpaceDN w:val="0"/>
        <w:adjustRightInd w:val="0"/>
        <w:jc w:val="left"/>
        <w:rPr>
          <w:rFonts w:hint="eastAsia" w:ascii="黑体" w:eastAsia="黑体" w:cs="黑体"/>
          <w:color w:val="auto"/>
          <w:kern w:val="0"/>
          <w:sz w:val="28"/>
          <w:szCs w:val="28"/>
          <w:highlight w:val="none"/>
        </w:rPr>
      </w:pPr>
    </w:p>
    <w:p w14:paraId="61A62DD8">
      <w:pPr>
        <w:pStyle w:val="17"/>
        <w:autoSpaceDE w:val="0"/>
        <w:autoSpaceDN w:val="0"/>
        <w:adjustRightInd w:val="0"/>
        <w:jc w:val="left"/>
        <w:rPr>
          <w:rFonts w:hint="eastAsia" w:ascii="黑体" w:eastAsia="黑体" w:cs="黑体"/>
          <w:color w:val="auto"/>
          <w:kern w:val="0"/>
          <w:sz w:val="28"/>
          <w:szCs w:val="28"/>
          <w:highlight w:val="none"/>
        </w:rPr>
      </w:pPr>
    </w:p>
    <w:p w14:paraId="308B03B9">
      <w:pPr>
        <w:pStyle w:val="17"/>
        <w:autoSpaceDE w:val="0"/>
        <w:autoSpaceDN w:val="0"/>
        <w:adjustRightInd w:val="0"/>
        <w:jc w:val="left"/>
        <w:rPr>
          <w:rFonts w:hint="eastAsia" w:ascii="黑体" w:eastAsia="黑体" w:cs="黑体"/>
          <w:color w:val="auto"/>
          <w:kern w:val="0"/>
          <w:sz w:val="28"/>
          <w:szCs w:val="28"/>
          <w:highlight w:val="none"/>
        </w:rPr>
      </w:pPr>
    </w:p>
    <w:p w14:paraId="375AD950">
      <w:pPr>
        <w:pStyle w:val="17"/>
        <w:autoSpaceDE w:val="0"/>
        <w:autoSpaceDN w:val="0"/>
        <w:adjustRightInd w:val="0"/>
        <w:jc w:val="left"/>
        <w:rPr>
          <w:rFonts w:hint="eastAsia" w:ascii="黑体" w:eastAsia="黑体" w:cs="黑体"/>
          <w:color w:val="auto"/>
          <w:kern w:val="0"/>
          <w:sz w:val="28"/>
          <w:szCs w:val="28"/>
          <w:highlight w:val="none"/>
        </w:rPr>
      </w:pPr>
    </w:p>
    <w:p w14:paraId="6D4ADC62">
      <w:pPr>
        <w:pStyle w:val="17"/>
        <w:autoSpaceDE w:val="0"/>
        <w:autoSpaceDN w:val="0"/>
        <w:adjustRightInd w:val="0"/>
        <w:jc w:val="left"/>
        <w:rPr>
          <w:rFonts w:hint="eastAsia" w:ascii="黑体" w:eastAsia="黑体" w:cs="黑体"/>
          <w:color w:val="auto"/>
          <w:kern w:val="0"/>
          <w:sz w:val="28"/>
          <w:szCs w:val="28"/>
          <w:highlight w:val="none"/>
        </w:rPr>
      </w:pPr>
    </w:p>
    <w:p w14:paraId="23B601B4">
      <w:pPr>
        <w:pStyle w:val="17"/>
        <w:autoSpaceDE w:val="0"/>
        <w:autoSpaceDN w:val="0"/>
        <w:adjustRightInd w:val="0"/>
        <w:jc w:val="left"/>
        <w:rPr>
          <w:rFonts w:hint="eastAsia" w:ascii="黑体" w:eastAsia="黑体" w:cs="黑体"/>
          <w:color w:val="auto"/>
          <w:kern w:val="0"/>
          <w:sz w:val="28"/>
          <w:szCs w:val="28"/>
          <w:highlight w:val="none"/>
        </w:rPr>
      </w:pPr>
    </w:p>
    <w:p w14:paraId="68900510">
      <w:pPr>
        <w:pStyle w:val="17"/>
        <w:autoSpaceDE w:val="0"/>
        <w:autoSpaceDN w:val="0"/>
        <w:adjustRightInd w:val="0"/>
        <w:jc w:val="left"/>
        <w:rPr>
          <w:rFonts w:hint="eastAsia" w:ascii="黑体" w:eastAsia="黑体" w:cs="黑体"/>
          <w:color w:val="auto"/>
          <w:kern w:val="0"/>
          <w:sz w:val="28"/>
          <w:szCs w:val="28"/>
          <w:highlight w:val="none"/>
        </w:rPr>
      </w:pPr>
    </w:p>
    <w:p w14:paraId="5305AFDE">
      <w:pPr>
        <w:pStyle w:val="17"/>
        <w:autoSpaceDE w:val="0"/>
        <w:autoSpaceDN w:val="0"/>
        <w:adjustRightInd w:val="0"/>
        <w:ind w:firstLine="2520" w:firstLineChars="900"/>
        <w:rPr>
          <w:rFonts w:ascii="黑体" w:eastAsia="黑体" w:cs="黑体"/>
          <w:color w:val="auto"/>
          <w:kern w:val="0"/>
          <w:sz w:val="28"/>
          <w:szCs w:val="28"/>
          <w:highlight w:val="none"/>
        </w:rPr>
      </w:pPr>
      <w:r>
        <w:rPr>
          <w:rFonts w:hint="eastAsia" w:ascii="黑体" w:eastAsia="黑体" w:cs="黑体"/>
          <w:color w:val="auto"/>
          <w:kern w:val="0"/>
          <w:sz w:val="28"/>
          <w:szCs w:val="28"/>
          <w:highlight w:val="none"/>
        </w:rPr>
        <w:t>投标人：</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（盖章）</w:t>
      </w:r>
    </w:p>
    <w:p w14:paraId="7659C554">
      <w:pPr>
        <w:pStyle w:val="17"/>
        <w:autoSpaceDE w:val="0"/>
        <w:autoSpaceDN w:val="0"/>
        <w:adjustRightInd w:val="0"/>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 xml:space="preserve">                  法定代表人（或授权代表）：（签字）</w:t>
      </w:r>
      <w:r>
        <w:rPr>
          <w:rFonts w:ascii="黑体" w:eastAsia="黑体" w:cs="黑体"/>
          <w:color w:val="auto"/>
          <w:kern w:val="0"/>
          <w:sz w:val="28"/>
          <w:szCs w:val="28"/>
          <w:highlight w:val="none"/>
        </w:rPr>
        <w:t xml:space="preserve"> </w:t>
      </w:r>
    </w:p>
    <w:p w14:paraId="3C975202">
      <w:pPr>
        <w:pStyle w:val="17"/>
        <w:autoSpaceDE w:val="0"/>
        <w:autoSpaceDN w:val="0"/>
        <w:adjustRightInd w:val="0"/>
        <w:ind w:firstLine="3080" w:firstLineChars="1100"/>
        <w:rPr>
          <w:rFonts w:hint="eastAsia" w:ascii="黑体" w:eastAsia="黑体" w:cs="黑体"/>
          <w:color w:val="auto"/>
          <w:kern w:val="0"/>
          <w:sz w:val="28"/>
          <w:szCs w:val="28"/>
          <w:highlight w:val="none"/>
        </w:rPr>
      </w:pPr>
      <w:r>
        <w:rPr>
          <w:rFonts w:hint="eastAsia" w:ascii="黑体" w:eastAsia="黑体" w:cs="黑体"/>
          <w:color w:val="auto"/>
          <w:kern w:val="0"/>
          <w:sz w:val="28"/>
          <w:szCs w:val="28"/>
          <w:highlight w:val="none"/>
        </w:rPr>
        <w:t xml:space="preserve">年   </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 xml:space="preserve">月   </w:t>
      </w:r>
      <w:r>
        <w:rPr>
          <w:rFonts w:ascii="黑体" w:eastAsia="黑体" w:cs="黑体"/>
          <w:color w:val="auto"/>
          <w:kern w:val="0"/>
          <w:sz w:val="28"/>
          <w:szCs w:val="28"/>
          <w:highlight w:val="none"/>
        </w:rPr>
        <w:t xml:space="preserve"> </w:t>
      </w:r>
      <w:r>
        <w:rPr>
          <w:rFonts w:hint="eastAsia" w:ascii="黑体" w:eastAsia="黑体" w:cs="黑体"/>
          <w:color w:val="auto"/>
          <w:kern w:val="0"/>
          <w:sz w:val="28"/>
          <w:szCs w:val="28"/>
          <w:highlight w:val="none"/>
        </w:rPr>
        <w:t>日</w:t>
      </w:r>
    </w:p>
    <w:p w14:paraId="27286455">
      <w:pPr>
        <w:rPr>
          <w:color w:val="auto"/>
          <w:highlight w:val="none"/>
        </w:rPr>
      </w:pPr>
    </w:p>
    <w:p w14:paraId="7F42FDE8">
      <w:pPr>
        <w:pStyle w:val="18"/>
        <w:jc w:val="center"/>
        <w:outlineLvl w:val="1"/>
        <w:rPr>
          <w:rFonts w:hint="eastAsia"/>
          <w:color w:val="auto"/>
          <w:highlight w:val="none"/>
          <w:lang w:eastAsia="zh-CN"/>
        </w:rPr>
      </w:pPr>
      <w:r>
        <w:rPr>
          <w:color w:val="auto"/>
          <w:highlight w:val="none"/>
        </w:rPr>
        <w:br w:type="page"/>
      </w:r>
      <w:bookmarkStart w:id="82" w:name="_Toc20871"/>
      <w:bookmarkStart w:id="83" w:name="_Toc514054485"/>
      <w:r>
        <w:rPr>
          <w:rFonts w:hint="eastAsia"/>
          <w:color w:val="auto"/>
          <w:highlight w:val="none"/>
          <w:lang w:eastAsia="zh-CN"/>
        </w:rPr>
        <w:t>评</w:t>
      </w:r>
      <w:r>
        <w:rPr>
          <w:rFonts w:hint="eastAsia"/>
          <w:color w:val="auto"/>
          <w:highlight w:val="none"/>
          <w:lang w:val="en-US" w:eastAsia="zh-CN"/>
        </w:rPr>
        <w:t>审</w:t>
      </w:r>
      <w:r>
        <w:rPr>
          <w:rFonts w:hint="eastAsia"/>
          <w:color w:val="auto"/>
          <w:highlight w:val="none"/>
          <w:lang w:eastAsia="zh-CN"/>
        </w:rPr>
        <w:t>索引表</w:t>
      </w:r>
      <w:bookmarkEnd w:id="8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3D8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C5F33AE">
            <w:pPr>
              <w:pStyle w:val="18"/>
              <w:jc w:val="center"/>
              <w:outlineLvl w:val="1"/>
              <w:rPr>
                <w:rFonts w:hint="eastAsia"/>
                <w:color w:val="auto"/>
                <w:highlight w:val="none"/>
                <w:lang w:eastAsia="zh-CN"/>
              </w:rPr>
            </w:pPr>
            <w:bookmarkStart w:id="84" w:name="_Toc26621"/>
            <w:r>
              <w:rPr>
                <w:rFonts w:hint="eastAsia"/>
                <w:color w:val="auto"/>
                <w:highlight w:val="none"/>
                <w:lang w:eastAsia="zh-CN"/>
              </w:rPr>
              <w:t>资格审查项</w:t>
            </w:r>
            <w:bookmarkEnd w:id="84"/>
          </w:p>
        </w:tc>
        <w:tc>
          <w:tcPr>
            <w:tcW w:w="4157" w:type="dxa"/>
            <w:noWrap w:val="0"/>
            <w:vAlign w:val="top"/>
          </w:tcPr>
          <w:p w14:paraId="4716CE5A">
            <w:pPr>
              <w:pStyle w:val="18"/>
              <w:jc w:val="center"/>
              <w:outlineLvl w:val="1"/>
              <w:rPr>
                <w:rFonts w:hint="eastAsia"/>
                <w:color w:val="auto"/>
                <w:highlight w:val="none"/>
                <w:lang w:eastAsia="zh-CN"/>
              </w:rPr>
            </w:pPr>
            <w:bookmarkStart w:id="85" w:name="_Toc23773"/>
            <w:r>
              <w:rPr>
                <w:rFonts w:hint="eastAsia"/>
                <w:color w:val="auto"/>
                <w:highlight w:val="none"/>
                <w:lang w:eastAsia="zh-CN"/>
              </w:rPr>
              <w:t>在投标文件中的页码位置</w:t>
            </w:r>
            <w:bookmarkEnd w:id="85"/>
          </w:p>
        </w:tc>
      </w:tr>
      <w:tr w14:paraId="51A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750C9B58">
            <w:pPr>
              <w:pStyle w:val="18"/>
              <w:jc w:val="center"/>
              <w:rPr>
                <w:rFonts w:hint="eastAsia"/>
                <w:color w:val="auto"/>
                <w:highlight w:val="none"/>
                <w:lang w:eastAsia="zh-CN"/>
              </w:rPr>
            </w:pPr>
          </w:p>
        </w:tc>
        <w:tc>
          <w:tcPr>
            <w:tcW w:w="4157" w:type="dxa"/>
            <w:noWrap w:val="0"/>
            <w:vAlign w:val="top"/>
          </w:tcPr>
          <w:p w14:paraId="1C86F1E7">
            <w:pPr>
              <w:pStyle w:val="18"/>
              <w:jc w:val="center"/>
              <w:rPr>
                <w:rFonts w:hint="eastAsia"/>
                <w:color w:val="auto"/>
                <w:highlight w:val="none"/>
                <w:lang w:eastAsia="zh-CN"/>
              </w:rPr>
            </w:pPr>
          </w:p>
        </w:tc>
      </w:tr>
      <w:tr w14:paraId="4C59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558AEBE8">
            <w:pPr>
              <w:pStyle w:val="18"/>
              <w:jc w:val="center"/>
              <w:rPr>
                <w:rFonts w:hint="eastAsia"/>
                <w:color w:val="auto"/>
                <w:highlight w:val="none"/>
                <w:lang w:eastAsia="zh-CN"/>
              </w:rPr>
            </w:pPr>
          </w:p>
        </w:tc>
        <w:tc>
          <w:tcPr>
            <w:tcW w:w="4157" w:type="dxa"/>
            <w:noWrap w:val="0"/>
            <w:vAlign w:val="top"/>
          </w:tcPr>
          <w:p w14:paraId="68707FD3">
            <w:pPr>
              <w:pStyle w:val="18"/>
              <w:jc w:val="center"/>
              <w:rPr>
                <w:rFonts w:hint="eastAsia"/>
                <w:color w:val="auto"/>
                <w:highlight w:val="none"/>
                <w:lang w:eastAsia="zh-CN"/>
              </w:rPr>
            </w:pPr>
          </w:p>
        </w:tc>
      </w:tr>
      <w:tr w14:paraId="13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6EC86799">
            <w:pPr>
              <w:pStyle w:val="18"/>
              <w:jc w:val="center"/>
              <w:rPr>
                <w:rFonts w:hint="eastAsia"/>
                <w:color w:val="auto"/>
                <w:highlight w:val="none"/>
                <w:lang w:eastAsia="zh-CN"/>
              </w:rPr>
            </w:pPr>
          </w:p>
        </w:tc>
        <w:tc>
          <w:tcPr>
            <w:tcW w:w="4157" w:type="dxa"/>
            <w:noWrap w:val="0"/>
            <w:vAlign w:val="top"/>
          </w:tcPr>
          <w:p w14:paraId="51655476">
            <w:pPr>
              <w:pStyle w:val="18"/>
              <w:jc w:val="center"/>
              <w:rPr>
                <w:rFonts w:hint="eastAsia"/>
                <w:color w:val="auto"/>
                <w:highlight w:val="none"/>
                <w:lang w:eastAsia="zh-CN"/>
              </w:rPr>
            </w:pPr>
          </w:p>
        </w:tc>
      </w:tr>
      <w:tr w14:paraId="3DC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8F3A3A2">
            <w:pPr>
              <w:pStyle w:val="18"/>
              <w:jc w:val="center"/>
              <w:rPr>
                <w:rFonts w:hint="eastAsia"/>
                <w:color w:val="auto"/>
                <w:highlight w:val="none"/>
                <w:lang w:eastAsia="zh-CN"/>
              </w:rPr>
            </w:pPr>
          </w:p>
        </w:tc>
        <w:tc>
          <w:tcPr>
            <w:tcW w:w="4157" w:type="dxa"/>
            <w:noWrap w:val="0"/>
            <w:vAlign w:val="top"/>
          </w:tcPr>
          <w:p w14:paraId="54681CE8">
            <w:pPr>
              <w:pStyle w:val="18"/>
              <w:jc w:val="center"/>
              <w:rPr>
                <w:rFonts w:hint="eastAsia"/>
                <w:color w:val="auto"/>
                <w:highlight w:val="none"/>
                <w:lang w:eastAsia="zh-CN"/>
              </w:rPr>
            </w:pPr>
          </w:p>
        </w:tc>
      </w:tr>
      <w:tr w14:paraId="4289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2F71B8BD">
            <w:pPr>
              <w:pStyle w:val="18"/>
              <w:jc w:val="center"/>
              <w:rPr>
                <w:rFonts w:hint="eastAsia"/>
                <w:color w:val="auto"/>
                <w:highlight w:val="none"/>
                <w:lang w:eastAsia="zh-CN"/>
              </w:rPr>
            </w:pPr>
          </w:p>
        </w:tc>
        <w:tc>
          <w:tcPr>
            <w:tcW w:w="4157" w:type="dxa"/>
            <w:noWrap w:val="0"/>
            <w:vAlign w:val="top"/>
          </w:tcPr>
          <w:p w14:paraId="11E84475">
            <w:pPr>
              <w:pStyle w:val="18"/>
              <w:jc w:val="center"/>
              <w:rPr>
                <w:rFonts w:hint="eastAsia"/>
                <w:color w:val="auto"/>
                <w:highlight w:val="none"/>
                <w:lang w:eastAsia="zh-CN"/>
              </w:rPr>
            </w:pPr>
          </w:p>
        </w:tc>
      </w:tr>
      <w:tr w14:paraId="214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ED037FA">
            <w:pPr>
              <w:pStyle w:val="18"/>
              <w:jc w:val="center"/>
              <w:outlineLvl w:val="1"/>
              <w:rPr>
                <w:rFonts w:hint="eastAsia"/>
                <w:color w:val="auto"/>
                <w:highlight w:val="none"/>
                <w:lang w:val="en-US" w:eastAsia="zh-CN"/>
              </w:rPr>
            </w:pPr>
            <w:bookmarkStart w:id="86" w:name="_Toc4520"/>
            <w:r>
              <w:rPr>
                <w:rFonts w:hint="eastAsia"/>
                <w:color w:val="auto"/>
                <w:highlight w:val="none"/>
                <w:lang w:val="en-US" w:eastAsia="zh-CN"/>
              </w:rPr>
              <w:t>......</w:t>
            </w:r>
            <w:bookmarkEnd w:id="86"/>
          </w:p>
        </w:tc>
        <w:tc>
          <w:tcPr>
            <w:tcW w:w="4157" w:type="dxa"/>
            <w:noWrap w:val="0"/>
            <w:vAlign w:val="top"/>
          </w:tcPr>
          <w:p w14:paraId="055632D5">
            <w:pPr>
              <w:pStyle w:val="18"/>
              <w:jc w:val="center"/>
              <w:rPr>
                <w:rFonts w:hint="eastAsia"/>
                <w:color w:val="auto"/>
                <w:highlight w:val="none"/>
                <w:lang w:eastAsia="zh-CN"/>
              </w:rPr>
            </w:pPr>
          </w:p>
        </w:tc>
      </w:tr>
      <w:tr w14:paraId="742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27378670">
            <w:pPr>
              <w:pStyle w:val="18"/>
              <w:jc w:val="center"/>
              <w:outlineLvl w:val="1"/>
              <w:rPr>
                <w:rFonts w:hint="eastAsia"/>
                <w:color w:val="auto"/>
                <w:highlight w:val="none"/>
                <w:lang w:eastAsia="zh-CN"/>
              </w:rPr>
            </w:pPr>
            <w:bookmarkStart w:id="87" w:name="_Toc17522"/>
            <w:r>
              <w:rPr>
                <w:rFonts w:hint="eastAsia"/>
                <w:color w:val="auto"/>
                <w:highlight w:val="none"/>
                <w:lang w:eastAsia="zh-CN"/>
              </w:rPr>
              <w:t>符合性审查</w:t>
            </w:r>
            <w:bookmarkEnd w:id="87"/>
          </w:p>
        </w:tc>
        <w:tc>
          <w:tcPr>
            <w:tcW w:w="4157" w:type="dxa"/>
            <w:noWrap w:val="0"/>
            <w:vAlign w:val="top"/>
          </w:tcPr>
          <w:p w14:paraId="089D6F46">
            <w:pPr>
              <w:pStyle w:val="18"/>
              <w:jc w:val="center"/>
              <w:outlineLvl w:val="1"/>
              <w:rPr>
                <w:rFonts w:hint="eastAsia"/>
                <w:color w:val="auto"/>
                <w:highlight w:val="none"/>
                <w:lang w:eastAsia="zh-CN"/>
              </w:rPr>
            </w:pPr>
            <w:bookmarkStart w:id="88" w:name="_Toc22080"/>
            <w:r>
              <w:rPr>
                <w:rFonts w:hint="eastAsia"/>
                <w:color w:val="auto"/>
                <w:highlight w:val="none"/>
                <w:lang w:eastAsia="zh-CN"/>
              </w:rPr>
              <w:t>在投标文件中的页码位置</w:t>
            </w:r>
            <w:bookmarkEnd w:id="88"/>
          </w:p>
        </w:tc>
      </w:tr>
      <w:tr w14:paraId="1B46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45088959">
            <w:pPr>
              <w:pStyle w:val="18"/>
              <w:jc w:val="center"/>
              <w:rPr>
                <w:rFonts w:hint="eastAsia"/>
                <w:color w:val="auto"/>
                <w:highlight w:val="none"/>
                <w:lang w:eastAsia="zh-CN"/>
              </w:rPr>
            </w:pPr>
          </w:p>
        </w:tc>
        <w:tc>
          <w:tcPr>
            <w:tcW w:w="4157" w:type="dxa"/>
            <w:noWrap w:val="0"/>
            <w:vAlign w:val="top"/>
          </w:tcPr>
          <w:p w14:paraId="505A4C41">
            <w:pPr>
              <w:pStyle w:val="18"/>
              <w:jc w:val="center"/>
              <w:rPr>
                <w:rFonts w:hint="eastAsia"/>
                <w:color w:val="auto"/>
                <w:highlight w:val="none"/>
                <w:lang w:eastAsia="zh-CN"/>
              </w:rPr>
            </w:pPr>
          </w:p>
        </w:tc>
      </w:tr>
      <w:tr w14:paraId="43B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4710EDA8">
            <w:pPr>
              <w:pStyle w:val="18"/>
              <w:jc w:val="center"/>
              <w:rPr>
                <w:rFonts w:hint="eastAsia"/>
                <w:color w:val="auto"/>
                <w:highlight w:val="none"/>
                <w:lang w:eastAsia="zh-CN"/>
              </w:rPr>
            </w:pPr>
          </w:p>
        </w:tc>
        <w:tc>
          <w:tcPr>
            <w:tcW w:w="4157" w:type="dxa"/>
            <w:noWrap w:val="0"/>
            <w:vAlign w:val="top"/>
          </w:tcPr>
          <w:p w14:paraId="79205102">
            <w:pPr>
              <w:pStyle w:val="18"/>
              <w:jc w:val="center"/>
              <w:rPr>
                <w:rFonts w:hint="eastAsia"/>
                <w:color w:val="auto"/>
                <w:highlight w:val="none"/>
                <w:lang w:eastAsia="zh-CN"/>
              </w:rPr>
            </w:pPr>
          </w:p>
        </w:tc>
      </w:tr>
      <w:tr w14:paraId="08AE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76E729A">
            <w:pPr>
              <w:pStyle w:val="18"/>
              <w:jc w:val="center"/>
              <w:rPr>
                <w:rFonts w:hint="eastAsia"/>
                <w:color w:val="auto"/>
                <w:highlight w:val="none"/>
                <w:lang w:eastAsia="zh-CN"/>
              </w:rPr>
            </w:pPr>
          </w:p>
        </w:tc>
        <w:tc>
          <w:tcPr>
            <w:tcW w:w="4157" w:type="dxa"/>
            <w:noWrap w:val="0"/>
            <w:vAlign w:val="top"/>
          </w:tcPr>
          <w:p w14:paraId="1D5FDC07">
            <w:pPr>
              <w:pStyle w:val="18"/>
              <w:jc w:val="center"/>
              <w:rPr>
                <w:rFonts w:hint="eastAsia"/>
                <w:color w:val="auto"/>
                <w:highlight w:val="none"/>
                <w:lang w:eastAsia="zh-CN"/>
              </w:rPr>
            </w:pPr>
          </w:p>
        </w:tc>
      </w:tr>
      <w:tr w14:paraId="53D7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CB57289">
            <w:pPr>
              <w:pStyle w:val="18"/>
              <w:jc w:val="center"/>
              <w:rPr>
                <w:rFonts w:hint="eastAsia"/>
                <w:color w:val="auto"/>
                <w:highlight w:val="none"/>
                <w:lang w:eastAsia="zh-CN"/>
              </w:rPr>
            </w:pPr>
          </w:p>
        </w:tc>
        <w:tc>
          <w:tcPr>
            <w:tcW w:w="4157" w:type="dxa"/>
            <w:noWrap w:val="0"/>
            <w:vAlign w:val="top"/>
          </w:tcPr>
          <w:p w14:paraId="7FAAFF74">
            <w:pPr>
              <w:pStyle w:val="18"/>
              <w:jc w:val="center"/>
              <w:rPr>
                <w:rFonts w:hint="eastAsia"/>
                <w:color w:val="auto"/>
                <w:highlight w:val="none"/>
                <w:lang w:eastAsia="zh-CN"/>
              </w:rPr>
            </w:pPr>
          </w:p>
        </w:tc>
      </w:tr>
      <w:tr w14:paraId="6CD0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AEBB2A1">
            <w:pPr>
              <w:pStyle w:val="18"/>
              <w:jc w:val="center"/>
              <w:outlineLvl w:val="1"/>
              <w:rPr>
                <w:rFonts w:hint="eastAsia"/>
                <w:color w:val="auto"/>
                <w:highlight w:val="none"/>
                <w:lang w:val="en-US" w:eastAsia="zh-CN"/>
              </w:rPr>
            </w:pPr>
            <w:bookmarkStart w:id="89" w:name="_Toc2367"/>
            <w:r>
              <w:rPr>
                <w:rFonts w:hint="eastAsia"/>
                <w:color w:val="auto"/>
                <w:highlight w:val="none"/>
                <w:lang w:val="en-US" w:eastAsia="zh-CN"/>
              </w:rPr>
              <w:t>......</w:t>
            </w:r>
            <w:bookmarkEnd w:id="89"/>
          </w:p>
        </w:tc>
        <w:tc>
          <w:tcPr>
            <w:tcW w:w="4157" w:type="dxa"/>
            <w:noWrap w:val="0"/>
            <w:vAlign w:val="top"/>
          </w:tcPr>
          <w:p w14:paraId="6123A3A6">
            <w:pPr>
              <w:pStyle w:val="18"/>
              <w:jc w:val="center"/>
              <w:rPr>
                <w:rFonts w:hint="eastAsia"/>
                <w:color w:val="auto"/>
                <w:highlight w:val="none"/>
                <w:lang w:eastAsia="zh-CN"/>
              </w:rPr>
            </w:pPr>
          </w:p>
        </w:tc>
      </w:tr>
      <w:tr w14:paraId="31AA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6D083AA2">
            <w:pPr>
              <w:pStyle w:val="18"/>
              <w:jc w:val="center"/>
              <w:outlineLvl w:val="1"/>
              <w:rPr>
                <w:rFonts w:hint="eastAsia"/>
                <w:color w:val="auto"/>
                <w:highlight w:val="none"/>
                <w:lang w:eastAsia="zh-CN"/>
              </w:rPr>
            </w:pPr>
            <w:bookmarkStart w:id="90" w:name="_Toc16952"/>
            <w:r>
              <w:rPr>
                <w:rFonts w:hint="eastAsia"/>
                <w:color w:val="auto"/>
                <w:highlight w:val="none"/>
                <w:lang w:eastAsia="zh-CN"/>
              </w:rPr>
              <w:t>评分项目</w:t>
            </w:r>
            <w:bookmarkEnd w:id="90"/>
          </w:p>
        </w:tc>
        <w:tc>
          <w:tcPr>
            <w:tcW w:w="4157" w:type="dxa"/>
            <w:noWrap w:val="0"/>
            <w:vAlign w:val="top"/>
          </w:tcPr>
          <w:p w14:paraId="37F8960D">
            <w:pPr>
              <w:pStyle w:val="18"/>
              <w:jc w:val="center"/>
              <w:outlineLvl w:val="1"/>
              <w:rPr>
                <w:rFonts w:hint="eastAsia"/>
                <w:color w:val="auto"/>
                <w:highlight w:val="none"/>
                <w:lang w:eastAsia="zh-CN"/>
              </w:rPr>
            </w:pPr>
            <w:bookmarkStart w:id="91" w:name="_Toc16352"/>
            <w:r>
              <w:rPr>
                <w:rFonts w:hint="eastAsia"/>
                <w:color w:val="auto"/>
                <w:highlight w:val="none"/>
                <w:lang w:eastAsia="zh-CN"/>
              </w:rPr>
              <w:t>在投标文件中的页码位置</w:t>
            </w:r>
            <w:bookmarkEnd w:id="91"/>
          </w:p>
        </w:tc>
      </w:tr>
      <w:tr w14:paraId="5F5D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84051E7">
            <w:pPr>
              <w:pStyle w:val="18"/>
              <w:jc w:val="center"/>
              <w:rPr>
                <w:rFonts w:hint="eastAsia"/>
                <w:color w:val="auto"/>
                <w:highlight w:val="none"/>
                <w:lang w:eastAsia="zh-CN"/>
              </w:rPr>
            </w:pPr>
          </w:p>
        </w:tc>
        <w:tc>
          <w:tcPr>
            <w:tcW w:w="4157" w:type="dxa"/>
            <w:noWrap w:val="0"/>
            <w:vAlign w:val="top"/>
          </w:tcPr>
          <w:p w14:paraId="3169D934">
            <w:pPr>
              <w:pStyle w:val="18"/>
              <w:jc w:val="center"/>
              <w:rPr>
                <w:rFonts w:hint="eastAsia"/>
                <w:color w:val="auto"/>
                <w:highlight w:val="none"/>
                <w:lang w:eastAsia="zh-CN"/>
              </w:rPr>
            </w:pPr>
          </w:p>
        </w:tc>
      </w:tr>
      <w:tr w14:paraId="78C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39E845AD">
            <w:pPr>
              <w:pStyle w:val="18"/>
              <w:jc w:val="center"/>
              <w:rPr>
                <w:rFonts w:hint="eastAsia"/>
                <w:color w:val="auto"/>
                <w:highlight w:val="none"/>
                <w:lang w:eastAsia="zh-CN"/>
              </w:rPr>
            </w:pPr>
          </w:p>
        </w:tc>
        <w:tc>
          <w:tcPr>
            <w:tcW w:w="4157" w:type="dxa"/>
            <w:noWrap w:val="0"/>
            <w:vAlign w:val="top"/>
          </w:tcPr>
          <w:p w14:paraId="2909A813">
            <w:pPr>
              <w:pStyle w:val="18"/>
              <w:jc w:val="center"/>
              <w:rPr>
                <w:rFonts w:hint="eastAsia"/>
                <w:color w:val="auto"/>
                <w:highlight w:val="none"/>
                <w:lang w:eastAsia="zh-CN"/>
              </w:rPr>
            </w:pPr>
          </w:p>
        </w:tc>
      </w:tr>
      <w:tr w14:paraId="1AF2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0224EB9">
            <w:pPr>
              <w:pStyle w:val="18"/>
              <w:jc w:val="center"/>
              <w:rPr>
                <w:rFonts w:hint="eastAsia"/>
                <w:color w:val="auto"/>
                <w:highlight w:val="none"/>
                <w:lang w:eastAsia="zh-CN"/>
              </w:rPr>
            </w:pPr>
          </w:p>
        </w:tc>
        <w:tc>
          <w:tcPr>
            <w:tcW w:w="4157" w:type="dxa"/>
            <w:noWrap w:val="0"/>
            <w:vAlign w:val="top"/>
          </w:tcPr>
          <w:p w14:paraId="2A20F54A">
            <w:pPr>
              <w:pStyle w:val="18"/>
              <w:jc w:val="center"/>
              <w:rPr>
                <w:rFonts w:hint="eastAsia"/>
                <w:color w:val="auto"/>
                <w:highlight w:val="none"/>
                <w:lang w:eastAsia="zh-CN"/>
              </w:rPr>
            </w:pPr>
          </w:p>
        </w:tc>
      </w:tr>
      <w:tr w14:paraId="0BF3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05CF27AB">
            <w:pPr>
              <w:pStyle w:val="18"/>
              <w:jc w:val="center"/>
              <w:rPr>
                <w:rFonts w:hint="eastAsia"/>
                <w:color w:val="auto"/>
                <w:highlight w:val="none"/>
                <w:lang w:eastAsia="zh-CN"/>
              </w:rPr>
            </w:pPr>
          </w:p>
        </w:tc>
        <w:tc>
          <w:tcPr>
            <w:tcW w:w="4157" w:type="dxa"/>
            <w:noWrap w:val="0"/>
            <w:vAlign w:val="top"/>
          </w:tcPr>
          <w:p w14:paraId="7121BA1F">
            <w:pPr>
              <w:pStyle w:val="18"/>
              <w:jc w:val="center"/>
              <w:rPr>
                <w:rFonts w:hint="eastAsia"/>
                <w:color w:val="auto"/>
                <w:highlight w:val="none"/>
                <w:lang w:eastAsia="zh-CN"/>
              </w:rPr>
            </w:pPr>
          </w:p>
        </w:tc>
      </w:tr>
      <w:tr w14:paraId="4370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noWrap w:val="0"/>
            <w:vAlign w:val="top"/>
          </w:tcPr>
          <w:p w14:paraId="16E6A6EC">
            <w:pPr>
              <w:pStyle w:val="18"/>
              <w:jc w:val="center"/>
              <w:outlineLvl w:val="1"/>
              <w:rPr>
                <w:rFonts w:hint="eastAsia"/>
                <w:color w:val="auto"/>
                <w:highlight w:val="none"/>
                <w:lang w:val="en-US" w:eastAsia="zh-CN"/>
              </w:rPr>
            </w:pPr>
            <w:bookmarkStart w:id="92" w:name="_Toc12770"/>
            <w:r>
              <w:rPr>
                <w:rFonts w:hint="eastAsia"/>
                <w:color w:val="auto"/>
                <w:highlight w:val="none"/>
                <w:lang w:val="en-US" w:eastAsia="zh-CN"/>
              </w:rPr>
              <w:t>......</w:t>
            </w:r>
            <w:bookmarkEnd w:id="92"/>
          </w:p>
        </w:tc>
        <w:tc>
          <w:tcPr>
            <w:tcW w:w="4157" w:type="dxa"/>
            <w:noWrap w:val="0"/>
            <w:vAlign w:val="top"/>
          </w:tcPr>
          <w:p w14:paraId="065D70CF">
            <w:pPr>
              <w:pStyle w:val="18"/>
              <w:jc w:val="center"/>
              <w:rPr>
                <w:rFonts w:hint="eastAsia"/>
                <w:color w:val="auto"/>
                <w:highlight w:val="none"/>
                <w:lang w:eastAsia="zh-CN"/>
              </w:rPr>
            </w:pPr>
          </w:p>
        </w:tc>
      </w:tr>
    </w:tbl>
    <w:p w14:paraId="74BE344A">
      <w:pPr>
        <w:pStyle w:val="18"/>
        <w:jc w:val="both"/>
        <w:rPr>
          <w:rFonts w:hint="eastAsia"/>
          <w:color w:val="auto"/>
          <w:sz w:val="44"/>
          <w:szCs w:val="44"/>
          <w:highlight w:val="none"/>
          <w:lang w:val="en-US" w:eastAsia="zh-CN"/>
        </w:rPr>
        <w:sectPr>
          <w:footerReference r:id="rId4" w:type="default"/>
          <w:pgSz w:w="11906" w:h="16838"/>
          <w:pgMar w:top="1440" w:right="1474" w:bottom="1440" w:left="1247" w:header="851" w:footer="992" w:gutter="0"/>
          <w:pgNumType w:start="1"/>
          <w:cols w:space="720" w:num="1"/>
          <w:docGrid w:type="lines" w:linePitch="312" w:charSpace="0"/>
        </w:sectPr>
      </w:pPr>
    </w:p>
    <w:p w14:paraId="4563C628">
      <w:pPr>
        <w:pStyle w:val="18"/>
        <w:jc w:val="center"/>
        <w:outlineLvl w:val="1"/>
        <w:rPr>
          <w:color w:val="auto"/>
          <w:highlight w:val="none"/>
        </w:rPr>
      </w:pPr>
      <w:bookmarkStart w:id="93" w:name="_Toc11482"/>
      <w:r>
        <w:rPr>
          <w:color w:val="auto"/>
          <w:highlight w:val="none"/>
        </w:rPr>
        <w:t>目录</w:t>
      </w:r>
      <w:bookmarkEnd w:id="83"/>
      <w:bookmarkEnd w:id="93"/>
    </w:p>
    <w:p w14:paraId="7BF69535">
      <w:pPr>
        <w:pStyle w:val="19"/>
        <w:spacing w:after="100" w:afterAutospacing="1"/>
        <w:rPr>
          <w:color w:val="auto"/>
          <w:highlight w:val="none"/>
        </w:rPr>
      </w:pPr>
      <w:r>
        <w:rPr>
          <w:rFonts w:ascii="宋体" w:hAnsi="宋体" w:eastAsia="宋体" w:cs="宋体"/>
          <w:color w:val="auto"/>
          <w:highlight w:val="none"/>
        </w:rPr>
        <w:t>一、投标人基本情况</w:t>
      </w:r>
    </w:p>
    <w:p w14:paraId="2EAB58DC">
      <w:pPr>
        <w:pStyle w:val="19"/>
        <w:spacing w:after="100" w:afterAutospacing="1"/>
        <w:rPr>
          <w:color w:val="auto"/>
          <w:highlight w:val="none"/>
        </w:rPr>
      </w:pPr>
      <w:r>
        <w:rPr>
          <w:rFonts w:ascii="宋体" w:hAnsi="宋体" w:eastAsia="宋体" w:cs="宋体"/>
          <w:color w:val="auto"/>
          <w:highlight w:val="none"/>
        </w:rPr>
        <w:t>二、投标人资质</w:t>
      </w:r>
    </w:p>
    <w:p w14:paraId="77940C3D">
      <w:pPr>
        <w:pStyle w:val="19"/>
        <w:spacing w:after="100" w:afterAutospacing="1"/>
        <w:rPr>
          <w:color w:val="auto"/>
          <w:highlight w:val="none"/>
        </w:rPr>
      </w:pPr>
      <w:r>
        <w:rPr>
          <w:rFonts w:ascii="宋体" w:hAnsi="宋体" w:eastAsia="宋体" w:cs="宋体"/>
          <w:color w:val="auto"/>
          <w:highlight w:val="none"/>
        </w:rPr>
        <w:t>三、投标人财务状况报告</w:t>
      </w:r>
    </w:p>
    <w:p w14:paraId="7A150F53">
      <w:pPr>
        <w:pStyle w:val="19"/>
        <w:spacing w:after="100" w:afterAutospacing="1"/>
        <w:rPr>
          <w:color w:val="auto"/>
          <w:highlight w:val="none"/>
        </w:rPr>
      </w:pPr>
      <w:r>
        <w:rPr>
          <w:rFonts w:ascii="宋体" w:hAnsi="宋体" w:eastAsia="宋体" w:cs="宋体"/>
          <w:color w:val="auto"/>
          <w:highlight w:val="none"/>
        </w:rPr>
        <w:t>四、缴纳税收和社会保障资金凭据</w:t>
      </w:r>
    </w:p>
    <w:p w14:paraId="34BFE273">
      <w:pPr>
        <w:pStyle w:val="19"/>
        <w:spacing w:after="100" w:afterAutospacing="1"/>
        <w:rPr>
          <w:color w:val="auto"/>
          <w:highlight w:val="none"/>
        </w:rPr>
      </w:pPr>
      <w:r>
        <w:rPr>
          <w:rFonts w:ascii="宋体" w:hAnsi="宋体" w:eastAsia="宋体" w:cs="宋体"/>
          <w:color w:val="auto"/>
          <w:highlight w:val="none"/>
        </w:rPr>
        <w:t>五、履行合同所必需的设备和专业技术能力的声明</w:t>
      </w:r>
    </w:p>
    <w:p w14:paraId="10F1BFC1">
      <w:pPr>
        <w:pStyle w:val="19"/>
        <w:spacing w:after="100" w:afterAutospacing="1"/>
        <w:rPr>
          <w:color w:val="auto"/>
          <w:highlight w:val="none"/>
        </w:rPr>
      </w:pPr>
      <w:r>
        <w:rPr>
          <w:rFonts w:ascii="宋体" w:hAnsi="宋体" w:eastAsia="宋体" w:cs="宋体"/>
          <w:color w:val="auto"/>
          <w:highlight w:val="none"/>
        </w:rPr>
        <w:t>六、无重大违法行为声明</w:t>
      </w:r>
    </w:p>
    <w:p w14:paraId="432CCBE1">
      <w:pPr>
        <w:pStyle w:val="19"/>
        <w:spacing w:after="100" w:afterAutospacing="1"/>
        <w:rPr>
          <w:color w:val="auto"/>
          <w:highlight w:val="none"/>
        </w:rPr>
      </w:pPr>
      <w:r>
        <w:rPr>
          <w:rFonts w:ascii="宋体" w:hAnsi="宋体" w:eastAsia="宋体" w:cs="宋体"/>
          <w:color w:val="auto"/>
          <w:highlight w:val="none"/>
        </w:rPr>
        <w:t>七、投标函</w:t>
      </w:r>
    </w:p>
    <w:p w14:paraId="40A03721">
      <w:pPr>
        <w:pStyle w:val="19"/>
        <w:spacing w:after="100" w:afterAutospacing="1"/>
        <w:rPr>
          <w:color w:val="auto"/>
          <w:highlight w:val="none"/>
        </w:rPr>
      </w:pPr>
      <w:r>
        <w:rPr>
          <w:rFonts w:ascii="宋体" w:hAnsi="宋体" w:eastAsia="宋体" w:cs="宋体"/>
          <w:color w:val="auto"/>
          <w:highlight w:val="none"/>
        </w:rPr>
        <w:t>八、法定代表人身份证明或授权委托书</w:t>
      </w:r>
    </w:p>
    <w:p w14:paraId="685122A2">
      <w:pPr>
        <w:pStyle w:val="19"/>
        <w:spacing w:after="100" w:afterAutospacing="1"/>
        <w:rPr>
          <w:color w:val="auto"/>
          <w:highlight w:val="none"/>
        </w:rPr>
      </w:pPr>
      <w:r>
        <w:rPr>
          <w:rFonts w:ascii="宋体" w:hAnsi="宋体" w:eastAsia="宋体" w:cs="宋体"/>
          <w:color w:val="auto"/>
          <w:highlight w:val="none"/>
        </w:rPr>
        <w:t>九、开标一览表</w:t>
      </w:r>
    </w:p>
    <w:p w14:paraId="49F8F86A">
      <w:pPr>
        <w:pStyle w:val="19"/>
        <w:spacing w:after="100" w:afterAutospacing="1"/>
        <w:rPr>
          <w:color w:val="auto"/>
          <w:highlight w:val="none"/>
        </w:rPr>
      </w:pPr>
      <w:r>
        <w:rPr>
          <w:rFonts w:ascii="宋体" w:hAnsi="宋体" w:eastAsia="宋体" w:cs="宋体"/>
          <w:color w:val="auto"/>
          <w:highlight w:val="none"/>
        </w:rPr>
        <w:t>十、明细报价表</w:t>
      </w:r>
    </w:p>
    <w:p w14:paraId="75436808">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一</w:t>
      </w:r>
      <w:r>
        <w:rPr>
          <w:rFonts w:ascii="宋体" w:hAnsi="宋体" w:eastAsia="宋体" w:cs="宋体"/>
          <w:color w:val="auto"/>
          <w:highlight w:val="none"/>
        </w:rPr>
        <w:t>、响应偏差表</w:t>
      </w:r>
    </w:p>
    <w:p w14:paraId="500D2EBE">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二</w:t>
      </w:r>
      <w:r>
        <w:rPr>
          <w:rFonts w:ascii="宋体" w:hAnsi="宋体" w:eastAsia="宋体" w:cs="宋体"/>
          <w:color w:val="auto"/>
          <w:highlight w:val="none"/>
        </w:rPr>
        <w:t>、所投产品技术资料或样本等</w:t>
      </w:r>
    </w:p>
    <w:p w14:paraId="0F4A99A4">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三</w:t>
      </w:r>
      <w:r>
        <w:rPr>
          <w:rFonts w:ascii="宋体" w:hAnsi="宋体" w:eastAsia="宋体" w:cs="宋体"/>
          <w:color w:val="auto"/>
          <w:highlight w:val="none"/>
        </w:rPr>
        <w:t>、主要部件、辅材明细表</w:t>
      </w:r>
    </w:p>
    <w:p w14:paraId="58819DF4">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rPr>
        <w:t>四</w:t>
      </w:r>
      <w:r>
        <w:rPr>
          <w:rFonts w:ascii="宋体" w:hAnsi="宋体" w:eastAsia="宋体" w:cs="宋体"/>
          <w:color w:val="auto"/>
          <w:highlight w:val="none"/>
        </w:rPr>
        <w:t>、</w:t>
      </w:r>
      <w:bookmarkStart w:id="94" w:name="_Toc21060_WPSOffice_Level2"/>
      <w:r>
        <w:rPr>
          <w:rFonts w:hint="eastAsia" w:ascii="宋体" w:hAnsi="宋体" w:eastAsia="宋体" w:cs="宋体"/>
          <w:color w:val="auto"/>
          <w:highlight w:val="none"/>
          <w:lang w:val="en-US" w:eastAsia="zh-CN"/>
        </w:rPr>
        <w:t>服务</w:t>
      </w:r>
      <w:r>
        <w:rPr>
          <w:rFonts w:ascii="宋体" w:hAnsi="宋体" w:eastAsia="宋体" w:cs="宋体"/>
          <w:color w:val="auto"/>
          <w:highlight w:val="none"/>
        </w:rPr>
        <w:t>方案</w:t>
      </w:r>
      <w:bookmarkEnd w:id="94"/>
    </w:p>
    <w:p w14:paraId="2CD7D5B6">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五</w:t>
      </w:r>
      <w:r>
        <w:rPr>
          <w:rFonts w:ascii="宋体" w:hAnsi="宋体" w:eastAsia="宋体" w:cs="宋体"/>
          <w:color w:val="auto"/>
          <w:highlight w:val="none"/>
        </w:rPr>
        <w:t>、投标人承担类似项目业绩一览表</w:t>
      </w:r>
    </w:p>
    <w:p w14:paraId="576E790E">
      <w:pPr>
        <w:pStyle w:val="19"/>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ascii="宋体" w:hAnsi="宋体" w:eastAsia="宋体" w:cs="宋体"/>
          <w:color w:val="auto"/>
          <w:highlight w:val="none"/>
        </w:rPr>
        <w:t>、投标所需其他材料</w:t>
      </w:r>
    </w:p>
    <w:p w14:paraId="2E79C7B8">
      <w:pPr>
        <w:rPr>
          <w:color w:val="auto"/>
          <w:highlight w:val="none"/>
        </w:rPr>
      </w:pPr>
    </w:p>
    <w:p w14:paraId="3C11D623">
      <w:pPr>
        <w:pStyle w:val="20"/>
        <w:outlineLvl w:val="1"/>
        <w:rPr>
          <w:color w:val="auto"/>
          <w:highlight w:val="none"/>
        </w:rPr>
      </w:pPr>
      <w:r>
        <w:rPr>
          <w:color w:val="auto"/>
          <w:highlight w:val="none"/>
        </w:rPr>
        <w:br w:type="page"/>
      </w:r>
      <w:bookmarkStart w:id="95" w:name="_Toc21292"/>
      <w:bookmarkStart w:id="96" w:name="_Toc23205_WPSOffice_Level2"/>
      <w:bookmarkStart w:id="97" w:name="_Toc514054486"/>
      <w:r>
        <w:rPr>
          <w:color w:val="auto"/>
          <w:highlight w:val="none"/>
        </w:rPr>
        <w:t>一、投标人基本情况</w:t>
      </w:r>
      <w:bookmarkEnd w:id="95"/>
      <w:bookmarkEnd w:id="96"/>
      <w:bookmarkEnd w:id="97"/>
    </w:p>
    <w:p w14:paraId="777BD979">
      <w:pPr>
        <w:pStyle w:val="21"/>
        <w:jc w:val="center"/>
        <w:rPr>
          <w:rFonts w:hint="eastAsia"/>
          <w:color w:val="auto"/>
          <w:sz w:val="44"/>
          <w:szCs w:val="44"/>
          <w:highlight w:val="none"/>
        </w:rPr>
      </w:pPr>
      <w:r>
        <w:rPr>
          <w:rFonts w:hint="eastAsia"/>
          <w:color w:val="auto"/>
          <w:sz w:val="44"/>
          <w:szCs w:val="44"/>
          <w:highlight w:val="none"/>
        </w:rPr>
        <w:t>投标人基本情况表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742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25FC5B0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投标人名称</w:t>
            </w:r>
          </w:p>
        </w:tc>
        <w:tc>
          <w:tcPr>
            <w:tcW w:w="6998" w:type="dxa"/>
            <w:gridSpan w:val="3"/>
            <w:noWrap w:val="0"/>
            <w:vAlign w:val="center"/>
          </w:tcPr>
          <w:p w14:paraId="10D5D799">
            <w:pPr>
              <w:pStyle w:val="21"/>
              <w:spacing w:line="600" w:lineRule="exact"/>
              <w:jc w:val="center"/>
              <w:rPr>
                <w:rFonts w:hint="eastAsia" w:ascii="仿宋_GB2312" w:eastAsia="仿宋_GB2312"/>
                <w:color w:val="auto"/>
                <w:sz w:val="24"/>
                <w:szCs w:val="24"/>
                <w:highlight w:val="none"/>
              </w:rPr>
            </w:pPr>
          </w:p>
        </w:tc>
      </w:tr>
      <w:tr w14:paraId="2F8F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5FD78B7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法定代表人</w:t>
            </w:r>
          </w:p>
        </w:tc>
        <w:tc>
          <w:tcPr>
            <w:tcW w:w="3118" w:type="dxa"/>
            <w:noWrap w:val="0"/>
            <w:vAlign w:val="center"/>
          </w:tcPr>
          <w:p w14:paraId="7AC413F8">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63951D49">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注册地区</w:t>
            </w:r>
          </w:p>
        </w:tc>
        <w:tc>
          <w:tcPr>
            <w:tcW w:w="2604" w:type="dxa"/>
            <w:noWrap w:val="0"/>
            <w:vAlign w:val="center"/>
          </w:tcPr>
          <w:p w14:paraId="41D17EA6">
            <w:pPr>
              <w:pStyle w:val="21"/>
              <w:spacing w:line="600" w:lineRule="exact"/>
              <w:jc w:val="center"/>
              <w:rPr>
                <w:rFonts w:hint="eastAsia" w:ascii="仿宋_GB2312" w:eastAsia="仿宋_GB2312"/>
                <w:color w:val="auto"/>
                <w:sz w:val="24"/>
                <w:szCs w:val="24"/>
                <w:highlight w:val="none"/>
              </w:rPr>
            </w:pPr>
          </w:p>
        </w:tc>
      </w:tr>
      <w:tr w14:paraId="64A4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0E5D74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地址</w:t>
            </w:r>
          </w:p>
        </w:tc>
        <w:tc>
          <w:tcPr>
            <w:tcW w:w="3118" w:type="dxa"/>
            <w:noWrap w:val="0"/>
            <w:vAlign w:val="center"/>
          </w:tcPr>
          <w:p w14:paraId="440F0489">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4177914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邮政编码</w:t>
            </w:r>
          </w:p>
        </w:tc>
        <w:tc>
          <w:tcPr>
            <w:tcW w:w="2604" w:type="dxa"/>
            <w:noWrap w:val="0"/>
            <w:vAlign w:val="center"/>
          </w:tcPr>
          <w:p w14:paraId="7381D581">
            <w:pPr>
              <w:pStyle w:val="21"/>
              <w:spacing w:line="600" w:lineRule="exact"/>
              <w:jc w:val="center"/>
              <w:rPr>
                <w:rFonts w:hint="eastAsia" w:ascii="仿宋_GB2312" w:eastAsia="仿宋_GB2312"/>
                <w:color w:val="auto"/>
                <w:sz w:val="24"/>
                <w:szCs w:val="24"/>
                <w:highlight w:val="none"/>
              </w:rPr>
            </w:pPr>
          </w:p>
        </w:tc>
      </w:tr>
      <w:tr w14:paraId="491E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0DBEE1D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成立时间</w:t>
            </w:r>
          </w:p>
        </w:tc>
        <w:tc>
          <w:tcPr>
            <w:tcW w:w="3118" w:type="dxa"/>
            <w:noWrap w:val="0"/>
            <w:vAlign w:val="center"/>
          </w:tcPr>
          <w:p w14:paraId="4B6F0CC8">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7CCDECC7">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单位性质</w:t>
            </w:r>
          </w:p>
        </w:tc>
        <w:tc>
          <w:tcPr>
            <w:tcW w:w="2604" w:type="dxa"/>
            <w:noWrap w:val="0"/>
            <w:vAlign w:val="center"/>
          </w:tcPr>
          <w:p w14:paraId="2F761441">
            <w:pPr>
              <w:pStyle w:val="21"/>
              <w:spacing w:line="600" w:lineRule="exact"/>
              <w:jc w:val="center"/>
              <w:rPr>
                <w:rFonts w:hint="eastAsia" w:ascii="仿宋_GB2312" w:eastAsia="仿宋_GB2312"/>
                <w:color w:val="auto"/>
                <w:sz w:val="24"/>
                <w:szCs w:val="24"/>
                <w:highlight w:val="none"/>
              </w:rPr>
            </w:pPr>
          </w:p>
        </w:tc>
      </w:tr>
      <w:tr w14:paraId="2E68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3DA82A73">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注册号或社会信用代码</w:t>
            </w:r>
          </w:p>
        </w:tc>
        <w:tc>
          <w:tcPr>
            <w:tcW w:w="3118" w:type="dxa"/>
            <w:noWrap w:val="0"/>
            <w:vAlign w:val="center"/>
          </w:tcPr>
          <w:p w14:paraId="74296659">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5C661807">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注册资本（万元）</w:t>
            </w:r>
          </w:p>
        </w:tc>
        <w:tc>
          <w:tcPr>
            <w:tcW w:w="2604" w:type="dxa"/>
            <w:noWrap w:val="0"/>
            <w:vAlign w:val="center"/>
          </w:tcPr>
          <w:p w14:paraId="1DE9795E">
            <w:pPr>
              <w:pStyle w:val="21"/>
              <w:spacing w:line="600" w:lineRule="exact"/>
              <w:jc w:val="center"/>
              <w:rPr>
                <w:rFonts w:hint="eastAsia" w:ascii="仿宋_GB2312" w:eastAsia="仿宋_GB2312"/>
                <w:color w:val="auto"/>
                <w:sz w:val="24"/>
                <w:szCs w:val="24"/>
                <w:highlight w:val="none"/>
              </w:rPr>
            </w:pPr>
          </w:p>
        </w:tc>
      </w:tr>
      <w:tr w14:paraId="732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4963C110">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开户银行</w:t>
            </w:r>
          </w:p>
        </w:tc>
        <w:tc>
          <w:tcPr>
            <w:tcW w:w="3118" w:type="dxa"/>
            <w:noWrap w:val="0"/>
            <w:vAlign w:val="center"/>
          </w:tcPr>
          <w:p w14:paraId="6F239CA5">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166B5EF5">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账号</w:t>
            </w:r>
          </w:p>
        </w:tc>
        <w:tc>
          <w:tcPr>
            <w:tcW w:w="2604" w:type="dxa"/>
            <w:noWrap w:val="0"/>
            <w:vAlign w:val="center"/>
          </w:tcPr>
          <w:p w14:paraId="48F9142E">
            <w:pPr>
              <w:pStyle w:val="21"/>
              <w:spacing w:line="600" w:lineRule="exact"/>
              <w:jc w:val="center"/>
              <w:rPr>
                <w:rFonts w:hint="eastAsia" w:ascii="仿宋_GB2312" w:eastAsia="仿宋_GB2312"/>
                <w:color w:val="auto"/>
                <w:sz w:val="24"/>
                <w:szCs w:val="24"/>
                <w:highlight w:val="none"/>
              </w:rPr>
            </w:pPr>
          </w:p>
        </w:tc>
      </w:tr>
      <w:tr w14:paraId="420B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4AE98A35">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联系人</w:t>
            </w:r>
          </w:p>
        </w:tc>
        <w:tc>
          <w:tcPr>
            <w:tcW w:w="3118" w:type="dxa"/>
            <w:noWrap w:val="0"/>
            <w:vAlign w:val="center"/>
          </w:tcPr>
          <w:p w14:paraId="26B779BE">
            <w:pPr>
              <w:pStyle w:val="21"/>
              <w:spacing w:line="600" w:lineRule="exact"/>
              <w:jc w:val="center"/>
              <w:rPr>
                <w:rFonts w:hint="eastAsia" w:ascii="仿宋_GB2312" w:eastAsia="仿宋_GB2312"/>
                <w:color w:val="auto"/>
                <w:sz w:val="24"/>
                <w:szCs w:val="24"/>
                <w:highlight w:val="none"/>
              </w:rPr>
            </w:pPr>
          </w:p>
        </w:tc>
        <w:tc>
          <w:tcPr>
            <w:tcW w:w="1276" w:type="dxa"/>
            <w:noWrap w:val="0"/>
            <w:vAlign w:val="center"/>
          </w:tcPr>
          <w:p w14:paraId="681DBCB6">
            <w:pPr>
              <w:pStyle w:val="21"/>
              <w:spacing w:line="6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联系电话</w:t>
            </w:r>
          </w:p>
        </w:tc>
        <w:tc>
          <w:tcPr>
            <w:tcW w:w="2604" w:type="dxa"/>
            <w:noWrap w:val="0"/>
            <w:vAlign w:val="center"/>
          </w:tcPr>
          <w:p w14:paraId="55899C2C">
            <w:pPr>
              <w:pStyle w:val="21"/>
              <w:spacing w:line="600" w:lineRule="exact"/>
              <w:jc w:val="center"/>
              <w:rPr>
                <w:rFonts w:hint="eastAsia" w:ascii="仿宋_GB2312" w:eastAsia="仿宋_GB2312"/>
                <w:color w:val="auto"/>
                <w:sz w:val="24"/>
                <w:szCs w:val="24"/>
                <w:highlight w:val="none"/>
              </w:rPr>
            </w:pPr>
          </w:p>
        </w:tc>
      </w:tr>
      <w:tr w14:paraId="56D9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noWrap w:val="0"/>
            <w:vAlign w:val="center"/>
          </w:tcPr>
          <w:p w14:paraId="77FF5147">
            <w:pPr>
              <w:pStyle w:val="21"/>
              <w:spacing w:line="5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经营范围</w:t>
            </w:r>
          </w:p>
        </w:tc>
        <w:tc>
          <w:tcPr>
            <w:tcW w:w="6998" w:type="dxa"/>
            <w:gridSpan w:val="3"/>
            <w:noWrap w:val="0"/>
            <w:vAlign w:val="top"/>
          </w:tcPr>
          <w:p w14:paraId="19E946B0">
            <w:pPr>
              <w:pStyle w:val="21"/>
              <w:spacing w:line="560" w:lineRule="exact"/>
              <w:ind w:firstLine="1432" w:firstLineChars="597"/>
              <w:rPr>
                <w:rFonts w:hint="eastAsia" w:ascii="仿宋_GB2312" w:eastAsia="仿宋_GB2312"/>
                <w:color w:val="auto"/>
                <w:sz w:val="24"/>
                <w:szCs w:val="24"/>
                <w:highlight w:val="none"/>
              </w:rPr>
            </w:pPr>
          </w:p>
        </w:tc>
      </w:tr>
      <w:tr w14:paraId="34C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noWrap w:val="0"/>
            <w:vAlign w:val="center"/>
          </w:tcPr>
          <w:p w14:paraId="6F689C6F">
            <w:pPr>
              <w:pStyle w:val="21"/>
              <w:spacing w:line="5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备注</w:t>
            </w:r>
          </w:p>
        </w:tc>
        <w:tc>
          <w:tcPr>
            <w:tcW w:w="6998" w:type="dxa"/>
            <w:gridSpan w:val="3"/>
            <w:noWrap w:val="0"/>
            <w:vAlign w:val="center"/>
          </w:tcPr>
          <w:p w14:paraId="58660530">
            <w:pPr>
              <w:pStyle w:val="21"/>
              <w:spacing w:line="500" w:lineRule="exact"/>
              <w:jc w:val="center"/>
              <w:rPr>
                <w:rFonts w:hint="eastAsia" w:ascii="仿宋_GB2312" w:eastAsia="仿宋_GB2312"/>
                <w:color w:val="auto"/>
                <w:sz w:val="24"/>
                <w:szCs w:val="24"/>
                <w:highlight w:val="none"/>
              </w:rPr>
            </w:pPr>
          </w:p>
        </w:tc>
      </w:tr>
    </w:tbl>
    <w:p w14:paraId="0F762DCE">
      <w:pPr>
        <w:pStyle w:val="21"/>
        <w:spacing w:line="560" w:lineRule="exact"/>
        <w:jc w:val="center"/>
        <w:rPr>
          <w:rFonts w:hint="eastAsia" w:ascii="方正大标宋简体" w:eastAsia="方正大标宋简体"/>
          <w:bCs/>
          <w:color w:val="auto"/>
          <w:sz w:val="32"/>
          <w:szCs w:val="32"/>
          <w:highlight w:val="none"/>
        </w:rPr>
      </w:pPr>
    </w:p>
    <w:p w14:paraId="262C351A">
      <w:pPr>
        <w:pStyle w:val="22"/>
        <w:outlineLvl w:val="1"/>
        <w:rPr>
          <w:color w:val="auto"/>
          <w:highlight w:val="none"/>
          <w:lang w:eastAsia="zh-CN"/>
        </w:rPr>
      </w:pPr>
      <w:r>
        <w:rPr>
          <w:color w:val="auto"/>
          <w:highlight w:val="none"/>
        </w:rPr>
        <w:br w:type="page"/>
      </w:r>
      <w:bookmarkStart w:id="98" w:name="_Toc514054487"/>
      <w:bookmarkStart w:id="99" w:name="_Toc30260_WPSOffice_Level2"/>
      <w:bookmarkStart w:id="100" w:name="_Toc15353"/>
      <w:r>
        <w:rPr>
          <w:color w:val="auto"/>
          <w:highlight w:val="none"/>
        </w:rPr>
        <w:t>二、投标人资质</w:t>
      </w:r>
      <w:bookmarkEnd w:id="98"/>
      <w:bookmarkEnd w:id="99"/>
      <w:r>
        <w:rPr>
          <w:rFonts w:hint="eastAsia"/>
          <w:color w:val="auto"/>
          <w:highlight w:val="none"/>
          <w:lang w:eastAsia="zh-CN"/>
        </w:rPr>
        <w:t>（</w:t>
      </w:r>
      <w:r>
        <w:rPr>
          <w:rFonts w:hint="eastAsia"/>
          <w:color w:val="auto"/>
          <w:highlight w:val="none"/>
          <w:lang w:val="en-US" w:eastAsia="zh-CN"/>
        </w:rPr>
        <w:t>按资格要求提供</w:t>
      </w:r>
      <w:r>
        <w:rPr>
          <w:rFonts w:hint="eastAsia"/>
          <w:color w:val="auto"/>
          <w:highlight w:val="none"/>
          <w:lang w:eastAsia="zh-CN"/>
        </w:rPr>
        <w:t>）</w:t>
      </w:r>
      <w:bookmarkEnd w:id="100"/>
    </w:p>
    <w:p w14:paraId="1F6B28E0">
      <w:pPr>
        <w:rPr>
          <w:color w:val="auto"/>
          <w:highlight w:val="none"/>
        </w:rPr>
      </w:pPr>
    </w:p>
    <w:p w14:paraId="1988B744">
      <w:pPr>
        <w:rPr>
          <w:rFonts w:hint="eastAsia"/>
          <w:color w:val="auto"/>
          <w:highlight w:val="none"/>
        </w:rPr>
      </w:pPr>
    </w:p>
    <w:p w14:paraId="6FC9A761">
      <w:pPr>
        <w:pStyle w:val="23"/>
        <w:outlineLvl w:val="1"/>
        <w:rPr>
          <w:color w:val="auto"/>
          <w:highlight w:val="none"/>
        </w:rPr>
      </w:pPr>
      <w:bookmarkStart w:id="101" w:name="_Toc514054488"/>
      <w:bookmarkStart w:id="102" w:name="_Toc21452_WPSOffice_Level2"/>
      <w:bookmarkStart w:id="103" w:name="_Toc18935"/>
      <w:r>
        <w:rPr>
          <w:color w:val="auto"/>
          <w:highlight w:val="none"/>
        </w:rPr>
        <w:t>三、投标人财务状况报告</w:t>
      </w:r>
      <w:bookmarkEnd w:id="101"/>
      <w:bookmarkEnd w:id="102"/>
      <w:bookmarkEnd w:id="103"/>
    </w:p>
    <w:p w14:paraId="4E6A492B">
      <w:pPr>
        <w:pStyle w:val="24"/>
        <w:rPr>
          <w:rFonts w:ascii="宋体"/>
          <w:bCs/>
          <w:color w:val="auto"/>
          <w:szCs w:val="32"/>
          <w:highlight w:val="none"/>
        </w:rPr>
      </w:pPr>
      <w:r>
        <w:rPr>
          <w:rFonts w:hint="eastAsia" w:ascii="宋体"/>
          <w:bCs/>
          <w:color w:val="auto"/>
          <w:szCs w:val="32"/>
          <w:highlight w:val="none"/>
        </w:rPr>
        <w:t>指投标人的财务报告或银行出具的资信证明</w:t>
      </w:r>
    </w:p>
    <w:p w14:paraId="37759909">
      <w:pPr>
        <w:rPr>
          <w:color w:val="auto"/>
          <w:highlight w:val="none"/>
        </w:rPr>
      </w:pPr>
    </w:p>
    <w:p w14:paraId="7DF4771D">
      <w:pPr>
        <w:rPr>
          <w:rFonts w:hint="eastAsia"/>
          <w:color w:val="auto"/>
          <w:highlight w:val="none"/>
        </w:rPr>
      </w:pPr>
    </w:p>
    <w:p w14:paraId="6599EABE">
      <w:pPr>
        <w:pStyle w:val="25"/>
        <w:outlineLvl w:val="1"/>
        <w:rPr>
          <w:color w:val="auto"/>
          <w:highlight w:val="none"/>
        </w:rPr>
      </w:pPr>
      <w:bookmarkStart w:id="104" w:name="_Toc29626"/>
      <w:bookmarkStart w:id="105" w:name="_Toc514054489"/>
      <w:bookmarkStart w:id="106" w:name="_Toc11562_WPSOffice_Level2"/>
      <w:r>
        <w:rPr>
          <w:color w:val="auto"/>
          <w:highlight w:val="none"/>
        </w:rPr>
        <w:t>四、缴纳税收和社会保障资金凭据</w:t>
      </w:r>
      <w:bookmarkEnd w:id="104"/>
      <w:bookmarkEnd w:id="105"/>
      <w:bookmarkEnd w:id="106"/>
    </w:p>
    <w:p w14:paraId="479084F8">
      <w:pPr>
        <w:pStyle w:val="26"/>
        <w:rPr>
          <w:color w:val="auto"/>
          <w:highlight w:val="none"/>
        </w:rPr>
      </w:pPr>
      <w:r>
        <w:rPr>
          <w:rFonts w:hint="eastAsia" w:ascii="宋体"/>
          <w:bCs/>
          <w:color w:val="auto"/>
          <w:szCs w:val="32"/>
          <w:highlight w:val="none"/>
        </w:rPr>
        <w:t>提供符合招标文件要求的依法缴纳税收和社会保障资金的凭据</w:t>
      </w:r>
      <w:r>
        <w:rPr>
          <w:color w:val="auto"/>
          <w:highlight w:val="none"/>
        </w:rPr>
        <w:br w:type="page"/>
      </w:r>
      <w:bookmarkStart w:id="107" w:name="_Toc13419"/>
      <w:bookmarkStart w:id="108" w:name="_Toc514054490"/>
      <w:bookmarkStart w:id="109" w:name="_Toc467_WPSOffice_Level2"/>
      <w:r>
        <w:rPr>
          <w:rFonts w:ascii="黑体" w:hAnsi="黑体" w:eastAsia="黑体"/>
          <w:b/>
          <w:color w:val="auto"/>
          <w:kern w:val="0"/>
          <w:sz w:val="32"/>
          <w:szCs w:val="24"/>
          <w:highlight w:val="none"/>
        </w:rPr>
        <w:t>五、履行合同所必需的设备和专业技术能力的声明</w:t>
      </w:r>
      <w:bookmarkEnd w:id="107"/>
      <w:bookmarkEnd w:id="108"/>
      <w:bookmarkEnd w:id="109"/>
    </w:p>
    <w:p w14:paraId="2A00CAE3">
      <w:pPr>
        <w:pStyle w:val="27"/>
        <w:spacing w:line="600" w:lineRule="exact"/>
        <w:jc w:val="center"/>
        <w:rPr>
          <w:rFonts w:hint="eastAsia" w:ascii="宋体" w:hAnsi="宋体"/>
          <w:b/>
          <w:color w:val="auto"/>
          <w:sz w:val="32"/>
          <w:szCs w:val="24"/>
          <w:highlight w:val="none"/>
        </w:rPr>
      </w:pPr>
      <w:bookmarkStart w:id="110" w:name="_Toc31740_WPSOffice_Level2"/>
      <w:r>
        <w:rPr>
          <w:rFonts w:hint="eastAsia" w:ascii="宋体" w:hAnsi="宋体"/>
          <w:b/>
          <w:color w:val="auto"/>
          <w:sz w:val="32"/>
          <w:szCs w:val="24"/>
          <w:highlight w:val="none"/>
        </w:rPr>
        <w:t>具备履行合同所必需的设备和专业技术能力的声明</w:t>
      </w:r>
      <w:bookmarkEnd w:id="110"/>
    </w:p>
    <w:p w14:paraId="0BF41C30">
      <w:pPr>
        <w:pStyle w:val="27"/>
        <w:spacing w:line="600" w:lineRule="exact"/>
        <w:rPr>
          <w:rFonts w:hint="eastAsia" w:ascii="仿宋_GB2312" w:eastAsia="仿宋_GB2312"/>
          <w:color w:val="auto"/>
          <w:sz w:val="24"/>
          <w:highlight w:val="none"/>
          <w:u w:val="single"/>
        </w:rPr>
      </w:pPr>
    </w:p>
    <w:p w14:paraId="52B91D4F">
      <w:pPr>
        <w:pStyle w:val="2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u w:val="single"/>
        </w:rPr>
        <w:t>（采购单位）</w:t>
      </w:r>
      <w:r>
        <w:rPr>
          <w:rFonts w:hint="eastAsia" w:ascii="仿宋_GB2312" w:eastAsia="仿宋_GB2312"/>
          <w:color w:val="auto"/>
          <w:sz w:val="24"/>
          <w:highlight w:val="none"/>
        </w:rPr>
        <w:t>：</w:t>
      </w:r>
    </w:p>
    <w:p w14:paraId="12960418">
      <w:pPr>
        <w:pStyle w:val="2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我公司具备履行编号为</w:t>
      </w:r>
      <w:r>
        <w:rPr>
          <w:rFonts w:hint="eastAsia" w:ascii="仿宋_GB2312" w:eastAsia="仿宋_GB2312"/>
          <w:color w:val="auto"/>
          <w:sz w:val="24"/>
          <w:highlight w:val="none"/>
          <w:u w:val="single"/>
        </w:rPr>
        <w:t xml:space="preserve">       号           项目</w:t>
      </w:r>
      <w:r>
        <w:rPr>
          <w:rFonts w:hint="eastAsia" w:ascii="仿宋_GB2312" w:eastAsia="仿宋_GB2312"/>
          <w:color w:val="auto"/>
          <w:sz w:val="24"/>
          <w:highlight w:val="none"/>
        </w:rPr>
        <w:t>合同的设备和专业技术能力。</w:t>
      </w:r>
    </w:p>
    <w:p w14:paraId="7EC6DEEC">
      <w:pPr>
        <w:pStyle w:val="27"/>
        <w:spacing w:line="60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特此声明。</w:t>
      </w:r>
    </w:p>
    <w:p w14:paraId="2AF01CD0">
      <w:pPr>
        <w:pStyle w:val="27"/>
        <w:spacing w:line="600" w:lineRule="exact"/>
        <w:ind w:firstLine="480" w:firstLineChars="200"/>
        <w:rPr>
          <w:rFonts w:hint="eastAsia" w:ascii="仿宋_GB2312" w:eastAsia="仿宋_GB2312"/>
          <w:color w:val="auto"/>
          <w:sz w:val="24"/>
          <w:highlight w:val="none"/>
        </w:rPr>
      </w:pPr>
    </w:p>
    <w:p w14:paraId="0AAB2E20">
      <w:pPr>
        <w:pStyle w:val="27"/>
        <w:spacing w:line="600" w:lineRule="exact"/>
        <w:jc w:val="center"/>
        <w:rPr>
          <w:rFonts w:hint="eastAsia" w:ascii="宋体"/>
          <w:b/>
          <w:bCs/>
          <w:color w:val="auto"/>
          <w:sz w:val="32"/>
          <w:szCs w:val="32"/>
          <w:highlight w:val="none"/>
        </w:rPr>
      </w:pPr>
    </w:p>
    <w:p w14:paraId="4CC91573">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778A122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761C4E24">
      <w:pPr>
        <w:pStyle w:val="29"/>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A95C144">
      <w:pPr>
        <w:pStyle w:val="30"/>
        <w:outlineLvl w:val="1"/>
        <w:rPr>
          <w:color w:val="auto"/>
          <w:highlight w:val="none"/>
        </w:rPr>
      </w:pPr>
      <w:r>
        <w:rPr>
          <w:color w:val="auto"/>
          <w:highlight w:val="none"/>
        </w:rPr>
        <w:br w:type="page"/>
      </w:r>
      <w:bookmarkStart w:id="111" w:name="_Toc19673"/>
      <w:bookmarkStart w:id="112" w:name="_Toc5571_WPSOffice_Level2"/>
      <w:bookmarkStart w:id="113" w:name="_Toc514054491"/>
      <w:r>
        <w:rPr>
          <w:color w:val="auto"/>
          <w:highlight w:val="none"/>
        </w:rPr>
        <w:t>六、无重大违法行为声明</w:t>
      </w:r>
      <w:bookmarkEnd w:id="111"/>
      <w:bookmarkEnd w:id="112"/>
      <w:bookmarkEnd w:id="113"/>
    </w:p>
    <w:p w14:paraId="65DE03D8">
      <w:pPr>
        <w:pStyle w:val="31"/>
        <w:tabs>
          <w:tab w:val="left" w:pos="1498"/>
        </w:tabs>
        <w:spacing w:line="580" w:lineRule="exact"/>
        <w:jc w:val="center"/>
        <w:rPr>
          <w:rFonts w:hint="eastAsia"/>
          <w:b/>
          <w:color w:val="auto"/>
          <w:sz w:val="32"/>
          <w:szCs w:val="32"/>
          <w:highlight w:val="none"/>
        </w:rPr>
      </w:pPr>
      <w:bookmarkStart w:id="114" w:name="_Toc7575_WPSOffice_Level2"/>
      <w:r>
        <w:rPr>
          <w:rFonts w:hint="eastAsia"/>
          <w:b/>
          <w:color w:val="auto"/>
          <w:sz w:val="32"/>
          <w:szCs w:val="32"/>
          <w:highlight w:val="none"/>
        </w:rPr>
        <w:t>无重大违法行为声明</w:t>
      </w:r>
      <w:bookmarkEnd w:id="114"/>
    </w:p>
    <w:p w14:paraId="49628382">
      <w:pPr>
        <w:pStyle w:val="31"/>
        <w:tabs>
          <w:tab w:val="left" w:pos="1498"/>
        </w:tabs>
        <w:spacing w:line="580" w:lineRule="exact"/>
        <w:rPr>
          <w:rFonts w:hint="eastAsia" w:ascii="仿宋_GB2312" w:eastAsia="仿宋_GB2312"/>
          <w:color w:val="auto"/>
          <w:sz w:val="24"/>
          <w:highlight w:val="none"/>
        </w:rPr>
      </w:pPr>
      <w:r>
        <w:rPr>
          <w:rFonts w:hint="eastAsia"/>
          <w:color w:val="auto"/>
          <w:sz w:val="24"/>
          <w:highlight w:val="none"/>
          <w:u w:val="single"/>
        </w:rPr>
        <w:t xml:space="preserve">   （采购人</w:t>
      </w:r>
      <w:r>
        <w:rPr>
          <w:color w:val="auto"/>
          <w:sz w:val="24"/>
          <w:highlight w:val="none"/>
          <w:u w:val="single"/>
        </w:rPr>
        <w:t>名称）</w:t>
      </w:r>
      <w:r>
        <w:rPr>
          <w:rFonts w:hint="eastAsia"/>
          <w:color w:val="auto"/>
          <w:sz w:val="24"/>
          <w:highlight w:val="none"/>
          <w:u w:val="single"/>
        </w:rPr>
        <w:t xml:space="preserve">    </w:t>
      </w:r>
      <w:r>
        <w:rPr>
          <w:rFonts w:hint="eastAsia" w:ascii="仿宋_GB2312" w:eastAsia="仿宋_GB2312"/>
          <w:color w:val="auto"/>
          <w:sz w:val="24"/>
          <w:highlight w:val="none"/>
        </w:rPr>
        <w:t>：</w:t>
      </w:r>
    </w:p>
    <w:p w14:paraId="602AF719">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我公司在参加编号为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项目的投标活动前3年内，</w:t>
      </w:r>
      <w:r>
        <w:rPr>
          <w:rFonts w:ascii="仿宋_GB2312" w:eastAsia="仿宋_GB2312"/>
          <w:color w:val="auto"/>
          <w:sz w:val="24"/>
          <w:highlight w:val="none"/>
        </w:rPr>
        <w:t>在经营活动中没有重大违法记录</w:t>
      </w:r>
      <w:r>
        <w:rPr>
          <w:rFonts w:hint="eastAsia" w:ascii="仿宋_GB2312" w:eastAsia="仿宋_GB2312"/>
          <w:color w:val="auto"/>
          <w:sz w:val="24"/>
          <w:highlight w:val="none"/>
        </w:rPr>
        <w:t>。</w:t>
      </w:r>
    </w:p>
    <w:p w14:paraId="3032B81E">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特此声明。</w:t>
      </w:r>
    </w:p>
    <w:p w14:paraId="7D34517B">
      <w:pPr>
        <w:pStyle w:val="31"/>
        <w:spacing w:line="600" w:lineRule="exact"/>
        <w:ind w:firstLine="600"/>
        <w:rPr>
          <w:rFonts w:hint="eastAsia" w:ascii="仿宋_GB2312" w:eastAsia="仿宋_GB2312"/>
          <w:color w:val="auto"/>
          <w:sz w:val="24"/>
          <w:highlight w:val="none"/>
        </w:rPr>
      </w:pPr>
    </w:p>
    <w:p w14:paraId="447519BB">
      <w:pPr>
        <w:pStyle w:val="31"/>
        <w:spacing w:line="600" w:lineRule="exact"/>
        <w:ind w:firstLine="600"/>
        <w:rPr>
          <w:rFonts w:hint="eastAsia" w:ascii="仿宋_GB2312" w:eastAsia="仿宋_GB2312"/>
          <w:color w:val="auto"/>
          <w:sz w:val="24"/>
          <w:highlight w:val="none"/>
        </w:rPr>
      </w:pPr>
      <w:r>
        <w:rPr>
          <w:rFonts w:hint="eastAsia" w:ascii="仿宋_GB2312" w:eastAsia="仿宋_GB2312"/>
          <w:color w:val="auto"/>
          <w:sz w:val="24"/>
          <w:highlight w:val="none"/>
        </w:rPr>
        <w:t>注：重大违法记录，是指供应商因违法经营受到刑事处罚或者责令停产停业、吊销许可证或者执照、较大数额罚款等行政处罚。</w:t>
      </w:r>
    </w:p>
    <w:p w14:paraId="7E0DEB7A">
      <w:pPr>
        <w:pStyle w:val="31"/>
        <w:spacing w:line="600" w:lineRule="exact"/>
        <w:ind w:firstLine="600"/>
        <w:rPr>
          <w:rFonts w:hint="eastAsia" w:ascii="仿宋_GB2312" w:eastAsia="仿宋_GB2312"/>
          <w:color w:val="auto"/>
          <w:sz w:val="24"/>
          <w:highlight w:val="none"/>
        </w:rPr>
      </w:pPr>
    </w:p>
    <w:p w14:paraId="16F702F5">
      <w:pPr>
        <w:pStyle w:val="31"/>
        <w:spacing w:line="600" w:lineRule="exact"/>
        <w:ind w:firstLine="600"/>
        <w:rPr>
          <w:rFonts w:hint="eastAsia" w:ascii="仿宋_GB2312" w:eastAsia="仿宋_GB2312"/>
          <w:color w:val="auto"/>
          <w:sz w:val="24"/>
          <w:highlight w:val="none"/>
        </w:rPr>
      </w:pPr>
    </w:p>
    <w:p w14:paraId="477CAC2F">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4772F0CE">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6AAF44AF">
      <w:pPr>
        <w:pStyle w:val="32"/>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664D28CC">
      <w:pPr>
        <w:pStyle w:val="33"/>
        <w:outlineLvl w:val="1"/>
        <w:rPr>
          <w:color w:val="auto"/>
          <w:highlight w:val="none"/>
        </w:rPr>
      </w:pPr>
      <w:r>
        <w:rPr>
          <w:color w:val="auto"/>
          <w:highlight w:val="none"/>
        </w:rPr>
        <w:br w:type="page"/>
      </w:r>
      <w:bookmarkStart w:id="115" w:name="_Toc514054492"/>
      <w:bookmarkStart w:id="116" w:name="_Toc30396"/>
      <w:bookmarkStart w:id="117" w:name="_Toc31956_WPSOffice_Level2"/>
      <w:r>
        <w:rPr>
          <w:color w:val="auto"/>
          <w:highlight w:val="none"/>
        </w:rPr>
        <w:t>七、投标函</w:t>
      </w:r>
      <w:bookmarkEnd w:id="115"/>
      <w:bookmarkEnd w:id="116"/>
      <w:bookmarkEnd w:id="117"/>
    </w:p>
    <w:p w14:paraId="3EBE8CC5">
      <w:pPr>
        <w:pStyle w:val="34"/>
        <w:tabs>
          <w:tab w:val="left" w:pos="1498"/>
        </w:tabs>
        <w:spacing w:line="580" w:lineRule="exact"/>
        <w:rPr>
          <w:rFonts w:hint="eastAsia" w:ascii="仿宋_GB2312" w:eastAsia="仿宋_GB2312"/>
          <w:color w:val="auto"/>
          <w:sz w:val="24"/>
          <w:szCs w:val="22"/>
          <w:highlight w:val="none"/>
        </w:rPr>
      </w:pPr>
      <w:r>
        <w:rPr>
          <w:rFonts w:hint="eastAsia"/>
          <w:color w:val="auto"/>
          <w:sz w:val="24"/>
          <w:highlight w:val="none"/>
          <w:u w:val="single"/>
        </w:rPr>
        <w:t xml:space="preserve">                      </w:t>
      </w:r>
      <w:r>
        <w:rPr>
          <w:rFonts w:hint="eastAsia" w:ascii="仿宋_GB2312" w:eastAsia="仿宋_GB2312"/>
          <w:color w:val="auto"/>
          <w:sz w:val="24"/>
          <w:highlight w:val="none"/>
        </w:rPr>
        <w:t>：</w:t>
      </w:r>
    </w:p>
    <w:p w14:paraId="77F4B392">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color w:val="auto"/>
          <w:sz w:val="24"/>
          <w:highlight w:val="none"/>
        </w:rPr>
        <w:t xml:space="preserve"> </w:t>
      </w:r>
      <w:r>
        <w:rPr>
          <w:rFonts w:hint="eastAsia" w:ascii="仿宋_GB2312" w:eastAsia="仿宋_GB2312"/>
          <w:color w:val="auto"/>
          <w:sz w:val="24"/>
          <w:highlight w:val="none"/>
        </w:rPr>
        <w:t>经研究，我们决定参加编号为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的招标活动并投标，为此，我方郑重声明以下诸点，并负法律责任。</w:t>
      </w:r>
    </w:p>
    <w:p w14:paraId="51DC3CD9">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一、我方按招标文件要求提交电子投标文件；</w:t>
      </w:r>
    </w:p>
    <w:p w14:paraId="6D0F7111">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二、如果我们的投标文件被接受，我们将履行招标文件中规定的每项要求，并按我们投标文件中的承诺按期、按质、按量履约交付；</w:t>
      </w:r>
    </w:p>
    <w:p w14:paraId="3D725C4D">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三、我们理解，低报价不是中标的唯一条件，本项目采用综合评分法，综合评分最高的投标人将被推荐为中标候选人；</w:t>
      </w:r>
    </w:p>
    <w:p w14:paraId="5A3C1786">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0A196D64">
      <w:pPr>
        <w:pStyle w:val="34"/>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五、我方愿按《民法典》及其他有关法律、法规的规定，自觉履行自己的全部责任；</w:t>
      </w:r>
    </w:p>
    <w:p w14:paraId="2D9BDCFD">
      <w:pPr>
        <w:pStyle w:val="35"/>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六、我方同意遵守贵方有关招标投标的各项规定；</w:t>
      </w:r>
    </w:p>
    <w:p w14:paraId="3073FD29">
      <w:pPr>
        <w:pStyle w:val="35"/>
        <w:tabs>
          <w:tab w:val="left" w:pos="1498"/>
        </w:tabs>
        <w:spacing w:line="5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七、我方响应招标文件规定的投标有效期。</w:t>
      </w:r>
    </w:p>
    <w:p w14:paraId="441A1408">
      <w:pPr>
        <w:pStyle w:val="34"/>
        <w:tabs>
          <w:tab w:val="left" w:pos="1498"/>
        </w:tabs>
        <w:spacing w:line="580" w:lineRule="exact"/>
        <w:ind w:firstLine="480" w:firstLineChars="200"/>
        <w:rPr>
          <w:rFonts w:hint="eastAsia" w:ascii="仿宋_GB2312" w:eastAsia="仿宋_GB2312"/>
          <w:color w:val="auto"/>
          <w:sz w:val="24"/>
          <w:highlight w:val="none"/>
        </w:rPr>
      </w:pPr>
    </w:p>
    <w:p w14:paraId="2D9FFF02">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0195622F">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236C61FD">
      <w:pPr>
        <w:pStyle w:val="34"/>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53121832">
      <w:pPr>
        <w:pStyle w:val="36"/>
        <w:outlineLvl w:val="1"/>
        <w:rPr>
          <w:color w:val="auto"/>
          <w:highlight w:val="none"/>
        </w:rPr>
      </w:pPr>
      <w:r>
        <w:rPr>
          <w:color w:val="auto"/>
          <w:highlight w:val="none"/>
        </w:rPr>
        <w:br w:type="page"/>
      </w:r>
      <w:bookmarkStart w:id="118" w:name="_Toc514054493"/>
      <w:bookmarkStart w:id="119" w:name="_Toc22395"/>
      <w:r>
        <w:rPr>
          <w:color w:val="auto"/>
          <w:highlight w:val="none"/>
        </w:rPr>
        <w:t>八、法定代表人身份证明或授权委托书</w:t>
      </w:r>
      <w:bookmarkEnd w:id="118"/>
      <w:bookmarkEnd w:id="119"/>
    </w:p>
    <w:p w14:paraId="67EF28D5">
      <w:pPr>
        <w:pStyle w:val="37"/>
        <w:spacing w:line="560" w:lineRule="exact"/>
        <w:jc w:val="center"/>
        <w:rPr>
          <w:rFonts w:ascii="宋体"/>
          <w:b/>
          <w:bCs/>
          <w:color w:val="auto"/>
          <w:sz w:val="32"/>
          <w:szCs w:val="32"/>
          <w:highlight w:val="none"/>
        </w:rPr>
      </w:pPr>
      <w:bookmarkStart w:id="120" w:name="_Toc22626_WPSOffice_Level2"/>
      <w:r>
        <w:rPr>
          <w:rFonts w:ascii="宋体"/>
          <w:b/>
          <w:bCs/>
          <w:color w:val="auto"/>
          <w:sz w:val="32"/>
          <w:szCs w:val="32"/>
          <w:highlight w:val="none"/>
        </w:rPr>
        <w:t>法定代表人身份证明</w:t>
      </w:r>
      <w:bookmarkEnd w:id="120"/>
    </w:p>
    <w:p w14:paraId="75F1BC28">
      <w:pPr>
        <w:pStyle w:val="38"/>
        <w:spacing w:line="480" w:lineRule="exact"/>
        <w:rPr>
          <w:rFonts w:eastAsia="仿宋_GB2312"/>
          <w:color w:val="auto"/>
          <w:sz w:val="24"/>
          <w:highlight w:val="none"/>
        </w:rPr>
      </w:pPr>
    </w:p>
    <w:p w14:paraId="183A723C">
      <w:pPr>
        <w:pStyle w:val="38"/>
        <w:spacing w:line="480" w:lineRule="exact"/>
        <w:rPr>
          <w:rFonts w:eastAsia="仿宋_GB2312"/>
          <w:color w:val="auto"/>
          <w:sz w:val="24"/>
          <w:highlight w:val="none"/>
        </w:rPr>
      </w:pPr>
      <w:r>
        <w:rPr>
          <w:rFonts w:hint="eastAsia" w:eastAsia="仿宋_GB2312"/>
          <w:color w:val="auto"/>
          <w:sz w:val="24"/>
          <w:highlight w:val="none"/>
        </w:rPr>
        <w:t>投标人</w:t>
      </w:r>
      <w:r>
        <w:rPr>
          <w:rFonts w:eastAsia="仿宋_GB2312"/>
          <w:color w:val="auto"/>
          <w:sz w:val="24"/>
          <w:highlight w:val="none"/>
        </w:rPr>
        <w:t>名称：</w:t>
      </w:r>
      <w:r>
        <w:rPr>
          <w:rFonts w:eastAsia="仿宋_GB2312"/>
          <w:color w:val="auto"/>
          <w:sz w:val="24"/>
          <w:highlight w:val="none"/>
          <w:u w:val="single"/>
        </w:rPr>
        <w:t xml:space="preserve">                            </w:t>
      </w:r>
      <w:r>
        <w:rPr>
          <w:rFonts w:eastAsia="仿宋_GB2312"/>
          <w:color w:val="auto"/>
          <w:sz w:val="24"/>
          <w:highlight w:val="none"/>
        </w:rPr>
        <w:t xml:space="preserve"> </w:t>
      </w:r>
    </w:p>
    <w:p w14:paraId="5FAB243F">
      <w:pPr>
        <w:pStyle w:val="38"/>
        <w:spacing w:line="480" w:lineRule="exact"/>
        <w:rPr>
          <w:rFonts w:eastAsia="仿宋_GB2312"/>
          <w:color w:val="auto"/>
          <w:sz w:val="24"/>
          <w:highlight w:val="none"/>
        </w:rPr>
      </w:pPr>
      <w:r>
        <w:rPr>
          <w:rFonts w:eastAsia="仿宋_GB2312"/>
          <w:color w:val="auto"/>
          <w:sz w:val="24"/>
          <w:highlight w:val="none"/>
        </w:rPr>
        <w:t>单位性质：</w:t>
      </w:r>
      <w:r>
        <w:rPr>
          <w:rFonts w:eastAsia="仿宋_GB2312"/>
          <w:color w:val="auto"/>
          <w:sz w:val="24"/>
          <w:highlight w:val="none"/>
          <w:u w:val="single"/>
        </w:rPr>
        <w:t xml:space="preserve">                               </w:t>
      </w:r>
      <w:r>
        <w:rPr>
          <w:rFonts w:eastAsia="仿宋_GB2312"/>
          <w:color w:val="auto"/>
          <w:sz w:val="24"/>
          <w:highlight w:val="none"/>
        </w:rPr>
        <w:t xml:space="preserve"> </w:t>
      </w:r>
    </w:p>
    <w:p w14:paraId="3B2CE196">
      <w:pPr>
        <w:pStyle w:val="38"/>
        <w:spacing w:line="480" w:lineRule="exact"/>
        <w:rPr>
          <w:rFonts w:eastAsia="仿宋_GB2312"/>
          <w:color w:val="auto"/>
          <w:sz w:val="24"/>
          <w:highlight w:val="none"/>
        </w:rPr>
      </w:pPr>
      <w:r>
        <w:rPr>
          <w:rFonts w:eastAsia="仿宋_GB2312"/>
          <w:color w:val="auto"/>
          <w:sz w:val="24"/>
          <w:highlight w:val="none"/>
        </w:rPr>
        <w:t>地址：</w:t>
      </w:r>
      <w:r>
        <w:rPr>
          <w:rFonts w:eastAsia="仿宋_GB2312"/>
          <w:color w:val="auto"/>
          <w:sz w:val="24"/>
          <w:highlight w:val="none"/>
          <w:u w:val="single"/>
        </w:rPr>
        <w:t xml:space="preserve">                                   </w:t>
      </w:r>
    </w:p>
    <w:p w14:paraId="36F8A9A5">
      <w:pPr>
        <w:pStyle w:val="38"/>
        <w:spacing w:line="480" w:lineRule="exact"/>
        <w:rPr>
          <w:rFonts w:eastAsia="仿宋_GB2312"/>
          <w:color w:val="auto"/>
          <w:sz w:val="24"/>
          <w:highlight w:val="none"/>
        </w:rPr>
      </w:pPr>
      <w:r>
        <w:rPr>
          <w:rFonts w:eastAsia="仿宋_GB2312"/>
          <w:color w:val="auto"/>
          <w:sz w:val="24"/>
          <w:highlight w:val="none"/>
        </w:rPr>
        <w:t>成立时间：</w:t>
      </w:r>
      <w:r>
        <w:rPr>
          <w:rFonts w:eastAsia="仿宋_GB2312"/>
          <w:color w:val="auto"/>
          <w:sz w:val="24"/>
          <w:highlight w:val="none"/>
          <w:u w:val="single"/>
        </w:rPr>
        <w:t xml:space="preserve">         </w:t>
      </w:r>
      <w:r>
        <w:rPr>
          <w:rFonts w:eastAsia="仿宋_GB2312"/>
          <w:color w:val="auto"/>
          <w:sz w:val="24"/>
          <w:highlight w:val="none"/>
        </w:rPr>
        <w:t xml:space="preserve"> 年</w:t>
      </w:r>
      <w:r>
        <w:rPr>
          <w:rFonts w:eastAsia="仿宋_GB2312"/>
          <w:color w:val="auto"/>
          <w:sz w:val="24"/>
          <w:highlight w:val="none"/>
          <w:u w:val="single"/>
        </w:rPr>
        <w:t xml:space="preserve">       </w:t>
      </w:r>
      <w:r>
        <w:rPr>
          <w:rFonts w:eastAsia="仿宋_GB2312"/>
          <w:color w:val="auto"/>
          <w:sz w:val="24"/>
          <w:highlight w:val="none"/>
        </w:rPr>
        <w:t xml:space="preserve"> 月</w:t>
      </w:r>
      <w:r>
        <w:rPr>
          <w:rFonts w:eastAsia="仿宋_GB2312"/>
          <w:color w:val="auto"/>
          <w:sz w:val="24"/>
          <w:highlight w:val="none"/>
          <w:u w:val="single"/>
        </w:rPr>
        <w:t xml:space="preserve">       </w:t>
      </w:r>
      <w:r>
        <w:rPr>
          <w:rFonts w:eastAsia="仿宋_GB2312"/>
          <w:color w:val="auto"/>
          <w:sz w:val="24"/>
          <w:highlight w:val="none"/>
        </w:rPr>
        <w:t xml:space="preserve"> 日</w:t>
      </w:r>
    </w:p>
    <w:p w14:paraId="0D988ADE">
      <w:pPr>
        <w:pStyle w:val="38"/>
        <w:spacing w:line="480" w:lineRule="exact"/>
        <w:rPr>
          <w:rFonts w:eastAsia="仿宋_GB2312"/>
          <w:color w:val="auto"/>
          <w:sz w:val="24"/>
          <w:highlight w:val="none"/>
        </w:rPr>
      </w:pPr>
      <w:r>
        <w:rPr>
          <w:rFonts w:eastAsia="仿宋_GB2312"/>
          <w:color w:val="auto"/>
          <w:sz w:val="24"/>
          <w:highlight w:val="none"/>
        </w:rPr>
        <w:t>经营期限：</w:t>
      </w:r>
      <w:r>
        <w:rPr>
          <w:rFonts w:eastAsia="仿宋_GB2312"/>
          <w:color w:val="auto"/>
          <w:sz w:val="24"/>
          <w:highlight w:val="none"/>
          <w:u w:val="single"/>
        </w:rPr>
        <w:t xml:space="preserve">                               </w:t>
      </w:r>
    </w:p>
    <w:p w14:paraId="6B4B56DF">
      <w:pPr>
        <w:pStyle w:val="38"/>
        <w:spacing w:line="480" w:lineRule="exact"/>
        <w:rPr>
          <w:rFonts w:hint="eastAsia" w:eastAsia="仿宋_GB2312"/>
          <w:color w:val="auto"/>
          <w:sz w:val="24"/>
          <w:highlight w:val="none"/>
        </w:rPr>
      </w:pPr>
      <w:r>
        <w:rPr>
          <w:rFonts w:eastAsia="仿宋_GB2312"/>
          <w:color w:val="auto"/>
          <w:sz w:val="24"/>
          <w:highlight w:val="none"/>
        </w:rPr>
        <w:t>姓名：</w:t>
      </w:r>
      <w:r>
        <w:rPr>
          <w:rFonts w:eastAsia="仿宋_GB2312"/>
          <w:color w:val="auto"/>
          <w:sz w:val="24"/>
          <w:highlight w:val="none"/>
          <w:u w:val="single"/>
        </w:rPr>
        <w:t xml:space="preserve">        </w:t>
      </w:r>
      <w:r>
        <w:rPr>
          <w:rFonts w:eastAsia="仿宋_GB2312"/>
          <w:color w:val="auto"/>
          <w:sz w:val="24"/>
          <w:highlight w:val="none"/>
        </w:rPr>
        <w:t xml:space="preserve"> 性别：</w:t>
      </w:r>
      <w:r>
        <w:rPr>
          <w:rFonts w:eastAsia="仿宋_GB2312"/>
          <w:color w:val="auto"/>
          <w:sz w:val="24"/>
          <w:highlight w:val="none"/>
          <w:u w:val="single"/>
        </w:rPr>
        <w:t xml:space="preserve">         </w:t>
      </w:r>
      <w:r>
        <w:rPr>
          <w:rFonts w:eastAsia="仿宋_GB2312"/>
          <w:color w:val="auto"/>
          <w:sz w:val="24"/>
          <w:highlight w:val="none"/>
        </w:rPr>
        <w:t xml:space="preserve"> 年龄：</w:t>
      </w:r>
      <w:r>
        <w:rPr>
          <w:rFonts w:eastAsia="仿宋_GB2312"/>
          <w:color w:val="auto"/>
          <w:sz w:val="24"/>
          <w:highlight w:val="none"/>
          <w:u w:val="single"/>
        </w:rPr>
        <w:t xml:space="preserve">        </w:t>
      </w:r>
      <w:r>
        <w:rPr>
          <w:rFonts w:eastAsia="仿宋_GB2312"/>
          <w:color w:val="auto"/>
          <w:sz w:val="24"/>
          <w:highlight w:val="none"/>
        </w:rPr>
        <w:t>职务：</w:t>
      </w:r>
      <w:r>
        <w:rPr>
          <w:rFonts w:eastAsia="仿宋_GB2312"/>
          <w:color w:val="auto"/>
          <w:sz w:val="24"/>
          <w:highlight w:val="none"/>
          <w:u w:val="single"/>
        </w:rPr>
        <w:t xml:space="preserve">        </w:t>
      </w:r>
      <w:r>
        <w:rPr>
          <w:rFonts w:eastAsia="仿宋_GB2312"/>
          <w:color w:val="auto"/>
          <w:sz w:val="24"/>
          <w:highlight w:val="none"/>
        </w:rPr>
        <w:t>系</w:t>
      </w:r>
    </w:p>
    <w:p w14:paraId="3E723BEE">
      <w:pPr>
        <w:pStyle w:val="38"/>
        <w:spacing w:line="480" w:lineRule="exact"/>
        <w:rPr>
          <w:rFonts w:eastAsia="仿宋_GB2312"/>
          <w:color w:val="auto"/>
          <w:sz w:val="24"/>
          <w:highlight w:val="none"/>
        </w:rPr>
      </w:pPr>
      <w:r>
        <w:rPr>
          <w:rFonts w:eastAsia="仿宋_GB2312"/>
          <w:color w:val="auto"/>
          <w:sz w:val="24"/>
          <w:highlight w:val="none"/>
          <w:u w:val="single"/>
        </w:rPr>
        <w:t xml:space="preserve">                             </w:t>
      </w:r>
      <w:r>
        <w:rPr>
          <w:rFonts w:eastAsia="仿宋_GB2312"/>
          <w:color w:val="auto"/>
          <w:sz w:val="24"/>
          <w:highlight w:val="none"/>
        </w:rPr>
        <w:t xml:space="preserve"> （投标人名称）的法定代表人。</w:t>
      </w:r>
    </w:p>
    <w:p w14:paraId="23A70C5E">
      <w:pPr>
        <w:pStyle w:val="38"/>
        <w:spacing w:line="480" w:lineRule="exact"/>
        <w:ind w:firstLine="480" w:firstLineChars="200"/>
        <w:rPr>
          <w:rFonts w:hint="eastAsia" w:eastAsia="仿宋_GB2312"/>
          <w:color w:val="auto"/>
          <w:sz w:val="24"/>
          <w:highlight w:val="none"/>
        </w:rPr>
      </w:pPr>
      <w:r>
        <w:rPr>
          <w:rFonts w:eastAsia="仿宋_GB2312"/>
          <w:color w:val="auto"/>
          <w:sz w:val="24"/>
          <w:highlight w:val="none"/>
        </w:rPr>
        <w:t>特此证明。</w:t>
      </w:r>
    </w:p>
    <w:p w14:paraId="56204181">
      <w:pPr>
        <w:pStyle w:val="39"/>
        <w:spacing w:line="60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（法定代表人出席开标会议的提供，未出席的可不提供。附法定代表人身份证、扫描件。）</w:t>
      </w:r>
    </w:p>
    <w:p w14:paraId="20ED315E">
      <w:pPr>
        <w:pStyle w:val="38"/>
        <w:spacing w:line="480" w:lineRule="exact"/>
        <w:ind w:firstLine="480" w:firstLineChars="200"/>
        <w:rPr>
          <w:rFonts w:eastAsia="仿宋_GB2312"/>
          <w:color w:val="auto"/>
          <w:sz w:val="24"/>
          <w:highlight w:val="none"/>
        </w:rPr>
      </w:pPr>
    </w:p>
    <w:p w14:paraId="40653D08">
      <w:pPr>
        <w:pStyle w:val="38"/>
        <w:spacing w:line="480" w:lineRule="exact"/>
        <w:jc w:val="right"/>
        <w:rPr>
          <w:rFonts w:eastAsia="仿宋_GB2312"/>
          <w:color w:val="auto"/>
          <w:sz w:val="24"/>
          <w:highlight w:val="none"/>
        </w:rPr>
      </w:pPr>
      <w:r>
        <w:rPr>
          <w:rFonts w:eastAsia="仿宋_GB2312"/>
          <w:color w:val="auto"/>
          <w:sz w:val="24"/>
          <w:highlight w:val="none"/>
        </w:rPr>
        <w:t xml:space="preserve">                       </w:t>
      </w:r>
    </w:p>
    <w:p w14:paraId="511A02FA">
      <w:pPr>
        <w:pStyle w:val="38"/>
        <w:spacing w:line="480" w:lineRule="exact"/>
        <w:jc w:val="right"/>
        <w:rPr>
          <w:rFonts w:eastAsia="仿宋_GB2312"/>
          <w:color w:val="auto"/>
          <w:sz w:val="24"/>
          <w:highlight w:val="none"/>
        </w:rPr>
      </w:pPr>
    </w:p>
    <w:p w14:paraId="4AB72710">
      <w:pPr>
        <w:pStyle w:val="38"/>
        <w:spacing w:line="480" w:lineRule="exact"/>
        <w:jc w:val="right"/>
        <w:rPr>
          <w:rFonts w:eastAsia="仿宋_GB2312"/>
          <w:color w:val="auto"/>
          <w:sz w:val="24"/>
          <w:highlight w:val="none"/>
        </w:rPr>
      </w:pPr>
    </w:p>
    <w:p w14:paraId="34A97EB6">
      <w:pPr>
        <w:pStyle w:val="39"/>
        <w:spacing w:line="700" w:lineRule="exact"/>
        <w:ind w:firstLine="445"/>
        <w:rPr>
          <w:rFonts w:hint="eastAsia" w:ascii="仿宋_GB2312" w:eastAsia="仿宋_GB2312"/>
          <w:color w:val="auto"/>
          <w:sz w:val="24"/>
          <w:highlight w:val="none"/>
        </w:rPr>
      </w:pPr>
      <w:r>
        <w:rPr>
          <w:rFonts w:hint="eastAsia" w:ascii="仿宋_GB2312" w:eastAsia="仿宋_GB2312"/>
          <w:color w:val="auto"/>
          <w:sz w:val="24"/>
          <w:highlight w:val="none"/>
        </w:rPr>
        <w:t>单位名称：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31413E21">
      <w:pPr>
        <w:pStyle w:val="37"/>
        <w:spacing w:line="560" w:lineRule="exact"/>
        <w:ind w:firstLine="424" w:firstLineChars="177"/>
        <w:jc w:val="left"/>
        <w:rPr>
          <w:rFonts w:hint="eastAsia" w:ascii="仿宋_GB2312" w:eastAsia="仿宋_GB2312"/>
          <w:color w:val="auto"/>
          <w:sz w:val="24"/>
          <w:highlight w:val="none"/>
        </w:rPr>
      </w:pPr>
      <w:r>
        <w:rPr>
          <w:rFonts w:hint="eastAsia" w:ascii="仿宋_GB2312" w:eastAsia="仿宋_GB2312"/>
          <w:color w:val="auto"/>
          <w:sz w:val="24"/>
          <w:highlight w:val="none"/>
        </w:rPr>
        <w:t>法定代表人：</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5AB25E93">
      <w:pPr>
        <w:pStyle w:val="40"/>
        <w:spacing w:line="700" w:lineRule="exact"/>
        <w:ind w:firstLine="988" w:firstLineChars="412"/>
        <w:rPr>
          <w:rFonts w:hint="eastAsia" w:ascii="仿宋_GB2312" w:eastAsia="仿宋_GB2312"/>
          <w:color w:val="auto"/>
          <w:sz w:val="24"/>
          <w:highlight w:val="none"/>
          <w:u w:val="singl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67432576">
      <w:pPr>
        <w:pStyle w:val="37"/>
        <w:spacing w:line="560" w:lineRule="exact"/>
        <w:jc w:val="center"/>
        <w:rPr>
          <w:rFonts w:hint="eastAsia" w:ascii="宋体"/>
          <w:b/>
          <w:bCs/>
          <w:color w:val="auto"/>
          <w:sz w:val="32"/>
          <w:szCs w:val="32"/>
          <w:highlight w:val="none"/>
        </w:rPr>
      </w:pPr>
      <w:r>
        <w:rPr>
          <w:rFonts w:ascii="仿宋_GB2312" w:eastAsia="仿宋_GB2312"/>
          <w:color w:val="auto"/>
          <w:sz w:val="24"/>
          <w:highlight w:val="none"/>
        </w:rPr>
        <w:br w:type="page"/>
      </w:r>
      <w:bookmarkStart w:id="121" w:name="_Toc406_WPSOffice_Level2"/>
      <w:r>
        <w:rPr>
          <w:rFonts w:hint="eastAsia" w:ascii="宋体"/>
          <w:b/>
          <w:bCs/>
          <w:color w:val="auto"/>
          <w:sz w:val="32"/>
          <w:szCs w:val="32"/>
          <w:highlight w:val="none"/>
        </w:rPr>
        <w:t>法定代表人授权委托书</w:t>
      </w:r>
      <w:bookmarkEnd w:id="121"/>
    </w:p>
    <w:p w14:paraId="31320D27">
      <w:pPr>
        <w:pStyle w:val="37"/>
        <w:spacing w:line="600" w:lineRule="exact"/>
        <w:rPr>
          <w:rFonts w:hint="eastAsia" w:ascii="方正大标宋简体" w:eastAsia="方正大标宋简体"/>
          <w:color w:val="auto"/>
          <w:sz w:val="32"/>
          <w:highlight w:val="none"/>
        </w:rPr>
      </w:pPr>
    </w:p>
    <w:p w14:paraId="1A06AC50">
      <w:pPr>
        <w:pStyle w:val="38"/>
        <w:rPr>
          <w:rFonts w:hint="eastAsia"/>
          <w:color w:val="auto"/>
          <w:sz w:val="32"/>
          <w:szCs w:val="32"/>
          <w:highlight w:val="none"/>
          <w:u w:val="single"/>
        </w:rPr>
      </w:pPr>
      <w:r>
        <w:rPr>
          <w:rFonts w:hint="eastAsia"/>
          <w:color w:val="auto"/>
          <w:sz w:val="32"/>
          <w:szCs w:val="32"/>
          <w:highlight w:val="none"/>
          <w:u w:val="single"/>
        </w:rPr>
        <w:t xml:space="preserve">          </w:t>
      </w:r>
      <w:r>
        <w:rPr>
          <w:rFonts w:hint="eastAsia" w:ascii="仿宋_GB2312" w:eastAsia="仿宋_GB2312"/>
          <w:color w:val="auto"/>
          <w:sz w:val="24"/>
          <w:highlight w:val="none"/>
          <w:u w:val="single"/>
        </w:rPr>
        <w:t>（采购人名称）</w:t>
      </w:r>
      <w:r>
        <w:rPr>
          <w:rFonts w:hint="eastAsia" w:ascii="仿宋_GB2312" w:eastAsia="仿宋_GB2312"/>
          <w:color w:val="auto"/>
          <w:sz w:val="24"/>
          <w:highlight w:val="none"/>
        </w:rPr>
        <w:t>：</w:t>
      </w:r>
    </w:p>
    <w:p w14:paraId="31EB0894">
      <w:pPr>
        <w:pStyle w:val="37"/>
        <w:spacing w:line="600" w:lineRule="exact"/>
        <w:rPr>
          <w:rFonts w:hint="eastAsia" w:ascii="仿宋_GB2312" w:eastAsia="仿宋_GB2312"/>
          <w:color w:val="auto"/>
          <w:sz w:val="24"/>
          <w:highlight w:val="none"/>
        </w:rPr>
      </w:pPr>
      <w:r>
        <w:rPr>
          <w:rFonts w:hint="eastAsia" w:ascii="仿宋_GB2312" w:eastAsia="仿宋_GB2312"/>
          <w:color w:val="auto"/>
          <w:sz w:val="24"/>
          <w:highlight w:val="none"/>
          <w:u w:val="single"/>
        </w:rPr>
        <w:t xml:space="preserve">      （单位名称）</w:t>
      </w:r>
      <w:r>
        <w:rPr>
          <w:rFonts w:hint="eastAsia" w:ascii="仿宋_GB2312" w:eastAsia="仿宋_GB2312"/>
          <w:color w:val="auto"/>
          <w:sz w:val="24"/>
          <w:highlight w:val="none"/>
        </w:rPr>
        <w:t>法定代表人授权我单位</w:t>
      </w:r>
      <w:r>
        <w:rPr>
          <w:rFonts w:hint="eastAsia" w:ascii="仿宋_GB2312" w:eastAsia="仿宋_GB2312"/>
          <w:color w:val="auto"/>
          <w:sz w:val="24"/>
          <w:highlight w:val="none"/>
          <w:u w:val="single"/>
        </w:rPr>
        <w:t xml:space="preserve">    （职务或职称）   （姓名）</w:t>
      </w:r>
      <w:r>
        <w:rPr>
          <w:rFonts w:hint="eastAsia" w:ascii="仿宋_GB2312" w:eastAsia="仿宋_GB2312"/>
          <w:color w:val="auto"/>
          <w:sz w:val="24"/>
          <w:highlight w:val="none"/>
        </w:rPr>
        <w:t>为我单位本次授权代理人，全权处理此次</w:t>
      </w:r>
      <w:r>
        <w:rPr>
          <w:rFonts w:hint="eastAsia" w:ascii="仿宋_GB2312" w:eastAsia="仿宋_GB2312"/>
          <w:color w:val="auto"/>
          <w:sz w:val="24"/>
          <w:highlight w:val="none"/>
          <w:u w:val="single"/>
        </w:rPr>
        <w:t xml:space="preserve">           </w:t>
      </w:r>
      <w:r>
        <w:rPr>
          <w:rFonts w:hint="eastAsia" w:ascii="仿宋_GB2312" w:eastAsia="仿宋_GB2312"/>
          <w:color w:val="auto"/>
          <w:kern w:val="10"/>
          <w:sz w:val="24"/>
          <w:highlight w:val="none"/>
        </w:rPr>
        <w:t>公开招标</w:t>
      </w:r>
      <w:r>
        <w:rPr>
          <w:rFonts w:hint="eastAsia" w:ascii="仿宋_GB2312" w:eastAsia="仿宋_GB2312"/>
          <w:color w:val="auto"/>
          <w:sz w:val="24"/>
          <w:highlight w:val="none"/>
        </w:rPr>
        <w:t>活动的一切事宜。</w:t>
      </w:r>
    </w:p>
    <w:p w14:paraId="76E55888">
      <w:pPr>
        <w:pStyle w:val="37"/>
        <w:spacing w:line="600" w:lineRule="exact"/>
        <w:ind w:firstLine="630"/>
        <w:rPr>
          <w:rFonts w:hint="eastAsia" w:ascii="仿宋_GB2312" w:eastAsia="仿宋_GB2312"/>
          <w:color w:val="auto"/>
          <w:sz w:val="24"/>
          <w:highlight w:val="none"/>
        </w:rPr>
      </w:pPr>
      <w:r>
        <w:rPr>
          <w:rFonts w:hint="eastAsia" w:ascii="仿宋_GB2312" w:eastAsia="仿宋_GB2312"/>
          <w:color w:val="auto"/>
          <w:sz w:val="24"/>
          <w:highlight w:val="none"/>
        </w:rPr>
        <w:t>特此授权</w:t>
      </w:r>
    </w:p>
    <w:p w14:paraId="5E91233E">
      <w:pPr>
        <w:pStyle w:val="41"/>
        <w:spacing w:line="600" w:lineRule="exact"/>
        <w:ind w:firstLine="630"/>
        <w:rPr>
          <w:rFonts w:hint="eastAsia" w:ascii="仿宋_GB2312" w:eastAsia="仿宋_GB2312"/>
          <w:color w:val="auto"/>
          <w:sz w:val="24"/>
          <w:highlight w:val="none"/>
        </w:rPr>
      </w:pPr>
      <w:r>
        <w:rPr>
          <w:rFonts w:hint="eastAsia" w:ascii="仿宋_GB2312" w:eastAsia="仿宋_GB2312"/>
          <w:b/>
          <w:color w:val="auto"/>
          <w:sz w:val="24"/>
          <w:highlight w:val="none"/>
        </w:rPr>
        <w:t>（授权委托人出席开标会议的提供。附法定代表人、授权委托人身份证扫描件。</w:t>
      </w:r>
    </w:p>
    <w:p w14:paraId="0F14665D">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单位名称：</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14:paraId="0BAF3E55">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6707E5CB">
      <w:pPr>
        <w:pStyle w:val="37"/>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法人授权代表：</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（签字）</w:t>
      </w:r>
    </w:p>
    <w:p w14:paraId="7EA3CC70">
      <w:pPr>
        <w:pStyle w:val="42"/>
        <w:ind w:firstLine="720" w:firstLineChars="300"/>
        <w:rPr>
          <w:rFonts w:hint="eastAsia"/>
          <w:color w:val="auto"/>
          <w:highlight w:val="none"/>
        </w:rPr>
      </w:pP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14:paraId="0114618F">
      <w:pPr>
        <w:pStyle w:val="43"/>
        <w:outlineLvl w:val="1"/>
        <w:rPr>
          <w:color w:val="auto"/>
          <w:highlight w:val="none"/>
        </w:rPr>
      </w:pPr>
      <w:r>
        <w:rPr>
          <w:color w:val="auto"/>
          <w:highlight w:val="none"/>
        </w:rPr>
        <w:br w:type="page"/>
      </w:r>
      <w:bookmarkStart w:id="122" w:name="_Toc514054494"/>
      <w:bookmarkStart w:id="123" w:name="_Toc12853"/>
      <w:r>
        <w:rPr>
          <w:color w:val="auto"/>
          <w:highlight w:val="none"/>
        </w:rPr>
        <w:t>九、开标一览表</w:t>
      </w:r>
      <w:bookmarkEnd w:id="122"/>
      <w:bookmarkEnd w:id="123"/>
    </w:p>
    <w:p w14:paraId="7DA8E5EF">
      <w:pPr>
        <w:pStyle w:val="44"/>
        <w:rPr>
          <w:color w:val="auto"/>
          <w:highlight w:val="none"/>
        </w:rPr>
      </w:pPr>
      <w:r>
        <w:rPr>
          <w:color w:val="auto"/>
          <w:highlight w:val="non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377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7E9BF74">
            <w:pPr>
              <w:pStyle w:val="44"/>
              <w:rPr>
                <w:color w:val="auto"/>
                <w:sz w:val="21"/>
                <w:highlight w:val="none"/>
              </w:rPr>
            </w:pPr>
            <w:r>
              <w:rPr>
                <w:b/>
                <w:color w:val="auto"/>
                <w:sz w:val="21"/>
                <w:highlight w:val="none"/>
              </w:rPr>
              <w:t>标题</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09D4A3">
            <w:pPr>
              <w:pStyle w:val="44"/>
              <w:rPr>
                <w:b/>
                <w:color w:val="auto"/>
                <w:sz w:val="21"/>
                <w:highlight w:val="none"/>
              </w:rPr>
            </w:pPr>
            <w:r>
              <w:rPr>
                <w:b/>
                <w:color w:val="auto"/>
                <w:sz w:val="21"/>
                <w:highlight w:val="none"/>
              </w:rPr>
              <w:t>内容</w:t>
            </w: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E408F45">
            <w:pPr>
              <w:pStyle w:val="44"/>
              <w:rPr>
                <w:b/>
                <w:color w:val="auto"/>
                <w:sz w:val="21"/>
                <w:highlight w:val="none"/>
              </w:rPr>
            </w:pPr>
            <w:r>
              <w:rPr>
                <w:b/>
                <w:color w:val="auto"/>
                <w:sz w:val="21"/>
                <w:highlight w:val="none"/>
              </w:rPr>
              <w:t>单位</w:t>
            </w:r>
          </w:p>
        </w:tc>
      </w:tr>
      <w:tr w14:paraId="09C7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EF0B236">
            <w:pPr>
              <w:pStyle w:val="44"/>
              <w:rPr>
                <w:b/>
                <w:color w:val="auto"/>
                <w:sz w:val="21"/>
                <w:highlight w:val="none"/>
              </w:rPr>
            </w:pPr>
            <w:r>
              <w:rPr>
                <w:b/>
                <w:color w:val="auto"/>
                <w:sz w:val="21"/>
                <w:highlight w:val="none"/>
              </w:rPr>
              <w:t>投标总价</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FB1A169">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244D3AD">
            <w:pPr>
              <w:pStyle w:val="44"/>
              <w:rPr>
                <w:color w:val="auto"/>
                <w:sz w:val="21"/>
                <w:highlight w:val="none"/>
              </w:rPr>
            </w:pPr>
            <w:r>
              <w:rPr>
                <w:color w:val="auto"/>
                <w:sz w:val="21"/>
                <w:highlight w:val="none"/>
              </w:rPr>
              <w:t>元</w:t>
            </w:r>
          </w:p>
        </w:tc>
      </w:tr>
      <w:tr w14:paraId="2B05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6D2FB30">
            <w:pPr>
              <w:pStyle w:val="44"/>
              <w:rPr>
                <w:color w:val="auto"/>
                <w:sz w:val="21"/>
                <w:highlight w:val="none"/>
              </w:rPr>
            </w:pPr>
            <w:r>
              <w:rPr>
                <w:color w:val="auto"/>
                <w:sz w:val="21"/>
                <w:highlight w:val="none"/>
              </w:rPr>
              <w:t>交货期</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D78FD72">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D11F204">
            <w:pPr>
              <w:pStyle w:val="44"/>
              <w:rPr>
                <w:color w:val="auto"/>
                <w:sz w:val="21"/>
                <w:highlight w:val="none"/>
              </w:rPr>
            </w:pPr>
            <w:r>
              <w:rPr>
                <w:color w:val="auto"/>
                <w:sz w:val="21"/>
                <w:highlight w:val="none"/>
              </w:rPr>
              <w:t>天</w:t>
            </w:r>
          </w:p>
        </w:tc>
      </w:tr>
      <w:tr w14:paraId="0D42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32F40A6">
            <w:pPr>
              <w:pStyle w:val="44"/>
              <w:rPr>
                <w:color w:val="auto"/>
                <w:sz w:val="21"/>
                <w:highlight w:val="none"/>
              </w:rPr>
            </w:pPr>
            <w:r>
              <w:rPr>
                <w:color w:val="auto"/>
                <w:sz w:val="21"/>
                <w:highlight w:val="none"/>
              </w:rPr>
              <w:t>投标声明</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4FFE19B">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36C65F5">
            <w:pPr>
              <w:pStyle w:val="44"/>
              <w:rPr>
                <w:color w:val="auto"/>
                <w:sz w:val="21"/>
                <w:highlight w:val="none"/>
              </w:rPr>
            </w:pPr>
          </w:p>
        </w:tc>
      </w:tr>
      <w:tr w14:paraId="0BCD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DE01BB7">
            <w:pPr>
              <w:pStyle w:val="44"/>
              <w:rPr>
                <w:color w:val="auto"/>
                <w:sz w:val="21"/>
                <w:highlight w:val="none"/>
              </w:rPr>
            </w:pPr>
            <w:r>
              <w:rPr>
                <w:color w:val="auto"/>
                <w:sz w:val="21"/>
                <w:highlight w:val="none"/>
              </w:rPr>
              <w:t>备注（品牌、</w:t>
            </w:r>
            <w:r>
              <w:rPr>
                <w:rFonts w:hint="eastAsia" w:eastAsia="宋体"/>
                <w:color w:val="auto"/>
                <w:sz w:val="21"/>
                <w:highlight w:val="none"/>
                <w:lang w:val="en-US" w:eastAsia="zh-CN"/>
              </w:rPr>
              <w:t>型号、</w:t>
            </w:r>
            <w:r>
              <w:rPr>
                <w:color w:val="auto"/>
                <w:sz w:val="21"/>
                <w:highlight w:val="none"/>
              </w:rPr>
              <w:t>国别）</w:t>
            </w:r>
          </w:p>
        </w:tc>
        <w:tc>
          <w:tcPr>
            <w:tcW w:w="351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4EB8D76">
            <w:pPr>
              <w:pStyle w:val="44"/>
              <w:rPr>
                <w:color w:val="auto"/>
                <w:sz w:val="21"/>
                <w:highlight w:val="none"/>
              </w:rPr>
            </w:pPr>
          </w:p>
        </w:tc>
        <w:tc>
          <w:tcPr>
            <w:tcW w:w="2839"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7A8D827">
            <w:pPr>
              <w:pStyle w:val="44"/>
              <w:rPr>
                <w:color w:val="auto"/>
                <w:sz w:val="21"/>
                <w:highlight w:val="none"/>
              </w:rPr>
            </w:pPr>
          </w:p>
        </w:tc>
      </w:tr>
    </w:tbl>
    <w:p w14:paraId="6B2FB9E2">
      <w:pPr>
        <w:pStyle w:val="28"/>
        <w:spacing w:line="700" w:lineRule="exact"/>
        <w:ind w:firstLine="629"/>
        <w:rPr>
          <w:rFonts w:hint="eastAsia" w:ascii="仿宋_GB2312" w:eastAsia="仿宋_GB2312"/>
          <w:color w:val="auto"/>
          <w:sz w:val="24"/>
          <w:highlight w:val="none"/>
        </w:rPr>
      </w:pPr>
    </w:p>
    <w:p w14:paraId="6888F464">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667E6C38">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438DC299">
      <w:pPr>
        <w:pStyle w:val="45"/>
        <w:outlineLvl w:val="1"/>
        <w:rPr>
          <w:color w:val="auto"/>
          <w:highlight w:val="none"/>
        </w:rPr>
      </w:pPr>
      <w:r>
        <w:rPr>
          <w:color w:val="auto"/>
          <w:highlight w:val="none"/>
        </w:rPr>
        <w:br w:type="page"/>
      </w:r>
      <w:bookmarkStart w:id="124" w:name="_Toc514054495"/>
      <w:bookmarkStart w:id="125" w:name="_Toc8851"/>
      <w:r>
        <w:rPr>
          <w:color w:val="auto"/>
          <w:highlight w:val="none"/>
        </w:rPr>
        <w:t>十、明细报价表</w:t>
      </w:r>
      <w:bookmarkEnd w:id="124"/>
      <w:bookmarkEnd w:id="125"/>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030"/>
        <w:gridCol w:w="1980"/>
      </w:tblGrid>
      <w:tr w14:paraId="428A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noWrap w:val="0"/>
            <w:vAlign w:val="center"/>
          </w:tcPr>
          <w:p w14:paraId="2D328666">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1793" w:type="dxa"/>
            <w:noWrap w:val="0"/>
            <w:vAlign w:val="center"/>
          </w:tcPr>
          <w:p w14:paraId="589383F5">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货物名称</w:t>
            </w:r>
          </w:p>
        </w:tc>
        <w:tc>
          <w:tcPr>
            <w:tcW w:w="2200" w:type="dxa"/>
            <w:noWrap w:val="0"/>
            <w:vAlign w:val="center"/>
          </w:tcPr>
          <w:p w14:paraId="14479FA4">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品牌.型号.产地</w:t>
            </w:r>
          </w:p>
        </w:tc>
        <w:tc>
          <w:tcPr>
            <w:tcW w:w="1103" w:type="dxa"/>
            <w:noWrap w:val="0"/>
            <w:vAlign w:val="center"/>
          </w:tcPr>
          <w:p w14:paraId="27696C61">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单价</w:t>
            </w:r>
          </w:p>
          <w:p w14:paraId="5524D982">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（元）</w:t>
            </w:r>
          </w:p>
        </w:tc>
        <w:tc>
          <w:tcPr>
            <w:tcW w:w="962" w:type="dxa"/>
            <w:noWrap w:val="0"/>
            <w:vAlign w:val="center"/>
          </w:tcPr>
          <w:p w14:paraId="1ACDC0C4">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数量</w:t>
            </w:r>
          </w:p>
        </w:tc>
        <w:tc>
          <w:tcPr>
            <w:tcW w:w="1030" w:type="dxa"/>
            <w:noWrap w:val="0"/>
            <w:vAlign w:val="center"/>
          </w:tcPr>
          <w:p w14:paraId="0B9EF860">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合价</w:t>
            </w:r>
          </w:p>
          <w:p w14:paraId="2A1E6987">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（元）</w:t>
            </w:r>
          </w:p>
        </w:tc>
        <w:tc>
          <w:tcPr>
            <w:tcW w:w="1980" w:type="dxa"/>
            <w:noWrap w:val="0"/>
            <w:vAlign w:val="center"/>
          </w:tcPr>
          <w:p w14:paraId="642584AA">
            <w:pPr>
              <w:pStyle w:val="46"/>
              <w:widowControl/>
              <w:adjustRightInd w:val="0"/>
              <w:snapToGrid w:val="0"/>
              <w:spacing w:before="100" w:beforeAutospacing="1" w:line="5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备注</w:t>
            </w:r>
          </w:p>
        </w:tc>
      </w:tr>
      <w:tr w14:paraId="49B5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noWrap w:val="0"/>
            <w:vAlign w:val="top"/>
          </w:tcPr>
          <w:p w14:paraId="610DFDA7">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343000AB">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16512D00">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37DF62BD">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5A727170">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5A4C2C5D">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0A433F8">
            <w:pPr>
              <w:pStyle w:val="46"/>
              <w:spacing w:line="560" w:lineRule="exact"/>
              <w:jc w:val="center"/>
              <w:rPr>
                <w:rFonts w:hint="eastAsia" w:ascii="仿宋_GB2312" w:eastAsia="仿宋_GB2312"/>
                <w:color w:val="auto"/>
                <w:sz w:val="24"/>
                <w:highlight w:val="none"/>
              </w:rPr>
            </w:pPr>
          </w:p>
        </w:tc>
      </w:tr>
      <w:tr w14:paraId="7CFA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12626FBB">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69C343B9">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3901BC90">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0037003F">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685FD503">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0FE73B4B">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D121C64">
            <w:pPr>
              <w:pStyle w:val="46"/>
              <w:spacing w:line="560" w:lineRule="exact"/>
              <w:jc w:val="center"/>
              <w:rPr>
                <w:rFonts w:hint="eastAsia" w:ascii="仿宋_GB2312" w:eastAsia="仿宋_GB2312"/>
                <w:color w:val="auto"/>
                <w:sz w:val="24"/>
                <w:highlight w:val="none"/>
              </w:rPr>
            </w:pPr>
          </w:p>
        </w:tc>
      </w:tr>
      <w:tr w14:paraId="3597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1F4798B0">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16224465">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6954D47A">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407619F1">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63364E81">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0DC9277A">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1148F4A">
            <w:pPr>
              <w:pStyle w:val="46"/>
              <w:spacing w:line="560" w:lineRule="exact"/>
              <w:jc w:val="center"/>
              <w:rPr>
                <w:rFonts w:hint="eastAsia" w:ascii="仿宋_GB2312" w:eastAsia="仿宋_GB2312"/>
                <w:color w:val="auto"/>
                <w:sz w:val="24"/>
                <w:highlight w:val="none"/>
              </w:rPr>
            </w:pPr>
          </w:p>
        </w:tc>
      </w:tr>
      <w:tr w14:paraId="1D34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noWrap w:val="0"/>
            <w:vAlign w:val="top"/>
          </w:tcPr>
          <w:p w14:paraId="44305EBD">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2B1593D0">
            <w:pPr>
              <w:pStyle w:val="46"/>
              <w:widowControl/>
              <w:spacing w:line="560" w:lineRule="exact"/>
              <w:jc w:val="center"/>
              <w:rPr>
                <w:rFonts w:hint="eastAsia" w:ascii="仿宋_GB2312" w:eastAsia="仿宋_GB2312"/>
                <w:color w:val="auto"/>
                <w:sz w:val="24"/>
                <w:highlight w:val="none"/>
              </w:rPr>
            </w:pPr>
          </w:p>
        </w:tc>
        <w:tc>
          <w:tcPr>
            <w:tcW w:w="2200" w:type="dxa"/>
            <w:noWrap w:val="0"/>
            <w:vAlign w:val="top"/>
          </w:tcPr>
          <w:p w14:paraId="4F9E21B7">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2F1392DA">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097B658A">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30FD9592">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7F32098">
            <w:pPr>
              <w:pStyle w:val="46"/>
              <w:spacing w:line="560" w:lineRule="exact"/>
              <w:jc w:val="center"/>
              <w:rPr>
                <w:rFonts w:hint="eastAsia" w:ascii="仿宋_GB2312" w:eastAsia="仿宋_GB2312"/>
                <w:color w:val="auto"/>
                <w:sz w:val="24"/>
                <w:highlight w:val="none"/>
              </w:rPr>
            </w:pPr>
          </w:p>
        </w:tc>
      </w:tr>
      <w:tr w14:paraId="50C2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noWrap w:val="0"/>
            <w:vAlign w:val="top"/>
          </w:tcPr>
          <w:p w14:paraId="39814DBE">
            <w:pPr>
              <w:pStyle w:val="46"/>
              <w:widowControl/>
              <w:spacing w:line="560" w:lineRule="exact"/>
              <w:rPr>
                <w:rFonts w:hint="eastAsia" w:ascii="仿宋_GB2312" w:eastAsia="仿宋_GB2312"/>
                <w:color w:val="auto"/>
                <w:sz w:val="28"/>
                <w:szCs w:val="28"/>
                <w:highlight w:val="none"/>
              </w:rPr>
            </w:pPr>
          </w:p>
        </w:tc>
        <w:tc>
          <w:tcPr>
            <w:tcW w:w="1793" w:type="dxa"/>
            <w:noWrap w:val="0"/>
            <w:vAlign w:val="top"/>
          </w:tcPr>
          <w:p w14:paraId="0FAEC2B0">
            <w:pPr>
              <w:pStyle w:val="46"/>
              <w:widowControl/>
              <w:spacing w:line="56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安装调试费</w:t>
            </w:r>
          </w:p>
        </w:tc>
        <w:tc>
          <w:tcPr>
            <w:tcW w:w="2200" w:type="dxa"/>
            <w:noWrap w:val="0"/>
            <w:vAlign w:val="top"/>
          </w:tcPr>
          <w:p w14:paraId="63E9FDAB">
            <w:pPr>
              <w:pStyle w:val="46"/>
              <w:widowControl/>
              <w:spacing w:line="560" w:lineRule="exact"/>
              <w:jc w:val="center"/>
              <w:rPr>
                <w:rFonts w:hint="eastAsia" w:ascii="仿宋_GB2312" w:eastAsia="仿宋_GB2312"/>
                <w:color w:val="auto"/>
                <w:sz w:val="24"/>
                <w:highlight w:val="none"/>
              </w:rPr>
            </w:pPr>
          </w:p>
        </w:tc>
        <w:tc>
          <w:tcPr>
            <w:tcW w:w="1103" w:type="dxa"/>
            <w:noWrap w:val="0"/>
            <w:vAlign w:val="center"/>
          </w:tcPr>
          <w:p w14:paraId="005F1417">
            <w:pPr>
              <w:pStyle w:val="46"/>
              <w:spacing w:line="560" w:lineRule="exact"/>
              <w:jc w:val="center"/>
              <w:rPr>
                <w:rFonts w:hint="eastAsia" w:ascii="仿宋_GB2312" w:eastAsia="仿宋_GB2312"/>
                <w:color w:val="auto"/>
                <w:sz w:val="24"/>
                <w:highlight w:val="none"/>
              </w:rPr>
            </w:pPr>
          </w:p>
        </w:tc>
        <w:tc>
          <w:tcPr>
            <w:tcW w:w="962" w:type="dxa"/>
            <w:noWrap w:val="0"/>
            <w:vAlign w:val="top"/>
          </w:tcPr>
          <w:p w14:paraId="5F705C8A">
            <w:pPr>
              <w:pStyle w:val="46"/>
              <w:widowControl/>
              <w:spacing w:line="560" w:lineRule="exact"/>
              <w:jc w:val="center"/>
              <w:rPr>
                <w:rFonts w:hint="eastAsia" w:ascii="仿宋_GB2312" w:eastAsia="仿宋_GB2312"/>
                <w:color w:val="auto"/>
                <w:sz w:val="24"/>
                <w:highlight w:val="none"/>
              </w:rPr>
            </w:pPr>
          </w:p>
        </w:tc>
        <w:tc>
          <w:tcPr>
            <w:tcW w:w="1030" w:type="dxa"/>
            <w:noWrap w:val="0"/>
            <w:vAlign w:val="center"/>
          </w:tcPr>
          <w:p w14:paraId="664D4302">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14DCCEE9">
            <w:pPr>
              <w:pStyle w:val="46"/>
              <w:spacing w:line="560" w:lineRule="exact"/>
              <w:jc w:val="center"/>
              <w:rPr>
                <w:rFonts w:hint="eastAsia" w:ascii="仿宋_GB2312" w:eastAsia="仿宋_GB2312"/>
                <w:color w:val="auto"/>
                <w:sz w:val="24"/>
                <w:highlight w:val="none"/>
              </w:rPr>
            </w:pPr>
          </w:p>
        </w:tc>
      </w:tr>
      <w:tr w14:paraId="74AB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noWrap w:val="0"/>
            <w:vAlign w:val="center"/>
          </w:tcPr>
          <w:p w14:paraId="28B0A0C4">
            <w:pPr>
              <w:pStyle w:val="46"/>
              <w:spacing w:line="560" w:lineRule="exact"/>
              <w:jc w:val="center"/>
              <w:rPr>
                <w:rFonts w:hint="eastAsia" w:ascii="仿宋_GB2312" w:eastAsia="仿宋_GB2312"/>
                <w:i/>
                <w:iCs/>
                <w:color w:val="auto"/>
                <w:sz w:val="28"/>
                <w:szCs w:val="28"/>
                <w:highlight w:val="none"/>
              </w:rPr>
            </w:pPr>
            <w:r>
              <w:rPr>
                <w:rFonts w:hint="eastAsia" w:ascii="仿宋_GB2312" w:eastAsia="仿宋_GB2312"/>
                <w:i/>
                <w:iCs/>
                <w:color w:val="auto"/>
                <w:sz w:val="28"/>
                <w:szCs w:val="28"/>
                <w:highlight w:val="none"/>
              </w:rPr>
              <w:t>…</w:t>
            </w:r>
          </w:p>
        </w:tc>
        <w:tc>
          <w:tcPr>
            <w:tcW w:w="1793" w:type="dxa"/>
            <w:noWrap w:val="0"/>
            <w:vAlign w:val="center"/>
          </w:tcPr>
          <w:p w14:paraId="376DAC50">
            <w:pPr>
              <w:pStyle w:val="46"/>
              <w:spacing w:line="560" w:lineRule="exact"/>
              <w:jc w:val="center"/>
              <w:rPr>
                <w:rFonts w:hint="eastAsia" w:ascii="仿宋_GB2312" w:eastAsia="仿宋_GB2312"/>
                <w:iCs/>
                <w:color w:val="auto"/>
                <w:sz w:val="24"/>
                <w:highlight w:val="none"/>
              </w:rPr>
            </w:pPr>
            <w:r>
              <w:rPr>
                <w:rFonts w:hint="eastAsia" w:ascii="仿宋_GB2312" w:eastAsia="仿宋_GB2312"/>
                <w:iCs/>
                <w:color w:val="auto"/>
                <w:sz w:val="24"/>
                <w:highlight w:val="none"/>
              </w:rPr>
              <w:t>税金</w:t>
            </w:r>
          </w:p>
        </w:tc>
        <w:tc>
          <w:tcPr>
            <w:tcW w:w="2200" w:type="dxa"/>
            <w:noWrap w:val="0"/>
            <w:vAlign w:val="center"/>
          </w:tcPr>
          <w:p w14:paraId="7A7DB7F6">
            <w:pPr>
              <w:pStyle w:val="46"/>
              <w:spacing w:line="560" w:lineRule="exact"/>
              <w:jc w:val="center"/>
              <w:rPr>
                <w:rFonts w:hint="eastAsia" w:ascii="仿宋_GB2312" w:eastAsia="仿宋_GB2312"/>
                <w:i/>
                <w:iCs/>
                <w:color w:val="auto"/>
                <w:sz w:val="24"/>
                <w:highlight w:val="none"/>
              </w:rPr>
            </w:pPr>
          </w:p>
        </w:tc>
        <w:tc>
          <w:tcPr>
            <w:tcW w:w="1103" w:type="dxa"/>
            <w:noWrap w:val="0"/>
            <w:vAlign w:val="center"/>
          </w:tcPr>
          <w:p w14:paraId="0B5EBF38">
            <w:pPr>
              <w:pStyle w:val="46"/>
              <w:spacing w:line="560" w:lineRule="exact"/>
              <w:jc w:val="center"/>
              <w:rPr>
                <w:rFonts w:hint="eastAsia" w:ascii="仿宋_GB2312" w:eastAsia="仿宋_GB2312"/>
                <w:color w:val="auto"/>
                <w:sz w:val="24"/>
                <w:highlight w:val="none"/>
              </w:rPr>
            </w:pPr>
          </w:p>
        </w:tc>
        <w:tc>
          <w:tcPr>
            <w:tcW w:w="962" w:type="dxa"/>
            <w:noWrap w:val="0"/>
            <w:vAlign w:val="center"/>
          </w:tcPr>
          <w:p w14:paraId="35096D43">
            <w:pPr>
              <w:pStyle w:val="46"/>
              <w:spacing w:line="560" w:lineRule="exact"/>
              <w:jc w:val="center"/>
              <w:rPr>
                <w:rFonts w:hint="eastAsia" w:ascii="仿宋_GB2312" w:eastAsia="仿宋_GB2312"/>
                <w:color w:val="auto"/>
                <w:sz w:val="24"/>
                <w:highlight w:val="none"/>
              </w:rPr>
            </w:pPr>
          </w:p>
        </w:tc>
        <w:tc>
          <w:tcPr>
            <w:tcW w:w="1030" w:type="dxa"/>
            <w:noWrap w:val="0"/>
            <w:vAlign w:val="center"/>
          </w:tcPr>
          <w:p w14:paraId="70FE1D15">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396A9524">
            <w:pPr>
              <w:pStyle w:val="46"/>
              <w:spacing w:line="560" w:lineRule="exact"/>
              <w:jc w:val="center"/>
              <w:rPr>
                <w:rFonts w:hint="eastAsia" w:ascii="仿宋_GB2312" w:eastAsia="仿宋_GB2312"/>
                <w:color w:val="auto"/>
                <w:sz w:val="24"/>
                <w:highlight w:val="none"/>
              </w:rPr>
            </w:pPr>
          </w:p>
        </w:tc>
      </w:tr>
      <w:tr w14:paraId="5A2E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noWrap w:val="0"/>
            <w:vAlign w:val="center"/>
          </w:tcPr>
          <w:p w14:paraId="57D61669">
            <w:pPr>
              <w:pStyle w:val="46"/>
              <w:spacing w:line="560" w:lineRule="exact"/>
              <w:jc w:val="center"/>
              <w:rPr>
                <w:rFonts w:hint="eastAsia" w:ascii="仿宋_GB2312" w:eastAsia="仿宋_GB2312"/>
                <w:i/>
                <w:iCs/>
                <w:color w:val="auto"/>
                <w:sz w:val="28"/>
                <w:szCs w:val="28"/>
                <w:highlight w:val="none"/>
              </w:rPr>
            </w:pPr>
          </w:p>
        </w:tc>
        <w:tc>
          <w:tcPr>
            <w:tcW w:w="6058" w:type="dxa"/>
            <w:gridSpan w:val="4"/>
            <w:noWrap w:val="0"/>
            <w:vAlign w:val="center"/>
          </w:tcPr>
          <w:p w14:paraId="52E08970">
            <w:pPr>
              <w:pStyle w:val="46"/>
              <w:spacing w:line="560" w:lineRule="exact"/>
              <w:jc w:val="center"/>
              <w:rPr>
                <w:rFonts w:hint="eastAsia" w:ascii="仿宋_GB2312" w:eastAsia="仿宋_GB2312"/>
                <w:color w:val="auto"/>
                <w:sz w:val="24"/>
                <w:highlight w:val="none"/>
              </w:rPr>
            </w:pPr>
            <w:r>
              <w:rPr>
                <w:rFonts w:hint="eastAsia" w:ascii="仿宋_GB2312" w:eastAsia="仿宋_GB2312"/>
                <w:iCs/>
                <w:color w:val="auto"/>
                <w:sz w:val="24"/>
                <w:highlight w:val="none"/>
              </w:rPr>
              <w:t>合计</w:t>
            </w:r>
          </w:p>
        </w:tc>
        <w:tc>
          <w:tcPr>
            <w:tcW w:w="1030" w:type="dxa"/>
            <w:noWrap w:val="0"/>
            <w:vAlign w:val="center"/>
          </w:tcPr>
          <w:p w14:paraId="67EA3B7C">
            <w:pPr>
              <w:pStyle w:val="46"/>
              <w:spacing w:line="560" w:lineRule="exact"/>
              <w:jc w:val="center"/>
              <w:rPr>
                <w:rFonts w:hint="eastAsia" w:ascii="仿宋_GB2312" w:eastAsia="仿宋_GB2312"/>
                <w:color w:val="auto"/>
                <w:sz w:val="24"/>
                <w:highlight w:val="none"/>
              </w:rPr>
            </w:pPr>
          </w:p>
        </w:tc>
        <w:tc>
          <w:tcPr>
            <w:tcW w:w="1980" w:type="dxa"/>
            <w:noWrap w:val="0"/>
            <w:vAlign w:val="center"/>
          </w:tcPr>
          <w:p w14:paraId="0CDFEEF7">
            <w:pPr>
              <w:pStyle w:val="46"/>
              <w:spacing w:line="560" w:lineRule="exact"/>
              <w:jc w:val="center"/>
              <w:rPr>
                <w:rFonts w:hint="eastAsia" w:ascii="仿宋_GB2312" w:eastAsia="仿宋_GB2312"/>
                <w:color w:val="auto"/>
                <w:sz w:val="24"/>
                <w:highlight w:val="none"/>
              </w:rPr>
            </w:pPr>
          </w:p>
        </w:tc>
      </w:tr>
      <w:tr w14:paraId="4F46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noWrap w:val="0"/>
            <w:vAlign w:val="center"/>
          </w:tcPr>
          <w:p w14:paraId="067810B0">
            <w:pPr>
              <w:pStyle w:val="46"/>
              <w:spacing w:line="560" w:lineRule="exact"/>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投标</w:t>
            </w:r>
          </w:p>
          <w:p w14:paraId="3C51FD12">
            <w:pPr>
              <w:pStyle w:val="46"/>
              <w:spacing w:line="560" w:lineRule="exact"/>
              <w:jc w:val="center"/>
              <w:rPr>
                <w:rFonts w:hint="eastAsia" w:ascii="仿宋_GB2312" w:eastAsia="仿宋_GB2312"/>
                <w:b/>
                <w:bCs/>
                <w:color w:val="auto"/>
                <w:sz w:val="24"/>
                <w:highlight w:val="none"/>
              </w:rPr>
            </w:pPr>
            <w:r>
              <w:rPr>
                <w:rFonts w:hint="eastAsia" w:ascii="仿宋_GB2312" w:eastAsia="仿宋_GB2312"/>
                <w:b/>
                <w:bCs/>
                <w:color w:val="auto"/>
                <w:sz w:val="28"/>
                <w:szCs w:val="28"/>
                <w:highlight w:val="none"/>
              </w:rPr>
              <w:t>报价总计</w:t>
            </w:r>
          </w:p>
        </w:tc>
        <w:tc>
          <w:tcPr>
            <w:tcW w:w="7275" w:type="dxa"/>
            <w:gridSpan w:val="5"/>
            <w:noWrap w:val="0"/>
            <w:vAlign w:val="center"/>
          </w:tcPr>
          <w:p w14:paraId="3B53DFFA">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p>
          <w:p w14:paraId="4AC2CFBD">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rPr>
              <w:t>人民币（大写）：</w:t>
            </w:r>
          </w:p>
          <w:p w14:paraId="08203203">
            <w:pPr>
              <w:pStyle w:val="46"/>
              <w:spacing w:line="560" w:lineRule="exact"/>
              <w:rPr>
                <w:rFonts w:hint="eastAsia" w:ascii="仿宋_GB2312" w:eastAsia="仿宋_GB2312"/>
                <w:b/>
                <w:bCs/>
                <w:color w:val="auto"/>
                <w:sz w:val="24"/>
                <w:highlight w:val="none"/>
              </w:rPr>
            </w:pP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仟</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佰</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拾</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万</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仟</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佰</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拾</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元</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角</w:t>
            </w:r>
            <w:r>
              <w:rPr>
                <w:rFonts w:hint="eastAsia" w:ascii="仿宋_GB2312" w:eastAsia="仿宋_GB2312"/>
                <w:b/>
                <w:bCs/>
                <w:color w:val="auto"/>
                <w:sz w:val="24"/>
                <w:highlight w:val="none"/>
                <w:u w:val="single"/>
              </w:rPr>
              <w:t xml:space="preserve">   </w:t>
            </w:r>
            <w:r>
              <w:rPr>
                <w:rFonts w:hint="eastAsia" w:ascii="仿宋_GB2312" w:eastAsia="仿宋_GB2312"/>
                <w:b/>
                <w:bCs/>
                <w:color w:val="auto"/>
                <w:sz w:val="24"/>
                <w:highlight w:val="none"/>
              </w:rPr>
              <w:t>分</w:t>
            </w:r>
          </w:p>
        </w:tc>
      </w:tr>
    </w:tbl>
    <w:p w14:paraId="5560A450">
      <w:pPr>
        <w:pStyle w:val="46"/>
        <w:ind w:firstLine="480" w:firstLineChars="200"/>
        <w:rPr>
          <w:rFonts w:hint="eastAsia" w:ascii="仿宋_GB2312" w:eastAsia="仿宋_GB2312"/>
          <w:b/>
          <w:color w:val="auto"/>
          <w:sz w:val="24"/>
          <w:highlight w:val="none"/>
        </w:rPr>
      </w:pPr>
      <w:r>
        <w:rPr>
          <w:rFonts w:hint="eastAsia" w:ascii="仿宋_GB2312" w:eastAsia="仿宋_GB2312"/>
          <w:color w:val="auto"/>
          <w:sz w:val="24"/>
          <w:highlight w:val="none"/>
        </w:rPr>
        <w:t>注：</w:t>
      </w:r>
      <w:r>
        <w:rPr>
          <w:rFonts w:hint="eastAsia" w:ascii="仿宋_GB2312" w:eastAsia="仿宋_GB2312"/>
          <w:color w:val="auto"/>
          <w:sz w:val="24"/>
          <w:szCs w:val="30"/>
          <w:highlight w:val="none"/>
        </w:rPr>
        <w:t>投标人应分项进行填报，表中表格行数可自行添加。</w:t>
      </w:r>
      <w:r>
        <w:rPr>
          <w:rFonts w:hint="eastAsia" w:ascii="仿宋_GB2312" w:eastAsia="仿宋_GB2312"/>
          <w:iCs/>
          <w:color w:val="auto"/>
          <w:sz w:val="24"/>
          <w:szCs w:val="28"/>
          <w:highlight w:val="none"/>
        </w:rPr>
        <w:t>招标文件中未列出的相关辅助材料和在实施过程中涉及到的其它一切费用应在报价时一并考虑，项目实施过程中不再单独结算。</w:t>
      </w:r>
      <w:r>
        <w:rPr>
          <w:rFonts w:hint="eastAsia" w:ascii="仿宋_GB2312" w:eastAsia="仿宋_GB2312"/>
          <w:b/>
          <w:color w:val="auto"/>
          <w:sz w:val="24"/>
          <w:szCs w:val="30"/>
          <w:highlight w:val="none"/>
        </w:rPr>
        <w:t>表中投标报价总计应与对应报价一览表中投标总价一致</w:t>
      </w:r>
      <w:r>
        <w:rPr>
          <w:rFonts w:hint="eastAsia" w:ascii="仿宋_GB2312" w:eastAsia="仿宋_GB2312"/>
          <w:b/>
          <w:color w:val="auto"/>
          <w:sz w:val="24"/>
          <w:highlight w:val="none"/>
        </w:rPr>
        <w:t>。</w:t>
      </w:r>
    </w:p>
    <w:p w14:paraId="3F047382">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256B34D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4F8E64A7">
      <w:pPr>
        <w:pStyle w:val="47"/>
        <w:outlineLvl w:val="1"/>
        <w:rPr>
          <w:color w:val="auto"/>
          <w:highlight w:val="none"/>
        </w:rPr>
      </w:pPr>
      <w:bookmarkStart w:id="126" w:name="_Toc514054496"/>
      <w:r>
        <w:rPr>
          <w:color w:val="auto"/>
          <w:highlight w:val="none"/>
        </w:rPr>
        <w:br w:type="page"/>
      </w:r>
      <w:bookmarkEnd w:id="126"/>
      <w:bookmarkStart w:id="127" w:name="_Toc16234"/>
      <w:bookmarkStart w:id="128" w:name="_Toc514054497"/>
    </w:p>
    <w:p w14:paraId="1953A457">
      <w:pPr>
        <w:pStyle w:val="48"/>
        <w:outlineLvl w:val="1"/>
        <w:rPr>
          <w:color w:val="auto"/>
          <w:highlight w:val="none"/>
        </w:rPr>
      </w:pPr>
      <w:r>
        <w:rPr>
          <w:color w:val="auto"/>
          <w:highlight w:val="none"/>
        </w:rPr>
        <w:t>十</w:t>
      </w:r>
      <w:r>
        <w:rPr>
          <w:rFonts w:hint="eastAsia"/>
          <w:color w:val="auto"/>
          <w:highlight w:val="none"/>
        </w:rPr>
        <w:t>一</w:t>
      </w:r>
      <w:r>
        <w:rPr>
          <w:color w:val="auto"/>
          <w:highlight w:val="none"/>
        </w:rPr>
        <w:t>、响应偏差表</w:t>
      </w:r>
      <w:bookmarkEnd w:id="127"/>
      <w:bookmarkEnd w:id="128"/>
    </w:p>
    <w:p w14:paraId="52C5EE40">
      <w:pPr>
        <w:pStyle w:val="49"/>
        <w:jc w:val="center"/>
        <w:rPr>
          <w:rFonts w:hint="eastAsia"/>
          <w:color w:val="auto"/>
          <w:sz w:val="32"/>
          <w:szCs w:val="32"/>
          <w:highlight w:val="none"/>
        </w:rPr>
      </w:pPr>
      <w:bookmarkStart w:id="129" w:name="_Toc29509_WPSOffice_Level2"/>
      <w:r>
        <w:rPr>
          <w:rFonts w:hint="eastAsia"/>
          <w:color w:val="auto"/>
          <w:sz w:val="32"/>
          <w:szCs w:val="32"/>
          <w:highlight w:val="none"/>
        </w:rPr>
        <w:t>（一）投标技术响应偏差表</w:t>
      </w:r>
      <w:bookmarkEnd w:id="12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5B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6CE72F02">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8983CBC">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F5E2CB2">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偏差内容及说明</w:t>
            </w:r>
          </w:p>
        </w:tc>
      </w:tr>
      <w:tr w14:paraId="276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6E8ED9B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DF6DB1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7E5B7A8">
            <w:pPr>
              <w:pStyle w:val="49"/>
              <w:spacing w:line="560" w:lineRule="exact"/>
              <w:jc w:val="center"/>
              <w:rPr>
                <w:rFonts w:ascii="仿宋_GB2312" w:eastAsia="仿宋_GB2312"/>
                <w:color w:val="auto"/>
                <w:sz w:val="24"/>
                <w:highlight w:val="none"/>
              </w:rPr>
            </w:pPr>
          </w:p>
        </w:tc>
      </w:tr>
      <w:tr w14:paraId="49E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7020F9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81A343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DB520AA">
            <w:pPr>
              <w:pStyle w:val="49"/>
              <w:spacing w:line="560" w:lineRule="exact"/>
              <w:jc w:val="center"/>
              <w:rPr>
                <w:rFonts w:ascii="仿宋_GB2312" w:eastAsia="仿宋_GB2312"/>
                <w:color w:val="auto"/>
                <w:sz w:val="24"/>
                <w:highlight w:val="none"/>
              </w:rPr>
            </w:pPr>
          </w:p>
        </w:tc>
      </w:tr>
      <w:tr w14:paraId="2339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45B3DB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12E9F3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432BF71">
            <w:pPr>
              <w:pStyle w:val="49"/>
              <w:spacing w:line="560" w:lineRule="exact"/>
              <w:jc w:val="center"/>
              <w:rPr>
                <w:rFonts w:ascii="仿宋_GB2312" w:eastAsia="仿宋_GB2312"/>
                <w:color w:val="auto"/>
                <w:sz w:val="24"/>
                <w:highlight w:val="none"/>
              </w:rPr>
            </w:pPr>
          </w:p>
        </w:tc>
      </w:tr>
      <w:tr w14:paraId="6226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3C1AF2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43365B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E2E94F8">
            <w:pPr>
              <w:pStyle w:val="49"/>
              <w:spacing w:line="560" w:lineRule="exact"/>
              <w:jc w:val="center"/>
              <w:rPr>
                <w:rFonts w:ascii="仿宋_GB2312" w:eastAsia="仿宋_GB2312"/>
                <w:color w:val="auto"/>
                <w:sz w:val="24"/>
                <w:highlight w:val="none"/>
              </w:rPr>
            </w:pPr>
          </w:p>
        </w:tc>
      </w:tr>
      <w:tr w14:paraId="606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DDB6A3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B6399F3">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0B659FA">
            <w:pPr>
              <w:pStyle w:val="49"/>
              <w:spacing w:line="560" w:lineRule="exact"/>
              <w:jc w:val="center"/>
              <w:rPr>
                <w:rFonts w:ascii="仿宋_GB2312" w:eastAsia="仿宋_GB2312"/>
                <w:color w:val="auto"/>
                <w:sz w:val="24"/>
                <w:highlight w:val="none"/>
              </w:rPr>
            </w:pPr>
          </w:p>
        </w:tc>
      </w:tr>
      <w:tr w14:paraId="5EC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7246A9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D5040D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4DC8070">
            <w:pPr>
              <w:pStyle w:val="49"/>
              <w:spacing w:line="560" w:lineRule="exact"/>
              <w:jc w:val="center"/>
              <w:rPr>
                <w:rFonts w:ascii="仿宋_GB2312" w:eastAsia="仿宋_GB2312"/>
                <w:color w:val="auto"/>
                <w:sz w:val="24"/>
                <w:highlight w:val="none"/>
              </w:rPr>
            </w:pPr>
          </w:p>
        </w:tc>
      </w:tr>
      <w:tr w14:paraId="1831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29DE748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7CEA07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70D725F">
            <w:pPr>
              <w:pStyle w:val="49"/>
              <w:spacing w:line="560" w:lineRule="exact"/>
              <w:jc w:val="center"/>
              <w:rPr>
                <w:rFonts w:ascii="仿宋_GB2312" w:eastAsia="仿宋_GB2312"/>
                <w:color w:val="auto"/>
                <w:sz w:val="24"/>
                <w:highlight w:val="none"/>
              </w:rPr>
            </w:pPr>
          </w:p>
        </w:tc>
      </w:tr>
      <w:tr w14:paraId="0FBC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472B44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79A2648">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F13F03B">
            <w:pPr>
              <w:pStyle w:val="49"/>
              <w:spacing w:line="560" w:lineRule="exact"/>
              <w:jc w:val="center"/>
              <w:rPr>
                <w:rFonts w:ascii="仿宋_GB2312" w:eastAsia="仿宋_GB2312"/>
                <w:color w:val="auto"/>
                <w:sz w:val="24"/>
                <w:highlight w:val="none"/>
              </w:rPr>
            </w:pPr>
          </w:p>
        </w:tc>
      </w:tr>
      <w:tr w14:paraId="2D76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4AA55E7">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319693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C86F7FF">
            <w:pPr>
              <w:pStyle w:val="49"/>
              <w:spacing w:line="560" w:lineRule="exact"/>
              <w:jc w:val="center"/>
              <w:rPr>
                <w:rFonts w:ascii="仿宋_GB2312" w:eastAsia="仿宋_GB2312"/>
                <w:color w:val="auto"/>
                <w:sz w:val="24"/>
                <w:highlight w:val="none"/>
              </w:rPr>
            </w:pPr>
          </w:p>
        </w:tc>
      </w:tr>
      <w:tr w14:paraId="6409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01E27C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A497789">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9F1254E">
            <w:pPr>
              <w:pStyle w:val="49"/>
              <w:spacing w:line="560" w:lineRule="exact"/>
              <w:jc w:val="center"/>
              <w:rPr>
                <w:rFonts w:ascii="仿宋_GB2312" w:eastAsia="仿宋_GB2312"/>
                <w:color w:val="auto"/>
                <w:sz w:val="24"/>
                <w:highlight w:val="none"/>
              </w:rPr>
            </w:pPr>
          </w:p>
        </w:tc>
      </w:tr>
    </w:tbl>
    <w:p w14:paraId="7C085415">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1D305C39">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3D0C6EFE">
      <w:pPr>
        <w:pStyle w:val="50"/>
        <w:ind w:firstLine="482"/>
        <w:rPr>
          <w:rFonts w:hint="eastAsia" w:hAnsi="宋体"/>
          <w:b/>
          <w:bCs/>
          <w:color w:val="auto"/>
          <w:sz w:val="24"/>
          <w:szCs w:val="28"/>
          <w:highlight w:val="none"/>
        </w:rPr>
      </w:pPr>
    </w:p>
    <w:p w14:paraId="69453401">
      <w:pPr>
        <w:pStyle w:val="50"/>
        <w:rPr>
          <w:rFonts w:hint="eastAsia" w:hAnsi="宋体"/>
          <w:b/>
          <w:bCs/>
          <w:color w:val="auto"/>
          <w:sz w:val="24"/>
          <w:szCs w:val="28"/>
          <w:highlight w:val="none"/>
        </w:rPr>
      </w:pPr>
      <w:r>
        <w:rPr>
          <w:rFonts w:hint="eastAsia" w:hAnsi="宋体"/>
          <w:b/>
          <w:bCs/>
          <w:color w:val="auto"/>
          <w:sz w:val="24"/>
          <w:szCs w:val="28"/>
          <w:highlight w:val="none"/>
        </w:rPr>
        <w:t>1、凡投标文件中所投货物或服务与招标文件有偏差的（包括正偏差，负偏差），均应在此表中详细列出并说明理由。第四部分技术要求须逐条应答。</w:t>
      </w:r>
    </w:p>
    <w:p w14:paraId="35D9014F">
      <w:pPr>
        <w:pStyle w:val="50"/>
        <w:rPr>
          <w:rFonts w:hint="eastAsia" w:hAnsi="宋体"/>
          <w:b/>
          <w:bCs/>
          <w:color w:val="auto"/>
          <w:sz w:val="24"/>
          <w:szCs w:val="28"/>
          <w:highlight w:val="none"/>
        </w:rPr>
      </w:pPr>
      <w:r>
        <w:rPr>
          <w:rFonts w:hint="eastAsia" w:hAnsi="宋体"/>
          <w:b/>
          <w:bCs/>
          <w:color w:val="auto"/>
          <w:sz w:val="24"/>
          <w:szCs w:val="28"/>
          <w:highlight w:val="none"/>
        </w:rPr>
        <w:t>2、投标人所投产品如与招标文件要求的规格及配置不一致，则须在上表偏离说明中详细注明。</w:t>
      </w:r>
    </w:p>
    <w:p w14:paraId="264C5B6A">
      <w:pPr>
        <w:pStyle w:val="50"/>
        <w:rPr>
          <w:rFonts w:hint="eastAsia" w:hAnsi="宋体"/>
          <w:b/>
          <w:bCs/>
          <w:color w:val="auto"/>
          <w:sz w:val="24"/>
          <w:szCs w:val="28"/>
          <w:highlight w:val="none"/>
        </w:rPr>
      </w:pPr>
      <w:r>
        <w:rPr>
          <w:rFonts w:hint="eastAsia" w:hAnsi="宋体"/>
          <w:b/>
          <w:bCs/>
          <w:color w:val="auto"/>
          <w:sz w:val="24"/>
          <w:szCs w:val="28"/>
          <w:highlight w:val="none"/>
        </w:rPr>
        <w:t>3、响应部分可后附详细说明及技术资料，并注明投标文件中对应的页码范围。</w:t>
      </w:r>
    </w:p>
    <w:p w14:paraId="1F0532C6">
      <w:pPr>
        <w:pStyle w:val="51"/>
        <w:jc w:val="center"/>
        <w:rPr>
          <w:rFonts w:hint="eastAsia"/>
          <w:color w:val="auto"/>
          <w:highlight w:val="none"/>
          <w:lang w:eastAsia="zh-CN"/>
        </w:rPr>
      </w:pPr>
    </w:p>
    <w:p w14:paraId="62EC8D78">
      <w:pPr>
        <w:pStyle w:val="51"/>
        <w:jc w:val="center"/>
        <w:rPr>
          <w:rFonts w:hint="eastAsia"/>
          <w:color w:val="auto"/>
          <w:highlight w:val="none"/>
          <w:lang w:eastAsia="zh-CN"/>
        </w:rPr>
      </w:pPr>
    </w:p>
    <w:p w14:paraId="479EFCB5">
      <w:pPr>
        <w:pStyle w:val="51"/>
        <w:jc w:val="center"/>
        <w:outlineLvl w:val="1"/>
        <w:rPr>
          <w:rFonts w:hint="eastAsia"/>
          <w:color w:val="auto"/>
          <w:highlight w:val="none"/>
          <w:lang w:eastAsia="zh-CN"/>
        </w:rPr>
      </w:pPr>
      <w:bookmarkStart w:id="130" w:name="_Toc514054498"/>
      <w:bookmarkStart w:id="131" w:name="_Toc3171_WPSOffice_Level2"/>
      <w:bookmarkStart w:id="132" w:name="_Toc9396"/>
      <w:r>
        <w:rPr>
          <w:rFonts w:hint="eastAsia"/>
          <w:color w:val="auto"/>
          <w:highlight w:val="none"/>
          <w:lang w:eastAsia="zh-CN"/>
        </w:rPr>
        <w:t>（二）投标商务偏离表</w:t>
      </w:r>
      <w:bookmarkEnd w:id="130"/>
      <w:bookmarkEnd w:id="131"/>
      <w:bookmarkEnd w:id="132"/>
    </w:p>
    <w:p w14:paraId="1465657C">
      <w:pPr>
        <w:pStyle w:val="51"/>
        <w:outlineLvl w:val="1"/>
        <w:rPr>
          <w:rFonts w:hint="eastAsia"/>
          <w:color w:val="auto"/>
          <w:highlight w:val="none"/>
          <w:lang w:eastAsia="zh-CN"/>
        </w:rPr>
      </w:pPr>
      <w:bookmarkStart w:id="133" w:name="_Toc19062"/>
      <w:bookmarkStart w:id="134" w:name="_Toc27869_WPSOffice_Level1"/>
      <w:bookmarkStart w:id="135" w:name="_Toc514054499"/>
      <w:r>
        <w:rPr>
          <w:rFonts w:hint="eastAsia"/>
          <w:color w:val="auto"/>
          <w:highlight w:val="none"/>
          <w:lang w:eastAsia="zh-CN"/>
        </w:rPr>
        <w:t>（付款方式、交货期、质保期须</w:t>
      </w:r>
      <w:r>
        <w:rPr>
          <w:rFonts w:hint="eastAsia"/>
          <w:color w:val="auto"/>
          <w:highlight w:val="none"/>
          <w:lang w:val="en-US" w:eastAsia="zh-CN"/>
        </w:rPr>
        <w:t>逐条</w:t>
      </w:r>
      <w:r>
        <w:rPr>
          <w:rFonts w:hint="eastAsia"/>
          <w:color w:val="auto"/>
          <w:highlight w:val="none"/>
          <w:lang w:eastAsia="zh-CN"/>
        </w:rPr>
        <w:t>应答，</w:t>
      </w:r>
      <w:r>
        <w:rPr>
          <w:rFonts w:hint="eastAsia"/>
          <w:color w:val="auto"/>
          <w:highlight w:val="none"/>
          <w:lang w:val="en-US" w:eastAsia="zh-CN"/>
        </w:rPr>
        <w:t>且不可负偏差</w:t>
      </w:r>
      <w:r>
        <w:rPr>
          <w:rFonts w:hint="eastAsia"/>
          <w:color w:val="auto"/>
          <w:highlight w:val="none"/>
          <w:lang w:eastAsia="zh-CN"/>
        </w:rPr>
        <w:t>）</w:t>
      </w:r>
      <w:bookmarkEnd w:id="133"/>
      <w:bookmarkEnd w:id="134"/>
      <w:bookmarkEnd w:id="13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43CB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950DCDF">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078F2EA">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969C859">
            <w:pPr>
              <w:pStyle w:val="49"/>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偏差内容及说明</w:t>
            </w:r>
          </w:p>
        </w:tc>
      </w:tr>
      <w:tr w14:paraId="0BEE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18BC89B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38E993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1EE64D2">
            <w:pPr>
              <w:pStyle w:val="49"/>
              <w:spacing w:line="560" w:lineRule="exact"/>
              <w:jc w:val="center"/>
              <w:rPr>
                <w:rFonts w:ascii="仿宋_GB2312" w:eastAsia="仿宋_GB2312"/>
                <w:color w:val="auto"/>
                <w:sz w:val="24"/>
                <w:highlight w:val="none"/>
              </w:rPr>
            </w:pPr>
          </w:p>
        </w:tc>
      </w:tr>
      <w:tr w14:paraId="1CC6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3CDB741">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980BED8">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28CAC50">
            <w:pPr>
              <w:pStyle w:val="49"/>
              <w:spacing w:line="560" w:lineRule="exact"/>
              <w:jc w:val="center"/>
              <w:rPr>
                <w:rFonts w:ascii="仿宋_GB2312" w:eastAsia="仿宋_GB2312"/>
                <w:color w:val="auto"/>
                <w:sz w:val="24"/>
                <w:highlight w:val="none"/>
              </w:rPr>
            </w:pPr>
          </w:p>
        </w:tc>
      </w:tr>
      <w:tr w14:paraId="54E9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F957EA5">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B655B5A">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F0AD52F">
            <w:pPr>
              <w:pStyle w:val="49"/>
              <w:spacing w:line="560" w:lineRule="exact"/>
              <w:jc w:val="center"/>
              <w:rPr>
                <w:rFonts w:ascii="仿宋_GB2312" w:eastAsia="仿宋_GB2312"/>
                <w:color w:val="auto"/>
                <w:sz w:val="24"/>
                <w:highlight w:val="none"/>
              </w:rPr>
            </w:pPr>
          </w:p>
        </w:tc>
      </w:tr>
      <w:tr w14:paraId="6723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F5CB59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28A3D63">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FB39EBD">
            <w:pPr>
              <w:pStyle w:val="49"/>
              <w:spacing w:line="560" w:lineRule="exact"/>
              <w:jc w:val="center"/>
              <w:rPr>
                <w:rFonts w:ascii="仿宋_GB2312" w:eastAsia="仿宋_GB2312"/>
                <w:color w:val="auto"/>
                <w:sz w:val="24"/>
                <w:highlight w:val="none"/>
              </w:rPr>
            </w:pPr>
          </w:p>
        </w:tc>
      </w:tr>
      <w:tr w14:paraId="027A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0241A4FC">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BDE00F6">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9641C2D">
            <w:pPr>
              <w:pStyle w:val="49"/>
              <w:spacing w:line="560" w:lineRule="exact"/>
              <w:jc w:val="center"/>
              <w:rPr>
                <w:rFonts w:ascii="仿宋_GB2312" w:eastAsia="仿宋_GB2312"/>
                <w:color w:val="auto"/>
                <w:sz w:val="24"/>
                <w:highlight w:val="none"/>
              </w:rPr>
            </w:pPr>
          </w:p>
        </w:tc>
      </w:tr>
      <w:tr w14:paraId="031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35D187A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5E28790">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4034830">
            <w:pPr>
              <w:pStyle w:val="49"/>
              <w:spacing w:line="560" w:lineRule="exact"/>
              <w:jc w:val="center"/>
              <w:rPr>
                <w:rFonts w:ascii="仿宋_GB2312" w:eastAsia="仿宋_GB2312"/>
                <w:color w:val="auto"/>
                <w:sz w:val="24"/>
                <w:highlight w:val="none"/>
              </w:rPr>
            </w:pPr>
          </w:p>
        </w:tc>
      </w:tr>
      <w:tr w14:paraId="33C0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432836EF">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2BBD631">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55FE29A">
            <w:pPr>
              <w:pStyle w:val="49"/>
              <w:spacing w:line="560" w:lineRule="exact"/>
              <w:jc w:val="center"/>
              <w:rPr>
                <w:rFonts w:ascii="仿宋_GB2312" w:eastAsia="仿宋_GB2312"/>
                <w:color w:val="auto"/>
                <w:sz w:val="24"/>
                <w:highlight w:val="none"/>
              </w:rPr>
            </w:pPr>
          </w:p>
        </w:tc>
      </w:tr>
      <w:tr w14:paraId="4EF3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808681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96A7C1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9374679">
            <w:pPr>
              <w:pStyle w:val="49"/>
              <w:spacing w:line="560" w:lineRule="exact"/>
              <w:jc w:val="center"/>
              <w:rPr>
                <w:rFonts w:ascii="仿宋_GB2312" w:eastAsia="仿宋_GB2312"/>
                <w:color w:val="auto"/>
                <w:sz w:val="24"/>
                <w:highlight w:val="none"/>
              </w:rPr>
            </w:pPr>
          </w:p>
        </w:tc>
      </w:tr>
      <w:tr w14:paraId="1D82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75ACA3E2">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3BC7E3E">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8B9C55A">
            <w:pPr>
              <w:pStyle w:val="49"/>
              <w:spacing w:line="560" w:lineRule="exact"/>
              <w:jc w:val="center"/>
              <w:rPr>
                <w:rFonts w:ascii="仿宋_GB2312" w:eastAsia="仿宋_GB2312"/>
                <w:color w:val="auto"/>
                <w:sz w:val="24"/>
                <w:highlight w:val="none"/>
              </w:rPr>
            </w:pPr>
          </w:p>
        </w:tc>
      </w:tr>
      <w:tr w14:paraId="0EB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noWrap w:val="0"/>
            <w:vAlign w:val="center"/>
          </w:tcPr>
          <w:p w14:paraId="5974DE6D">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F68DFD4">
            <w:pPr>
              <w:pStyle w:val="49"/>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D53A972">
            <w:pPr>
              <w:pStyle w:val="49"/>
              <w:spacing w:line="560" w:lineRule="exact"/>
              <w:jc w:val="center"/>
              <w:rPr>
                <w:rFonts w:ascii="仿宋_GB2312" w:eastAsia="仿宋_GB2312"/>
                <w:color w:val="auto"/>
                <w:sz w:val="24"/>
                <w:highlight w:val="none"/>
              </w:rPr>
            </w:pPr>
          </w:p>
        </w:tc>
      </w:tr>
    </w:tbl>
    <w:p w14:paraId="74FDF8A1">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3596F153">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53974A94">
      <w:pPr>
        <w:pStyle w:val="50"/>
        <w:ind w:firstLine="482"/>
        <w:rPr>
          <w:rFonts w:hint="eastAsia" w:hAnsi="宋体"/>
          <w:b/>
          <w:bCs/>
          <w:color w:val="auto"/>
          <w:sz w:val="24"/>
          <w:szCs w:val="28"/>
          <w:highlight w:val="none"/>
        </w:rPr>
      </w:pPr>
    </w:p>
    <w:p w14:paraId="31E876F9">
      <w:pPr>
        <w:pStyle w:val="50"/>
        <w:rPr>
          <w:rFonts w:hint="eastAsia" w:hAnsi="宋体"/>
          <w:b/>
          <w:bCs/>
          <w:color w:val="auto"/>
          <w:sz w:val="24"/>
          <w:szCs w:val="28"/>
          <w:highlight w:val="none"/>
        </w:rPr>
      </w:pPr>
      <w:r>
        <w:rPr>
          <w:rFonts w:hint="eastAsia" w:hAnsi="宋体"/>
          <w:b/>
          <w:bCs/>
          <w:color w:val="auto"/>
          <w:sz w:val="24"/>
          <w:szCs w:val="28"/>
          <w:highlight w:val="none"/>
        </w:rPr>
        <w:t>1、凡投标文件中所投货物或服务与招标文件有偏差的，均应在此表中详细列出并说明理由，须点对点应答。</w:t>
      </w:r>
    </w:p>
    <w:p w14:paraId="64A24DF7">
      <w:pPr>
        <w:pStyle w:val="49"/>
        <w:adjustRightInd w:val="0"/>
        <w:snapToGrid w:val="0"/>
        <w:spacing w:line="360" w:lineRule="auto"/>
        <w:rPr>
          <w:rFonts w:hint="eastAsia" w:ascii="宋体" w:hAnsi="宋体"/>
          <w:b/>
          <w:bCs/>
          <w:color w:val="auto"/>
          <w:sz w:val="24"/>
          <w:szCs w:val="28"/>
          <w:highlight w:val="none"/>
        </w:rPr>
      </w:pPr>
      <w:r>
        <w:rPr>
          <w:rFonts w:hint="eastAsia" w:ascii="宋体" w:hAnsi="宋体"/>
          <w:b/>
          <w:bCs/>
          <w:color w:val="auto"/>
          <w:sz w:val="24"/>
          <w:szCs w:val="28"/>
          <w:highlight w:val="none"/>
        </w:rPr>
        <w:t>2、投标人商务条件如与招标文件要求的不一致，则须在上表偏离说明中详细注明。</w:t>
      </w:r>
    </w:p>
    <w:p w14:paraId="11A3BAC8">
      <w:pPr>
        <w:pStyle w:val="51"/>
        <w:outlineLvl w:val="1"/>
        <w:rPr>
          <w:color w:val="auto"/>
          <w:highlight w:val="none"/>
        </w:rPr>
      </w:pPr>
      <w:bookmarkStart w:id="136" w:name="_Toc514054500"/>
      <w:r>
        <w:rPr>
          <w:color w:val="auto"/>
          <w:highlight w:val="none"/>
        </w:rPr>
        <w:br w:type="page"/>
      </w:r>
      <w:bookmarkStart w:id="137" w:name="_Toc14591"/>
      <w:r>
        <w:rPr>
          <w:color w:val="auto"/>
          <w:highlight w:val="none"/>
        </w:rPr>
        <w:t>十</w:t>
      </w:r>
      <w:r>
        <w:rPr>
          <w:rFonts w:hint="eastAsia"/>
          <w:color w:val="auto"/>
          <w:highlight w:val="none"/>
        </w:rPr>
        <w:t>二</w:t>
      </w:r>
      <w:r>
        <w:rPr>
          <w:color w:val="auto"/>
          <w:highlight w:val="none"/>
        </w:rPr>
        <w:t>、所投产品技术资料或样本等</w:t>
      </w:r>
      <w:bookmarkEnd w:id="136"/>
      <w:bookmarkEnd w:id="137"/>
    </w:p>
    <w:p w14:paraId="4E54BBE4">
      <w:pPr>
        <w:pStyle w:val="52"/>
        <w:rPr>
          <w:rFonts w:hint="eastAsia"/>
          <w:color w:val="auto"/>
          <w:szCs w:val="21"/>
          <w:highlight w:val="none"/>
        </w:rPr>
      </w:pPr>
      <w:r>
        <w:rPr>
          <w:rFonts w:hint="eastAsia" w:ascii="宋体"/>
          <w:bCs/>
          <w:color w:val="auto"/>
          <w:szCs w:val="21"/>
          <w:highlight w:val="none"/>
        </w:rPr>
        <w:t>格式自拟，可附相关产品技术彩页</w:t>
      </w:r>
    </w:p>
    <w:p w14:paraId="0131B001">
      <w:pPr>
        <w:pStyle w:val="53"/>
        <w:outlineLvl w:val="1"/>
        <w:rPr>
          <w:color w:val="auto"/>
          <w:highlight w:val="none"/>
        </w:rPr>
      </w:pPr>
      <w:r>
        <w:rPr>
          <w:color w:val="auto"/>
          <w:highlight w:val="none"/>
        </w:rPr>
        <w:br w:type="page"/>
      </w:r>
      <w:bookmarkStart w:id="138" w:name="_Toc27623"/>
      <w:bookmarkStart w:id="139" w:name="_Toc23522_WPSOffice_Level2"/>
      <w:bookmarkStart w:id="140" w:name="_Toc514054501"/>
      <w:r>
        <w:rPr>
          <w:color w:val="auto"/>
          <w:highlight w:val="none"/>
        </w:rPr>
        <w:t>十</w:t>
      </w:r>
      <w:r>
        <w:rPr>
          <w:rFonts w:hint="eastAsia"/>
          <w:color w:val="auto"/>
          <w:highlight w:val="none"/>
        </w:rPr>
        <w:t>三</w:t>
      </w:r>
      <w:r>
        <w:rPr>
          <w:color w:val="auto"/>
          <w:highlight w:val="none"/>
        </w:rPr>
        <w:t>、主要部件、辅材</w:t>
      </w:r>
      <w:r>
        <w:rPr>
          <w:rFonts w:hint="eastAsia"/>
          <w:color w:val="auto"/>
          <w:highlight w:val="none"/>
        </w:rPr>
        <w:t>、耗材</w:t>
      </w:r>
      <w:r>
        <w:rPr>
          <w:color w:val="auto"/>
          <w:highlight w:val="none"/>
        </w:rPr>
        <w:t>明细表</w:t>
      </w:r>
      <w:bookmarkEnd w:id="138"/>
      <w:bookmarkEnd w:id="139"/>
      <w:bookmarkEnd w:id="140"/>
    </w:p>
    <w:p w14:paraId="2FBFDA8C">
      <w:pPr>
        <w:pStyle w:val="54"/>
        <w:rPr>
          <w:rFonts w:hint="eastAsia"/>
          <w:color w:val="auto"/>
          <w:highlight w:val="none"/>
        </w:rPr>
      </w:pPr>
    </w:p>
    <w:tbl>
      <w:tblPr>
        <w:tblStyle w:val="9"/>
        <w:tblpPr w:leftFromText="180" w:rightFromText="180" w:vertAnchor="text" w:horzAnchor="margin" w:tblpY="3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254"/>
        <w:gridCol w:w="2621"/>
      </w:tblGrid>
      <w:tr w14:paraId="0996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7222132">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主要部件、辅材、耗材名称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CA6D12">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品牌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2D4608">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20760C1">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生产厂家</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0BEF8A5">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主要技术参数</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239DA61D">
            <w:pPr>
              <w:pStyle w:val="55"/>
              <w:widowControl/>
              <w:adjustRightInd w:val="0"/>
              <w:snapToGrid w:val="0"/>
              <w:spacing w:before="100" w:beforeAutospacing="1"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质保期满后优惠价格（或耗材的每人/份价格）</w:t>
            </w:r>
          </w:p>
        </w:tc>
      </w:tr>
      <w:tr w14:paraId="0FEB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1E7D45D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503C88">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16163E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68F78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4B06FB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30956D5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3249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451FBFA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D44FB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DABFB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9EC4AB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E73E87">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5272BD8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44BA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04E41339">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0E44B0">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9FA6AA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AE9C17">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4BFCB8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19A57C7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01D7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4AABE95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81D329">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4FC64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1EAAA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014C10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00D3B07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30D0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758493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2B448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40818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E2D1E3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83A856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0274B0FB">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642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1FDA4B6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D2D815">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779596">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3A4FC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2267871">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53B4991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r>
      <w:tr w14:paraId="03AA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29A8D6D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5E00D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3D777C">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C33244A">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1B67F0D1">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5761E379">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0792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14:paraId="63E8584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612CD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15E584">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B45B18D">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20373B5F">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35ACE0F4">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728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4FE81DB3">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81B1A9">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53BE0D">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21624A">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30FAFFD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1BDF5390">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2EF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5458FF6E">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125CB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46431D5">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1BC7C8">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411C6937">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2247B764">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4445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776DB34F">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77ED7F">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34D3B5">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EB7CDA">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7E88EB7C">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5639901E">
            <w:pPr>
              <w:pStyle w:val="55"/>
              <w:widowControl/>
              <w:adjustRightInd w:val="0"/>
              <w:snapToGrid w:val="0"/>
              <w:spacing w:before="100" w:beforeAutospacing="1" w:line="560" w:lineRule="exact"/>
              <w:rPr>
                <w:rFonts w:ascii="仿宋_GB2312" w:eastAsia="仿宋_GB2312"/>
                <w:color w:val="auto"/>
                <w:sz w:val="24"/>
                <w:szCs w:val="22"/>
                <w:highlight w:val="none"/>
              </w:rPr>
            </w:pPr>
          </w:p>
        </w:tc>
      </w:tr>
      <w:tr w14:paraId="0271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14:paraId="540936F2">
            <w:pPr>
              <w:pStyle w:val="55"/>
              <w:widowControl/>
              <w:adjustRightInd w:val="0"/>
              <w:snapToGrid w:val="0"/>
              <w:spacing w:before="100" w:beforeAutospacing="1" w:line="560" w:lineRule="exact"/>
              <w:jc w:val="center"/>
              <w:rPr>
                <w:rFonts w:ascii="仿宋_GB2312" w:eastAsia="仿宋_GB2312"/>
                <w:color w:val="auto"/>
                <w:sz w:val="24"/>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209C60">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CB75DB">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67AB642">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0958257C">
            <w:pPr>
              <w:pStyle w:val="55"/>
              <w:widowControl/>
              <w:adjustRightInd w:val="0"/>
              <w:snapToGrid w:val="0"/>
              <w:spacing w:before="100" w:beforeAutospacing="1" w:line="560" w:lineRule="exact"/>
              <w:rPr>
                <w:rFonts w:ascii="仿宋_GB2312" w:eastAsia="仿宋_GB2312"/>
                <w:color w:val="auto"/>
                <w:sz w:val="24"/>
                <w:szCs w:val="22"/>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425D1FB2">
            <w:pPr>
              <w:pStyle w:val="55"/>
              <w:widowControl/>
              <w:adjustRightInd w:val="0"/>
              <w:snapToGrid w:val="0"/>
              <w:spacing w:before="100" w:beforeAutospacing="1" w:line="560" w:lineRule="exact"/>
              <w:rPr>
                <w:rFonts w:ascii="仿宋_GB2312" w:eastAsia="仿宋_GB2312"/>
                <w:color w:val="auto"/>
                <w:sz w:val="24"/>
                <w:szCs w:val="22"/>
                <w:highlight w:val="none"/>
              </w:rPr>
            </w:pPr>
          </w:p>
        </w:tc>
      </w:tr>
    </w:tbl>
    <w:p w14:paraId="1DFA5815">
      <w:pPr>
        <w:pStyle w:val="55"/>
        <w:widowControl/>
        <w:adjustRightInd w:val="0"/>
        <w:snapToGrid w:val="0"/>
        <w:spacing w:before="100" w:beforeAutospacing="1" w:line="480" w:lineRule="exact"/>
        <w:ind w:left="-288" w:leftChars="-137" w:firstLine="285" w:firstLineChars="119"/>
        <w:rPr>
          <w:rFonts w:hint="eastAsia" w:ascii="仿宋_GB2312" w:eastAsia="仿宋_GB2312"/>
          <w:bCs/>
          <w:color w:val="auto"/>
          <w:sz w:val="24"/>
          <w:szCs w:val="22"/>
          <w:highlight w:val="none"/>
        </w:rPr>
      </w:pPr>
      <w:r>
        <w:rPr>
          <w:rFonts w:hint="eastAsia" w:ascii="仿宋_GB2312" w:eastAsia="仿宋_GB2312"/>
          <w:bCs/>
          <w:color w:val="auto"/>
          <w:sz w:val="24"/>
          <w:highlight w:val="none"/>
        </w:rPr>
        <w:t>注：投标人应将所投货物的主要部件、配件、耗材等材料的品牌、产地、相关参数、质保期满后的优惠价格等在表中空白处填列。</w:t>
      </w:r>
    </w:p>
    <w:p w14:paraId="68DCDD58">
      <w:pPr>
        <w:pStyle w:val="55"/>
        <w:spacing w:line="560" w:lineRule="exact"/>
        <w:ind w:right="105" w:rightChars="50" w:firstLine="313" w:firstLineChars="98"/>
        <w:rPr>
          <w:rFonts w:hint="eastAsia" w:ascii="仿宋_GB2312" w:eastAsia="仿宋_GB2312"/>
          <w:color w:val="auto"/>
          <w:sz w:val="32"/>
          <w:szCs w:val="32"/>
          <w:highlight w:val="none"/>
        </w:rPr>
      </w:pPr>
    </w:p>
    <w:p w14:paraId="6D620721">
      <w:pPr>
        <w:pStyle w:val="55"/>
        <w:spacing w:line="560" w:lineRule="exact"/>
        <w:ind w:right="105" w:rightChars="50" w:firstLine="313" w:firstLineChars="98"/>
        <w:rPr>
          <w:rFonts w:hint="eastAsia" w:ascii="仿宋_GB2312" w:eastAsia="仿宋_GB2312"/>
          <w:color w:val="auto"/>
          <w:sz w:val="32"/>
          <w:szCs w:val="32"/>
          <w:highlight w:val="none"/>
        </w:rPr>
      </w:pPr>
    </w:p>
    <w:p w14:paraId="11BB3C55">
      <w:pPr>
        <w:pStyle w:val="28"/>
        <w:spacing w:line="700" w:lineRule="exact"/>
        <w:ind w:firstLine="629"/>
        <w:rPr>
          <w:rFonts w:hint="eastAsia" w:ascii="仿宋_GB2312" w:eastAsia="仿宋_GB2312"/>
          <w:color w:val="auto"/>
          <w:sz w:val="24"/>
          <w:highlight w:val="none"/>
          <w:u w:val="single"/>
        </w:rPr>
      </w:pPr>
      <w:r>
        <w:rPr>
          <w:rFonts w:hint="eastAsia" w:ascii="仿宋_GB2312" w:eastAsia="仿宋_GB2312"/>
          <w:color w:val="auto"/>
          <w:sz w:val="24"/>
          <w:highlight w:val="none"/>
        </w:rPr>
        <w:t>单位名称：（盖章）</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 xml:space="preserve">       </w:t>
      </w:r>
    </w:p>
    <w:p w14:paraId="676C789B">
      <w:pPr>
        <w:pStyle w:val="28"/>
        <w:spacing w:line="700" w:lineRule="exact"/>
        <w:ind w:firstLine="629"/>
        <w:rPr>
          <w:rFonts w:hint="eastAsia" w:ascii="仿宋_GB2312" w:eastAsia="仿宋_GB2312"/>
          <w:color w:val="auto"/>
          <w:sz w:val="24"/>
          <w:highlight w:val="none"/>
        </w:rPr>
      </w:pPr>
      <w:r>
        <w:rPr>
          <w:rFonts w:hint="eastAsia" w:ascii="仿宋_GB2312" w:eastAsia="仿宋_GB2312"/>
          <w:color w:val="auto"/>
          <w:sz w:val="24"/>
          <w:highlight w:val="none"/>
        </w:rPr>
        <w:t>法定代表人（或授权代表）：（签字）</w:t>
      </w:r>
      <w:r>
        <w:rPr>
          <w:rFonts w:hint="eastAsia" w:ascii="仿宋_GB2312" w:eastAsia="仿宋_GB2312"/>
          <w:color w:val="auto"/>
          <w:sz w:val="24"/>
          <w:highlight w:val="none"/>
          <w:u w:val="single"/>
        </w:rPr>
        <w:t xml:space="preserve">              </w:t>
      </w:r>
    </w:p>
    <w:p w14:paraId="77DDC99B">
      <w:pPr>
        <w:pStyle w:val="56"/>
        <w:outlineLvl w:val="1"/>
        <w:rPr>
          <w:color w:val="auto"/>
          <w:highlight w:val="none"/>
        </w:rPr>
      </w:pPr>
      <w:r>
        <w:rPr>
          <w:color w:val="auto"/>
          <w:highlight w:val="none"/>
        </w:rPr>
        <w:br w:type="page"/>
      </w:r>
      <w:bookmarkStart w:id="141" w:name="_Toc25001_WPSOffice_Level2"/>
      <w:bookmarkStart w:id="142" w:name="_Toc514054502"/>
      <w:bookmarkStart w:id="143" w:name="_Toc15828"/>
      <w:r>
        <w:rPr>
          <w:color w:val="auto"/>
          <w:highlight w:val="none"/>
        </w:rPr>
        <w:t>十</w:t>
      </w:r>
      <w:r>
        <w:rPr>
          <w:rFonts w:hint="eastAsia"/>
          <w:color w:val="auto"/>
          <w:highlight w:val="none"/>
        </w:rPr>
        <w:t>四</w:t>
      </w:r>
      <w:r>
        <w:rPr>
          <w:color w:val="auto"/>
          <w:highlight w:val="none"/>
        </w:rPr>
        <w:t>、</w:t>
      </w:r>
      <w:r>
        <w:rPr>
          <w:rFonts w:hint="eastAsia"/>
          <w:color w:val="auto"/>
          <w:highlight w:val="none"/>
          <w:lang w:val="en-US" w:eastAsia="zh-CN"/>
        </w:rPr>
        <w:t>服务</w:t>
      </w:r>
      <w:r>
        <w:rPr>
          <w:color w:val="auto"/>
          <w:highlight w:val="none"/>
        </w:rPr>
        <w:t>方案</w:t>
      </w:r>
      <w:bookmarkEnd w:id="141"/>
      <w:bookmarkEnd w:id="142"/>
      <w:bookmarkEnd w:id="143"/>
    </w:p>
    <w:p w14:paraId="7C9E912D">
      <w:pPr>
        <w:pStyle w:val="57"/>
        <w:spacing w:line="560" w:lineRule="exact"/>
        <w:jc w:val="center"/>
        <w:rPr>
          <w:rFonts w:hint="eastAsia" w:ascii="宋体"/>
          <w:b/>
          <w:bCs/>
          <w:color w:val="auto"/>
          <w:sz w:val="32"/>
          <w:szCs w:val="32"/>
          <w:highlight w:val="none"/>
        </w:rPr>
      </w:pPr>
      <w:bookmarkStart w:id="144" w:name="_Toc2882_WPSOffice_Level2"/>
      <w:r>
        <w:rPr>
          <w:rFonts w:hint="eastAsia" w:ascii="宋体"/>
          <w:b/>
          <w:bCs/>
          <w:color w:val="auto"/>
          <w:sz w:val="32"/>
          <w:szCs w:val="32"/>
          <w:highlight w:val="none"/>
        </w:rPr>
        <w:t>按照招标文件要求，格式自拟</w:t>
      </w:r>
      <w:bookmarkEnd w:id="144"/>
    </w:p>
    <w:p w14:paraId="7ED061D1">
      <w:pPr>
        <w:pStyle w:val="58"/>
        <w:outlineLvl w:val="1"/>
        <w:rPr>
          <w:color w:val="auto"/>
          <w:highlight w:val="none"/>
        </w:rPr>
      </w:pPr>
      <w:r>
        <w:rPr>
          <w:color w:val="auto"/>
          <w:highlight w:val="none"/>
        </w:rPr>
        <w:br w:type="page"/>
      </w:r>
      <w:bookmarkStart w:id="145" w:name="_Toc5519"/>
      <w:bookmarkStart w:id="146" w:name="_Toc514054504"/>
      <w:bookmarkStart w:id="147" w:name="_Toc30208_WPSOffice_Level2"/>
      <w:r>
        <w:rPr>
          <w:color w:val="auto"/>
          <w:highlight w:val="none"/>
        </w:rPr>
        <w:t>十</w:t>
      </w:r>
      <w:r>
        <w:rPr>
          <w:rFonts w:hint="eastAsia"/>
          <w:color w:val="auto"/>
          <w:highlight w:val="none"/>
          <w:lang w:val="en-US" w:eastAsia="zh-CN"/>
        </w:rPr>
        <w:t>五</w:t>
      </w:r>
      <w:r>
        <w:rPr>
          <w:color w:val="auto"/>
          <w:highlight w:val="none"/>
        </w:rPr>
        <w:t>、投标人承担类似项目业绩一览表</w:t>
      </w:r>
      <w:bookmarkEnd w:id="145"/>
      <w:bookmarkEnd w:id="146"/>
      <w:bookmarkEnd w:id="147"/>
    </w:p>
    <w:p w14:paraId="28B0A6B9">
      <w:pPr>
        <w:pStyle w:val="59"/>
        <w:jc w:val="center"/>
        <w:rPr>
          <w:b/>
          <w:color w:val="auto"/>
          <w:sz w:val="32"/>
          <w:szCs w:val="32"/>
          <w:highlight w:val="none"/>
        </w:rPr>
      </w:pPr>
      <w:bookmarkStart w:id="148" w:name="_Toc10294_WPSOffice_Level2"/>
      <w:r>
        <w:rPr>
          <w:rFonts w:hint="eastAsia"/>
          <w:b/>
          <w:color w:val="auto"/>
          <w:sz w:val="32"/>
          <w:szCs w:val="32"/>
          <w:highlight w:val="none"/>
        </w:rPr>
        <w:t>投标人承担类似项目业绩一览表</w:t>
      </w:r>
      <w:bookmarkEnd w:id="14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20C5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14:paraId="6C157D5F">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3827" w:type="dxa"/>
            <w:noWrap w:val="0"/>
            <w:vAlign w:val="center"/>
          </w:tcPr>
          <w:p w14:paraId="5C82B7DC">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tc>
        <w:tc>
          <w:tcPr>
            <w:tcW w:w="2433" w:type="dxa"/>
            <w:noWrap w:val="0"/>
            <w:vAlign w:val="center"/>
          </w:tcPr>
          <w:p w14:paraId="162BE7D4">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采购单位</w:t>
            </w:r>
          </w:p>
        </w:tc>
        <w:tc>
          <w:tcPr>
            <w:tcW w:w="1395" w:type="dxa"/>
            <w:noWrap w:val="0"/>
            <w:vAlign w:val="center"/>
          </w:tcPr>
          <w:p w14:paraId="31875657">
            <w:pPr>
              <w:pStyle w:val="60"/>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合同金额</w:t>
            </w:r>
          </w:p>
        </w:tc>
      </w:tr>
      <w:tr w14:paraId="7E00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34F27580">
            <w:pPr>
              <w:pStyle w:val="60"/>
              <w:spacing w:line="560" w:lineRule="exact"/>
              <w:jc w:val="center"/>
              <w:rPr>
                <w:rFonts w:ascii="仿宋_GB2312" w:eastAsia="仿宋_GB2312"/>
                <w:color w:val="auto"/>
                <w:sz w:val="28"/>
                <w:highlight w:val="none"/>
              </w:rPr>
            </w:pPr>
          </w:p>
        </w:tc>
        <w:tc>
          <w:tcPr>
            <w:tcW w:w="3827" w:type="dxa"/>
            <w:noWrap w:val="0"/>
            <w:vAlign w:val="center"/>
          </w:tcPr>
          <w:p w14:paraId="6A6FAB2A">
            <w:pPr>
              <w:pStyle w:val="60"/>
              <w:spacing w:line="560" w:lineRule="exact"/>
              <w:jc w:val="center"/>
              <w:rPr>
                <w:rFonts w:ascii="仿宋_GB2312" w:eastAsia="仿宋_GB2312"/>
                <w:color w:val="auto"/>
                <w:sz w:val="28"/>
                <w:highlight w:val="none"/>
              </w:rPr>
            </w:pPr>
          </w:p>
        </w:tc>
        <w:tc>
          <w:tcPr>
            <w:tcW w:w="2433" w:type="dxa"/>
            <w:noWrap w:val="0"/>
            <w:vAlign w:val="center"/>
          </w:tcPr>
          <w:p w14:paraId="54965F55">
            <w:pPr>
              <w:pStyle w:val="60"/>
              <w:spacing w:line="560" w:lineRule="exact"/>
              <w:jc w:val="center"/>
              <w:rPr>
                <w:rFonts w:ascii="仿宋_GB2312" w:eastAsia="仿宋_GB2312"/>
                <w:color w:val="auto"/>
                <w:sz w:val="28"/>
                <w:highlight w:val="none"/>
              </w:rPr>
            </w:pPr>
          </w:p>
        </w:tc>
        <w:tc>
          <w:tcPr>
            <w:tcW w:w="1395" w:type="dxa"/>
            <w:noWrap w:val="0"/>
            <w:vAlign w:val="center"/>
          </w:tcPr>
          <w:p w14:paraId="42DD7B93">
            <w:pPr>
              <w:pStyle w:val="60"/>
              <w:spacing w:line="560" w:lineRule="exact"/>
              <w:jc w:val="center"/>
              <w:rPr>
                <w:rFonts w:ascii="仿宋_GB2312" w:eastAsia="仿宋_GB2312"/>
                <w:color w:val="auto"/>
                <w:sz w:val="28"/>
                <w:highlight w:val="none"/>
              </w:rPr>
            </w:pPr>
          </w:p>
        </w:tc>
      </w:tr>
      <w:tr w14:paraId="048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16CCEF31">
            <w:pPr>
              <w:pStyle w:val="60"/>
              <w:spacing w:line="560" w:lineRule="exact"/>
              <w:jc w:val="center"/>
              <w:rPr>
                <w:rFonts w:ascii="仿宋_GB2312" w:eastAsia="仿宋_GB2312"/>
                <w:color w:val="auto"/>
                <w:sz w:val="28"/>
                <w:highlight w:val="none"/>
              </w:rPr>
            </w:pPr>
          </w:p>
        </w:tc>
        <w:tc>
          <w:tcPr>
            <w:tcW w:w="3827" w:type="dxa"/>
            <w:noWrap w:val="0"/>
            <w:vAlign w:val="center"/>
          </w:tcPr>
          <w:p w14:paraId="62BF4DCA">
            <w:pPr>
              <w:pStyle w:val="60"/>
              <w:spacing w:line="560" w:lineRule="exact"/>
              <w:jc w:val="center"/>
              <w:rPr>
                <w:rFonts w:ascii="仿宋_GB2312" w:eastAsia="仿宋_GB2312"/>
                <w:color w:val="auto"/>
                <w:sz w:val="28"/>
                <w:highlight w:val="none"/>
              </w:rPr>
            </w:pPr>
          </w:p>
        </w:tc>
        <w:tc>
          <w:tcPr>
            <w:tcW w:w="2433" w:type="dxa"/>
            <w:noWrap w:val="0"/>
            <w:vAlign w:val="center"/>
          </w:tcPr>
          <w:p w14:paraId="38AF0972">
            <w:pPr>
              <w:pStyle w:val="60"/>
              <w:spacing w:line="560" w:lineRule="exact"/>
              <w:jc w:val="center"/>
              <w:rPr>
                <w:rFonts w:ascii="仿宋_GB2312" w:eastAsia="仿宋_GB2312"/>
                <w:color w:val="auto"/>
                <w:sz w:val="28"/>
                <w:highlight w:val="none"/>
              </w:rPr>
            </w:pPr>
          </w:p>
        </w:tc>
        <w:tc>
          <w:tcPr>
            <w:tcW w:w="1395" w:type="dxa"/>
            <w:noWrap w:val="0"/>
            <w:vAlign w:val="center"/>
          </w:tcPr>
          <w:p w14:paraId="4D0FA397">
            <w:pPr>
              <w:pStyle w:val="60"/>
              <w:spacing w:line="560" w:lineRule="exact"/>
              <w:jc w:val="center"/>
              <w:rPr>
                <w:rFonts w:ascii="仿宋_GB2312" w:eastAsia="仿宋_GB2312"/>
                <w:color w:val="auto"/>
                <w:sz w:val="28"/>
                <w:highlight w:val="none"/>
              </w:rPr>
            </w:pPr>
          </w:p>
        </w:tc>
      </w:tr>
      <w:tr w14:paraId="6647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22664CF3">
            <w:pPr>
              <w:pStyle w:val="60"/>
              <w:spacing w:line="560" w:lineRule="exact"/>
              <w:jc w:val="center"/>
              <w:rPr>
                <w:rFonts w:ascii="仿宋_GB2312" w:eastAsia="仿宋_GB2312"/>
                <w:color w:val="auto"/>
                <w:sz w:val="28"/>
                <w:highlight w:val="none"/>
              </w:rPr>
            </w:pPr>
          </w:p>
        </w:tc>
        <w:tc>
          <w:tcPr>
            <w:tcW w:w="3827" w:type="dxa"/>
            <w:noWrap w:val="0"/>
            <w:vAlign w:val="center"/>
          </w:tcPr>
          <w:p w14:paraId="389EFBB0">
            <w:pPr>
              <w:pStyle w:val="60"/>
              <w:spacing w:line="560" w:lineRule="exact"/>
              <w:jc w:val="center"/>
              <w:rPr>
                <w:rFonts w:ascii="仿宋_GB2312" w:eastAsia="仿宋_GB2312"/>
                <w:color w:val="auto"/>
                <w:sz w:val="28"/>
                <w:highlight w:val="none"/>
              </w:rPr>
            </w:pPr>
          </w:p>
        </w:tc>
        <w:tc>
          <w:tcPr>
            <w:tcW w:w="2433" w:type="dxa"/>
            <w:noWrap w:val="0"/>
            <w:vAlign w:val="center"/>
          </w:tcPr>
          <w:p w14:paraId="4749593D">
            <w:pPr>
              <w:pStyle w:val="60"/>
              <w:spacing w:line="560" w:lineRule="exact"/>
              <w:jc w:val="center"/>
              <w:rPr>
                <w:rFonts w:ascii="仿宋_GB2312" w:eastAsia="仿宋_GB2312"/>
                <w:color w:val="auto"/>
                <w:sz w:val="28"/>
                <w:highlight w:val="none"/>
              </w:rPr>
            </w:pPr>
          </w:p>
        </w:tc>
        <w:tc>
          <w:tcPr>
            <w:tcW w:w="1395" w:type="dxa"/>
            <w:noWrap w:val="0"/>
            <w:vAlign w:val="center"/>
          </w:tcPr>
          <w:p w14:paraId="2B8E2A51">
            <w:pPr>
              <w:pStyle w:val="60"/>
              <w:spacing w:line="560" w:lineRule="exact"/>
              <w:jc w:val="center"/>
              <w:rPr>
                <w:rFonts w:ascii="仿宋_GB2312" w:eastAsia="仿宋_GB2312"/>
                <w:color w:val="auto"/>
                <w:sz w:val="28"/>
                <w:highlight w:val="none"/>
              </w:rPr>
            </w:pPr>
          </w:p>
        </w:tc>
      </w:tr>
      <w:tr w14:paraId="09E2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14:paraId="27E5D760">
            <w:pPr>
              <w:pStyle w:val="60"/>
              <w:spacing w:line="560" w:lineRule="exact"/>
              <w:jc w:val="center"/>
              <w:rPr>
                <w:rFonts w:ascii="仿宋_GB2312" w:eastAsia="仿宋_GB2312"/>
                <w:color w:val="auto"/>
                <w:sz w:val="28"/>
                <w:highlight w:val="none"/>
              </w:rPr>
            </w:pPr>
          </w:p>
        </w:tc>
        <w:tc>
          <w:tcPr>
            <w:tcW w:w="3827" w:type="dxa"/>
            <w:noWrap w:val="0"/>
            <w:vAlign w:val="center"/>
          </w:tcPr>
          <w:p w14:paraId="11D1FF11">
            <w:pPr>
              <w:pStyle w:val="60"/>
              <w:spacing w:line="560" w:lineRule="exact"/>
              <w:jc w:val="center"/>
              <w:rPr>
                <w:rFonts w:ascii="仿宋_GB2312" w:eastAsia="仿宋_GB2312"/>
                <w:color w:val="auto"/>
                <w:sz w:val="28"/>
                <w:highlight w:val="none"/>
              </w:rPr>
            </w:pPr>
          </w:p>
        </w:tc>
        <w:tc>
          <w:tcPr>
            <w:tcW w:w="2433" w:type="dxa"/>
            <w:noWrap w:val="0"/>
            <w:vAlign w:val="center"/>
          </w:tcPr>
          <w:p w14:paraId="60586D84">
            <w:pPr>
              <w:pStyle w:val="60"/>
              <w:spacing w:line="560" w:lineRule="exact"/>
              <w:jc w:val="center"/>
              <w:rPr>
                <w:rFonts w:ascii="仿宋_GB2312" w:eastAsia="仿宋_GB2312"/>
                <w:color w:val="auto"/>
                <w:sz w:val="28"/>
                <w:highlight w:val="none"/>
              </w:rPr>
            </w:pPr>
          </w:p>
        </w:tc>
        <w:tc>
          <w:tcPr>
            <w:tcW w:w="1395" w:type="dxa"/>
            <w:noWrap w:val="0"/>
            <w:vAlign w:val="center"/>
          </w:tcPr>
          <w:p w14:paraId="538D80E6">
            <w:pPr>
              <w:pStyle w:val="60"/>
              <w:spacing w:line="560" w:lineRule="exact"/>
              <w:jc w:val="center"/>
              <w:rPr>
                <w:rFonts w:ascii="仿宋_GB2312" w:eastAsia="仿宋_GB2312"/>
                <w:color w:val="auto"/>
                <w:sz w:val="28"/>
                <w:highlight w:val="none"/>
              </w:rPr>
            </w:pPr>
          </w:p>
        </w:tc>
      </w:tr>
    </w:tbl>
    <w:p w14:paraId="4F42B4F1">
      <w:pPr>
        <w:pStyle w:val="61"/>
        <w:outlineLvl w:val="1"/>
        <w:rPr>
          <w:color w:val="auto"/>
          <w:highlight w:val="none"/>
        </w:rPr>
      </w:pPr>
      <w:r>
        <w:rPr>
          <w:color w:val="auto"/>
          <w:highlight w:val="none"/>
        </w:rPr>
        <w:br w:type="page"/>
      </w:r>
      <w:bookmarkStart w:id="149" w:name="_Toc30836_WPSOffice_Level2"/>
      <w:bookmarkStart w:id="150" w:name="_Toc502821163"/>
      <w:bookmarkStart w:id="151" w:name="_Toc514054505"/>
      <w:bookmarkStart w:id="152" w:name="_Toc15753"/>
      <w:r>
        <w:rPr>
          <w:color w:val="auto"/>
          <w:highlight w:val="none"/>
        </w:rPr>
        <w:t>十</w:t>
      </w:r>
      <w:r>
        <w:rPr>
          <w:rFonts w:hint="eastAsia"/>
          <w:color w:val="auto"/>
          <w:highlight w:val="none"/>
          <w:lang w:val="en-US" w:eastAsia="zh-CN"/>
        </w:rPr>
        <w:t>六</w:t>
      </w:r>
      <w:r>
        <w:rPr>
          <w:color w:val="auto"/>
          <w:highlight w:val="none"/>
        </w:rPr>
        <w:t>、投标所需其他材料</w:t>
      </w:r>
      <w:bookmarkEnd w:id="149"/>
      <w:bookmarkEnd w:id="150"/>
      <w:bookmarkEnd w:id="151"/>
      <w:bookmarkEnd w:id="152"/>
    </w:p>
    <w:p w14:paraId="768A5AD4">
      <w:pPr>
        <w:pStyle w:val="62"/>
        <w:spacing w:line="360" w:lineRule="auto"/>
        <w:ind w:firstLine="420" w:firstLineChars="200"/>
        <w:rPr>
          <w:rFonts w:hint="eastAsia"/>
          <w:color w:val="auto"/>
          <w:highlight w:val="none"/>
        </w:rPr>
      </w:pPr>
      <w:r>
        <w:rPr>
          <w:rFonts w:hint="eastAsia"/>
          <w:color w:val="auto"/>
          <w:highlight w:val="none"/>
        </w:rPr>
        <w:t>请在此文档中增加投标所需其他相关内容（包括资格要求、评分办法、采购需求中涉及的证件证明及其它投标人认为有必要提供的资料），如没有请空置。</w:t>
      </w:r>
    </w:p>
    <w:p w14:paraId="70ABD275">
      <w:pPr>
        <w:rPr>
          <w:rFonts w:hint="eastAsia"/>
          <w:color w:val="auto"/>
          <w:sz w:val="20"/>
          <w:highlight w:val="none"/>
        </w:rPr>
      </w:pPr>
      <w:r>
        <w:rPr>
          <w:rFonts w:hint="eastAsia"/>
          <w:color w:val="auto"/>
          <w:sz w:val="20"/>
          <w:highlight w:val="none"/>
        </w:rPr>
        <w:t xml:space="preserve"> </w:t>
      </w:r>
      <w:bookmarkEnd w:id="79"/>
    </w:p>
    <w:p w14:paraId="06BA9685"/>
    <w:p w14:paraId="4F486FF5"/>
    <w:p w14:paraId="568AD2A7"/>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方正大标宋简体">
    <w:altName w:val="微软雅黑"/>
    <w:panose1 w:val="00000000000000000000"/>
    <w:charset w:val="00"/>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32A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E3FA">
    <w:pPr>
      <w:pStyle w:val="6"/>
      <w:jc w:val="center"/>
    </w:pPr>
    <w:r>
      <w:fldChar w:fldCharType="begin"/>
    </w:r>
    <w:r>
      <w:instrText xml:space="preserve">PAGE   \* MERGEFORMAT</w:instrText>
    </w:r>
    <w:r>
      <w:fldChar w:fldCharType="separate"/>
    </w:r>
    <w:r>
      <w:rPr>
        <w:lang w:val="zh-CN"/>
      </w:rPr>
      <w:t>22</w:t>
    </w:r>
    <w:r>
      <w:fldChar w:fldCharType="end"/>
    </w:r>
  </w:p>
  <w:p w14:paraId="69FEAF7B">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69AF1"/>
    <w:multiLevelType w:val="singleLevel"/>
    <w:tmpl w:val="1CC69AF1"/>
    <w:lvl w:ilvl="0" w:tentative="0">
      <w:start w:val="2"/>
      <w:numFmt w:val="decimal"/>
      <w:suff w:val="nothing"/>
      <w:lvlText w:val="（%1）"/>
      <w:lvlJc w:val="left"/>
    </w:lvl>
  </w:abstractNum>
  <w:abstractNum w:abstractNumId="1">
    <w:nsid w:val="616FB73F"/>
    <w:multiLevelType w:val="singleLevel"/>
    <w:tmpl w:val="616FB73F"/>
    <w:lvl w:ilvl="0" w:tentative="0">
      <w:start w:val="1"/>
      <w:numFmt w:val="decimal"/>
      <w:lvlText w:val="(%1)"/>
      <w:lvlJc w:val="left"/>
      <w:pPr>
        <w:ind w:left="425" w:hanging="425"/>
      </w:pPr>
      <w:rPr>
        <w:rFonts w:hint="default"/>
      </w:rPr>
    </w:lvl>
  </w:abstractNum>
  <w:abstractNum w:abstractNumId="2">
    <w:nsid w:val="7D87B292"/>
    <w:multiLevelType w:val="singleLevel"/>
    <w:tmpl w:val="7D87B292"/>
    <w:lvl w:ilvl="0" w:tentative="0">
      <w:start w:val="12"/>
      <w:numFmt w:val="decimal"/>
      <w:suff w:val="nothing"/>
      <w:lvlText w:val="%1、"/>
      <w:lvlJc w:val="left"/>
    </w:lvl>
  </w:abstractNum>
  <w:abstractNum w:abstractNumId="3">
    <w:nsid w:val="7EAF5263"/>
    <w:multiLevelType w:val="singleLevel"/>
    <w:tmpl w:val="7EAF5263"/>
    <w:lvl w:ilvl="0" w:tentative="0">
      <w:start w:val="1"/>
      <w:numFmt w:val="none"/>
      <w:lvlText w:val="一、"/>
      <w:lvlJc w:val="left"/>
      <w:pPr>
        <w:tabs>
          <w:tab w:val="left" w:pos="630"/>
        </w:tabs>
        <w:ind w:left="630" w:hanging="630"/>
      </w:pPr>
      <w:rPr>
        <w:rFonts w:hint="eastAsia"/>
      </w:rPr>
    </w:lvl>
  </w:abstractNum>
  <w:num w:numId="1">
    <w:abstractNumId w:val="1"/>
  </w:num>
  <w:num w:numId="2">
    <w:abstractNumId w:val="2"/>
  </w:num>
  <w:num w:numId="3">
    <w:abstractNumId w:va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E66FF"/>
    <w:rsid w:val="00BC3A1F"/>
    <w:rsid w:val="0100210C"/>
    <w:rsid w:val="089563BB"/>
    <w:rsid w:val="0AF86E7D"/>
    <w:rsid w:val="10AE06DB"/>
    <w:rsid w:val="169C1E5E"/>
    <w:rsid w:val="238241FC"/>
    <w:rsid w:val="23AE66FF"/>
    <w:rsid w:val="2725381D"/>
    <w:rsid w:val="27937008"/>
    <w:rsid w:val="28BA1D43"/>
    <w:rsid w:val="29357FC3"/>
    <w:rsid w:val="29746395"/>
    <w:rsid w:val="2A8049CB"/>
    <w:rsid w:val="3005079D"/>
    <w:rsid w:val="30420F9B"/>
    <w:rsid w:val="32455351"/>
    <w:rsid w:val="331C3D26"/>
    <w:rsid w:val="36AF66FB"/>
    <w:rsid w:val="385D59A5"/>
    <w:rsid w:val="3F6442BF"/>
    <w:rsid w:val="40BD3141"/>
    <w:rsid w:val="40E7450B"/>
    <w:rsid w:val="45433394"/>
    <w:rsid w:val="45AC0F39"/>
    <w:rsid w:val="47C03E43"/>
    <w:rsid w:val="51302AE4"/>
    <w:rsid w:val="525A1D1D"/>
    <w:rsid w:val="52F2515B"/>
    <w:rsid w:val="5B0A552B"/>
    <w:rsid w:val="5D755C5D"/>
    <w:rsid w:val="5F155949"/>
    <w:rsid w:val="60295E80"/>
    <w:rsid w:val="62212F4B"/>
    <w:rsid w:val="63C2732C"/>
    <w:rsid w:val="659407B8"/>
    <w:rsid w:val="672A7AB8"/>
    <w:rsid w:val="685E0AA2"/>
    <w:rsid w:val="6B0F5943"/>
    <w:rsid w:val="6C615D2A"/>
    <w:rsid w:val="6EF671FA"/>
    <w:rsid w:val="71C15354"/>
    <w:rsid w:val="7359241A"/>
    <w:rsid w:val="73DC56E5"/>
    <w:rsid w:val="7C277BC3"/>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ind w:left="1440" w:right="700"/>
    </w:pPr>
    <w:rPr>
      <w:rFonts w:ascii="Verdana" w:hAnsi="Verdana"/>
      <w:szCs w:val="20"/>
    </w:rPr>
  </w:style>
  <w:style w:type="paragraph" w:styleId="4">
    <w:name w:val="Body Text"/>
    <w:basedOn w:val="1"/>
    <w:next w:val="1"/>
    <w:qFormat/>
    <w:uiPriority w:val="0"/>
    <w:pPr>
      <w:spacing w:line="60" w:lineRule="auto"/>
    </w:pPr>
    <w:rPr>
      <w:rFonts w:ascii="仿宋_GB2312" w:eastAsia="仿宋_GB2312"/>
      <w:sz w:val="32"/>
    </w:rPr>
  </w:style>
  <w:style w:type="paragraph" w:styleId="5">
    <w:name w:val="Body Text Indent"/>
    <w:basedOn w:val="1"/>
    <w:qFormat/>
    <w:uiPriority w:val="0"/>
    <w:pPr>
      <w:ind w:firstLine="225" w:firstLineChars="225"/>
    </w:pPr>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宋体"/>
      <w:kern w:val="0"/>
      <w:sz w:val="24"/>
      <w:szCs w:val="20"/>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列出段落1"/>
    <w:basedOn w:val="1"/>
    <w:qFormat/>
    <w:uiPriority w:val="99"/>
    <w:pPr>
      <w:ind w:firstLine="200" w:firstLineChars="200"/>
    </w:pPr>
    <w:rPr>
      <w:rFonts w:ascii="Calibri" w:hAnsi="Calibri"/>
      <w:szCs w:val="22"/>
    </w:rPr>
  </w:style>
  <w:style w:type="paragraph" w:styleId="13">
    <w:name w:val="List Paragraph"/>
    <w:basedOn w:val="1"/>
    <w:qFormat/>
    <w:uiPriority w:val="34"/>
    <w:pPr>
      <w:ind w:firstLine="420" w:firstLineChars="200"/>
    </w:pPr>
  </w:style>
  <w:style w:type="paragraph" w:customStyle="1" w:styleId="14">
    <w:name w:val="Normal_0"/>
    <w:qFormat/>
    <w:uiPriority w:val="0"/>
    <w:rPr>
      <w:rFonts w:ascii="黑体" w:hAnsi="黑体" w:eastAsia="黑体" w:cs="Times New Roman"/>
      <w:b/>
      <w:sz w:val="32"/>
      <w:szCs w:val="24"/>
      <w:lang w:bidi="ar-SA"/>
    </w:rPr>
  </w:style>
  <w:style w:type="paragraph" w:customStyle="1" w:styleId="15">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_0_3"/>
    <w:qFormat/>
    <w:uiPriority w:val="0"/>
    <w:rPr>
      <w:rFonts w:ascii="黑体" w:hAnsi="黑体" w:eastAsia="黑体" w:cs="Times New Roman"/>
      <w:b/>
      <w:sz w:val="32"/>
      <w:szCs w:val="24"/>
      <w:lang w:bidi="ar-SA"/>
    </w:rPr>
  </w:style>
  <w:style w:type="paragraph" w:customStyle="1" w:styleId="17">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0_2"/>
    <w:qFormat/>
    <w:uiPriority w:val="0"/>
    <w:rPr>
      <w:rFonts w:ascii="黑体" w:hAnsi="黑体" w:eastAsia="黑体" w:cs="Times New Roman"/>
      <w:b/>
      <w:sz w:val="32"/>
      <w:szCs w:val="24"/>
      <w:lang w:bidi="ar-SA"/>
    </w:rPr>
  </w:style>
  <w:style w:type="paragraph" w:customStyle="1" w:styleId="19">
    <w:name w:val="Normal_1_2"/>
    <w:qFormat/>
    <w:uiPriority w:val="0"/>
    <w:rPr>
      <w:rFonts w:ascii="Times New Roman" w:hAnsi="Times New Roman" w:eastAsia="Times New Roman" w:cs="Times New Roman"/>
      <w:sz w:val="24"/>
      <w:szCs w:val="24"/>
      <w:lang w:bidi="ar-SA"/>
    </w:rPr>
  </w:style>
  <w:style w:type="paragraph" w:customStyle="1" w:styleId="20">
    <w:name w:val="Normal_0_1"/>
    <w:qFormat/>
    <w:uiPriority w:val="0"/>
    <w:rPr>
      <w:rFonts w:ascii="黑体" w:hAnsi="黑体" w:eastAsia="黑体" w:cs="Times New Roman"/>
      <w:b/>
      <w:sz w:val="32"/>
      <w:szCs w:val="24"/>
      <w:lang w:bidi="ar-SA"/>
    </w:rPr>
  </w:style>
  <w:style w:type="paragraph" w:customStyle="1" w:styleId="2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Normal_1_1"/>
    <w:qFormat/>
    <w:uiPriority w:val="0"/>
    <w:rPr>
      <w:rFonts w:ascii="黑体" w:hAnsi="黑体" w:eastAsia="黑体" w:cs="Times New Roman"/>
      <w:b/>
      <w:sz w:val="32"/>
      <w:szCs w:val="24"/>
      <w:lang w:bidi="ar-SA"/>
    </w:rPr>
  </w:style>
  <w:style w:type="paragraph" w:customStyle="1" w:styleId="23">
    <w:name w:val="Normal_2_0"/>
    <w:qFormat/>
    <w:uiPriority w:val="0"/>
    <w:rPr>
      <w:rFonts w:ascii="黑体" w:hAnsi="黑体" w:eastAsia="黑体" w:cs="Times New Roman"/>
      <w:b/>
      <w:sz w:val="32"/>
      <w:szCs w:val="24"/>
      <w:lang w:bidi="ar-SA"/>
    </w:rPr>
  </w:style>
  <w:style w:type="paragraph" w:customStyle="1" w:styleId="24">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Normal_3_0"/>
    <w:qFormat/>
    <w:uiPriority w:val="0"/>
    <w:rPr>
      <w:rFonts w:ascii="黑体" w:hAnsi="黑体" w:eastAsia="黑体" w:cs="Times New Roman"/>
      <w:b/>
      <w:sz w:val="32"/>
      <w:szCs w:val="24"/>
      <w:lang w:bidi="ar-SA"/>
    </w:rPr>
  </w:style>
  <w:style w:type="paragraph" w:customStyle="1" w:styleId="2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Normal_5_0"/>
    <w:qFormat/>
    <w:uiPriority w:val="0"/>
    <w:rPr>
      <w:rFonts w:ascii="黑体" w:hAnsi="黑体" w:eastAsia="黑体" w:cs="Times New Roman"/>
      <w:b/>
      <w:sz w:val="32"/>
      <w:szCs w:val="24"/>
      <w:lang w:bidi="ar-SA"/>
    </w:rPr>
  </w:style>
  <w:style w:type="paragraph" w:customStyle="1" w:styleId="31">
    <w:name w:val="正文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Normal_6_0"/>
    <w:qFormat/>
    <w:uiPriority w:val="0"/>
    <w:rPr>
      <w:rFonts w:ascii="黑体" w:hAnsi="黑体" w:eastAsia="黑体" w:cs="Times New Roman"/>
      <w:b/>
      <w:sz w:val="32"/>
      <w:szCs w:val="24"/>
      <w:lang w:bidi="ar-SA"/>
    </w:rPr>
  </w:style>
  <w:style w:type="paragraph" w:customStyle="1" w:styleId="34">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7_0"/>
    <w:qFormat/>
    <w:uiPriority w:val="0"/>
    <w:rPr>
      <w:rFonts w:ascii="黑体" w:hAnsi="黑体" w:eastAsia="黑体" w:cs="Times New Roman"/>
      <w:b/>
      <w:sz w:val="32"/>
      <w:szCs w:val="24"/>
      <w:lang w:bidi="ar-SA"/>
    </w:rPr>
  </w:style>
  <w:style w:type="paragraph" w:customStyle="1" w:styleId="37">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8_0"/>
    <w:qFormat/>
    <w:uiPriority w:val="0"/>
    <w:rPr>
      <w:rFonts w:ascii="黑体" w:hAnsi="黑体" w:eastAsia="黑体" w:cs="Times New Roman"/>
      <w:b/>
      <w:sz w:val="32"/>
      <w:szCs w:val="24"/>
      <w:lang w:bidi="ar-SA"/>
    </w:rPr>
  </w:style>
  <w:style w:type="paragraph" w:customStyle="1" w:styleId="44">
    <w:name w:val="Normal_9_0"/>
    <w:qFormat/>
    <w:uiPriority w:val="0"/>
    <w:rPr>
      <w:rFonts w:ascii="Times New Roman" w:hAnsi="Times New Roman" w:eastAsia="Times New Roman" w:cs="Times New Roman"/>
      <w:sz w:val="24"/>
      <w:szCs w:val="24"/>
      <w:lang w:bidi="ar-SA"/>
    </w:rPr>
  </w:style>
  <w:style w:type="paragraph" w:customStyle="1" w:styleId="45">
    <w:name w:val="Normal_10_0"/>
    <w:qFormat/>
    <w:uiPriority w:val="0"/>
    <w:rPr>
      <w:rFonts w:ascii="黑体" w:hAnsi="黑体" w:eastAsia="黑体" w:cs="Times New Roman"/>
      <w:b/>
      <w:sz w:val="32"/>
      <w:szCs w:val="24"/>
      <w:lang w:bidi="ar-SA"/>
    </w:rPr>
  </w:style>
  <w:style w:type="paragraph" w:customStyle="1" w:styleId="46">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1_0"/>
    <w:qFormat/>
    <w:uiPriority w:val="0"/>
    <w:rPr>
      <w:rFonts w:ascii="黑体" w:hAnsi="黑体" w:eastAsia="黑体" w:cs="Times New Roman"/>
      <w:b/>
      <w:sz w:val="32"/>
      <w:szCs w:val="24"/>
      <w:lang w:bidi="ar-SA"/>
    </w:rPr>
  </w:style>
  <w:style w:type="paragraph" w:customStyle="1" w:styleId="48">
    <w:name w:val="Normal_12_0"/>
    <w:qFormat/>
    <w:uiPriority w:val="0"/>
    <w:rPr>
      <w:rFonts w:ascii="黑体" w:hAnsi="黑体" w:eastAsia="黑体" w:cs="Times New Roman"/>
      <w:b/>
      <w:sz w:val="32"/>
      <w:szCs w:val="24"/>
      <w:lang w:bidi="ar-SA"/>
    </w:rPr>
  </w:style>
  <w:style w:type="paragraph" w:customStyle="1" w:styleId="49">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纯文本_0_0"/>
    <w:basedOn w:val="49"/>
    <w:unhideWhenUsed/>
    <w:qFormat/>
    <w:uiPriority w:val="0"/>
    <w:rPr>
      <w:rFonts w:ascii="宋体" w:hAnsi="Courier New"/>
      <w:szCs w:val="21"/>
    </w:rPr>
  </w:style>
  <w:style w:type="paragraph" w:customStyle="1" w:styleId="51">
    <w:name w:val="Normal_13_0"/>
    <w:qFormat/>
    <w:uiPriority w:val="0"/>
    <w:rPr>
      <w:rFonts w:ascii="黑体" w:hAnsi="黑体" w:eastAsia="黑体" w:cs="Times New Roman"/>
      <w:b/>
      <w:sz w:val="32"/>
      <w:szCs w:val="24"/>
      <w:lang w:bidi="ar-SA"/>
    </w:rPr>
  </w:style>
  <w:style w:type="paragraph" w:customStyle="1" w:styleId="52">
    <w:name w:val="正文_1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4_0"/>
    <w:qFormat/>
    <w:uiPriority w:val="0"/>
    <w:rPr>
      <w:rFonts w:ascii="黑体" w:hAnsi="黑体" w:eastAsia="黑体" w:cs="Times New Roman"/>
      <w:b/>
      <w:sz w:val="32"/>
      <w:szCs w:val="24"/>
      <w:lang w:bidi="ar-SA"/>
    </w:rPr>
  </w:style>
  <w:style w:type="paragraph" w:customStyle="1" w:styleId="54">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9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_0"/>
    <w:qFormat/>
    <w:uiPriority w:val="0"/>
    <w:rPr>
      <w:rFonts w:ascii="黑体" w:hAnsi="黑体" w:eastAsia="黑体" w:cs="Times New Roman"/>
      <w:b/>
      <w:sz w:val="32"/>
      <w:szCs w:val="24"/>
      <w:lang w:bidi="ar-SA"/>
    </w:rPr>
  </w:style>
  <w:style w:type="paragraph" w:customStyle="1" w:styleId="57">
    <w:name w:val="正文_1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7_0"/>
    <w:qFormat/>
    <w:uiPriority w:val="0"/>
    <w:rPr>
      <w:rFonts w:ascii="黑体" w:hAnsi="黑体" w:eastAsia="黑体" w:cs="Times New Roman"/>
      <w:b/>
      <w:sz w:val="32"/>
      <w:szCs w:val="24"/>
      <w:lang w:bidi="ar-SA"/>
    </w:rPr>
  </w:style>
  <w:style w:type="paragraph" w:customStyle="1" w:styleId="59">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4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8_0"/>
    <w:qFormat/>
    <w:uiPriority w:val="0"/>
    <w:rPr>
      <w:rFonts w:ascii="黑体" w:hAnsi="黑体" w:eastAsia="黑体" w:cs="Times New Roman"/>
      <w:b/>
      <w:sz w:val="32"/>
      <w:szCs w:val="24"/>
      <w:lang w:bidi="ar-SA"/>
    </w:rPr>
  </w:style>
  <w:style w:type="paragraph" w:customStyle="1" w:styleId="62">
    <w:name w:val="正文_1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17901</Words>
  <Characters>19406</Characters>
  <Lines>0</Lines>
  <Paragraphs>0</Paragraphs>
  <TotalTime>28</TotalTime>
  <ScaleCrop>false</ScaleCrop>
  <LinksUpToDate>false</LinksUpToDate>
  <CharactersWithSpaces>20802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别吃了</dc:creator>
  <cp:lastModifiedBy>Originally</cp:lastModifiedBy>
  <dcterms:modified xsi:type="dcterms:W3CDTF">2025-07-02T06:26:33Z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577428A33CB84A9A86CC5C325A702BF3_13</vt:lpwstr>
  </property>
  <property fmtid="{D5CDD505-2E9C-101B-9397-08002B2CF9AE}" pid="4" name="KSOTemplateDocerSaveRecord">
    <vt:lpwstr>eyJoZGlkIjoiOWFiNjU4YjY2M2QwMmI4OTNiNGEwYTk3NzY0ZGUzMWYiLCJ1c2VySWQiOiIzMzgzMDI3MjkifQ==</vt:lpwstr>
  </property>
</Properties>
</file>