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" w:lineRule="atLeast"/>
        <w:ind w:left="0" w:firstLine="420"/>
        <w:jc w:val="left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附件二：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95" w:lineRule="atLeast"/>
        <w:jc w:val="both"/>
        <w:rPr>
          <w:color w:val="333333"/>
          <w:sz w:val="30"/>
          <w:szCs w:val="30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202</w:t>
      </w:r>
      <w:r>
        <w:rPr>
          <w:rStyle w:val="5"/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6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～202</w:t>
      </w:r>
      <w:r>
        <w:rPr>
          <w:rStyle w:val="5"/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7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年度南通市海门区职工服务中心公众责任险报价单</w:t>
      </w:r>
    </w:p>
    <w:tbl>
      <w:tblPr>
        <w:tblStyle w:val="3"/>
        <w:tblW w:w="925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1047"/>
        <w:gridCol w:w="2198"/>
        <w:gridCol w:w="1357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标段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投保项目名称</w:t>
            </w:r>
          </w:p>
        </w:tc>
        <w:tc>
          <w:tcPr>
            <w:tcW w:w="220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控制价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389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投标人所报险种保额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0" w:hRule="atLeast"/>
          <w:tblCellSpacing w:w="0" w:type="dxa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202</w:t>
            </w:r>
            <w:r>
              <w:rPr>
                <w:rFonts w:hint="eastAsia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color w:val="333333"/>
                <w:sz w:val="24"/>
                <w:szCs w:val="24"/>
              </w:rPr>
              <w:t>～202</w:t>
            </w:r>
            <w:r>
              <w:rPr>
                <w:rFonts w:hint="eastAsia"/>
                <w:color w:val="333333"/>
                <w:sz w:val="24"/>
                <w:szCs w:val="24"/>
                <w:lang w:val="en-US" w:eastAsia="zh-CN"/>
              </w:rPr>
              <w:t>7</w:t>
            </w:r>
            <w:r>
              <w:rPr>
                <w:color w:val="333333"/>
                <w:sz w:val="24"/>
                <w:szCs w:val="24"/>
              </w:rPr>
              <w:t>年度南通市海门区职工服务中心公众责任险</w:t>
            </w:r>
          </w:p>
        </w:tc>
        <w:tc>
          <w:tcPr>
            <w:tcW w:w="220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textAlignment w:val="baseline"/>
              <w:rPr>
                <w:rFonts w:hint="default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color w:val="333333"/>
                <w:sz w:val="24"/>
                <w:szCs w:val="24"/>
                <w:vertAlign w:val="baseline"/>
              </w:rPr>
              <w:t>南通市海门区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eastAsia="zh-CN"/>
              </w:rPr>
              <w:t>工人文化宫</w:t>
            </w:r>
            <w:r>
              <w:rPr>
                <w:color w:val="333333"/>
                <w:sz w:val="24"/>
                <w:szCs w:val="24"/>
                <w:vertAlign w:val="baseline"/>
              </w:rPr>
              <w:t>占地面积约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val="en-US" w:eastAsia="zh-CN"/>
              </w:rPr>
              <w:t>16.5亩</w:t>
            </w:r>
            <w:r>
              <w:rPr>
                <w:color w:val="333333"/>
                <w:sz w:val="24"/>
                <w:szCs w:val="24"/>
                <w:vertAlign w:val="baseline"/>
              </w:rPr>
              <w:t>，总建筑面积约1.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val="en-US" w:eastAsia="zh-CN"/>
              </w:rPr>
              <w:t>62</w:t>
            </w:r>
            <w:r>
              <w:rPr>
                <w:color w:val="333333"/>
                <w:sz w:val="24"/>
                <w:szCs w:val="24"/>
                <w:vertAlign w:val="baseline"/>
              </w:rPr>
              <w:t>万平方米，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eastAsia="zh-CN"/>
              </w:rPr>
              <w:t>包括但不限于负一楼至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val="en-US" w:eastAsia="zh-CN"/>
              </w:rPr>
              <w:t>10楼、围墙内、院子里所有区域、场所。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textAlignment w:val="baselin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vertAlign w:val="baseline"/>
              </w:rPr>
              <w:t>控制价为</w:t>
            </w:r>
            <w:r>
              <w:rPr>
                <w:rFonts w:hint="eastAsia"/>
                <w:color w:val="333333"/>
                <w:sz w:val="24"/>
                <w:szCs w:val="24"/>
                <w:vertAlign w:val="baseline"/>
                <w:lang w:val="en-US" w:eastAsia="zh-CN"/>
              </w:rPr>
              <w:t>178</w:t>
            </w:r>
            <w:r>
              <w:rPr>
                <w:color w:val="333333"/>
                <w:sz w:val="24"/>
                <w:szCs w:val="24"/>
                <w:vertAlign w:val="baseline"/>
              </w:rPr>
              <w:t>00元/年（含增值税税额），大于或等于控制价的为无效报价。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元/年</w:t>
            </w:r>
          </w:p>
        </w:tc>
        <w:tc>
          <w:tcPr>
            <w:tcW w:w="389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主险：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累计责任限额2000万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每次事故责任限额400万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  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其中：1、每次每人人身伤亡责任限额（其中每人医疗费责任限额≤每人责任限额10%）60万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2、每次财产损失责任限额100万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3、主险及附加险每次事故免赔额为1000元或损失金额的10%，二者以高者为准。  </w:t>
            </w:r>
            <w:r>
              <w:rPr>
                <w:color w:val="333333"/>
                <w:sz w:val="24"/>
                <w:szCs w:val="24"/>
              </w:rPr>
              <w:br w:type="textWrapping"/>
            </w:r>
            <w:r>
              <w:rPr>
                <w:color w:val="333333"/>
                <w:sz w:val="24"/>
                <w:szCs w:val="24"/>
              </w:rPr>
              <w:t>附加险：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公众责任保险（A）、（B）附加停车场责任保险条款每次事故责任限额60万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，累计责任限额100万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，每次事故每人责任限额12万元。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公众责任保险（A）、（B）附加广告及装饰装置责任条款每次事故责任限额60万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，累计责任限额100万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，每次事故每人责任限额12万元。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" w:lineRule="atLeast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公众责任保险（A）、（B）附加自然灾害及烟损责任条款每次事故责任限额60万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，累计责任限额100万</w:t>
            </w:r>
            <w:r>
              <w:rPr>
                <w:rFonts w:hint="eastAsia"/>
                <w:color w:val="333333"/>
                <w:sz w:val="24"/>
                <w:szCs w:val="24"/>
                <w:lang w:eastAsia="zh-CN"/>
              </w:rPr>
              <w:t>元</w:t>
            </w:r>
            <w:r>
              <w:rPr>
                <w:color w:val="333333"/>
                <w:sz w:val="24"/>
                <w:szCs w:val="24"/>
              </w:rPr>
              <w:t>，每次事故每人责任限额12万元。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注：1.税金 %增值税专用发票。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　　2.以上内容须机打并均加盖报价单位公章，手填无效。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报价单位（盖章）：              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法定代表人（签字或盖章）：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420"/>
        <w:jc w:val="left"/>
        <w:textAlignment w:val="auto"/>
        <w:rPr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4800" w:firstLineChars="200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  <w:t>年     月     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77587"/>
    <w:rsid w:val="4DA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2026-04-30T00:39:00Z</dcterms:created>
  <dc:creator>Administrator</dc:creator>
  <cp:lastModifiedBy>Administrator</cp:lastModifiedBy>
  <dcterms:modified xsi:type="dcterms:W3CDTF">2026-04-30T00:40:25Z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1E1FFB33EECC4D40B59869DFDA487C07</vt:lpwstr>
  </property>
</Properties>
</file>