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DC" w:rsidRDefault="00323FDC" w:rsidP="00323FDC">
      <w:pPr>
        <w:pStyle w:val="a3"/>
        <w:widowControl/>
        <w:spacing w:line="240" w:lineRule="atLeast"/>
        <w:ind w:firstLine="420"/>
        <w:rPr>
          <w:color w:val="333333"/>
        </w:rPr>
      </w:pPr>
      <w:r>
        <w:rPr>
          <w:rFonts w:ascii="宋体" w:hAnsi="宋体"/>
          <w:color w:val="333333"/>
        </w:rPr>
        <w:t>附件二：</w:t>
      </w:r>
    </w:p>
    <w:p w:rsidR="00323FDC" w:rsidRDefault="00323FDC" w:rsidP="00323FDC">
      <w:pPr>
        <w:pStyle w:val="a3"/>
        <w:widowControl/>
        <w:spacing w:line="495" w:lineRule="atLeast"/>
        <w:ind w:firstLine="420"/>
        <w:jc w:val="center"/>
        <w:rPr>
          <w:color w:val="333333"/>
        </w:rPr>
      </w:pPr>
      <w:r>
        <w:rPr>
          <w:rStyle w:val="15"/>
          <w:rFonts w:ascii="Times New Roman" w:hAnsi="Times New Roman"/>
          <w:color w:val="333333"/>
          <w:sz w:val="28"/>
          <w:szCs w:val="28"/>
        </w:rPr>
        <w:t>202</w:t>
      </w:r>
      <w:r>
        <w:rPr>
          <w:rStyle w:val="15"/>
          <w:rFonts w:ascii="Times New Roman" w:hAnsi="Times New Roman" w:hint="eastAsia"/>
          <w:color w:val="333333"/>
          <w:sz w:val="28"/>
          <w:szCs w:val="28"/>
        </w:rPr>
        <w:t>6</w:t>
      </w:r>
      <w:r>
        <w:rPr>
          <w:rStyle w:val="15"/>
          <w:rFonts w:ascii="宋体" w:hAnsi="宋体"/>
          <w:color w:val="333333"/>
          <w:sz w:val="28"/>
          <w:szCs w:val="28"/>
        </w:rPr>
        <w:t>～</w:t>
      </w:r>
      <w:r>
        <w:rPr>
          <w:rStyle w:val="15"/>
          <w:rFonts w:ascii="Times New Roman" w:hAnsi="Times New Roman"/>
          <w:color w:val="333333"/>
          <w:sz w:val="28"/>
          <w:szCs w:val="28"/>
        </w:rPr>
        <w:t>202</w:t>
      </w:r>
      <w:r>
        <w:rPr>
          <w:rStyle w:val="15"/>
          <w:rFonts w:ascii="Times New Roman" w:hAnsi="Times New Roman" w:hint="eastAsia"/>
          <w:color w:val="333333"/>
          <w:sz w:val="28"/>
          <w:szCs w:val="28"/>
        </w:rPr>
        <w:t>7</w:t>
      </w:r>
      <w:r>
        <w:rPr>
          <w:rStyle w:val="15"/>
          <w:rFonts w:ascii="宋体" w:hAnsi="宋体"/>
          <w:color w:val="333333"/>
          <w:sz w:val="28"/>
          <w:szCs w:val="28"/>
        </w:rPr>
        <w:t>年度南通市海门区职工服务中心公众责任险报价单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"/>
        <w:gridCol w:w="1048"/>
        <w:gridCol w:w="2203"/>
        <w:gridCol w:w="1359"/>
        <w:gridCol w:w="3893"/>
      </w:tblGrid>
      <w:tr w:rsidR="00323FDC" w:rsidTr="00323FDC">
        <w:trPr>
          <w:trHeight w:val="100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3FDC" w:rsidRDefault="00323FDC">
            <w:pPr>
              <w:pStyle w:val="a3"/>
              <w:widowControl/>
              <w:spacing w:line="300" w:lineRule="atLeast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标段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3FDC" w:rsidRDefault="00323FDC">
            <w:pPr>
              <w:pStyle w:val="a3"/>
              <w:widowControl/>
              <w:spacing w:line="300" w:lineRule="atLeast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投保项目名称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3FDC" w:rsidRDefault="00323FDC">
            <w:pPr>
              <w:pStyle w:val="a3"/>
              <w:widowControl/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控制价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23FDC" w:rsidRDefault="00323FDC">
            <w:pPr>
              <w:pStyle w:val="a3"/>
              <w:widowControl/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报价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3FDC" w:rsidRDefault="00323FDC">
            <w:pPr>
              <w:pStyle w:val="a3"/>
              <w:widowControl/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投标人所报险种保额</w:t>
            </w:r>
          </w:p>
        </w:tc>
      </w:tr>
      <w:tr w:rsidR="00323FDC" w:rsidTr="00323FDC">
        <w:trPr>
          <w:trHeight w:val="372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3FDC" w:rsidRDefault="00323FDC">
            <w:pPr>
              <w:pStyle w:val="a3"/>
              <w:widowControl/>
              <w:spacing w:line="300" w:lineRule="atLeast"/>
              <w:ind w:firstLine="42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3FDC" w:rsidRDefault="00323FDC">
            <w:pPr>
              <w:pStyle w:val="a3"/>
              <w:widowControl/>
              <w:spacing w:line="300" w:lineRule="atLeast"/>
              <w:rPr>
                <w:color w:val="333333"/>
              </w:rPr>
            </w:pPr>
            <w:r>
              <w:rPr>
                <w:color w:val="333333"/>
              </w:rPr>
              <w:t>202</w:t>
            </w:r>
            <w:r>
              <w:rPr>
                <w:rFonts w:hint="eastAsia"/>
                <w:color w:val="333333"/>
              </w:rPr>
              <w:t>6</w:t>
            </w:r>
            <w:r>
              <w:rPr>
                <w:rFonts w:ascii="宋体" w:hAnsi="宋体"/>
                <w:color w:val="333333"/>
              </w:rPr>
              <w:t>～</w:t>
            </w:r>
            <w:r>
              <w:rPr>
                <w:color w:val="333333"/>
              </w:rPr>
              <w:t>202</w:t>
            </w:r>
            <w:r>
              <w:rPr>
                <w:rFonts w:hint="eastAsia"/>
                <w:color w:val="333333"/>
              </w:rPr>
              <w:t>7</w:t>
            </w:r>
            <w:r>
              <w:rPr>
                <w:rFonts w:ascii="宋体" w:hAnsi="宋体"/>
                <w:color w:val="333333"/>
              </w:rPr>
              <w:t>年度南通市海门区职工服务中心公众责任险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3FDC" w:rsidRDefault="00323FDC">
            <w:pPr>
              <w:pStyle w:val="a3"/>
              <w:widowControl/>
              <w:spacing w:line="405" w:lineRule="atLeast"/>
              <w:textAlignment w:val="baseline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南通市海门区</w:t>
            </w:r>
            <w:r>
              <w:rPr>
                <w:rFonts w:ascii="宋体" w:hAnsi="宋体" w:hint="eastAsia"/>
                <w:color w:val="333333"/>
              </w:rPr>
              <w:t>工人文化宫</w:t>
            </w:r>
            <w:r>
              <w:rPr>
                <w:rFonts w:ascii="宋体" w:hAnsi="宋体"/>
                <w:color w:val="333333"/>
              </w:rPr>
              <w:t>占地面积约</w:t>
            </w:r>
            <w:r>
              <w:rPr>
                <w:rFonts w:hint="eastAsia"/>
                <w:color w:val="333333"/>
              </w:rPr>
              <w:t>16.5</w:t>
            </w:r>
            <w:r>
              <w:rPr>
                <w:rFonts w:ascii="宋体" w:hAnsi="宋体" w:hint="eastAsia"/>
                <w:color w:val="333333"/>
              </w:rPr>
              <w:t>亩</w:t>
            </w:r>
            <w:r>
              <w:rPr>
                <w:rFonts w:ascii="宋体" w:hAnsi="宋体"/>
                <w:color w:val="333333"/>
              </w:rPr>
              <w:t>，总建筑面积约</w:t>
            </w:r>
            <w:r>
              <w:rPr>
                <w:color w:val="333333"/>
              </w:rPr>
              <w:t>1.</w:t>
            </w:r>
            <w:r>
              <w:rPr>
                <w:rFonts w:hint="eastAsia"/>
                <w:color w:val="333333"/>
              </w:rPr>
              <w:t>62</w:t>
            </w:r>
            <w:r>
              <w:rPr>
                <w:rFonts w:ascii="宋体" w:hAnsi="宋体"/>
                <w:color w:val="333333"/>
              </w:rPr>
              <w:t>万平方米，</w:t>
            </w:r>
            <w:r>
              <w:rPr>
                <w:rFonts w:ascii="宋体" w:hAnsi="宋体" w:hint="eastAsia"/>
                <w:color w:val="333333"/>
              </w:rPr>
              <w:t>包括但不限于负一楼至</w:t>
            </w:r>
            <w:r>
              <w:rPr>
                <w:rFonts w:hint="eastAsia"/>
                <w:color w:val="333333"/>
              </w:rPr>
              <w:t>10</w:t>
            </w:r>
            <w:r>
              <w:rPr>
                <w:rFonts w:ascii="宋体" w:hAnsi="宋体" w:hint="eastAsia"/>
                <w:color w:val="333333"/>
              </w:rPr>
              <w:t>楼、围墙内、院子里所有区域、场所。</w:t>
            </w:r>
          </w:p>
          <w:p w:rsidR="00323FDC" w:rsidRDefault="00323FDC">
            <w:pPr>
              <w:pStyle w:val="a3"/>
              <w:widowControl/>
              <w:spacing w:line="405" w:lineRule="atLeast"/>
              <w:textAlignment w:val="baseline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控制价为</w:t>
            </w:r>
            <w:r>
              <w:rPr>
                <w:rFonts w:hint="eastAsia"/>
                <w:color w:val="333333"/>
              </w:rPr>
              <w:t>178</w:t>
            </w:r>
            <w:r>
              <w:rPr>
                <w:color w:val="333333"/>
              </w:rPr>
              <w:t>00</w:t>
            </w:r>
            <w:r>
              <w:rPr>
                <w:rFonts w:ascii="宋体" w:hAnsi="宋体"/>
                <w:color w:val="333333"/>
              </w:rPr>
              <w:t>元</w:t>
            </w:r>
            <w:r>
              <w:rPr>
                <w:color w:val="333333"/>
              </w:rPr>
              <w:t>/</w:t>
            </w:r>
            <w:r>
              <w:rPr>
                <w:rFonts w:ascii="宋体" w:hAnsi="宋体"/>
                <w:color w:val="333333"/>
              </w:rPr>
              <w:t>年（含增值税税额），大于或等于控制价的为无效报价。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3FDC" w:rsidRDefault="00323FDC">
            <w:pPr>
              <w:pStyle w:val="a3"/>
              <w:widowControl/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元</w:t>
            </w:r>
            <w:r>
              <w:rPr>
                <w:color w:val="333333"/>
              </w:rPr>
              <w:t>/</w:t>
            </w:r>
            <w:r>
              <w:rPr>
                <w:rFonts w:ascii="宋体" w:hAnsi="宋体"/>
                <w:color w:val="333333"/>
              </w:rPr>
              <w:t>年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3FDC" w:rsidRDefault="00323FDC">
            <w:pPr>
              <w:pStyle w:val="a3"/>
              <w:widowControl/>
              <w:spacing w:line="240" w:lineRule="atLeast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主险：</w:t>
            </w:r>
            <w:r>
              <w:rPr>
                <w:color w:val="333333"/>
              </w:rPr>
              <w:br/>
            </w:r>
            <w:r>
              <w:rPr>
                <w:rFonts w:ascii="宋体" w:hAnsi="宋体"/>
                <w:color w:val="333333"/>
              </w:rPr>
              <w:t>累计责任限额</w:t>
            </w:r>
            <w:r>
              <w:rPr>
                <w:color w:val="333333"/>
              </w:rPr>
              <w:t>2000</w:t>
            </w:r>
            <w:r>
              <w:rPr>
                <w:rFonts w:ascii="宋体" w:hAnsi="宋体"/>
                <w:color w:val="333333"/>
              </w:rPr>
              <w:t>万</w:t>
            </w:r>
            <w:r>
              <w:rPr>
                <w:rFonts w:ascii="宋体" w:hAnsi="宋体" w:hint="eastAsia"/>
                <w:color w:val="333333"/>
              </w:rPr>
              <w:t>元</w:t>
            </w:r>
            <w:r>
              <w:rPr>
                <w:color w:val="333333"/>
              </w:rPr>
              <w:br/>
            </w:r>
            <w:r>
              <w:rPr>
                <w:rFonts w:ascii="宋体" w:hAnsi="宋体"/>
                <w:color w:val="333333"/>
              </w:rPr>
              <w:t>每次事故责任限额</w:t>
            </w:r>
            <w:r>
              <w:rPr>
                <w:color w:val="333333"/>
              </w:rPr>
              <w:t>400</w:t>
            </w:r>
            <w:r>
              <w:rPr>
                <w:rFonts w:ascii="宋体" w:hAnsi="宋体"/>
                <w:color w:val="333333"/>
              </w:rPr>
              <w:t>万</w:t>
            </w:r>
            <w:r>
              <w:rPr>
                <w:rFonts w:ascii="宋体" w:hAnsi="宋体" w:hint="eastAsia"/>
                <w:color w:val="333333"/>
              </w:rPr>
              <w:t>元</w:t>
            </w:r>
            <w:r>
              <w:rPr>
                <w:color w:val="333333"/>
              </w:rPr>
              <w:t>  </w:t>
            </w:r>
            <w:r>
              <w:rPr>
                <w:color w:val="333333"/>
              </w:rPr>
              <w:br/>
            </w:r>
            <w:r>
              <w:rPr>
                <w:rFonts w:ascii="宋体" w:hAnsi="宋体"/>
                <w:color w:val="333333"/>
              </w:rPr>
              <w:t>其中：</w:t>
            </w:r>
            <w:r>
              <w:rPr>
                <w:color w:val="333333"/>
              </w:rPr>
              <w:t>1</w:t>
            </w:r>
            <w:r>
              <w:rPr>
                <w:rFonts w:ascii="宋体" w:hAnsi="宋体"/>
                <w:color w:val="333333"/>
              </w:rPr>
              <w:t>、每次每人人身伤亡责任限额（其中每人医疗费责任限额</w:t>
            </w:r>
            <w:r>
              <w:rPr>
                <w:color w:val="333333"/>
              </w:rPr>
              <w:t>≤</w:t>
            </w:r>
            <w:r>
              <w:rPr>
                <w:rFonts w:ascii="宋体" w:hAnsi="宋体"/>
                <w:color w:val="333333"/>
              </w:rPr>
              <w:t>每人责任限额</w:t>
            </w:r>
            <w:r>
              <w:rPr>
                <w:color w:val="333333"/>
              </w:rPr>
              <w:t>10%</w:t>
            </w:r>
            <w:r>
              <w:rPr>
                <w:rFonts w:ascii="宋体" w:hAnsi="宋体"/>
                <w:color w:val="333333"/>
              </w:rPr>
              <w:t>）</w:t>
            </w:r>
            <w:r>
              <w:rPr>
                <w:color w:val="333333"/>
              </w:rPr>
              <w:t>60</w:t>
            </w:r>
            <w:r>
              <w:rPr>
                <w:rFonts w:ascii="宋体" w:hAnsi="宋体"/>
                <w:color w:val="333333"/>
              </w:rPr>
              <w:t>万</w:t>
            </w:r>
            <w:r>
              <w:rPr>
                <w:rFonts w:ascii="宋体" w:hAnsi="宋体" w:hint="eastAsia"/>
                <w:color w:val="333333"/>
              </w:rPr>
              <w:t>元</w:t>
            </w:r>
            <w:r>
              <w:rPr>
                <w:color w:val="333333"/>
              </w:rPr>
              <w:br/>
              <w:t>2</w:t>
            </w:r>
            <w:r>
              <w:rPr>
                <w:rFonts w:ascii="宋体" w:hAnsi="宋体"/>
                <w:color w:val="333333"/>
              </w:rPr>
              <w:t>、每次财产损失责任限额</w:t>
            </w:r>
            <w:r>
              <w:rPr>
                <w:color w:val="333333"/>
              </w:rPr>
              <w:t>100</w:t>
            </w:r>
            <w:r>
              <w:rPr>
                <w:rFonts w:ascii="宋体" w:hAnsi="宋体"/>
                <w:color w:val="333333"/>
              </w:rPr>
              <w:t>万</w:t>
            </w:r>
            <w:r>
              <w:rPr>
                <w:rFonts w:ascii="宋体" w:hAnsi="宋体" w:hint="eastAsia"/>
                <w:color w:val="333333"/>
              </w:rPr>
              <w:t>元</w:t>
            </w:r>
            <w:r>
              <w:rPr>
                <w:color w:val="333333"/>
              </w:rPr>
              <w:br/>
              <w:t>3</w:t>
            </w:r>
            <w:r>
              <w:rPr>
                <w:rFonts w:ascii="宋体" w:hAnsi="宋体"/>
                <w:color w:val="333333"/>
              </w:rPr>
              <w:t>、主险及附加险每次事故免赔额为</w:t>
            </w:r>
            <w:r>
              <w:rPr>
                <w:color w:val="333333"/>
              </w:rPr>
              <w:t>1000</w:t>
            </w:r>
            <w:r>
              <w:rPr>
                <w:rFonts w:ascii="宋体" w:hAnsi="宋体"/>
                <w:color w:val="333333"/>
              </w:rPr>
              <w:t>元或损失金额的</w:t>
            </w:r>
            <w:r>
              <w:rPr>
                <w:color w:val="333333"/>
              </w:rPr>
              <w:t>10%</w:t>
            </w:r>
            <w:r>
              <w:rPr>
                <w:rFonts w:ascii="宋体" w:hAnsi="宋体"/>
                <w:color w:val="333333"/>
              </w:rPr>
              <w:t>，二者以高者为准。</w:t>
            </w:r>
            <w:r>
              <w:rPr>
                <w:color w:val="333333"/>
              </w:rPr>
              <w:t>  </w:t>
            </w:r>
            <w:r>
              <w:rPr>
                <w:color w:val="333333"/>
              </w:rPr>
              <w:br/>
            </w:r>
            <w:r>
              <w:rPr>
                <w:rFonts w:ascii="宋体" w:hAnsi="宋体"/>
                <w:color w:val="333333"/>
              </w:rPr>
              <w:t>附加险：</w:t>
            </w:r>
          </w:p>
          <w:p w:rsidR="00323FDC" w:rsidRDefault="00323FDC">
            <w:pPr>
              <w:pStyle w:val="a3"/>
              <w:widowControl/>
              <w:spacing w:line="240" w:lineRule="atLeast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公众责任保险（</w:t>
            </w:r>
            <w:r>
              <w:rPr>
                <w:color w:val="333333"/>
              </w:rPr>
              <w:t>A</w:t>
            </w:r>
            <w:r>
              <w:rPr>
                <w:rFonts w:ascii="宋体" w:hAnsi="宋体"/>
                <w:color w:val="333333"/>
              </w:rPr>
              <w:t>）、（</w:t>
            </w:r>
            <w:r>
              <w:rPr>
                <w:color w:val="333333"/>
              </w:rPr>
              <w:t>B</w:t>
            </w:r>
            <w:r>
              <w:rPr>
                <w:rFonts w:ascii="宋体" w:hAnsi="宋体"/>
                <w:color w:val="333333"/>
              </w:rPr>
              <w:t>）附加停车场责任保险条款每次事故责任限额</w:t>
            </w:r>
            <w:r>
              <w:rPr>
                <w:color w:val="333333"/>
              </w:rPr>
              <w:t>60</w:t>
            </w:r>
            <w:r>
              <w:rPr>
                <w:rFonts w:ascii="宋体" w:hAnsi="宋体"/>
                <w:color w:val="333333"/>
              </w:rPr>
              <w:t>万</w:t>
            </w:r>
            <w:r>
              <w:rPr>
                <w:rFonts w:ascii="宋体" w:hAnsi="宋体" w:hint="eastAsia"/>
                <w:color w:val="333333"/>
              </w:rPr>
              <w:t>元</w:t>
            </w:r>
            <w:r>
              <w:rPr>
                <w:rFonts w:ascii="宋体" w:hAnsi="宋体"/>
                <w:color w:val="333333"/>
              </w:rPr>
              <w:t>，累计责任限额</w:t>
            </w:r>
            <w:r>
              <w:rPr>
                <w:color w:val="333333"/>
              </w:rPr>
              <w:t>100</w:t>
            </w:r>
            <w:r>
              <w:rPr>
                <w:rFonts w:ascii="宋体" w:hAnsi="宋体"/>
                <w:color w:val="333333"/>
              </w:rPr>
              <w:t>万</w:t>
            </w:r>
            <w:r>
              <w:rPr>
                <w:rFonts w:ascii="宋体" w:hAnsi="宋体" w:hint="eastAsia"/>
                <w:color w:val="333333"/>
              </w:rPr>
              <w:t>元</w:t>
            </w:r>
            <w:r>
              <w:rPr>
                <w:rFonts w:ascii="宋体" w:hAnsi="宋体"/>
                <w:color w:val="333333"/>
              </w:rPr>
              <w:t>，每次事故每人责任限额</w:t>
            </w:r>
            <w:r>
              <w:rPr>
                <w:color w:val="333333"/>
              </w:rPr>
              <w:t>12</w:t>
            </w:r>
            <w:r>
              <w:rPr>
                <w:rFonts w:ascii="宋体" w:hAnsi="宋体"/>
                <w:color w:val="333333"/>
              </w:rPr>
              <w:t>万元。</w:t>
            </w:r>
          </w:p>
          <w:p w:rsidR="00323FDC" w:rsidRDefault="00323FDC">
            <w:pPr>
              <w:pStyle w:val="a3"/>
              <w:widowControl/>
              <w:spacing w:line="240" w:lineRule="atLeast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公众责任保险（</w:t>
            </w:r>
            <w:r>
              <w:rPr>
                <w:color w:val="333333"/>
              </w:rPr>
              <w:t>A</w:t>
            </w:r>
            <w:r>
              <w:rPr>
                <w:rFonts w:ascii="宋体" w:hAnsi="宋体"/>
                <w:color w:val="333333"/>
              </w:rPr>
              <w:t>）、（</w:t>
            </w:r>
            <w:r>
              <w:rPr>
                <w:color w:val="333333"/>
              </w:rPr>
              <w:t>B</w:t>
            </w:r>
            <w:r>
              <w:rPr>
                <w:rFonts w:ascii="宋体" w:hAnsi="宋体"/>
                <w:color w:val="333333"/>
              </w:rPr>
              <w:t>）附加广告及装饰装置责任条款每次事故责任限额</w:t>
            </w:r>
            <w:r>
              <w:rPr>
                <w:color w:val="333333"/>
              </w:rPr>
              <w:t>60</w:t>
            </w:r>
            <w:r>
              <w:rPr>
                <w:rFonts w:ascii="宋体" w:hAnsi="宋体"/>
                <w:color w:val="333333"/>
              </w:rPr>
              <w:t>万</w:t>
            </w:r>
            <w:r>
              <w:rPr>
                <w:rFonts w:ascii="宋体" w:hAnsi="宋体" w:hint="eastAsia"/>
                <w:color w:val="333333"/>
              </w:rPr>
              <w:t>元</w:t>
            </w:r>
            <w:r>
              <w:rPr>
                <w:rFonts w:ascii="宋体" w:hAnsi="宋体"/>
                <w:color w:val="333333"/>
              </w:rPr>
              <w:t>，累计责任限额</w:t>
            </w:r>
            <w:r>
              <w:rPr>
                <w:color w:val="333333"/>
              </w:rPr>
              <w:t>100</w:t>
            </w:r>
            <w:r>
              <w:rPr>
                <w:rFonts w:ascii="宋体" w:hAnsi="宋体"/>
                <w:color w:val="333333"/>
              </w:rPr>
              <w:t>万</w:t>
            </w:r>
            <w:r>
              <w:rPr>
                <w:rFonts w:ascii="宋体" w:hAnsi="宋体" w:hint="eastAsia"/>
                <w:color w:val="333333"/>
              </w:rPr>
              <w:t>元</w:t>
            </w:r>
            <w:r>
              <w:rPr>
                <w:rFonts w:ascii="宋体" w:hAnsi="宋体"/>
                <w:color w:val="333333"/>
              </w:rPr>
              <w:t>，每次事故每人责任限额</w:t>
            </w:r>
            <w:r>
              <w:rPr>
                <w:color w:val="333333"/>
              </w:rPr>
              <w:t>12</w:t>
            </w:r>
            <w:r>
              <w:rPr>
                <w:rFonts w:ascii="宋体" w:hAnsi="宋体"/>
                <w:color w:val="333333"/>
              </w:rPr>
              <w:t>万元。</w:t>
            </w:r>
          </w:p>
          <w:p w:rsidR="00323FDC" w:rsidRDefault="00323FDC">
            <w:pPr>
              <w:pStyle w:val="a3"/>
              <w:widowControl/>
              <w:spacing w:line="240" w:lineRule="atLeast"/>
              <w:rPr>
                <w:color w:val="333333"/>
              </w:rPr>
            </w:pPr>
            <w:r>
              <w:rPr>
                <w:rFonts w:ascii="宋体" w:hAnsi="宋体"/>
                <w:color w:val="333333"/>
              </w:rPr>
              <w:t>公众责任保险（</w:t>
            </w:r>
            <w:r>
              <w:rPr>
                <w:color w:val="333333"/>
              </w:rPr>
              <w:t>A</w:t>
            </w:r>
            <w:r>
              <w:rPr>
                <w:rFonts w:ascii="宋体" w:hAnsi="宋体"/>
                <w:color w:val="333333"/>
              </w:rPr>
              <w:t>）、（</w:t>
            </w:r>
            <w:r>
              <w:rPr>
                <w:color w:val="333333"/>
              </w:rPr>
              <w:t>B</w:t>
            </w:r>
            <w:r>
              <w:rPr>
                <w:rFonts w:ascii="宋体" w:hAnsi="宋体"/>
                <w:color w:val="333333"/>
              </w:rPr>
              <w:t>）附加自然灾害及</w:t>
            </w:r>
            <w:proofErr w:type="gramStart"/>
            <w:r>
              <w:rPr>
                <w:rFonts w:ascii="宋体" w:hAnsi="宋体"/>
                <w:color w:val="333333"/>
              </w:rPr>
              <w:t>烟损责任</w:t>
            </w:r>
            <w:proofErr w:type="gramEnd"/>
            <w:r>
              <w:rPr>
                <w:rFonts w:ascii="宋体" w:hAnsi="宋体"/>
                <w:color w:val="333333"/>
              </w:rPr>
              <w:t>条款每次事故责任限额</w:t>
            </w:r>
            <w:r>
              <w:rPr>
                <w:color w:val="333333"/>
              </w:rPr>
              <w:t>60</w:t>
            </w:r>
            <w:r>
              <w:rPr>
                <w:rFonts w:ascii="宋体" w:hAnsi="宋体"/>
                <w:color w:val="333333"/>
              </w:rPr>
              <w:t>万</w:t>
            </w:r>
            <w:r>
              <w:rPr>
                <w:rFonts w:ascii="宋体" w:hAnsi="宋体" w:hint="eastAsia"/>
                <w:color w:val="333333"/>
              </w:rPr>
              <w:t>元</w:t>
            </w:r>
            <w:r>
              <w:rPr>
                <w:rFonts w:ascii="宋体" w:hAnsi="宋体"/>
                <w:color w:val="333333"/>
              </w:rPr>
              <w:t>，累计责任限额</w:t>
            </w:r>
            <w:r>
              <w:rPr>
                <w:color w:val="333333"/>
              </w:rPr>
              <w:t>100</w:t>
            </w:r>
            <w:r>
              <w:rPr>
                <w:rFonts w:ascii="宋体" w:hAnsi="宋体"/>
                <w:color w:val="333333"/>
              </w:rPr>
              <w:t>万</w:t>
            </w:r>
            <w:r>
              <w:rPr>
                <w:rFonts w:ascii="宋体" w:hAnsi="宋体" w:hint="eastAsia"/>
                <w:color w:val="333333"/>
              </w:rPr>
              <w:t>元</w:t>
            </w:r>
            <w:r>
              <w:rPr>
                <w:rFonts w:ascii="宋体" w:hAnsi="宋体"/>
                <w:color w:val="333333"/>
              </w:rPr>
              <w:t>，每次事故每人责任限额</w:t>
            </w:r>
            <w:r>
              <w:rPr>
                <w:color w:val="333333"/>
              </w:rPr>
              <w:t>12</w:t>
            </w:r>
            <w:r>
              <w:rPr>
                <w:rFonts w:ascii="宋体" w:hAnsi="宋体"/>
                <w:color w:val="333333"/>
              </w:rPr>
              <w:t>万元。</w:t>
            </w:r>
          </w:p>
        </w:tc>
      </w:tr>
    </w:tbl>
    <w:p w:rsidR="00323FDC" w:rsidRDefault="00323FDC" w:rsidP="00323FDC">
      <w:pPr>
        <w:pStyle w:val="a3"/>
        <w:widowControl/>
        <w:snapToGrid w:val="0"/>
        <w:spacing w:before="0" w:beforeAutospacing="0" w:after="0" w:afterAutospacing="0"/>
        <w:rPr>
          <w:rFonts w:ascii="宋体" w:hAnsi="宋体" w:hint="eastAsia"/>
          <w:color w:val="333333"/>
        </w:rPr>
      </w:pPr>
      <w:r>
        <w:rPr>
          <w:rFonts w:ascii="宋体" w:hAnsi="宋体"/>
          <w:color w:val="333333"/>
        </w:rPr>
        <w:t>注：</w:t>
      </w:r>
    </w:p>
    <w:p w:rsidR="00323FDC" w:rsidRDefault="00323FDC" w:rsidP="00323FDC">
      <w:pPr>
        <w:pStyle w:val="a3"/>
        <w:widowControl/>
        <w:snapToGrid w:val="0"/>
        <w:spacing w:before="0" w:beforeAutospacing="0" w:after="0" w:afterAutospacing="0"/>
        <w:rPr>
          <w:color w:val="333333"/>
        </w:rPr>
      </w:pPr>
      <w:r>
        <w:rPr>
          <w:rFonts w:ascii="Times New Roman" w:hAnsi="Times New Roman"/>
          <w:color w:val="333333"/>
        </w:rPr>
        <w:t>1.</w:t>
      </w:r>
      <w:r>
        <w:rPr>
          <w:rFonts w:ascii="宋体" w:hAnsi="宋体"/>
          <w:color w:val="333333"/>
        </w:rPr>
        <w:t>税金</w:t>
      </w:r>
      <w:r>
        <w:rPr>
          <w:rFonts w:ascii="Times New Roman" w:hAnsi="Times New Roman"/>
          <w:color w:val="333333"/>
        </w:rPr>
        <w:t xml:space="preserve"> %</w:t>
      </w:r>
      <w:r>
        <w:rPr>
          <w:rFonts w:ascii="宋体" w:hAnsi="宋体"/>
          <w:color w:val="333333"/>
        </w:rPr>
        <w:t>增值税专用发票。</w:t>
      </w:r>
    </w:p>
    <w:p w:rsidR="00323FDC" w:rsidRDefault="00323FDC" w:rsidP="00323FDC">
      <w:pPr>
        <w:pStyle w:val="a3"/>
        <w:widowControl/>
        <w:snapToGrid w:val="0"/>
        <w:spacing w:before="0" w:beforeAutospacing="0" w:after="0" w:afterAutospacing="0"/>
        <w:rPr>
          <w:color w:val="333333"/>
        </w:rPr>
      </w:pPr>
      <w:r>
        <w:rPr>
          <w:rFonts w:ascii="Times New Roman" w:hAnsi="Times New Roman"/>
          <w:color w:val="333333"/>
        </w:rPr>
        <w:t>2.</w:t>
      </w:r>
      <w:r>
        <w:rPr>
          <w:rFonts w:ascii="宋体" w:hAnsi="宋体"/>
          <w:color w:val="333333"/>
        </w:rPr>
        <w:t>以上</w:t>
      </w:r>
      <w:proofErr w:type="gramStart"/>
      <w:r>
        <w:rPr>
          <w:rFonts w:ascii="宋体" w:hAnsi="宋体"/>
          <w:color w:val="333333"/>
        </w:rPr>
        <w:t>内容须机打</w:t>
      </w:r>
      <w:proofErr w:type="gramEnd"/>
      <w:r>
        <w:rPr>
          <w:rFonts w:ascii="宋体" w:hAnsi="宋体"/>
          <w:color w:val="333333"/>
        </w:rPr>
        <w:t>并均加盖报价单位公章，</w:t>
      </w:r>
      <w:proofErr w:type="gramStart"/>
      <w:r>
        <w:rPr>
          <w:rFonts w:ascii="宋体" w:hAnsi="宋体"/>
          <w:color w:val="333333"/>
        </w:rPr>
        <w:t>手填无效</w:t>
      </w:r>
      <w:proofErr w:type="gramEnd"/>
      <w:r>
        <w:rPr>
          <w:rFonts w:ascii="宋体" w:hAnsi="宋体"/>
          <w:color w:val="333333"/>
        </w:rPr>
        <w:t>。</w:t>
      </w:r>
    </w:p>
    <w:p w:rsidR="00323FDC" w:rsidRDefault="00323FDC" w:rsidP="00323FDC">
      <w:pPr>
        <w:pStyle w:val="a3"/>
        <w:widowControl/>
        <w:snapToGrid w:val="0"/>
        <w:spacing w:before="0" w:beforeAutospacing="0" w:after="0" w:afterAutospacing="0"/>
        <w:ind w:firstLine="420"/>
        <w:rPr>
          <w:rFonts w:ascii="宋体" w:hAnsi="宋体" w:hint="eastAsia"/>
          <w:color w:val="333333"/>
        </w:rPr>
      </w:pPr>
    </w:p>
    <w:p w:rsidR="00323FDC" w:rsidRDefault="00323FDC" w:rsidP="00323FDC">
      <w:pPr>
        <w:pStyle w:val="a3"/>
        <w:widowControl/>
        <w:snapToGrid w:val="0"/>
        <w:spacing w:before="0" w:beforeAutospacing="0" w:after="0" w:afterAutospacing="0"/>
        <w:ind w:firstLine="420"/>
        <w:rPr>
          <w:rFonts w:ascii="宋体" w:hAnsi="宋体" w:hint="eastAsia"/>
          <w:color w:val="333333"/>
        </w:rPr>
      </w:pPr>
    </w:p>
    <w:p w:rsidR="00323FDC" w:rsidRDefault="00323FDC" w:rsidP="00323FDC">
      <w:pPr>
        <w:pStyle w:val="a3"/>
        <w:widowControl/>
        <w:snapToGrid w:val="0"/>
        <w:spacing w:before="0" w:beforeAutospacing="0" w:after="0" w:afterAutospacing="0"/>
        <w:ind w:firstLine="420"/>
        <w:rPr>
          <w:color w:val="333333"/>
        </w:rPr>
      </w:pPr>
      <w:r>
        <w:rPr>
          <w:rFonts w:ascii="宋体" w:hAnsi="宋体"/>
          <w:color w:val="333333"/>
        </w:rPr>
        <w:t>报价单位（盖章）：</w:t>
      </w:r>
      <w:r>
        <w:rPr>
          <w:rFonts w:ascii="Times New Roman" w:hAnsi="Times New Roman"/>
          <w:color w:val="333333"/>
        </w:rPr>
        <w:t xml:space="preserve">                 </w:t>
      </w:r>
      <w:r>
        <w:rPr>
          <w:rFonts w:ascii="宋体" w:hAnsi="宋体"/>
          <w:color w:val="333333"/>
        </w:rPr>
        <w:t>法定代表人（签字或盖章）：</w:t>
      </w:r>
    </w:p>
    <w:p w:rsidR="00323FDC" w:rsidRDefault="00323FDC" w:rsidP="00323FDC">
      <w:pPr>
        <w:pStyle w:val="a3"/>
        <w:widowControl/>
        <w:snapToGrid w:val="0"/>
        <w:spacing w:before="0" w:beforeAutospacing="0" w:after="0" w:afterAutospacing="0"/>
        <w:ind w:firstLine="420"/>
        <w:rPr>
          <w:color w:val="333333"/>
        </w:rPr>
      </w:pPr>
      <w:r>
        <w:rPr>
          <w:color w:val="333333"/>
        </w:rPr>
        <w:t xml:space="preserve"> </w:t>
      </w:r>
    </w:p>
    <w:p w:rsidR="0003392D" w:rsidRPr="00323FDC" w:rsidRDefault="00323FDC" w:rsidP="00323FDC">
      <w:pPr>
        <w:pStyle w:val="a3"/>
        <w:widowControl/>
        <w:snapToGrid w:val="0"/>
        <w:spacing w:before="0" w:beforeAutospacing="0" w:after="0" w:afterAutospacing="0"/>
        <w:ind w:firstLine="420"/>
        <w:rPr>
          <w:color w:val="333333"/>
        </w:rPr>
      </w:pPr>
      <w:r>
        <w:rPr>
          <w:rFonts w:ascii="宋体" w:hAnsi="宋体" w:hint="eastAsia"/>
          <w:color w:val="333333"/>
        </w:rPr>
        <w:t xml:space="preserve">                                          </w:t>
      </w:r>
      <w:r>
        <w:rPr>
          <w:rFonts w:ascii="宋体" w:hAnsi="宋体"/>
          <w:color w:val="333333"/>
        </w:rPr>
        <w:t>年</w:t>
      </w:r>
      <w:r>
        <w:rPr>
          <w:rFonts w:ascii="Times New Roman" w:hAnsi="Times New Roman"/>
          <w:color w:val="333333"/>
        </w:rPr>
        <w:t xml:space="preserve">     </w:t>
      </w:r>
      <w:r>
        <w:rPr>
          <w:rFonts w:ascii="宋体" w:hAnsi="宋体"/>
          <w:color w:val="333333"/>
        </w:rPr>
        <w:t xml:space="preserve">月 </w:t>
      </w:r>
      <w:r>
        <w:rPr>
          <w:rFonts w:ascii="Times New Roman" w:hAnsi="Times New Roman"/>
          <w:color w:val="333333"/>
        </w:rPr>
        <w:t xml:space="preserve">    </w:t>
      </w:r>
      <w:r>
        <w:rPr>
          <w:rFonts w:ascii="宋体" w:hAnsi="宋体"/>
          <w:color w:val="333333"/>
        </w:rPr>
        <w:t>日</w:t>
      </w:r>
    </w:p>
    <w:sectPr w:rsidR="0003392D" w:rsidRPr="00323FDC" w:rsidSect="00033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3FDC"/>
    <w:rsid w:val="0003392D"/>
    <w:rsid w:val="0032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D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FDC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323FDC"/>
    <w:rPr>
      <w:rFonts w:ascii="Calibri" w:hAnsi="Calibri" w:hint="default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2026-05-11T02:25:00Z</dcterms:created>
  <dcterms:modified xsi:type="dcterms:W3CDTF">2026-05-11T02:26:00Z</dcterms:modified>
</cp:coreProperties>
</file>