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南通市海门区发展和改革委员会</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国家、省、南通市国民经济和社会发展战略，拟订并组织实施全区国民经济和社会发展中长期规划和年度计划。牵头组织全区统一规划体系建设，负责区级专项规划、区域规划、空间规划与全区发展规划的统筹衔接。组织起草全区国民经济和社会发展等有关政策性文件。贯彻执行党和国家有关工业和信息化工作的方针政策、法律法规及省市决策部署，组织起草工业和信息化工作的政策性文件并督促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(二)提出加快建设全区现代化经济体系、推动高质量发展的总体目标、重大任务以及相关政策。组织开展重大战略规划、重大政策、重大工程等评估督导，提出相关调整建议。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提出全区国民经济和社会发展主要目标，监测预测预警宏观经济和社会发展态势趋势。综合协调宏观经济政策，牵头研究宏观经济应对措施。调节经济运行，协调解决经济运行中的重大问题。研究提出价格调控目标建议，拟订并组织实施有关价格政策，组织制定区级管理的重要商品、服务价格和重要收费标准，落实价格监测预警工作。参与拟订区级财政政策和土地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推进全区工业和信息化高质量发展。根据全区经济社会发展总体规划，制定实施工业和信息化高质量发展的产业政策、发展规划，提出优化产业布局、调整产业结构、推动产业转型升级的政策建议，推进信息化与工业化深度融合。负责全区工业和信息化运行监测协调。拟订并实施近期工业、信息化运行调控目标、政策措施，开展企业信息采集、行业运行分析和产业发展报告等工作，进行监测预警、预期引导，协调解决运行发展中的重大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(五)推进制造强区建设。贯彻实施新型工业化发展战略，统筹推进制造强市建设重大工程，培育先进制造业集群。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指导推进和综合协调全市经济体制改革有关工作。统筹推进供给侧结构性改革。协调推进产权制度和要素市场化配置改革。推动完善相关经济制度和现代市场体系建设。会同有关部门组织实施市场准入负面清单制度。牵头推进全区优化营商环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(七)研究协调有关利用外资、境外投资和国际产能合作的政策。参与研究对外开放的有关问题，承担统筹协调“走出去”有关工作。牵头推进实施全区“一带一路”建设工作。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投资综合管理，拟订全区全社会固定资产投资总规模、结构调控目标和政策，贯彻执行政府核准的固定资产投资项目目录。按权限审核转报固定资产投资项目。会同有关部门安排政府投资建设项目计划。参与安排区级有关财政性专项建设资金。拟订并推动落实全市鼓励民间投资政策措施。协调推进全区重大项目建设。负责全区技术改造相关工作。拟订并实施推进企业技术改造的有关政策、规划，按规定负责企业技术改造项目的核准备案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推动实施创新驱动发展战略。会同有关部门拟订推进全区创新创业的规划和政策，提出创新发展和培育经济发展新动能的政策。会同有关部门规划布局全区重大科技基础设施。组织拟订并推动实施全区高技术产业和战略性新兴产业发展规划政策，组织实施有关重大专项，培育新产业、新技术、新业态、新模式，协调产业升级、重大技术装备推广应用等方面的重大问题。负责全区自主可控的先进制造业体系建设。推动提升关键技术的控制力、产业集群的带动力、产业链条的整合力、信息化的引领力和标准的主导力。推进产业创新体系和能力建设。组织实施重大技术装备攻关。推广应用新技术、新材料、新工艺，促进产学研用结合和技术成果转化。协同推进品牌、质量、标准、知识产权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统筹推进全市信息化发展。协调推进经济社会信息化发展工作，深化信息技术应用。协调重大信息基础设施建设，组织推进通信网、广播电视网、计算机网等“多网”融合发展。协调信息服务业领域涉及公共社会利益的重大事项，推动跨行业、跨部门的互连互通。推进全区数字经济和大数据产业发展。拟订并实施促进数字经济和大数据产业发展的战略、规划和政策措施。推进信息产业发展和结构调整，培育推广云计算、物联网、人工智能等产业。负责推进工业化和信息化融合发展。指导推进“互联网+先进制造业”、人工智能与制造业融合创新应用、智能制造发展和产业数字化转型。组织推进工业信息安全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组织实施综合性产业政策。协调全区一二三产业发展重大问题并统筹衔接相关发展规划和政策。统筹规划全区重大产业项目和生产力布局。协调推进重大基础设施建设发展，组织拟订并推动实施全区服务业发展规划和重大政策，推进全区有关生产性服务业发展，推动工业设计、现代物流、会展业等发展，负责工业遗产保护、工业文化建设和工业、信息产品市场建设，推动先进制造业和现代服务业深度融合。综合研判全市消费变动趋势，拟订实施促进消费的综合性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统筹协调全区能源发展和改革中的重大问题。拟订全区能源发展规划、计划、政策并组织实施。拟订能源行业地方性标准并组织实施。负责能源行业管理，按职责开展能源运行调节、应急保障等工作。按照国务院和省政府规定的权限和程序，审核上报规划内和年度计划规模内能源固定资产投资项目。推进能源行业节能和资源综合利用。配合国家、省拟订和实施油气管网建设规划。负责全区石油和天然气利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全区工业和信息化领域的行业管理。研究提出推动行业发展、加强行业管理的政策建议，实施行业发展规划、准入标准，协调解决行业发展中重大问题。负责工业和信息化应急管理、产业安全和国防动员有关工作。负责全区盐业专营工作和全区盐业行业管理。指导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关行业安全生产工作。组织指导工业和信息化领域的对外交流与合作。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推进落实区域协调发展战略、新型城镇化战略和重大政策，组织拟订相关区域规划和政策。推动落实“一带一路”建设、长江经济带发展、长三角区域一体化发展和沿海地区发展等国家重大战略。组织编制并推动实施全市新型城镇化规划。负责组织对口支援、对口帮扶等工作，参与东西部合作和地区间合作交流的有关工作。负责组织全区对接服务上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(十五)跟踪研判经济安全等风险隐患，提出相关工作建议。负责全区重要商品总量平衡和宏观调控，协调落实重要工业品、原材料和重要农产品进出口调控措施。牵头拟订现代物流业发展规划。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全区社会发展与国民经济发展的政策衔接，协调有关重大问题。组织拟订全区社会发展总体规划，统筹推进基本公共服务体系建设和收入分配制度改革，提出促进就业、完善社会保障与经济协调发展的政策建议。牵头开展全区社会信用体系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推进实施可持续发展战略，协调能源资源节约和综合利用，参与生态环境保护与修复等工作。会同有关部门提出健全全市生态保护补偿机制的政策措施，综合协调环保产业和清洁生产促进有关工作。提出全区能源消费总量控制目标、任务并组织实施。综合协调全社会节能工作。拟订并实施全社会节能规划和工业、信息化领域能源节约、循环经济、清洁生产、资源综合利用政策，开展节能监察管理工作。推进绿色制造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会同有关部门拟订推进全市经济建设与国防建设协调发展规划。推动实施军民融合发展战略，组织编制全市国民经济动员、装备动员规划，协调和组织实施全区国民经济动员、装备动员有关工作。组织拟订全区国防科技工业发展规划。拟订并组织实施全区军民融合产业发展规划及相关政策措施。协助做好军品科研生产、军工核心能力建设、军工固定资产投资和合同管理，军工关键设备设施、重点实验室、技术中心的监管，武器装备科研生产许可，军品科研生产承担单位保密资格审查，民爆物品生产和销售的行业管理等相关工作。负责国防科技工业质量、计量、标准、情报、统计、成果转移转化、知识产权管理等相关工作。负责军民两用技术双向转移等相关工作。负责全区国防科技工业保密监督管理工作。负责全区船舶和海洋工程装备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培育发展全区大企业大集团和龙头骨干企业。拟订并实施培育发展大企业大集团、龙头骨干企业的政策措施。推动企业管理创新和建立现代企业制度，推动企业家队伍建设和产业人才开发，组织指导企业经营管理人才教育培训。协调企业重大资产重组项目。牵头推进企业降本减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负责全区中小企业和民营经济发展的宏观指导和服务。会同有关部门拟订促进中小企业和民营经济发展的政策措施，协调解决发展中的有关重大问题。负责中小企业公共服务平台和社会化服务体系建设。开展中小企业梯次培育，推进中小企业科技创新，培育专精特新、科技小巨人、单项冠军企业，推进央地共建，推进专业园区建设，促进中小企业与大企业融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一)组织实施国家粮食流通和物资储备的法律法规和规章。研究提出粮食流通和物资储备体制改革方案并组织实施。负责全区粮食流通行业管理，制定行业发展规划、政策，拟订粮食流通和物资储备有关标准，制定有关技术规范并监督执行。拟订粮食和物资储备仓储管理有关技术标准和规范并组织实施。拟订全区储备基础设施、粮食流通设施建设规划并组织实施。落实国家储备总体发展规划和品种目录，管理全区粮食和物资储备，监测粮食和战略物资供求变化并预测预警。组织实施全区战略和应急储备物资的收储、轮换和日常管理。负责全区粮食和物资储备的对外合作与交流。负责对管理的政府储备、企业储备以及储备政策落实情况进行监督检查。负责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(二十二)承担区推动长江经济带发展领导小组、区扶贫协作工作领导小组、区富民增收工作领导小组、区社会信用体系建设领导小组、区服务业发展领导小组、区对接服务上海工作办公室等的具体工作。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(二十三)完成区委、区政府交办的其他任务。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办公室、财政金融科(财务审计科)、法规科(经济体制改革科、信用建设科)、综合经济科(政策研究室)、固定资产投资科、技术创新科、信息化发展科、农村经济科、工业科	(市减轻企业负担工作办公室)、服务业科、能源科、军民融合科(经济与国防协调发展科)、行业发展与资源节约科、长江经济带发展科、中小企业科(民营经济促进科)、价格和收费管理科、成本监审科、粮食和物资储备科和监督检查科(监管协调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本单位下属单位包括:南通市海门区民营企业服务中心(非独立核算单位)和南通市海门区价格认定中心。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在推动重大项目建设上有新跨越。今年省级项目数（5个）创历史新高，市级项目数（15个）列南通第一，截至12月底项目已全部开工，投资完成率达287.6%，省市重大项目推进月度评估稳居南通前列。项目服务精准保障。为项目协调解决环评审批、能源指标等问题30多个，促成中天钢铁获得170亿元融资额度。低效用地有序开发。全年完成低效用地再开发7213.88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在推动产业转型升级上有新进展。加速构建“12+2”产业链格局，目前12条工业产业链和2条生产性服务业产业链已集聚规上企业653家和166家。创新转型成效显著。联泷、招商局重工2个产品认定为省首台（套）重大装备及关键部件（累计11个）招商局邮轮绿色环保双体旅游客船等5个产品认定为市首台（套）重大装备及关键部件（累计达19个）。通光集团获评国家级企业技术中心（南通唯一，累计2家），上海建工获评省级企业技术中心（累计达25个）,通光线缆获评省级企业工程研究中心（累计7个）。两化融合深入推进。1-12月，新建5G基站781个，累计达1250个，超额完成全年任务（1100个）。获评招商局重工船舶海工管子生产车间、金轮金属针布冲淬智能制造车间、博腾智能化纺纱车间等省市级智能车间18个（南通最多，累计29个）。新增上云企业50家，其中省星级上云企业13家，8家企业获评市级工业互联网融合创新试点示范企业。绿色发展增势赋能。8家沿江化工企业全部关停，其中7家企业已基本完成设备拆除，英力科技拆除完成约30%工程量。推进绿色制造体系建设，容汇锂业成功创建省级绿色工厂。精准开展能耗双控，合理编制节能降耗方案，预计全年单位GDP能耗同比下降1.39%。</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在激发城市经济活力上有新突破。1-12月，全区实现服务业增加值727亿元，同比增长10.7%。两业融合取得突破。海新“机器人智能制造产业化平台”项目入选省“两业融合”服务业重点项目，实现零的突破。益诺思获评省级生产性服务业优秀服务机构称号（南通地区唯一）。凯盛家纺获评省级服务型制造示范企业。梦洁家纺获评市级工业设计中心。盛康福源节能环保、南通振康机械、中科医学检验实验室等3家公司获评2021年度南通市服务型制造示范企业（平台）。楼宇经济质效提升。成功举办楼宇经济推介会，康佳华东区域总部项目、海门中心项目开工建设。2021年，全区31幢重点商务楼宇注册企业1253家，较去年同期增加196家，纳税19.8亿元，较上年同期增长39.5%。纳税超5000万元楼宇达8幢，其中江海商务大厦、龙信大厦、中南谷、常乐中南总部等4幢楼宇纳税超亿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在助力企业培优做强上有新成效。企业规模体量再上新台阶。2021年，应税销售超10亿元工业大企业（集团）18家，较去年增加3家，其中超20亿元达到10家。全年新增规模工业企业138家，2021年全区新增规上服务业企业84家，列南通十县（市、区）第一。专精特新培育取得新成绩。通光集团获评制造业单项冠军产品，森达装饰等5家企业获评省级专精特新“小巨人”企业，慧聚药业等26家企业获评市级专精特新“小巨人”企业。目前，我区制造业单项冠军企业（产品）3家(个），国家、省、市级专精特新“小巨人”企业分别有1家、20家和52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在服务实体经济发展上有新提升。政策供给更精准。今年研究制定了“实体经济高质量发展”、企业培育“领航”“引航”“护航”计划、鼓励企业留工稳产护航“开门红”十项措施等政策意见，参与制定了“集聚人力资源”政策，拟定了“楼宇（总部）奖励办法”，提振企业发展信心，引导创新转型发展。设立了华为（海门）数字经济创新中心专项资金，支持企业数字化改造。平台服务更完善。“海企通”平台新增“就医、就学申请绿色通道”“人才服务”等功能，协同推进“一网通办、一站服务”的线上平台和线下服务中心建设，推动营商环境提质增效。</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南通市海门区发展和改革委员会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南通市海门区发展和改革委员会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103,871.50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3,940.05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56,020.72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335.03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933.83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7,935.32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19.20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31,532.28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551.00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1,382.92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905.09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103,885.44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103,885.44</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103,885.44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103,885.44</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103,885.44</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103,871.50</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3,940.05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3,940.05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社会事业发展规划</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1,284.76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国防支出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2039999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56,020.72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56,020.72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技术研究与开发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其他技术研究与开发支出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退役安置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军队转业干部安置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财政对基本养老保险基金的补助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财政对其他基本养老保险基金的补助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节能环保支出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其他节能环保支出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其他节能环保支出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其他城乡社区管理事务支出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农村综合改革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其他农村综合改革支出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31,532.28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31,532.28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8,824.84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8,824.84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中小企业发展专项</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8,624.84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8,624.84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援助其他地区支出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2199900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936.12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粮油物资储备支出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粮油物资事务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其他粮油物资事务支出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重要商品储备</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应急物资储备</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103,885.44</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4,206.03</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99,679.40</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3,940.05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2,492.59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1,447.46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3,940.05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2,492.59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1,447.46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2,492.59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2,492.59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社会事业发展规划</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1,284.76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1,284.76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国防支出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2039999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56,020.72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56,020.72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技术研究与开发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其他技术研究与开发支出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596.00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55,424.72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55,424.72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55,424.72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55,424.72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335.03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226.28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202.77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139.97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军队转业干部安置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财政对基本养老保险基金的补助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财政对其他基本养老保险基金的补助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933.83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829.58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829.58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829.58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829.58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829.58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52.21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19.69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其他节能环保支出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其他节能环保支出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7,935.32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其他城乡社区管理事务支出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农村综合改革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其他农村综合改革支出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31,532.28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31,532.28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8,824.84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8,824.84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中小企业发展专项</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8,624.84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8,624.84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22,707.44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22,707.44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22,707.44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22,707.44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551.00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援助其他地区支出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2199900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1,382.92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1,382.92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1,382.92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1,382.92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213.12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213.12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936.12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936.12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粮油物资储备支出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905.09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905.09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粮油物资事务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其他粮油物资事务支出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853.34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重要商品储备</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应急物资储备</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南通市海门区发展和改革委员会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3,926.11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56,020.72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56,020.72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933.83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933.83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31,532.28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31,532.28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103,871.50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4,206.03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99,665.47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2,492.59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3,926.11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2,492.59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1,433.52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2,492.59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2,492.59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社会事业发展规划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1,281.38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1,281.38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56,020.72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56,020.72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技术研究与开发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其他技术研究与开发支出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55,424.72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55,424.72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55,424.72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55,424.72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军队转业干部安置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财政对其他基本养老保险基金的补助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933.83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829.58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7,935.32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其他农村综合改革支出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31,532.28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31,532.28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8,824.84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中小企业发展专项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8,624.84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8,624.84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22,707.44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22,707.44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22,707.44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22,707.44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2199900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1,382.92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905.09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粮油物资事务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其他粮油物资事务支出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重要商品储备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应急物资储备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51.75</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南通市海门区发展和改革委员会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4,206.03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4,021.36</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103,871.50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4,206.03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99,665.47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3,926.11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1,433.52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2,492.59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社会事业发展规划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2039999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56,020.72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56,020.72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技术研究与开发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其他技术研究与开发支出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55,424.72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335.03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军队转业干部安置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财政对其他基本养老保险基金的补助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7,935.32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其他农村综合改革支出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31,532.28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31,532.28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8,824.84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中小企业发展专项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8,624.84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22,707.44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援助其他地区支出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2199900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1,382.92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936.12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粮油物资储备支出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905.09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粮油物资事务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其他粮油物资事务支出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重要商品储备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应急物资储备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51.75</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4,206.03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4,021.36</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1,263.21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7.65</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7.65</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31.76</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0.42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9.28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39</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511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529</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184.67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0.96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0.87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53.44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南通市海门区发展和改革委员会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331.15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112.95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218.20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2021年度收入、支出决算总计103,885.44万元。与上年相比，收、支总计各增加39,694.59万元，增长61.84%。其中：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（一）收入决算总计103,885.44万元。包括：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103,885.44万元。与上年相比，增加39,694.59万元，增长61.84%，变动原因：发放重大项目建设设备补助和产能费用补助、留海过节人员专项补贴、关停化工企业补偿和奖补资金、疫情防控专项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（二）支出决算总计103,885.44万元。包括：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103,885.44万元。与上年相比，增加39,694.59万元，增长61.84%，变动原因：发放重大项目建设设备补助和产能费用补助、留海过节人员专项补贴、关停化工企业补偿和奖补资金、疫情防控专项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103,885.44万元，其中：财政拨款收入103,871.5万元，占99.99%；上级补助收入0万元，占0%；财政专户管理教育收费0万元，占0%；事业收入（不含专户管理教育收费）0万元，占0%；经营收入0万元，占0%；附属单位上缴收入0万元，占0%；其他收入13.94万元，占0.01%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2021年度本年支出决算合计103,885.44万元，其中：基本支出4,206.03万元，占4.05%；项目支出99,679.4万元，占95.95%；上缴上级支出0万元，占0%；经营支出0万元，占0%；对附属单位补助支出0万元，占0%。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103,871.5万元。与上年相比，收、支总计各增加47,797.04万元，增长85.24%，变动原因：发放重大项目建设设备补助和产能费用补助、留海过节人员专项补贴、关停化工企业补偿和奖补资金、疫情防控专项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2021年度财政拨款支出决算103,871.5万元，占本年支出合计的99.99%。与2021年度财政拨款支出年初预算4,604.38万元相比，完成年初预算的2,255.93%。其中：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1.发展与改革事务（款）行政运行（项）。年初预算2,340.02万元，支出决算2,492.59万元，完成年初预算的106.52%。决算数与年初预算数的差异原因：人员增加，发放月度评估经费、离退休人员一次性创新创优奖。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2.发展与改革事务（款）一般行政管理事务（项）。年初预算184.78万元，支出决算141.64万元，完成年初预算的76.65%。决算数与年初预算数的差异原因：厉行节约，减少一般性支出。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3.发展与改革事务（款）社会事业发展规划（项）。年初预算10.5万元，支出决算10.5万元，完成年初预算的100%。决算数与年初预算数相同。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发展与改革事务（款）其他发展与改革事务支出（项）。年初预算374.26万元，支出决算1,281.38万元，完成年初预算的342.38%。决算数与年初预算数的差异原因：发放留海过节人员专项补贴、粮油供需平衡调查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（二）国防支出（类）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其他国防支出（款）其他国防支出（项）。年初预算0万元，支出决算50万元，（年初预算数为0万元，无法计算完成比率）决算数与年初预算数的差异原因：发放军民融合发展引导资金。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1.技术研究与开发（款）其他技术研究与开发支出（项）。年初预算0万元，支出决算596万元，（年初预算数为0万元，无法计算完成比率）决算数与年初预算数的差异原因：发放机器人产业扶持资金。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科学技术支出（款）其他科学技术支出（项）。年初预算0万元，支出决算55,424.72万元，（年初预算数为0万元，无法计算完成比率）决算数与年初预算数的差异原因：发放中天项目设备补助和产能费用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1.行政事业单位养老支出（款）机关事业单位基本养老保险缴费支出（项）。年初预算143.81万元，支出决算139.97万元，完成年初预算的97.33%。决算数与年初预算数的差异原因：在职人员退休、人员调出。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2.行政事业单位养老支出（款）机关事业单位职业年金缴费支出（项）。年初预算71.9万元，支出决算62.79万元，完成年初预算的87.33%。决算数与年初预算数的差异原因：在职人员退休、人员调出。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3.退役安置（款）军队转业干部安置（项）。年初预算0万元，支出决算23.51万元，（年初预算数为0万元，无法计算完成比率）决算数与年初预算数的差异原因：军转办拨付军转干部慰问费和补贴。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对基本养老保险基金的补助（款）财政对其他基本养老保险基金的补助（项）。年初预算0万元，支出决算108.75万元，（年初预算数为0万元，无法计算完成比率）决算数与年初预算数的差异原因：企业离休干部工资和住房补贴发放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其他公共卫生支出（项）。年初预算0万元，支出决算829.58万元，（年初预算数为0万元，无法计算完成比率）决算数与年初预算数的差异原因：增加企防组督查企业疫情防控主体责任落实情况差旅费、采购疫情防控医疗物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2.行政事业单位医疗（款）行政单位医疗（项）。年初预算52.21万元，支出决算52.21万元，完成年初预算的100%。决算数与年初预算数相同。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3.行政事业单位医疗（款）事业单位医疗（项）。年初预算19.69万元，支出决算19.69万元，完成年初预算的100%。决算数与年初预算数相同。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4.行政事业单位医疗（款）公务员医疗补助（项）。年初预算35.96万元，支出决算32.35万元，完成年初预算的89.96%。决算数与年初预算数的差异原因：在职人员退休、人员调出。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节能环保支出（款）其他节能环保支出（项）。年初预算0万元，支出决算7,935.32万元，（年初预算数为0万元，无法计算完成比率）决算数与年初预算数的差异原因：发放关停化工企业补偿金、奖补资金和转产整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城乡社区管理事务（款）其他城乡社区管理事务支出（项）。年初预算0万元，支出决算19.2万元，（年初预算数为0万元，无法计算完成比率）决算数与年初预算数的差异原因：“十四五”规划编制支出增加。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农村综合改革（款）其他农村综合改革支出（项）。年初预算0万元，支出决算100万元，（年初预算数为0万元，无法计算完成比率）决算数与年初预算数的差异原因：发放农村公共基础设施管护经费。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1.支持中小企业发展和管理支出（款）中小企业发展专项（项）。年初预算0万元，支出决算200万元，（年初预算数为0万元，无法计算完成比率）决算数与年初预算数的差异原因：发放“专精特新”补助。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支持中小企业发展和管理支出（款）其他支持中小企业发展和管理支出（项）。年初预算0万元，支出决算8,624.84万元，（年初预算数为0万元，无法计算完成比率）决算数与年初预算数的差异原因：发放企业贡献奖、工业亿级企业培育资金、重点工业企业转型升级补助、服务业引导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资源勘探工业信息等支出（款）其他资源勘探工业信息等支出（项）。年初预算0万元，支出决算22,707.44万元，（年初预算数为0万元，无法计算完成比率）决算数与年初预算数的差异原因：发放中天项目设备补助和产能费用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（十）商业服务业等支出（类）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其他商业服务业等支出（款）其他商业服务业等支出（项）。年初预算0万元，支出决算551万元，（年初预算数为0万元，无法计算完成比率）决算数与年初预算数的差异原因：发放省级现代服务业引导资金。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（十一）援助其他地区支出（类）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其他支出（款）其他支出（项）。年初预算0万元，支出决算180万元，（年初预算数为0万元，无法计算完成比率）决算数与年初预算数的差异原因：对口援助勉县、泽库县慰问金和捐款。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1.住房改革支出（款）住房公积金（项）。年初预算231.45万元，支出决算213.12万元，完成年初预算的92.08%。决算数与年初预算数的差异原因：在职人员退休，人员调出。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2.住房改革支出（款）提租补贴（项）。年初预算884.6万元，支出决算936.12万元，完成年初预算的105.82%。决算数与年初预算数的差异原因：调整企业离退休人员住房补贴发放口径。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3.住房改革支出（款）购房补贴（项）。年初预算255.2万元，支出决算233.68万元，完成年初预算的91.57%。决算数与年初预算数的差异原因：在职人员退休，人员调出。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（十三）粮油物资储备支出（类）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粮油物资事务（款）其他粮油物资事务支出（项）。年初预算0万元，支出决算853.34万元，（年初预算数为0万元，无法计算完成比率）决算数与年初预算数的差异原因：发放地方储备粮补贴、添置粮油设备及仓库维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2.重要商品储备（款）应急物资储备（项）。年初预算0万元，支出决算51.75万元，（年初预算数为0万元，无法计算完成比率）决算数与年初预算数的差异原因：支付冻猪肉储备经费、应急物资储备管理费。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2021年度财政拨款基本支出决算4,206.03万元，其中：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（一）人员经费4,021.36万元。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（二）公用经费184.67万元。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主要包括：办公费、邮电费、差旅费、租赁费、会议费、培训费、公务接待费、劳务费、委托业务费、工会经费、其他交通费用、其他商品和服务支出。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103,871.5万元。与上年相比，增加47,797.04万元，增长85.24%，变动原因：增加重大项目建设设备补助和产能费用补助、留海过节人员专项补贴、关停化工企业补偿和奖补资金、疫情防控专项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2021年度一般公共预算财政拨款基本支出决算4,206.03万元，其中：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（一）人员经费4,021.36万元。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公务员医疗补助缴费、其他社会保障缴费、住房公积金、其他工资福利支出、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（二）公用经费184.67万元。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主要包括：办公费、邮电费、差旅费、租赁费、会议费、培训费、公务接待费、劳务费、委托业务费、工会经费、其他交通费用、其他商品和服务支出。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4.6万元。与上年相比，增加0.21万元，变动原因：编制现代化建设示范区专项规划编制调研增加，省、市来海调研、考察增加。其中，因公出国（境）费支出0万元，占“三公”经费的0%；公务用车购置及运行维护费支出0万元，占“三公”经费的0%；公务接待费支出4.6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7.65万元，支出决算4.6万元，完成预算的60.13%，决算数与预算数的差异原因：厉行节约，减少公务接待费。其中：国内公务接待支出4.6万元，接待39批次，511人次，开支内容：省、市来海调研及考察、现代化建设示范区专项规划调研；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2.04万元，支出决算0.42万元，完成预算的20.59%，决算数与预算数的差异原因：厉行节约，减少会议。2021年度全年召开会议8个，参加会议105人次，开支内容：主题党日活动，省、市来海考察及调研。</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31.76万元，支出决算9.28万元，完成预算的29.22%，决算数与预算数的差异原因：厉行节约，减少会议。2021年度全年组织培训4个，组织培训529人次，开支内容：涉企专题培训、系统内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2021年度政府性基金预算财政拨款支出决算0万元。与上年相比，减少8,100万元，减少100%，变动原因：上年有企业设备升级补助，今年无该项支出。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2021年度机关运行经费支出决算184.67万元。与上年相比，减少6.33万元，减少3.31%，变动原因：厉行节约、严控办公经费支出。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331.15万元，其中：政府采购货物支出112.95万元、政府采购工程支出218.2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2021年度，本单位共2个项目开展了财政重点绩效评价，涉及财政性资金合计14,428.27万元；本单位未开展单位整体支出财政重点绩效评价，涉及财政性资金0万元。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本单位共对上年度已实施完成的11个项目开展了绩效自评价，涉及财政性资金合计50,083.49万元；本单位共开展0项单位整体支出绩效自评价，涉及财政性资金合计0万元。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二十、一般公共服务支出(类)发展与改革事务(款)一般行政管理事务(项)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二十一、一般公共服务支出(类)发展与改革事务(款)社会事业发展规划(项)</w:t>
      </w:r>
      <w:r>
        <w:rPr>
          <w:rFonts w:ascii="仿宋" w:hAnsi="仿宋" w:cs="仿宋" w:eastAsia="仿宋"/>
          <w:b w:val="true"/>
        </w:rPr>
        <w:t>：</w:t>
      </w:r>
      <w:r>
        <w:rPr>
          <w:rFonts w:hint="eastAsia" w:ascii="仿宋" w:hAnsi="仿宋" w:eastAsia="仿宋" w:cs="仿宋"/>
        </w:rPr>
        <w:t>反映社会事业发展规划方面的支出。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二十二、一般公共服务支出(类)发展与改革事务(款)其他发展与改革事务支出(项)</w:t>
      </w:r>
      <w:r>
        <w:rPr>
          <w:rFonts w:ascii="仿宋" w:hAnsi="仿宋" w:cs="仿宋" w:eastAsia="仿宋"/>
          <w:b w:val="true"/>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二十三、国防支出(类)其他国防支出(款)其他国防支出(项)</w:t>
      </w:r>
      <w:r>
        <w:rPr>
          <w:rFonts w:ascii="仿宋" w:hAnsi="仿宋" w:cs="仿宋" w:eastAsia="仿宋"/>
          <w:b w:val="true"/>
        </w:rPr>
        <w:t>：</w:t>
      </w:r>
      <w:r>
        <w:rPr>
          <w:rFonts w:hint="eastAsia" w:ascii="仿宋" w:hAnsi="仿宋" w:eastAsia="仿宋" w:cs="仿宋"/>
        </w:rPr>
        <w:t>反映其他用于国防方面的支出。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二十四、科学技术支出(类)技术研究与开发(款)其他技术研究与开发支出(项)</w:t>
      </w:r>
      <w:r>
        <w:rPr>
          <w:rFonts w:ascii="仿宋" w:hAnsi="仿宋" w:cs="仿宋" w:eastAsia="仿宋"/>
          <w:b w:val="true"/>
        </w:rPr>
        <w:t>：</w:t>
      </w:r>
      <w:r>
        <w:rPr>
          <w:rFonts w:hint="eastAsia" w:ascii="仿宋" w:hAnsi="仿宋" w:eastAsia="仿宋" w:cs="仿宋"/>
        </w:rPr>
        <w:t>反映除上述项目以外其他用于技术研究与开发方面的支出。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二十八、社会保障和就业支出(类)退役安置(款)军队转业干部安置(项)</w:t>
      </w:r>
      <w:r>
        <w:rPr>
          <w:rFonts w:ascii="仿宋" w:hAnsi="仿宋" w:cs="仿宋" w:eastAsia="仿宋"/>
          <w:b w:val="true"/>
        </w:rPr>
        <w:t>：</w:t>
      </w:r>
      <w:r>
        <w:rPr>
          <w:rFonts w:hint="eastAsia" w:ascii="仿宋" w:hAnsi="仿宋" w:eastAsia="仿宋" w:cs="仿宋"/>
        </w:rPr>
        <w:t>反映军转干部安置、人员经费、自主择业退役金等方面的支出。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二十九、社会保障和就业支出(类)财政对基本养老保险基金的补助(款)财政对其他基本养老保险基金的补助(项)</w:t>
      </w:r>
      <w:r>
        <w:rPr>
          <w:rFonts w:ascii="仿宋" w:hAnsi="仿宋" w:cs="仿宋" w:eastAsia="仿宋"/>
          <w:b w:val="true"/>
        </w:rPr>
        <w:t>：</w:t>
      </w:r>
      <w:r>
        <w:rPr>
          <w:rFonts w:hint="eastAsia" w:ascii="仿宋" w:hAnsi="仿宋" w:eastAsia="仿宋" w:cs="仿宋"/>
        </w:rPr>
        <w:t>反映财政对其他基本养老保险基金的补助支出。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三十四、节能环保支出(类)其他节能环保支出(款)其他节能环保支出(项)</w:t>
      </w:r>
      <w:r>
        <w:rPr>
          <w:rFonts w:ascii="仿宋" w:hAnsi="仿宋" w:cs="仿宋" w:eastAsia="仿宋"/>
          <w:b w:val="true"/>
        </w:rPr>
        <w:t>：</w:t>
      </w:r>
      <w:r>
        <w:rPr>
          <w:rFonts w:hint="eastAsia" w:ascii="仿宋" w:hAnsi="仿宋" w:eastAsia="仿宋" w:cs="仿宋"/>
        </w:rPr>
        <w:t>反映除上述项目以外其他用于节能环保方面的支出。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三十六、农林水支出(类)农村综合改革(款)其他农村综合改革支出(项)</w:t>
      </w:r>
      <w:r>
        <w:rPr>
          <w:rFonts w:ascii="仿宋" w:hAnsi="仿宋" w:cs="仿宋" w:eastAsia="仿宋"/>
          <w:b w:val="true"/>
        </w:rPr>
        <w:t>：</w:t>
      </w:r>
      <w:r>
        <w:rPr>
          <w:rFonts w:hint="eastAsia" w:ascii="仿宋" w:hAnsi="仿宋" w:eastAsia="仿宋" w:cs="仿宋"/>
        </w:rPr>
        <w:t>反映上述项目以外其他用于农村综合改革方面的支出。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三十七、资源勘探工业信息等支出(类)支持中小企业发展和管理支出(款)中小企业发展专项(项)</w:t>
      </w:r>
      <w:r>
        <w:rPr>
          <w:rFonts w:ascii="仿宋" w:hAnsi="仿宋" w:cs="仿宋" w:eastAsia="仿宋"/>
          <w:b w:val="true"/>
        </w:rPr>
        <w:t>：</w:t>
      </w:r>
      <w:r>
        <w:rPr>
          <w:rFonts w:hint="eastAsia" w:ascii="仿宋" w:hAnsi="仿宋" w:eastAsia="仿宋" w:cs="仿宋"/>
        </w:rPr>
        <w:t>反映用于支持中小企业专业化发展、与大企业协作配套等方面的支出。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三十八、资源勘探工业信息等支出(类)支持中小企业发展和管理支出(款)其他支持中小企业发展和管理支出(项)</w:t>
      </w:r>
      <w:r>
        <w:rPr>
          <w:rFonts w:ascii="仿宋" w:hAnsi="仿宋" w:cs="仿宋" w:eastAsia="仿宋"/>
          <w:b w:val="true"/>
        </w:rPr>
        <w:t>：</w:t>
      </w:r>
      <w:r>
        <w:rPr>
          <w:rFonts w:hint="eastAsia" w:ascii="仿宋" w:hAnsi="仿宋" w:eastAsia="仿宋" w:cs="仿宋"/>
        </w:rPr>
        <w:t>反映除上述项目以外其他用于支持中小企业发展和管理方面的支出。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三十九、资源勘探工业信息等支出(类)其他资源勘探工业信息等支出(款)其他资源勘探工业信息等支出(项)</w:t>
      </w:r>
      <w:r>
        <w:rPr>
          <w:rFonts w:ascii="仿宋" w:hAnsi="仿宋" w:cs="仿宋" w:eastAsia="仿宋"/>
          <w:b w:val="true"/>
        </w:rPr>
        <w:t>：</w:t>
      </w:r>
      <w:r>
        <w:rPr>
          <w:rFonts w:hint="eastAsia" w:ascii="仿宋" w:hAnsi="仿宋" w:eastAsia="仿宋" w:cs="仿宋"/>
        </w:rPr>
        <w:t>反映除上述项目以外其他用于资源勘探工业信息等方面的支出。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四十、商业服务业等支出(类)其他商业服务业等支出(款)其他商业服务业等支出(项)</w:t>
      </w:r>
      <w:r>
        <w:rPr>
          <w:rFonts w:ascii="仿宋" w:hAnsi="仿宋" w:cs="仿宋" w:eastAsia="仿宋"/>
          <w:b w:val="true"/>
        </w:rPr>
        <w:t>：</w:t>
      </w:r>
      <w:r>
        <w:rPr>
          <w:rFonts w:hint="eastAsia" w:ascii="仿宋" w:hAnsi="仿宋" w:eastAsia="仿宋" w:cs="仿宋"/>
        </w:rPr>
        <w:t>反映其他商业服务业等支出中除上述项目以外的其他支出。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四十一、援助其他地区支出(类)其他支出(款)其他支出(项)</w:t>
      </w:r>
      <w:r>
        <w:rPr>
          <w:rFonts w:ascii="仿宋" w:hAnsi="仿宋" w:cs="仿宋" w:eastAsia="仿宋"/>
          <w:b w:val="true"/>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四十五、粮油物资储备支出(类)粮油物资事务(款)其他粮油物资事务支出(项)</w:t>
      </w:r>
      <w:r>
        <w:rPr>
          <w:rFonts w:ascii="仿宋" w:hAnsi="仿宋" w:cs="仿宋" w:eastAsia="仿宋"/>
          <w:b w:val="true"/>
        </w:rPr>
        <w:t>：</w:t>
      </w:r>
      <w:r>
        <w:rPr>
          <w:rFonts w:hint="eastAsia" w:ascii="仿宋" w:hAnsi="仿宋" w:eastAsia="仿宋" w:cs="仿宋"/>
        </w:rPr>
        <w:t>反映除上述项目以外其他用于粮油和物资事务方面的支出。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四十六、粮油物资储备支出(类)重要商品储备(款)应急物资储备(项)</w:t>
      </w:r>
      <w:r>
        <w:rPr>
          <w:rFonts w:ascii="仿宋" w:hAnsi="仿宋" w:cs="仿宋" w:eastAsia="仿宋"/>
          <w:b w:val="true"/>
        </w:rPr>
        <w:t>：</w:t>
      </w:r>
      <w:r>
        <w:rPr>
          <w:rFonts w:hint="eastAsia" w:ascii="仿宋" w:hAnsi="仿宋" w:eastAsia="仿宋" w:cs="仿宋"/>
        </w:rPr>
        <w:t>反映用于救灾物资、防汛防旱物资等应急物资储备的支出。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南通市海门区发展和改革委员会</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