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宋体" w:hAnsi="宋体" w:cs="宋体"/>
          <w:b/>
          <w:bCs/>
          <w:sz w:val="44"/>
          <w:szCs w:val="44"/>
        </w:rPr>
      </w:pPr>
      <w:r>
        <w:rPr>
          <w:rFonts w:hint="eastAsia" w:ascii="宋体" w:hAnsi="宋体" w:cs="宋体"/>
          <w:b/>
          <w:bCs/>
          <w:spacing w:val="-20"/>
          <w:sz w:val="44"/>
          <w:szCs w:val="44"/>
        </w:rPr>
        <w:t>南通市海门区区域社会治理现代化指挥中</w:t>
      </w:r>
      <w:r>
        <w:rPr>
          <w:rFonts w:hint="eastAsia" w:ascii="宋体" w:hAnsi="宋体" w:cs="宋体"/>
          <w:b/>
          <w:bCs/>
          <w:sz w:val="44"/>
          <w:szCs w:val="44"/>
        </w:rPr>
        <w:t>心</w:t>
      </w:r>
    </w:p>
    <w:p>
      <w:pPr>
        <w:spacing w:line="720" w:lineRule="auto"/>
        <w:jc w:val="center"/>
        <w:rPr>
          <w:rFonts w:ascii="宋体" w:hAnsi="宋体" w:cs="宋体"/>
          <w:b/>
          <w:sz w:val="72"/>
          <w:szCs w:val="72"/>
        </w:rPr>
      </w:pPr>
      <w:r>
        <w:rPr>
          <w:rFonts w:hint="eastAsia" w:ascii="宋体" w:hAnsi="宋体" w:cs="宋体"/>
          <w:b/>
          <w:bCs/>
          <w:sz w:val="44"/>
          <w:szCs w:val="44"/>
        </w:rPr>
        <w:t>信息化系统平台集成运维服务项目</w:t>
      </w:r>
    </w:p>
    <w:p>
      <w:pPr>
        <w:spacing w:line="360" w:lineRule="auto"/>
        <w:rPr>
          <w:rFonts w:ascii="宋体" w:hAnsi="宋体" w:cs="宋体"/>
          <w:b/>
          <w:sz w:val="100"/>
          <w:szCs w:val="100"/>
        </w:rPr>
      </w:pPr>
    </w:p>
    <w:p>
      <w:pPr>
        <w:spacing w:line="360" w:lineRule="auto"/>
        <w:jc w:val="center"/>
        <w:rPr>
          <w:rFonts w:ascii="宋体" w:hAnsi="宋体" w:cs="宋体"/>
          <w:b/>
          <w:sz w:val="100"/>
          <w:szCs w:val="100"/>
        </w:rPr>
      </w:pPr>
    </w:p>
    <w:p>
      <w:pPr>
        <w:spacing w:line="360" w:lineRule="auto"/>
        <w:jc w:val="center"/>
        <w:rPr>
          <w:rFonts w:ascii="宋体" w:hAnsi="宋体" w:cs="宋体"/>
          <w:b/>
          <w:sz w:val="100"/>
          <w:szCs w:val="100"/>
        </w:rPr>
      </w:pPr>
      <w:r>
        <w:rPr>
          <w:rFonts w:hint="eastAsia" w:ascii="宋体" w:hAnsi="宋体" w:cs="宋体"/>
          <w:b/>
          <w:sz w:val="100"/>
          <w:szCs w:val="100"/>
          <w:lang w:eastAsia="zh-CN"/>
        </w:rPr>
        <w:t>政府</w:t>
      </w:r>
      <w:r>
        <w:rPr>
          <w:rFonts w:hint="eastAsia" w:ascii="宋体" w:hAnsi="宋体" w:cs="宋体"/>
          <w:b/>
          <w:sz w:val="100"/>
          <w:szCs w:val="100"/>
        </w:rPr>
        <w:t>采购磋商文件</w:t>
      </w:r>
    </w:p>
    <w:p>
      <w:pPr>
        <w:keepNext/>
        <w:spacing w:line="360" w:lineRule="auto"/>
        <w:jc w:val="center"/>
        <w:rPr>
          <w:rFonts w:ascii="宋体" w:hAnsi="宋体" w:cs="宋体"/>
          <w:b/>
          <w:kern w:val="0"/>
          <w:sz w:val="36"/>
          <w:szCs w:val="36"/>
        </w:rPr>
      </w:pPr>
    </w:p>
    <w:p>
      <w:pPr>
        <w:spacing w:line="360" w:lineRule="auto"/>
        <w:jc w:val="center"/>
        <w:rPr>
          <w:rFonts w:ascii="宋体" w:hAnsi="宋体" w:cs="宋体"/>
          <w:b/>
          <w:sz w:val="36"/>
        </w:rPr>
      </w:pPr>
    </w:p>
    <w:p>
      <w:pPr>
        <w:spacing w:line="360" w:lineRule="auto"/>
        <w:jc w:val="center"/>
        <w:rPr>
          <w:rFonts w:ascii="宋体" w:hAnsi="宋体" w:cs="宋体"/>
          <w:b/>
          <w:sz w:val="36"/>
        </w:rPr>
      </w:pPr>
    </w:p>
    <w:p>
      <w:pPr>
        <w:spacing w:line="360" w:lineRule="auto"/>
        <w:jc w:val="center"/>
        <w:rPr>
          <w:rFonts w:ascii="宋体" w:hAnsi="宋体" w:cs="宋体"/>
          <w:b/>
          <w:sz w:val="36"/>
        </w:rPr>
      </w:pPr>
    </w:p>
    <w:p>
      <w:pPr>
        <w:spacing w:line="360" w:lineRule="auto"/>
        <w:jc w:val="center"/>
        <w:rPr>
          <w:rFonts w:ascii="宋体" w:hAnsi="宋体" w:cs="宋体"/>
          <w:b/>
          <w:sz w:val="36"/>
        </w:rPr>
      </w:pPr>
    </w:p>
    <w:p>
      <w:pPr>
        <w:spacing w:line="360" w:lineRule="auto"/>
        <w:jc w:val="center"/>
        <w:rPr>
          <w:rFonts w:ascii="宋体" w:hAnsi="宋体" w:cs="宋体"/>
          <w:b/>
          <w:sz w:val="36"/>
        </w:rPr>
      </w:pPr>
    </w:p>
    <w:p>
      <w:pPr>
        <w:pStyle w:val="11"/>
      </w:pPr>
    </w:p>
    <w:p>
      <w:pPr>
        <w:adjustRightInd w:val="0"/>
        <w:spacing w:before="120" w:after="120" w:line="360" w:lineRule="auto"/>
        <w:ind w:left="-2" w:right="120"/>
        <w:jc w:val="center"/>
        <w:textAlignment w:val="baseline"/>
        <w:rPr>
          <w:rFonts w:ascii="宋体" w:hAnsi="宋体" w:cs="宋体"/>
          <w:b/>
          <w:spacing w:val="20"/>
          <w:sz w:val="32"/>
          <w:szCs w:val="32"/>
        </w:rPr>
      </w:pPr>
    </w:p>
    <w:p>
      <w:pPr>
        <w:adjustRightInd w:val="0"/>
        <w:spacing w:before="120" w:after="120" w:line="360" w:lineRule="auto"/>
        <w:ind w:left="-2" w:right="120"/>
        <w:jc w:val="center"/>
        <w:textAlignment w:val="baseline"/>
        <w:rPr>
          <w:rFonts w:ascii="宋体" w:hAnsi="宋体" w:cs="宋体"/>
          <w:b/>
          <w:bCs/>
          <w:kern w:val="0"/>
          <w:sz w:val="32"/>
          <w:szCs w:val="32"/>
        </w:rPr>
      </w:pPr>
      <w:r>
        <w:rPr>
          <w:rFonts w:hint="eastAsia" w:ascii="宋体" w:hAnsi="宋体" w:cs="宋体"/>
          <w:b/>
          <w:bCs/>
          <w:kern w:val="0"/>
          <w:sz w:val="32"/>
          <w:szCs w:val="32"/>
        </w:rPr>
        <w:t>南通市海门区区域社会治理现代化指挥中心</w:t>
      </w:r>
    </w:p>
    <w:p>
      <w:pPr>
        <w:adjustRightInd w:val="0"/>
        <w:spacing w:before="120" w:after="120" w:line="360" w:lineRule="auto"/>
        <w:ind w:left="-2" w:right="120"/>
        <w:jc w:val="center"/>
        <w:textAlignment w:val="baseline"/>
        <w:rPr>
          <w:rFonts w:ascii="宋体" w:hAnsi="宋体" w:cs="宋体"/>
          <w:b/>
          <w:bCs/>
          <w:kern w:val="0"/>
          <w:sz w:val="32"/>
          <w:szCs w:val="32"/>
        </w:rPr>
      </w:pPr>
      <w:r>
        <w:rPr>
          <w:rFonts w:hint="eastAsia" w:ascii="宋体" w:hAnsi="宋体" w:cs="宋体"/>
          <w:b/>
          <w:bCs/>
          <w:kern w:val="0"/>
          <w:sz w:val="32"/>
          <w:szCs w:val="32"/>
        </w:rPr>
        <w:t>2024年</w:t>
      </w:r>
      <w:r>
        <w:rPr>
          <w:rFonts w:ascii="宋体" w:hAnsi="宋体" w:cs="宋体"/>
          <w:b/>
          <w:bCs/>
          <w:kern w:val="0"/>
          <w:sz w:val="32"/>
          <w:szCs w:val="32"/>
        </w:rPr>
        <w:t>10</w:t>
      </w:r>
      <w:r>
        <w:rPr>
          <w:rFonts w:hint="eastAsia" w:ascii="宋体" w:hAnsi="宋体" w:cs="宋体"/>
          <w:b/>
          <w:bCs/>
          <w:kern w:val="0"/>
          <w:sz w:val="32"/>
          <w:szCs w:val="32"/>
        </w:rPr>
        <w:t>月</w:t>
      </w:r>
    </w:p>
    <w:p>
      <w:pPr>
        <w:adjustRightInd w:val="0"/>
        <w:snapToGrid w:val="0"/>
        <w:spacing w:line="360" w:lineRule="auto"/>
        <w:ind w:left="-158" w:leftChars="-75"/>
        <w:jc w:val="center"/>
        <w:rPr>
          <w:rFonts w:ascii="宋体" w:hAnsi="宋体" w:cs="宋体"/>
          <w:sz w:val="44"/>
          <w:szCs w:val="44"/>
          <w:lang w:val="zh-CN"/>
        </w:rPr>
      </w:pPr>
      <w:r>
        <w:rPr>
          <w:rFonts w:hint="eastAsia" w:ascii="宋体" w:hAnsi="宋体" w:cs="宋体"/>
          <w:sz w:val="44"/>
          <w:szCs w:val="44"/>
          <w:lang w:val="zh-CN"/>
        </w:rPr>
        <w:br w:type="page"/>
      </w:r>
      <w:r>
        <w:rPr>
          <w:rFonts w:hint="eastAsia" w:ascii="宋体" w:hAnsi="宋体" w:cs="宋体"/>
          <w:sz w:val="44"/>
          <w:szCs w:val="44"/>
          <w:lang w:val="zh-CN"/>
        </w:rPr>
        <w:t xml:space="preserve">目 </w:t>
      </w:r>
      <w:r>
        <w:rPr>
          <w:rFonts w:hint="eastAsia" w:ascii="宋体" w:hAnsi="宋体" w:cs="宋体"/>
          <w:sz w:val="44"/>
          <w:szCs w:val="44"/>
        </w:rPr>
        <w:t xml:space="preserve">  </w:t>
      </w:r>
      <w:r>
        <w:rPr>
          <w:rFonts w:hint="eastAsia" w:ascii="宋体" w:hAnsi="宋体" w:cs="宋体"/>
          <w:sz w:val="44"/>
          <w:szCs w:val="44"/>
          <w:lang w:val="zh-CN"/>
        </w:rPr>
        <w:t>录</w:t>
      </w:r>
    </w:p>
    <w:p>
      <w:pPr>
        <w:autoSpaceDE w:val="0"/>
        <w:autoSpaceDN w:val="0"/>
        <w:adjustRightInd w:val="0"/>
        <w:snapToGrid w:val="0"/>
        <w:spacing w:line="1000" w:lineRule="exact"/>
        <w:ind w:firstLine="556"/>
        <w:rPr>
          <w:rFonts w:ascii="宋体" w:hAnsi="宋体" w:cs="宋体"/>
          <w:sz w:val="32"/>
          <w:szCs w:val="32"/>
        </w:rPr>
      </w:pPr>
      <w:r>
        <w:rPr>
          <w:rFonts w:hint="eastAsia" w:ascii="宋体" w:hAnsi="宋体" w:cs="宋体"/>
          <w:sz w:val="32"/>
          <w:szCs w:val="32"/>
        </w:rPr>
        <w:t>第一部分  磋商公告</w:t>
      </w:r>
    </w:p>
    <w:p>
      <w:pPr>
        <w:autoSpaceDE w:val="0"/>
        <w:autoSpaceDN w:val="0"/>
        <w:adjustRightInd w:val="0"/>
        <w:snapToGrid w:val="0"/>
        <w:spacing w:line="1000" w:lineRule="exact"/>
        <w:ind w:firstLine="556"/>
        <w:rPr>
          <w:rFonts w:ascii="宋体" w:hAnsi="宋体" w:cs="宋体"/>
          <w:sz w:val="32"/>
          <w:szCs w:val="32"/>
        </w:rPr>
      </w:pPr>
      <w:r>
        <w:rPr>
          <w:rFonts w:hint="eastAsia" w:ascii="宋体" w:hAnsi="宋体" w:cs="宋体"/>
          <w:sz w:val="32"/>
          <w:szCs w:val="32"/>
        </w:rPr>
        <w:t>第二部分  磋商须知</w:t>
      </w:r>
    </w:p>
    <w:p>
      <w:pPr>
        <w:autoSpaceDE w:val="0"/>
        <w:autoSpaceDN w:val="0"/>
        <w:adjustRightInd w:val="0"/>
        <w:snapToGrid w:val="0"/>
        <w:spacing w:line="1000" w:lineRule="exact"/>
        <w:ind w:firstLine="537"/>
        <w:rPr>
          <w:rFonts w:ascii="宋体" w:hAnsi="宋体" w:cs="宋体"/>
          <w:sz w:val="32"/>
          <w:szCs w:val="32"/>
        </w:rPr>
      </w:pPr>
      <w:r>
        <w:rPr>
          <w:rFonts w:hint="eastAsia" w:ascii="宋体" w:hAnsi="宋体" w:cs="宋体"/>
          <w:sz w:val="32"/>
          <w:szCs w:val="32"/>
        </w:rPr>
        <w:t>第三部分  项目需求</w:t>
      </w:r>
    </w:p>
    <w:p>
      <w:pPr>
        <w:autoSpaceDE w:val="0"/>
        <w:autoSpaceDN w:val="0"/>
        <w:adjustRightInd w:val="0"/>
        <w:snapToGrid w:val="0"/>
        <w:spacing w:line="1000" w:lineRule="exact"/>
        <w:ind w:firstLine="537"/>
        <w:rPr>
          <w:rFonts w:ascii="宋体" w:hAnsi="宋体" w:cs="宋体"/>
          <w:sz w:val="32"/>
          <w:szCs w:val="32"/>
        </w:rPr>
      </w:pPr>
      <w:r>
        <w:rPr>
          <w:rFonts w:hint="eastAsia" w:ascii="宋体" w:hAnsi="宋体" w:cs="宋体"/>
          <w:sz w:val="32"/>
          <w:szCs w:val="32"/>
        </w:rPr>
        <w:t>第四部分  评审方法和评审标准</w:t>
      </w:r>
    </w:p>
    <w:p>
      <w:pPr>
        <w:autoSpaceDE w:val="0"/>
        <w:autoSpaceDN w:val="0"/>
        <w:adjustRightInd w:val="0"/>
        <w:snapToGrid w:val="0"/>
        <w:spacing w:line="1000" w:lineRule="exact"/>
        <w:ind w:firstLine="556"/>
        <w:rPr>
          <w:rFonts w:ascii="宋体" w:hAnsi="宋体" w:cs="宋体"/>
          <w:sz w:val="32"/>
          <w:szCs w:val="32"/>
        </w:rPr>
      </w:pPr>
      <w:r>
        <w:rPr>
          <w:rFonts w:hint="eastAsia" w:ascii="宋体" w:hAnsi="宋体" w:cs="宋体"/>
          <w:sz w:val="32"/>
          <w:szCs w:val="32"/>
        </w:rPr>
        <w:t>第五部分  响应文件组成</w:t>
      </w:r>
    </w:p>
    <w:p>
      <w:pPr>
        <w:tabs>
          <w:tab w:val="left" w:pos="7740"/>
        </w:tabs>
        <w:spacing w:line="360" w:lineRule="auto"/>
        <w:rPr>
          <w:rFonts w:ascii="宋体" w:hAnsi="宋体" w:cs="宋体"/>
          <w:bCs/>
          <w:sz w:val="32"/>
          <w:szCs w:val="32"/>
        </w:rPr>
      </w:pPr>
    </w:p>
    <w:p>
      <w:pPr>
        <w:tabs>
          <w:tab w:val="left" w:pos="7740"/>
        </w:tabs>
        <w:spacing w:line="360" w:lineRule="auto"/>
        <w:rPr>
          <w:rFonts w:ascii="宋体" w:hAnsi="宋体" w:cs="宋体"/>
          <w:bCs/>
          <w:sz w:val="32"/>
          <w:szCs w:val="32"/>
        </w:rPr>
      </w:pPr>
    </w:p>
    <w:p>
      <w:pPr>
        <w:autoSpaceDE w:val="0"/>
        <w:autoSpaceDN w:val="0"/>
        <w:adjustRightInd w:val="0"/>
        <w:spacing w:line="360" w:lineRule="auto"/>
        <w:jc w:val="center"/>
        <w:rPr>
          <w:rFonts w:ascii="宋体" w:hAnsi="宋体" w:cs="宋体"/>
          <w:b/>
          <w:bCs/>
          <w:sz w:val="36"/>
          <w:szCs w:val="36"/>
          <w:lang w:val="zh-CN"/>
        </w:rPr>
      </w:pPr>
    </w:p>
    <w:p>
      <w:pPr>
        <w:autoSpaceDE w:val="0"/>
        <w:autoSpaceDN w:val="0"/>
        <w:adjustRightInd w:val="0"/>
        <w:spacing w:line="360" w:lineRule="auto"/>
        <w:rPr>
          <w:rFonts w:ascii="宋体" w:hAnsi="宋体" w:cs="宋体"/>
          <w:b/>
          <w:bCs/>
          <w:sz w:val="36"/>
          <w:szCs w:val="36"/>
          <w:lang w:val="zh-CN"/>
        </w:rPr>
      </w:pPr>
    </w:p>
    <w:p>
      <w:pPr>
        <w:autoSpaceDE w:val="0"/>
        <w:autoSpaceDN w:val="0"/>
        <w:adjustRightInd w:val="0"/>
        <w:spacing w:line="360" w:lineRule="auto"/>
        <w:jc w:val="center"/>
        <w:rPr>
          <w:rFonts w:ascii="宋体" w:hAnsi="宋体" w:cs="宋体"/>
          <w:b/>
          <w:bCs/>
          <w:sz w:val="36"/>
          <w:szCs w:val="36"/>
          <w:lang w:val="zh-CN"/>
        </w:rPr>
      </w:pPr>
    </w:p>
    <w:p>
      <w:pPr>
        <w:autoSpaceDE w:val="0"/>
        <w:autoSpaceDN w:val="0"/>
        <w:adjustRightInd w:val="0"/>
        <w:spacing w:line="360" w:lineRule="auto"/>
        <w:jc w:val="center"/>
        <w:rPr>
          <w:rFonts w:ascii="宋体" w:hAnsi="宋体" w:cs="宋体"/>
          <w:b/>
          <w:bCs/>
          <w:sz w:val="36"/>
          <w:szCs w:val="36"/>
          <w:lang w:val="zh-CN"/>
        </w:rPr>
      </w:pPr>
    </w:p>
    <w:p>
      <w:pPr>
        <w:autoSpaceDE w:val="0"/>
        <w:autoSpaceDN w:val="0"/>
        <w:adjustRightInd w:val="0"/>
        <w:spacing w:line="360" w:lineRule="auto"/>
        <w:jc w:val="center"/>
        <w:rPr>
          <w:rFonts w:ascii="宋体" w:hAnsi="宋体" w:cs="宋体"/>
          <w:b/>
          <w:bCs/>
          <w:sz w:val="36"/>
          <w:szCs w:val="36"/>
          <w:lang w:val="zh-CN"/>
        </w:rPr>
      </w:pPr>
    </w:p>
    <w:p>
      <w:pPr>
        <w:autoSpaceDE w:val="0"/>
        <w:autoSpaceDN w:val="0"/>
        <w:adjustRightInd w:val="0"/>
        <w:spacing w:line="360" w:lineRule="auto"/>
        <w:jc w:val="center"/>
        <w:rPr>
          <w:rFonts w:ascii="宋体" w:hAnsi="宋体" w:cs="宋体"/>
          <w:b/>
          <w:bCs/>
          <w:sz w:val="36"/>
          <w:szCs w:val="36"/>
          <w:lang w:val="zh-CN"/>
        </w:rPr>
      </w:pPr>
    </w:p>
    <w:p>
      <w:pPr>
        <w:autoSpaceDE w:val="0"/>
        <w:autoSpaceDN w:val="0"/>
        <w:adjustRightInd w:val="0"/>
        <w:spacing w:line="360" w:lineRule="auto"/>
        <w:jc w:val="center"/>
        <w:rPr>
          <w:rFonts w:ascii="宋体" w:hAnsi="宋体" w:cs="宋体"/>
          <w:b/>
          <w:bCs/>
          <w:sz w:val="36"/>
          <w:szCs w:val="36"/>
          <w:lang w:val="zh-CN"/>
        </w:rPr>
      </w:pPr>
    </w:p>
    <w:p>
      <w:pPr>
        <w:autoSpaceDE w:val="0"/>
        <w:autoSpaceDN w:val="0"/>
        <w:adjustRightInd w:val="0"/>
        <w:spacing w:line="360" w:lineRule="auto"/>
        <w:jc w:val="center"/>
        <w:rPr>
          <w:rFonts w:ascii="宋体" w:hAnsi="宋体" w:cs="宋体"/>
          <w:b/>
          <w:bCs/>
          <w:sz w:val="36"/>
          <w:szCs w:val="36"/>
          <w:lang w:val="zh-CN"/>
        </w:rPr>
      </w:pPr>
    </w:p>
    <w:p>
      <w:pPr>
        <w:autoSpaceDE w:val="0"/>
        <w:autoSpaceDN w:val="0"/>
        <w:adjustRightInd w:val="0"/>
        <w:spacing w:line="360" w:lineRule="auto"/>
        <w:jc w:val="center"/>
        <w:rPr>
          <w:rFonts w:ascii="宋体" w:hAnsi="宋体" w:cs="宋体"/>
          <w:b/>
          <w:bCs/>
          <w:sz w:val="36"/>
          <w:szCs w:val="36"/>
          <w:lang w:val="zh-CN"/>
        </w:rPr>
      </w:pPr>
    </w:p>
    <w:p>
      <w:pPr>
        <w:autoSpaceDE w:val="0"/>
        <w:autoSpaceDN w:val="0"/>
        <w:adjustRightInd w:val="0"/>
        <w:snapToGrid w:val="0"/>
        <w:spacing w:line="360" w:lineRule="auto"/>
        <w:jc w:val="center"/>
        <w:rPr>
          <w:rFonts w:ascii="宋体" w:hAnsi="宋体" w:cs="宋体"/>
          <w:sz w:val="36"/>
          <w:szCs w:val="36"/>
          <w:lang w:val="zh-CN"/>
        </w:rPr>
      </w:pPr>
    </w:p>
    <w:p>
      <w:pPr>
        <w:autoSpaceDE w:val="0"/>
        <w:autoSpaceDN w:val="0"/>
        <w:adjustRightInd w:val="0"/>
        <w:snapToGrid w:val="0"/>
        <w:spacing w:line="360" w:lineRule="auto"/>
        <w:jc w:val="center"/>
        <w:rPr>
          <w:rFonts w:ascii="宋体" w:hAnsi="宋体" w:cs="宋体"/>
          <w:sz w:val="36"/>
          <w:szCs w:val="36"/>
          <w:lang w:val="zh-CN"/>
        </w:rPr>
      </w:pPr>
    </w:p>
    <w:p>
      <w:pPr>
        <w:autoSpaceDE w:val="0"/>
        <w:autoSpaceDN w:val="0"/>
        <w:adjustRightInd w:val="0"/>
        <w:snapToGrid w:val="0"/>
        <w:spacing w:line="360" w:lineRule="auto"/>
        <w:jc w:val="center"/>
        <w:rPr>
          <w:rFonts w:ascii="宋体" w:hAnsi="宋体" w:cs="宋体"/>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line="800" w:lineRule="exact"/>
        <w:jc w:val="center"/>
        <w:outlineLvl w:val="0"/>
        <w:rPr>
          <w:rFonts w:ascii="宋体" w:hAnsi="宋体" w:cs="宋体"/>
          <w:sz w:val="36"/>
          <w:szCs w:val="36"/>
          <w:lang w:val="zh-CN"/>
        </w:rPr>
      </w:pPr>
      <w:r>
        <w:rPr>
          <w:rFonts w:hint="eastAsia" w:ascii="宋体" w:hAnsi="宋体" w:cs="宋体"/>
          <w:sz w:val="36"/>
          <w:szCs w:val="36"/>
          <w:lang w:val="zh-CN"/>
        </w:rPr>
        <w:t>第一部分 磋商公告</w:t>
      </w:r>
    </w:p>
    <w:p>
      <w:pPr>
        <w:wordWrap w:val="0"/>
        <w:adjustRightInd w:val="0"/>
        <w:snapToGrid w:val="0"/>
        <w:spacing w:line="460" w:lineRule="exact"/>
        <w:ind w:firstLine="560" w:firstLineChars="200"/>
        <w:rPr>
          <w:rFonts w:ascii="宋体" w:hAnsi="宋体" w:cs="宋体"/>
          <w:sz w:val="28"/>
          <w:szCs w:val="28"/>
          <w:lang w:val="zh-CN"/>
        </w:rPr>
      </w:pPr>
      <w:r>
        <w:rPr>
          <w:rFonts w:hint="eastAsia" w:ascii="宋体" w:hAnsi="宋体" w:cs="宋体"/>
          <w:sz w:val="28"/>
          <w:szCs w:val="28"/>
        </w:rPr>
        <w:t>根据政府采购相关法律法规的规定，就南通市海门区区域社会治理现代化指挥中心信息化系统平台集成运维服务项目进行磋商采购，欢迎符合条件的供应商参加磋商。</w:t>
      </w:r>
    </w:p>
    <w:p>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项目概况</w:t>
      </w:r>
    </w:p>
    <w:p>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南通市海门区区域社会治理现代化指挥中心</w:t>
      </w:r>
      <w:r>
        <w:rPr>
          <w:rFonts w:hint="eastAsia" w:ascii="宋体" w:hAnsi="宋体" w:cs="宋体"/>
          <w:sz w:val="28"/>
          <w:szCs w:val="28"/>
          <w:lang w:eastAsia="zh-CN"/>
        </w:rPr>
        <w:t>采购</w:t>
      </w:r>
      <w:r>
        <w:rPr>
          <w:rFonts w:hint="eastAsia" w:ascii="宋体" w:hAnsi="宋体" w:cs="宋体"/>
          <w:sz w:val="28"/>
          <w:szCs w:val="28"/>
        </w:rPr>
        <w:t>南通市海门区区域社会治理现代化指挥中心信息化系统平台集成运维服务项目</w:t>
      </w:r>
      <w:r>
        <w:rPr>
          <w:rFonts w:hint="eastAsia" w:ascii="宋体" w:hAnsi="宋体" w:cs="宋体"/>
          <w:sz w:val="28"/>
          <w:szCs w:val="28"/>
          <w:lang w:eastAsia="zh-CN"/>
        </w:rPr>
        <w:t>，采购项目的</w:t>
      </w:r>
      <w:r>
        <w:rPr>
          <w:rFonts w:hint="eastAsia" w:ascii="宋体" w:hAnsi="宋体" w:cs="宋体"/>
          <w:sz w:val="28"/>
          <w:szCs w:val="28"/>
        </w:rPr>
        <w:t>潜在供应商应在南通市海门区人民政府网站获取采购文件，并于2024年10月</w:t>
      </w:r>
      <w:r>
        <w:rPr>
          <w:rFonts w:hint="eastAsia" w:ascii="宋体" w:hAnsi="宋体" w:cs="宋体"/>
          <w:sz w:val="28"/>
          <w:szCs w:val="28"/>
          <w:lang w:val="en-US" w:eastAsia="zh-CN"/>
        </w:rPr>
        <w:t>25</w:t>
      </w:r>
      <w:r>
        <w:rPr>
          <w:rFonts w:hint="eastAsia" w:ascii="宋体" w:hAnsi="宋体" w:cs="宋体"/>
          <w:sz w:val="28"/>
          <w:szCs w:val="28"/>
        </w:rPr>
        <w:t>日</w:t>
      </w:r>
      <w:r>
        <w:rPr>
          <w:rFonts w:ascii="宋体" w:hAnsi="宋体" w:cs="宋体"/>
          <w:sz w:val="28"/>
          <w:szCs w:val="28"/>
        </w:rPr>
        <w:t>9</w:t>
      </w:r>
      <w:r>
        <w:rPr>
          <w:rFonts w:hint="eastAsia" w:ascii="宋体" w:hAnsi="宋体" w:cs="宋体"/>
          <w:sz w:val="28"/>
          <w:szCs w:val="28"/>
        </w:rPr>
        <w:t>点30分（北京时间）前提交响应文件。</w:t>
      </w:r>
    </w:p>
    <w:p>
      <w:pPr>
        <w:widowControl/>
        <w:shd w:val="clear" w:color="auto" w:fill="FFFFFF"/>
        <w:adjustRightInd w:val="0"/>
        <w:snapToGrid w:val="0"/>
        <w:spacing w:line="460" w:lineRule="exact"/>
        <w:ind w:firstLine="590" w:firstLineChars="200"/>
        <w:outlineLvl w:val="1"/>
        <w:rPr>
          <w:rFonts w:ascii="宋体" w:hAnsi="宋体" w:cs="宋体"/>
          <w:b/>
          <w:spacing w:val="7"/>
          <w:kern w:val="0"/>
          <w:sz w:val="28"/>
          <w:szCs w:val="28"/>
        </w:rPr>
      </w:pPr>
      <w:r>
        <w:rPr>
          <w:rFonts w:hint="eastAsia" w:ascii="宋体" w:hAnsi="宋体" w:cs="宋体"/>
          <w:b/>
          <w:spacing w:val="7"/>
          <w:kern w:val="0"/>
          <w:sz w:val="28"/>
          <w:szCs w:val="28"/>
        </w:rPr>
        <w:t>一、项目基本情况</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w:t>
      </w:r>
      <w:r>
        <w:rPr>
          <w:rFonts w:hint="eastAsia" w:ascii="宋体" w:hAnsi="宋体" w:cs="宋体"/>
          <w:sz w:val="28"/>
          <w:szCs w:val="28"/>
        </w:rPr>
        <w:t>项目名称：南通市海门区区域社会治理现代化指挥中心信息化系统平台集成运维服务项目</w:t>
      </w:r>
    </w:p>
    <w:p>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w:t>
      </w:r>
      <w:r>
        <w:rPr>
          <w:rFonts w:hint="eastAsia" w:ascii="宋体" w:hAnsi="宋体" w:cs="宋体"/>
          <w:sz w:val="28"/>
          <w:szCs w:val="28"/>
        </w:rPr>
        <w:t>采购方式：竞争性磋商</w:t>
      </w:r>
    </w:p>
    <w:p>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w:t>
      </w:r>
      <w:r>
        <w:rPr>
          <w:rFonts w:hint="eastAsia" w:ascii="宋体" w:hAnsi="宋体" w:cs="宋体"/>
          <w:sz w:val="28"/>
          <w:szCs w:val="28"/>
        </w:rPr>
        <w:t>最高限价：</w:t>
      </w:r>
      <w:r>
        <w:rPr>
          <w:rFonts w:ascii="宋体" w:hAnsi="宋体" w:cs="宋体"/>
          <w:sz w:val="28"/>
          <w:szCs w:val="28"/>
        </w:rPr>
        <w:t>35</w:t>
      </w:r>
      <w:r>
        <w:rPr>
          <w:rFonts w:hint="eastAsia" w:ascii="宋体" w:hAnsi="宋体" w:cs="宋体"/>
          <w:sz w:val="28"/>
          <w:szCs w:val="28"/>
        </w:rPr>
        <w:t>万元，最终报价超过最高限价的为无效响应文件。</w:t>
      </w:r>
    </w:p>
    <w:p>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val="en-US" w:eastAsia="zh-CN"/>
        </w:rPr>
        <w:t>.</w:t>
      </w:r>
      <w:r>
        <w:rPr>
          <w:rFonts w:hint="eastAsia" w:ascii="宋体" w:hAnsi="宋体" w:cs="宋体"/>
          <w:sz w:val="28"/>
          <w:szCs w:val="28"/>
        </w:rPr>
        <w:t>采购需求：详见第三部分，请仔细研究。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en-US" w:eastAsia="zh-CN"/>
        </w:rPr>
        <w:t>.</w:t>
      </w:r>
      <w:r>
        <w:rPr>
          <w:rFonts w:hint="eastAsia" w:ascii="宋体" w:hAnsi="宋体" w:cs="宋体"/>
          <w:sz w:val="28"/>
          <w:szCs w:val="28"/>
        </w:rPr>
        <w:t>本项目不接受联合体。</w:t>
      </w:r>
    </w:p>
    <w:p>
      <w:pPr>
        <w:adjustRightInd w:val="0"/>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二、供应商的资格要求：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2.投标人具有独立法人资格，具备有效的营业执照；</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w:t>
      </w:r>
      <w:bookmarkStart w:id="0" w:name="OLE_LINK3"/>
      <w:r>
        <w:rPr>
          <w:rFonts w:hint="eastAsia" w:ascii="宋体" w:hAnsi="宋体" w:cs="宋体"/>
          <w:sz w:val="28"/>
          <w:szCs w:val="28"/>
        </w:rPr>
        <w:t>.未被 “信用中国”网站(www.creditchina.gov.cn)列入信用记录失信被执行人</w:t>
      </w:r>
      <w:bookmarkEnd w:id="0"/>
      <w:r>
        <w:rPr>
          <w:rFonts w:hint="eastAsia" w:ascii="宋体" w:hAnsi="宋体" w:cs="宋体"/>
          <w:sz w:val="28"/>
          <w:szCs w:val="28"/>
        </w:rPr>
        <w:t>，未被中国政府采购网（www.ccgp.gov.cn）等渠道列入政府采购严重违法失信行为记录名单；</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单位负责人为同一人或者存在直接控股、管理关系的不同供应商，不得参加同一合同项下的政府采购活动。法定代表人为同一个人的两个及两个以上法人，母公司、全资子公司及其控股公司，都不得参加同一合同项目的采购活动。</w:t>
      </w:r>
    </w:p>
    <w:p>
      <w:pPr>
        <w:adjustRightInd w:val="0"/>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三、获取采购文件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时间：2024年</w:t>
      </w:r>
      <w:r>
        <w:rPr>
          <w:rFonts w:ascii="宋体" w:hAnsi="宋体" w:cs="宋体"/>
          <w:sz w:val="28"/>
          <w:szCs w:val="28"/>
        </w:rPr>
        <w:t>10</w:t>
      </w:r>
      <w:r>
        <w:rPr>
          <w:rFonts w:hint="eastAsia" w:ascii="宋体" w:hAnsi="宋体" w:cs="宋体"/>
          <w:sz w:val="28"/>
          <w:szCs w:val="28"/>
        </w:rPr>
        <w:t>月</w:t>
      </w:r>
      <w:r>
        <w:rPr>
          <w:rFonts w:hint="eastAsia" w:ascii="宋体" w:hAnsi="宋体" w:cs="宋体"/>
          <w:sz w:val="28"/>
          <w:szCs w:val="28"/>
          <w:lang w:val="en-US" w:eastAsia="zh-CN"/>
        </w:rPr>
        <w:t>14</w:t>
      </w:r>
      <w:r>
        <w:rPr>
          <w:rFonts w:hint="eastAsia" w:ascii="宋体" w:hAnsi="宋体" w:cs="宋体"/>
          <w:sz w:val="28"/>
          <w:szCs w:val="28"/>
        </w:rPr>
        <w:t>日至2024年</w:t>
      </w:r>
      <w:r>
        <w:rPr>
          <w:rFonts w:ascii="宋体" w:hAnsi="宋体" w:cs="宋体"/>
          <w:sz w:val="28"/>
          <w:szCs w:val="28"/>
        </w:rPr>
        <w:t>10</w:t>
      </w:r>
      <w:r>
        <w:rPr>
          <w:rFonts w:hint="eastAsia" w:ascii="宋体" w:hAnsi="宋体" w:cs="宋体"/>
          <w:sz w:val="28"/>
          <w:szCs w:val="28"/>
        </w:rPr>
        <w:t>月</w:t>
      </w:r>
      <w:r>
        <w:rPr>
          <w:rFonts w:hint="eastAsia" w:ascii="宋体" w:hAnsi="宋体" w:cs="宋体"/>
          <w:sz w:val="28"/>
          <w:szCs w:val="28"/>
          <w:lang w:val="en-US" w:eastAsia="zh-CN"/>
        </w:rPr>
        <w:t>24</w:t>
      </w:r>
      <w:r>
        <w:rPr>
          <w:rFonts w:hint="eastAsia" w:ascii="宋体" w:hAnsi="宋体" w:cs="宋体"/>
          <w:sz w:val="28"/>
          <w:szCs w:val="28"/>
        </w:rPr>
        <w:t>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地点：南通市海门区人民政府网站</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方式：自行下载磋商文件</w:t>
      </w:r>
    </w:p>
    <w:p>
      <w:pPr>
        <w:adjustRightInd w:val="0"/>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四、提交响应文件截止时间、磋商时间和地点</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2024年10月</w:t>
      </w:r>
      <w:r>
        <w:rPr>
          <w:rFonts w:hint="eastAsia" w:ascii="宋体" w:hAnsi="宋体" w:cs="宋体"/>
          <w:sz w:val="28"/>
          <w:szCs w:val="28"/>
          <w:lang w:val="en-US" w:eastAsia="zh-CN"/>
        </w:rPr>
        <w:t>25</w:t>
      </w:r>
      <w:r>
        <w:rPr>
          <w:rFonts w:hint="eastAsia" w:ascii="宋体" w:hAnsi="宋体" w:cs="宋体"/>
          <w:sz w:val="28"/>
          <w:szCs w:val="28"/>
        </w:rPr>
        <w:t>日</w:t>
      </w:r>
      <w:r>
        <w:rPr>
          <w:rFonts w:ascii="宋体" w:hAnsi="宋体" w:cs="宋体"/>
          <w:sz w:val="28"/>
          <w:szCs w:val="28"/>
        </w:rPr>
        <w:t>9</w:t>
      </w:r>
      <w:r>
        <w:rPr>
          <w:rFonts w:hint="eastAsia" w:ascii="宋体" w:hAnsi="宋体" w:cs="宋体"/>
          <w:sz w:val="28"/>
          <w:szCs w:val="28"/>
        </w:rPr>
        <w:t>点30分（北京时间），逾时，采购人将拒绝接受磋商响应文件。</w:t>
      </w:r>
    </w:p>
    <w:p>
      <w:pPr>
        <w:adjustRightInd w:val="0"/>
        <w:snapToGrid w:val="0"/>
        <w:spacing w:line="460" w:lineRule="exact"/>
        <w:ind w:firstLine="560" w:firstLineChars="200"/>
        <w:rPr>
          <w:rFonts w:ascii="宋体" w:hAnsi="宋体" w:cs="宋体"/>
          <w:i/>
          <w:sz w:val="28"/>
          <w:szCs w:val="28"/>
          <w:u w:val="single"/>
        </w:rPr>
      </w:pPr>
      <w:r>
        <w:rPr>
          <w:rFonts w:hint="eastAsia" w:ascii="宋体" w:hAnsi="宋体" w:cs="宋体"/>
          <w:sz w:val="28"/>
          <w:szCs w:val="28"/>
        </w:rPr>
        <w:t>地点：南通市海门区嘉陵江路1588号指挥中心511会议室，如有变动另行通知。</w:t>
      </w:r>
    </w:p>
    <w:p>
      <w:pPr>
        <w:adjustRightInd w:val="0"/>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五、公告期限</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自本公告发布之日起5个工作日。</w:t>
      </w:r>
    </w:p>
    <w:p>
      <w:pPr>
        <w:adjustRightInd w:val="0"/>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六、其他补充事宜</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1.投标保证金：免收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2.项目磋商活动模式：见面磋商模式，供应商在</w:t>
      </w:r>
      <w:r>
        <w:rPr>
          <w:rFonts w:hint="eastAsia" w:ascii="宋体" w:hAnsi="宋体" w:cs="宋体"/>
          <w:sz w:val="28"/>
          <w:szCs w:val="28"/>
          <w:u w:val="single"/>
        </w:rPr>
        <w:t>南通市海门区嘉陵江路1588号指挥中心511会议室</w:t>
      </w:r>
      <w:r>
        <w:rPr>
          <w:rFonts w:hint="eastAsia" w:ascii="宋体" w:hAnsi="宋体" w:cs="宋体"/>
          <w:sz w:val="28"/>
          <w:szCs w:val="28"/>
        </w:rPr>
        <w:t>参加磋商活动。</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3.项目演示、样品：无。</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pPr>
        <w:widowControl/>
        <w:shd w:val="clear" w:color="auto" w:fill="FFFFFF"/>
        <w:adjustRightInd w:val="0"/>
        <w:snapToGrid w:val="0"/>
        <w:spacing w:line="460" w:lineRule="exact"/>
        <w:ind w:firstLine="590" w:firstLineChars="200"/>
        <w:outlineLvl w:val="1"/>
        <w:rPr>
          <w:rFonts w:ascii="宋体" w:hAnsi="宋体" w:cs="宋体"/>
          <w:b/>
          <w:spacing w:val="7"/>
          <w:kern w:val="0"/>
          <w:sz w:val="28"/>
          <w:szCs w:val="28"/>
        </w:rPr>
      </w:pPr>
      <w:r>
        <w:rPr>
          <w:rFonts w:hint="eastAsia" w:ascii="宋体" w:hAnsi="宋体" w:cs="宋体"/>
          <w:b/>
          <w:spacing w:val="7"/>
          <w:kern w:val="0"/>
          <w:sz w:val="28"/>
          <w:szCs w:val="28"/>
        </w:rPr>
        <w:t>七、凡对本次采购提出询问，请按以下方式联系。</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名称：南通市海门区区域社会治理现代化指挥中心</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地址：南通市海门区嘉陵江路1588号</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联系人：</w:t>
      </w:r>
      <w:r>
        <w:rPr>
          <w:rFonts w:hint="eastAsia" w:asciiTheme="minorEastAsia" w:hAnsiTheme="minorEastAsia" w:eastAsiaTheme="minorEastAsia" w:cstheme="minorEastAsia"/>
          <w:sz w:val="28"/>
          <w:szCs w:val="28"/>
        </w:rPr>
        <w:t>陈先生</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联系方式：0513</w:t>
      </w:r>
      <w:r>
        <w:rPr>
          <w:rFonts w:hint="eastAsia" w:asciiTheme="minorEastAsia" w:hAnsiTheme="minorEastAsia" w:eastAsiaTheme="minorEastAsia" w:cstheme="minorEastAsia"/>
          <w:sz w:val="28"/>
          <w:szCs w:val="28"/>
        </w:rPr>
        <w:t>82399020</w:t>
      </w:r>
    </w:p>
    <w:p>
      <w:pPr>
        <w:adjustRightInd w:val="0"/>
        <w:snapToGrid w:val="0"/>
        <w:spacing w:line="360" w:lineRule="auto"/>
        <w:jc w:val="center"/>
        <w:outlineLvl w:val="0"/>
        <w:rPr>
          <w:rFonts w:hint="eastAsia" w:ascii="宋体" w:hAnsi="宋体" w:cs="宋体"/>
          <w:sz w:val="36"/>
          <w:szCs w:val="36"/>
          <w:lang w:val="zh-CN"/>
        </w:rPr>
      </w:pPr>
      <w:r>
        <w:rPr>
          <w:rFonts w:hint="eastAsia" w:ascii="宋体" w:hAnsi="宋体" w:cs="宋体"/>
          <w:bCs/>
          <w:sz w:val="36"/>
          <w:szCs w:val="36"/>
        </w:rPr>
        <w:br w:type="page"/>
      </w:r>
      <w:r>
        <w:rPr>
          <w:rFonts w:hint="eastAsia" w:ascii="宋体" w:hAnsi="宋体" w:cs="宋体"/>
          <w:sz w:val="36"/>
          <w:szCs w:val="36"/>
          <w:lang w:val="zh-CN"/>
        </w:rPr>
        <w:t>第二部分 磋商须知</w:t>
      </w:r>
    </w:p>
    <w:p>
      <w:pPr>
        <w:keepNext/>
        <w:keepLines/>
        <w:adjustRightInd w:val="0"/>
        <w:snapToGrid w:val="0"/>
        <w:spacing w:line="460" w:lineRule="exact"/>
        <w:ind w:firstLine="562" w:firstLineChars="200"/>
        <w:outlineLvl w:val="1"/>
        <w:rPr>
          <w:rFonts w:ascii="宋体" w:hAnsi="宋体" w:cs="宋体"/>
          <w:b/>
          <w:bCs/>
          <w:kern w:val="0"/>
          <w:sz w:val="28"/>
          <w:szCs w:val="28"/>
        </w:rPr>
      </w:pPr>
      <w:bookmarkStart w:id="1" w:name="_Toc16938519"/>
      <w:bookmarkStart w:id="2" w:name="_Toc120614214"/>
      <w:bookmarkStart w:id="3" w:name="_Toc20823275"/>
      <w:bookmarkStart w:id="4" w:name="_Toc513029203"/>
      <w:r>
        <w:rPr>
          <w:rFonts w:hint="eastAsia" w:ascii="宋体" w:hAnsi="宋体" w:cs="宋体"/>
          <w:b/>
          <w:bCs/>
          <w:kern w:val="0"/>
          <w:sz w:val="28"/>
          <w:szCs w:val="28"/>
        </w:rPr>
        <w:t>一、总则</w:t>
      </w:r>
      <w:bookmarkEnd w:id="1"/>
      <w:bookmarkEnd w:id="2"/>
      <w:bookmarkEnd w:id="3"/>
      <w:bookmarkEnd w:id="4"/>
    </w:p>
    <w:p>
      <w:pPr>
        <w:keepNext/>
        <w:adjustRightInd w:val="0"/>
        <w:snapToGrid w:val="0"/>
        <w:spacing w:line="460" w:lineRule="exact"/>
        <w:ind w:firstLine="560" w:firstLineChars="200"/>
        <w:rPr>
          <w:rFonts w:ascii="宋体" w:hAnsi="宋体" w:cs="宋体"/>
          <w:b/>
          <w:bCs/>
          <w:kern w:val="0"/>
          <w:sz w:val="28"/>
          <w:szCs w:val="28"/>
        </w:rPr>
      </w:pPr>
      <w:bookmarkStart w:id="5" w:name="_Hlt16619475"/>
      <w:bookmarkEnd w:id="5"/>
      <w:bookmarkStart w:id="6" w:name="_Toc458694821"/>
      <w:bookmarkStart w:id="7" w:name="_Toc20823276"/>
      <w:bookmarkStart w:id="8" w:name="_Toc16938520"/>
      <w:bookmarkStart w:id="9" w:name="_Toc513029204"/>
      <w:r>
        <w:rPr>
          <w:rFonts w:hint="eastAsia" w:ascii="宋体" w:hAnsi="宋体" w:cs="宋体"/>
          <w:kern w:val="0"/>
          <w:sz w:val="28"/>
          <w:szCs w:val="28"/>
        </w:rPr>
        <w:t>1</w:t>
      </w:r>
      <w:bookmarkEnd w:id="6"/>
      <w:r>
        <w:rPr>
          <w:rFonts w:hint="eastAsia" w:ascii="宋体" w:hAnsi="宋体" w:cs="宋体"/>
          <w:kern w:val="0"/>
          <w:sz w:val="28"/>
          <w:szCs w:val="28"/>
        </w:rPr>
        <w:t>.采购方式</w:t>
      </w:r>
      <w:bookmarkEnd w:id="7"/>
      <w:bookmarkEnd w:id="8"/>
      <w:bookmarkEnd w:id="9"/>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1.1 本次采取磋商方式，本磋商文件仅适用于磋商公告中所述项目。</w:t>
      </w:r>
    </w:p>
    <w:p>
      <w:pPr>
        <w:keepNext/>
        <w:adjustRightInd w:val="0"/>
        <w:snapToGrid w:val="0"/>
        <w:spacing w:line="460" w:lineRule="exact"/>
        <w:ind w:firstLine="560" w:firstLineChars="200"/>
        <w:rPr>
          <w:rFonts w:ascii="宋体" w:hAnsi="宋体" w:cs="宋体"/>
          <w:b/>
          <w:bCs/>
          <w:kern w:val="0"/>
          <w:sz w:val="28"/>
          <w:szCs w:val="28"/>
        </w:rPr>
      </w:pPr>
      <w:bookmarkStart w:id="10" w:name="_Toc513029205"/>
      <w:bookmarkStart w:id="11" w:name="_Toc20823277"/>
      <w:bookmarkStart w:id="12" w:name="_Toc16938521"/>
      <w:r>
        <w:rPr>
          <w:rFonts w:hint="eastAsia" w:ascii="宋体" w:hAnsi="宋体" w:cs="宋体"/>
          <w:kern w:val="0"/>
          <w:sz w:val="28"/>
          <w:szCs w:val="28"/>
        </w:rPr>
        <w:t>2.合格的</w:t>
      </w:r>
      <w:bookmarkEnd w:id="10"/>
      <w:bookmarkEnd w:id="11"/>
      <w:bookmarkEnd w:id="12"/>
      <w:r>
        <w:rPr>
          <w:rFonts w:hint="eastAsia" w:ascii="宋体" w:hAnsi="宋体" w:cs="宋体"/>
          <w:kern w:val="0"/>
          <w:sz w:val="28"/>
          <w:szCs w:val="28"/>
        </w:rPr>
        <w:t>供应商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2.1满足磋商公告中供应商的资格要求的规定。</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pPr>
        <w:keepNext/>
        <w:adjustRightInd w:val="0"/>
        <w:snapToGrid w:val="0"/>
        <w:spacing w:line="460" w:lineRule="exact"/>
        <w:ind w:firstLine="560" w:firstLineChars="200"/>
        <w:rPr>
          <w:rFonts w:ascii="宋体" w:hAnsi="宋体" w:cs="宋体"/>
          <w:b/>
          <w:bCs/>
          <w:kern w:val="0"/>
          <w:sz w:val="28"/>
          <w:szCs w:val="28"/>
        </w:rPr>
      </w:pPr>
      <w:bookmarkStart w:id="13" w:name="_Toc513029206"/>
      <w:bookmarkStart w:id="14" w:name="_Toc20823278"/>
      <w:bookmarkStart w:id="15" w:name="_Toc16938522"/>
      <w:r>
        <w:rPr>
          <w:rFonts w:hint="eastAsia" w:ascii="宋体" w:hAnsi="宋体" w:cs="宋体"/>
          <w:kern w:val="0"/>
          <w:sz w:val="28"/>
          <w:szCs w:val="28"/>
        </w:rPr>
        <w:t>3.适用法律</w:t>
      </w:r>
      <w:bookmarkEnd w:id="13"/>
      <w:bookmarkEnd w:id="14"/>
      <w:bookmarkEnd w:id="15"/>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3.1 本次采购及由此产生的合同受中华人民共和国有关的法律法规制约和保护。</w:t>
      </w:r>
    </w:p>
    <w:p>
      <w:pPr>
        <w:keepNext/>
        <w:adjustRightInd w:val="0"/>
        <w:snapToGrid w:val="0"/>
        <w:spacing w:line="460" w:lineRule="exact"/>
        <w:ind w:firstLine="560" w:firstLineChars="200"/>
        <w:rPr>
          <w:rFonts w:ascii="宋体" w:hAnsi="宋体" w:cs="宋体"/>
          <w:kern w:val="0"/>
          <w:sz w:val="28"/>
          <w:szCs w:val="28"/>
        </w:rPr>
      </w:pPr>
      <w:bookmarkStart w:id="16" w:name="_Toc513029207"/>
      <w:bookmarkStart w:id="17" w:name="_Toc16938523"/>
      <w:bookmarkStart w:id="18" w:name="_Toc462564067"/>
      <w:bookmarkStart w:id="19" w:name="_Toc20823279"/>
      <w:r>
        <w:rPr>
          <w:rFonts w:hint="eastAsia" w:ascii="宋体" w:hAnsi="宋体" w:cs="宋体"/>
          <w:kern w:val="0"/>
          <w:sz w:val="28"/>
          <w:szCs w:val="28"/>
        </w:rPr>
        <w:t>4.磋商费用</w:t>
      </w:r>
      <w:bookmarkEnd w:id="16"/>
      <w:bookmarkEnd w:id="17"/>
      <w:bookmarkEnd w:id="18"/>
      <w:bookmarkEnd w:id="19"/>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 供应商应自行承担所有与参加磋商有关的费用，无论磋商过程中的做法和结果如何，南通市海门区区域社会治理现代化指挥中心在任何情况下均无义务和责任承担这些费用。</w:t>
      </w:r>
    </w:p>
    <w:p>
      <w:pPr>
        <w:keepNext/>
        <w:adjustRightInd w:val="0"/>
        <w:snapToGrid w:val="0"/>
        <w:spacing w:line="460" w:lineRule="exact"/>
        <w:ind w:firstLine="560" w:firstLineChars="200"/>
        <w:rPr>
          <w:rFonts w:ascii="宋体" w:hAnsi="宋体" w:cs="宋体"/>
          <w:b/>
          <w:bCs/>
          <w:kern w:val="0"/>
          <w:sz w:val="28"/>
          <w:szCs w:val="28"/>
        </w:rPr>
      </w:pPr>
      <w:r>
        <w:rPr>
          <w:rFonts w:hint="eastAsia" w:ascii="宋体" w:hAnsi="宋体" w:cs="宋体"/>
          <w:kern w:val="0"/>
          <w:sz w:val="28"/>
          <w:szCs w:val="28"/>
        </w:rPr>
        <w:t>5.磋商文件的约束力</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5.1</w:t>
      </w:r>
      <w:r>
        <w:rPr>
          <w:rFonts w:hint="eastAsia" w:ascii="宋体" w:hAnsi="宋体" w:cs="宋体"/>
          <w:sz w:val="28"/>
          <w:szCs w:val="28"/>
        </w:rPr>
        <w:t xml:space="preserve"> 供应商一旦参加本项目采购活动，即被认为接受了本磋商文件的规定和约束。</w:t>
      </w:r>
    </w:p>
    <w:p>
      <w:pPr>
        <w:keepNext/>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rPr>
        <w:t>6.磋商文件的解释</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6.1</w:t>
      </w:r>
      <w:r>
        <w:rPr>
          <w:rFonts w:hint="eastAsia" w:ascii="宋体" w:hAnsi="宋体" w:cs="宋体"/>
          <w:sz w:val="28"/>
          <w:szCs w:val="28"/>
        </w:rPr>
        <w:t>磋商文件由采购人解释。</w:t>
      </w:r>
    </w:p>
    <w:p>
      <w:pPr>
        <w:keepNext/>
        <w:keepLines/>
        <w:adjustRightInd w:val="0"/>
        <w:snapToGrid w:val="0"/>
        <w:spacing w:line="460" w:lineRule="exact"/>
        <w:ind w:firstLine="562" w:firstLineChars="200"/>
        <w:outlineLvl w:val="1"/>
        <w:rPr>
          <w:rFonts w:ascii="宋体" w:hAnsi="宋体" w:cs="宋体"/>
          <w:b/>
          <w:bCs/>
          <w:kern w:val="0"/>
          <w:sz w:val="28"/>
          <w:szCs w:val="28"/>
        </w:rPr>
      </w:pPr>
      <w:bookmarkStart w:id="20" w:name="_Toc513029209"/>
      <w:bookmarkStart w:id="21" w:name="_Toc20823281"/>
      <w:bookmarkStart w:id="22" w:name="_Toc120614215"/>
      <w:bookmarkStart w:id="23" w:name="_Toc16938525"/>
      <w:r>
        <w:rPr>
          <w:rFonts w:hint="eastAsia" w:ascii="宋体" w:hAnsi="宋体" w:cs="宋体"/>
          <w:b/>
          <w:bCs/>
          <w:kern w:val="0"/>
          <w:sz w:val="28"/>
          <w:szCs w:val="28"/>
        </w:rPr>
        <w:t>二、磋商文件</w:t>
      </w:r>
      <w:bookmarkEnd w:id="20"/>
      <w:bookmarkEnd w:id="21"/>
      <w:bookmarkEnd w:id="22"/>
      <w:bookmarkEnd w:id="23"/>
    </w:p>
    <w:p>
      <w:pPr>
        <w:keepNext/>
        <w:adjustRightInd w:val="0"/>
        <w:snapToGrid w:val="0"/>
        <w:spacing w:line="460" w:lineRule="exact"/>
        <w:ind w:firstLine="560" w:firstLineChars="200"/>
        <w:rPr>
          <w:rFonts w:ascii="宋体" w:hAnsi="宋体" w:cs="宋体"/>
          <w:b/>
          <w:bCs/>
          <w:kern w:val="0"/>
          <w:sz w:val="28"/>
          <w:szCs w:val="28"/>
        </w:rPr>
      </w:pPr>
      <w:bookmarkStart w:id="24" w:name="_Toc20823282"/>
      <w:bookmarkStart w:id="25" w:name="_Toc513029210"/>
      <w:bookmarkStart w:id="26" w:name="_Toc16938526"/>
      <w:r>
        <w:rPr>
          <w:rFonts w:hint="eastAsia" w:ascii="宋体" w:hAnsi="宋体" w:cs="宋体"/>
          <w:kern w:val="0"/>
          <w:sz w:val="28"/>
          <w:szCs w:val="28"/>
        </w:rPr>
        <w:t>1.磋商文件构成</w:t>
      </w:r>
      <w:bookmarkEnd w:id="24"/>
      <w:bookmarkEnd w:id="25"/>
      <w:bookmarkEnd w:id="26"/>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1.1</w:t>
      </w:r>
      <w:r>
        <w:rPr>
          <w:rFonts w:hint="eastAsia" w:ascii="宋体" w:hAnsi="宋体" w:cs="宋体"/>
          <w:sz w:val="28"/>
          <w:szCs w:val="28"/>
        </w:rPr>
        <w:t xml:space="preserve"> 磋商文件由以下部分组成：</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（1）磋商公告</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（2）磋商须知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（3）项目需求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（4）评审方法和评审标准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（5）响应文件组成</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（6）附件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请仔细检查磋商文件是否齐全，如有缺漏请立即与采购人联系解决。</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adjustRightInd w:val="0"/>
        <w:snapToGrid w:val="0"/>
        <w:spacing w:line="460" w:lineRule="exact"/>
        <w:ind w:firstLine="560" w:firstLineChars="200"/>
        <w:rPr>
          <w:rFonts w:ascii="宋体" w:hAnsi="宋体" w:cs="宋体"/>
          <w:b/>
          <w:bCs/>
          <w:kern w:val="0"/>
          <w:sz w:val="28"/>
          <w:szCs w:val="28"/>
        </w:rPr>
      </w:pPr>
      <w:bookmarkStart w:id="27" w:name="_Toc513029211"/>
      <w:bookmarkStart w:id="28" w:name="_Toc462564070"/>
      <w:bookmarkStart w:id="29" w:name="_Toc20823283"/>
      <w:bookmarkStart w:id="30" w:name="_Toc16938527"/>
      <w:r>
        <w:rPr>
          <w:rFonts w:hint="eastAsia" w:ascii="宋体" w:hAnsi="宋体" w:cs="宋体"/>
          <w:kern w:val="0"/>
          <w:sz w:val="28"/>
          <w:szCs w:val="28"/>
        </w:rPr>
        <w:t>2.磋商文件的澄清</w:t>
      </w:r>
      <w:bookmarkEnd w:id="27"/>
      <w:bookmarkEnd w:id="28"/>
      <w:bookmarkEnd w:id="29"/>
      <w:bookmarkEnd w:id="30"/>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2.1</w:t>
      </w:r>
      <w:r>
        <w:rPr>
          <w:rFonts w:hint="eastAsia" w:ascii="宋体" w:hAnsi="宋体" w:cs="宋体"/>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2.2采购人视情组织答疑会</w:t>
      </w:r>
    </w:p>
    <w:p>
      <w:pPr>
        <w:keepNext/>
        <w:adjustRightInd w:val="0"/>
        <w:snapToGrid w:val="0"/>
        <w:spacing w:line="460" w:lineRule="exact"/>
        <w:ind w:firstLine="560" w:firstLineChars="200"/>
        <w:rPr>
          <w:rFonts w:ascii="宋体" w:hAnsi="宋体" w:cs="宋体"/>
          <w:b/>
          <w:bCs/>
          <w:kern w:val="0"/>
          <w:sz w:val="28"/>
          <w:szCs w:val="28"/>
        </w:rPr>
      </w:pPr>
      <w:bookmarkStart w:id="31" w:name="_Toc16938528"/>
      <w:bookmarkStart w:id="32" w:name="_Toc462564071"/>
      <w:bookmarkStart w:id="33" w:name="_Toc20823284"/>
      <w:bookmarkStart w:id="34" w:name="_Toc513029212"/>
      <w:r>
        <w:rPr>
          <w:rFonts w:hint="eastAsia" w:ascii="宋体" w:hAnsi="宋体" w:cs="宋体"/>
          <w:kern w:val="0"/>
          <w:sz w:val="28"/>
          <w:szCs w:val="28"/>
        </w:rPr>
        <w:t>3.磋商文件的修改</w:t>
      </w:r>
      <w:bookmarkEnd w:id="31"/>
      <w:bookmarkEnd w:id="32"/>
      <w:bookmarkEnd w:id="33"/>
      <w:bookmarkEnd w:id="34"/>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 xml:space="preserve"> 在响应文件提交截止时间前，采购人可以对磋商文件进行修改。</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 xml:space="preserve">3.2 </w:t>
      </w:r>
      <w:r>
        <w:rPr>
          <w:rFonts w:hint="eastAsia" w:ascii="宋体" w:hAnsi="宋体" w:cs="宋体"/>
          <w:sz w:val="28"/>
          <w:szCs w:val="28"/>
        </w:rPr>
        <w:t>采购人有权按照法定的要求推迟响应文件提交截止日期和磋商日期。</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磋商文件的修改将在南通市海门区人民政府网站公布，补充文件将作为磋商文件的组成部分，并对供应商具有约束力。</w:t>
      </w:r>
    </w:p>
    <w:p>
      <w:pPr>
        <w:keepNext/>
        <w:keepLines/>
        <w:adjustRightInd w:val="0"/>
        <w:snapToGrid w:val="0"/>
        <w:spacing w:line="460" w:lineRule="exact"/>
        <w:ind w:firstLine="562" w:firstLineChars="200"/>
        <w:outlineLvl w:val="1"/>
        <w:rPr>
          <w:rFonts w:ascii="宋体" w:hAnsi="宋体" w:cs="宋体"/>
          <w:b/>
          <w:bCs/>
          <w:kern w:val="0"/>
          <w:sz w:val="28"/>
          <w:szCs w:val="28"/>
        </w:rPr>
      </w:pPr>
      <w:bookmarkStart w:id="35" w:name="_Toc16938529"/>
      <w:bookmarkStart w:id="36" w:name="_Toc120614216"/>
      <w:bookmarkStart w:id="37" w:name="_Toc20823285"/>
      <w:bookmarkStart w:id="38" w:name="_Toc462564072"/>
      <w:bookmarkStart w:id="39" w:name="_Toc513029213"/>
      <w:r>
        <w:rPr>
          <w:rFonts w:hint="eastAsia" w:ascii="宋体" w:hAnsi="宋体" w:cs="宋体"/>
          <w:b/>
          <w:bCs/>
          <w:kern w:val="0"/>
          <w:sz w:val="28"/>
          <w:szCs w:val="28"/>
        </w:rPr>
        <w:t>三、响应文件的编制</w:t>
      </w:r>
      <w:bookmarkEnd w:id="35"/>
      <w:bookmarkEnd w:id="36"/>
      <w:bookmarkEnd w:id="37"/>
      <w:bookmarkEnd w:id="38"/>
      <w:bookmarkEnd w:id="39"/>
    </w:p>
    <w:p>
      <w:pPr>
        <w:keepNext/>
        <w:adjustRightInd w:val="0"/>
        <w:snapToGrid w:val="0"/>
        <w:spacing w:line="460" w:lineRule="exact"/>
        <w:ind w:firstLine="560" w:firstLineChars="200"/>
        <w:rPr>
          <w:rFonts w:ascii="宋体" w:hAnsi="宋体" w:cs="宋体"/>
          <w:bCs/>
          <w:kern w:val="0"/>
          <w:sz w:val="28"/>
          <w:szCs w:val="28"/>
        </w:rPr>
      </w:pPr>
      <w:bookmarkStart w:id="40" w:name="_Toc20823286"/>
      <w:bookmarkStart w:id="41" w:name="_Toc462564073"/>
      <w:bookmarkStart w:id="42" w:name="_Toc16938530"/>
      <w:bookmarkStart w:id="43" w:name="_Toc513029214"/>
      <w:r>
        <w:rPr>
          <w:rFonts w:hint="eastAsia" w:ascii="宋体" w:hAnsi="宋体" w:cs="宋体"/>
          <w:kern w:val="0"/>
          <w:sz w:val="28"/>
          <w:szCs w:val="28"/>
        </w:rPr>
        <w:t>1.响应文件的语言及度量衡单位</w:t>
      </w:r>
      <w:bookmarkEnd w:id="40"/>
      <w:bookmarkEnd w:id="41"/>
      <w:bookmarkEnd w:id="42"/>
      <w:bookmarkEnd w:id="43"/>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1.1</w:t>
      </w:r>
      <w:r>
        <w:rPr>
          <w:rFonts w:hint="eastAsia" w:ascii="宋体" w:hAnsi="宋体" w:cs="宋体"/>
          <w:sz w:val="28"/>
          <w:szCs w:val="28"/>
        </w:rPr>
        <w:t>供应商提交的响应文件以及供应商与采购人就有关磋商的所有来往通知、函件和文件均应使用</w:t>
      </w:r>
      <w:r>
        <w:rPr>
          <w:rFonts w:hint="eastAsia" w:ascii="宋体" w:hAnsi="宋体" w:cs="宋体"/>
          <w:bCs/>
          <w:sz w:val="28"/>
          <w:szCs w:val="28"/>
        </w:rPr>
        <w:t>简体中文</w:t>
      </w:r>
      <w:r>
        <w:rPr>
          <w:rFonts w:hint="eastAsia" w:ascii="宋体" w:hAnsi="宋体" w:cs="宋体"/>
          <w:sz w:val="28"/>
          <w:szCs w:val="28"/>
        </w:rPr>
        <w:t>。</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 xml:space="preserve"> 除技术性能另有规定外，响应文件所使用的度量衡单位，均须采用国家法定计量单位。</w:t>
      </w:r>
    </w:p>
    <w:p>
      <w:pPr>
        <w:keepNext/>
        <w:adjustRightInd w:val="0"/>
        <w:snapToGrid w:val="0"/>
        <w:spacing w:line="460" w:lineRule="exact"/>
        <w:ind w:firstLine="560" w:firstLineChars="200"/>
        <w:rPr>
          <w:rFonts w:ascii="宋体" w:hAnsi="宋体" w:cs="宋体"/>
          <w:b/>
          <w:bCs/>
          <w:kern w:val="0"/>
          <w:sz w:val="28"/>
          <w:szCs w:val="28"/>
        </w:rPr>
      </w:pPr>
      <w:bookmarkStart w:id="44" w:name="_Toc513029215"/>
      <w:bookmarkStart w:id="45" w:name="_Toc16938531"/>
      <w:bookmarkStart w:id="46" w:name="_Toc462564074"/>
      <w:bookmarkStart w:id="47" w:name="_Toc20823287"/>
      <w:r>
        <w:rPr>
          <w:rFonts w:hint="eastAsia" w:ascii="宋体" w:hAnsi="宋体" w:cs="宋体"/>
          <w:kern w:val="0"/>
          <w:sz w:val="28"/>
          <w:szCs w:val="28"/>
        </w:rPr>
        <w:t>2.响应文件构成</w:t>
      </w:r>
      <w:bookmarkEnd w:id="44"/>
      <w:bookmarkEnd w:id="45"/>
      <w:bookmarkEnd w:id="46"/>
      <w:bookmarkEnd w:id="47"/>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2.1</w:t>
      </w:r>
      <w:r>
        <w:rPr>
          <w:rFonts w:hint="eastAsia" w:ascii="宋体" w:hAnsi="宋体" w:cs="宋体"/>
          <w:sz w:val="28"/>
          <w:szCs w:val="28"/>
        </w:rPr>
        <w:t xml:space="preserve"> 供应商编写的响应文件应包括资格审查文件、商务技术文件、价格文件。供应商按“第五部分 响应文件组成”要求编写响应文件。</w:t>
      </w:r>
    </w:p>
    <w:p>
      <w:pPr>
        <w:keepNext/>
        <w:adjustRightInd w:val="0"/>
        <w:snapToGrid w:val="0"/>
        <w:spacing w:line="460" w:lineRule="exact"/>
        <w:ind w:firstLine="560" w:firstLineChars="200"/>
        <w:rPr>
          <w:rFonts w:ascii="宋体" w:hAnsi="宋体" w:cs="宋体"/>
          <w:b/>
          <w:bCs/>
          <w:kern w:val="0"/>
          <w:sz w:val="28"/>
          <w:szCs w:val="28"/>
        </w:rPr>
      </w:pPr>
      <w:bookmarkStart w:id="48" w:name="_Hlt26668975"/>
      <w:bookmarkEnd w:id="48"/>
      <w:bookmarkStart w:id="49" w:name="_Hlt26954838"/>
      <w:bookmarkEnd w:id="49"/>
      <w:bookmarkStart w:id="50" w:name="_Hlt26670360"/>
      <w:bookmarkEnd w:id="50"/>
      <w:bookmarkStart w:id="51" w:name="_Toc14577360"/>
      <w:bookmarkStart w:id="52" w:name="_Toc49090511"/>
      <w:r>
        <w:rPr>
          <w:rFonts w:hint="eastAsia" w:ascii="宋体" w:hAnsi="宋体" w:cs="宋体"/>
          <w:kern w:val="0"/>
          <w:sz w:val="28"/>
          <w:szCs w:val="28"/>
        </w:rPr>
        <w:t>3.</w:t>
      </w:r>
      <w:bookmarkEnd w:id="51"/>
      <w:bookmarkEnd w:id="52"/>
      <w:r>
        <w:rPr>
          <w:rFonts w:hint="eastAsia" w:ascii="宋体" w:hAnsi="宋体" w:cs="宋体"/>
          <w:kern w:val="0"/>
          <w:sz w:val="28"/>
          <w:szCs w:val="28"/>
        </w:rPr>
        <w:t>磋商响应有效期</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3.1磋商响应有效期为采购人规定的响应文件</w:t>
      </w:r>
      <w:r>
        <w:rPr>
          <w:rFonts w:hint="eastAsia" w:ascii="宋体" w:hAnsi="宋体" w:cs="宋体"/>
          <w:sz w:val="28"/>
          <w:szCs w:val="28"/>
        </w:rPr>
        <w:t>提交</w:t>
      </w:r>
      <w:r>
        <w:rPr>
          <w:rFonts w:hint="eastAsia" w:ascii="宋体" w:hAnsi="宋体" w:cs="宋体"/>
          <w:bCs/>
          <w:sz w:val="28"/>
          <w:szCs w:val="28"/>
        </w:rPr>
        <w:t>截止时间后</w:t>
      </w:r>
      <w:r>
        <w:rPr>
          <w:rFonts w:hint="eastAsia" w:ascii="宋体" w:hAnsi="宋体" w:cs="宋体"/>
          <w:b/>
          <w:sz w:val="28"/>
          <w:szCs w:val="28"/>
          <w:u w:val="single"/>
        </w:rPr>
        <w:t>六十（60）天</w:t>
      </w:r>
      <w:r>
        <w:rPr>
          <w:rFonts w:hint="eastAsia" w:ascii="宋体" w:hAnsi="宋体" w:cs="宋体"/>
          <w:bCs/>
          <w:sz w:val="28"/>
          <w:szCs w:val="28"/>
        </w:rPr>
        <w:t>。磋商响应有效期比规定短的将被视为非实质性响应而予以拒绝。</w:t>
      </w:r>
    </w:p>
    <w:p>
      <w:pPr>
        <w:keepNext/>
        <w:adjustRightInd w:val="0"/>
        <w:snapToGrid w:val="0"/>
        <w:spacing w:line="460" w:lineRule="exact"/>
        <w:ind w:firstLine="560" w:firstLineChars="200"/>
        <w:rPr>
          <w:rFonts w:ascii="宋体" w:hAnsi="宋体" w:cs="宋体"/>
          <w:b/>
          <w:bCs/>
          <w:kern w:val="0"/>
          <w:sz w:val="28"/>
          <w:szCs w:val="28"/>
        </w:rPr>
      </w:pPr>
      <w:r>
        <w:rPr>
          <w:rFonts w:hint="eastAsia" w:ascii="宋体" w:hAnsi="宋体" w:cs="宋体"/>
          <w:kern w:val="0"/>
          <w:sz w:val="28"/>
          <w:szCs w:val="28"/>
        </w:rPr>
        <w:t>4. 磋商响应有效期的延长</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w:t>
      </w:r>
      <w:r>
        <w:rPr>
          <w:rFonts w:hint="eastAsia" w:ascii="宋体" w:hAnsi="宋体" w:cs="宋体"/>
          <w:sz w:val="28"/>
          <w:szCs w:val="28"/>
        </w:rPr>
        <w:t>受磋商响应有效期约束的所有权利与义务均延长至新的有效期</w:t>
      </w:r>
      <w:r>
        <w:rPr>
          <w:rFonts w:hint="eastAsia" w:ascii="宋体" w:hAnsi="宋体" w:cs="宋体"/>
          <w:bCs/>
          <w:sz w:val="28"/>
          <w:szCs w:val="28"/>
        </w:rPr>
        <w:t>。</w:t>
      </w:r>
    </w:p>
    <w:p>
      <w:pPr>
        <w:keepNext/>
        <w:keepLines/>
        <w:adjustRightInd w:val="0"/>
        <w:snapToGrid w:val="0"/>
        <w:spacing w:line="460" w:lineRule="exact"/>
        <w:ind w:firstLine="562" w:firstLineChars="200"/>
        <w:outlineLvl w:val="1"/>
        <w:rPr>
          <w:rFonts w:ascii="宋体" w:hAnsi="宋体" w:cs="宋体"/>
          <w:b/>
          <w:bCs/>
          <w:kern w:val="0"/>
          <w:sz w:val="28"/>
          <w:szCs w:val="28"/>
        </w:rPr>
      </w:pPr>
      <w:bookmarkStart w:id="53" w:name="_Hlt26954739"/>
      <w:bookmarkEnd w:id="53"/>
      <w:bookmarkStart w:id="54" w:name="_Hlt26954852"/>
      <w:bookmarkEnd w:id="54"/>
      <w:bookmarkStart w:id="55" w:name="_Toc16938540"/>
      <w:bookmarkStart w:id="56" w:name="_Toc513029224"/>
      <w:bookmarkStart w:id="57" w:name="_Toc20823296"/>
      <w:bookmarkStart w:id="58" w:name="_Toc120614217"/>
      <w:r>
        <w:rPr>
          <w:rFonts w:hint="eastAsia" w:ascii="宋体" w:hAnsi="宋体" w:cs="宋体"/>
          <w:b/>
          <w:bCs/>
          <w:kern w:val="0"/>
          <w:sz w:val="28"/>
          <w:szCs w:val="28"/>
        </w:rPr>
        <w:t>四、响应文件的提交</w:t>
      </w:r>
      <w:bookmarkEnd w:id="55"/>
      <w:bookmarkEnd w:id="56"/>
      <w:bookmarkEnd w:id="57"/>
      <w:bookmarkEnd w:id="58"/>
    </w:p>
    <w:p>
      <w:pPr>
        <w:adjustRightInd w:val="0"/>
        <w:snapToGrid w:val="0"/>
        <w:spacing w:line="460" w:lineRule="exact"/>
        <w:ind w:firstLine="560" w:firstLineChars="200"/>
        <w:rPr>
          <w:rFonts w:ascii="宋体" w:hAnsi="宋体" w:cs="宋体"/>
          <w:kern w:val="0"/>
          <w:sz w:val="28"/>
          <w:szCs w:val="28"/>
        </w:rPr>
      </w:pPr>
      <w:bookmarkStart w:id="59" w:name="_Toc513029226"/>
      <w:bookmarkStart w:id="60" w:name="_Toc16938542"/>
      <w:bookmarkStart w:id="61" w:name="_Toc20823298"/>
      <w:r>
        <w:rPr>
          <w:rFonts w:hint="eastAsia" w:ascii="宋体" w:hAnsi="宋体" w:cs="宋体"/>
          <w:kern w:val="0"/>
          <w:sz w:val="28"/>
          <w:szCs w:val="28"/>
        </w:rPr>
        <w:t>1.响应文件的提交</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rPr>
        <w:t>1.3纸质响应文件须采用A4纸（图纸等除外），正、副本须打印并由法定代表人或授权人签字并加盖单位印章。文件内容中不得行间插字、涂改、增删，如修补错漏处，须由响应文件签署人签字并加盖公章。</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rPr>
        <w:t>1.4电子响应文件一份，电子响应文件的内容为“资格审查文件、商务技术文件、价格文件”的打印盖章或电子签章后的响应文件的扫描件（资格审查文件、商务技术文件、价格文件需分别逐页连续扫描为三个独立的PDF文件），可以采取U盘或电子光盘方式单独密封提交。</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rPr>
        <w:t>1.5递交时间：供应商须在规定的响应文件接收截止时间前送达指定地点。供应商提交磋商文件，即视为已响应参加磋商活动。</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kern w:val="0"/>
          <w:sz w:val="28"/>
          <w:szCs w:val="28"/>
        </w:rPr>
        <w:t>友情提醒：采购人将拒绝接收未按照磋商文件要求密封的响应文件，拒绝接收在响应文件接收截止时间后递交的响应文件。</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2.响应文件截止日期</w:t>
      </w:r>
      <w:bookmarkEnd w:id="59"/>
      <w:bookmarkEnd w:id="60"/>
      <w:bookmarkEnd w:id="61"/>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2.1 供应商提交响应文件的时间不得迟于磋商公告中规定的响应文件提交截止时间。</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供应商应充分考虑到交通路况、停车等风险因素，如因供应商自身原因造成的磋商响应文件提交不成功由供应商自行承担全部责任。</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sz w:val="28"/>
          <w:szCs w:val="28"/>
        </w:rPr>
        <w:t>2.2</w:t>
      </w:r>
      <w:r>
        <w:rPr>
          <w:rFonts w:hint="eastAsia" w:ascii="宋体" w:hAnsi="宋体" w:cs="宋体"/>
          <w:bCs/>
          <w:sz w:val="28"/>
          <w:szCs w:val="28"/>
        </w:rPr>
        <w:t xml:space="preserve"> 采购人可以按照规定，通过修改响应文件酌情延长响应文件提交截止日期，在此情况下，供应商的所有权利和义务以及供应商受制的截止日期均应以延长后新的截止日期为准。</w:t>
      </w:r>
    </w:p>
    <w:p>
      <w:pPr>
        <w:keepNext/>
        <w:adjustRightInd w:val="0"/>
        <w:snapToGrid w:val="0"/>
        <w:spacing w:line="460" w:lineRule="exact"/>
        <w:ind w:firstLine="560" w:firstLineChars="200"/>
        <w:rPr>
          <w:rFonts w:ascii="宋体" w:hAnsi="宋体" w:cs="宋体"/>
          <w:b/>
          <w:bCs/>
          <w:kern w:val="0"/>
          <w:sz w:val="28"/>
          <w:szCs w:val="28"/>
        </w:rPr>
      </w:pPr>
      <w:bookmarkStart w:id="62" w:name="_Toc16938543"/>
      <w:bookmarkStart w:id="63" w:name="_Toc20823299"/>
      <w:bookmarkStart w:id="64" w:name="_Toc513029227"/>
      <w:r>
        <w:rPr>
          <w:rFonts w:hint="eastAsia" w:ascii="宋体" w:hAnsi="宋体" w:cs="宋体"/>
          <w:kern w:val="0"/>
          <w:sz w:val="28"/>
          <w:szCs w:val="28"/>
        </w:rPr>
        <w:t>3.响应文件</w:t>
      </w:r>
      <w:bookmarkEnd w:id="62"/>
      <w:bookmarkEnd w:id="63"/>
      <w:bookmarkEnd w:id="64"/>
      <w:r>
        <w:rPr>
          <w:rFonts w:hint="eastAsia" w:ascii="宋体" w:hAnsi="宋体" w:cs="宋体"/>
          <w:kern w:val="0"/>
          <w:sz w:val="28"/>
          <w:szCs w:val="28"/>
        </w:rPr>
        <w:t>的拒收</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3.1 采购人拒绝接收在其规定的响应文件提交截止时间后提交的任何响应文件。</w:t>
      </w:r>
    </w:p>
    <w:p>
      <w:pPr>
        <w:keepNext/>
        <w:adjustRightInd w:val="0"/>
        <w:snapToGrid w:val="0"/>
        <w:spacing w:line="460" w:lineRule="exact"/>
        <w:ind w:firstLine="560" w:firstLineChars="200"/>
        <w:rPr>
          <w:rFonts w:ascii="宋体" w:hAnsi="宋体" w:cs="宋体"/>
          <w:b/>
          <w:bCs/>
          <w:kern w:val="0"/>
          <w:sz w:val="28"/>
          <w:szCs w:val="28"/>
        </w:rPr>
      </w:pPr>
      <w:bookmarkStart w:id="65" w:name="_Toc513029228"/>
      <w:bookmarkStart w:id="66" w:name="_Toc16938544"/>
      <w:bookmarkStart w:id="67" w:name="_Toc20823300"/>
      <w:r>
        <w:rPr>
          <w:rFonts w:hint="eastAsia" w:ascii="宋体" w:hAnsi="宋体" w:cs="宋体"/>
          <w:kern w:val="0"/>
          <w:sz w:val="28"/>
          <w:szCs w:val="28"/>
        </w:rPr>
        <w:t>4. 响应文件的撤回和修改</w:t>
      </w:r>
      <w:bookmarkEnd w:id="65"/>
      <w:bookmarkEnd w:id="66"/>
      <w:bookmarkEnd w:id="67"/>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 响应文件的撤回</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4.1.1 响应文件的撤回</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供应商可在响应文件提交截止时间前，书面撤回其磋商响应文件。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4.1.2 供应商撤回磋商响应文件，则认为其不再参与本项目磋商活动。</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4.2 响应文件的修改</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在响应文件提交截止时间之后，供应商不得再对其提交的响应文件进行修改。</w:t>
      </w:r>
    </w:p>
    <w:p>
      <w:pPr>
        <w:keepNext/>
        <w:keepLines/>
        <w:adjustRightInd w:val="0"/>
        <w:snapToGrid w:val="0"/>
        <w:spacing w:line="460" w:lineRule="exact"/>
        <w:ind w:firstLine="562" w:firstLineChars="200"/>
        <w:outlineLvl w:val="1"/>
        <w:rPr>
          <w:rFonts w:ascii="宋体" w:hAnsi="宋体" w:cs="宋体"/>
          <w:b/>
          <w:bCs/>
          <w:kern w:val="0"/>
          <w:sz w:val="28"/>
          <w:szCs w:val="28"/>
        </w:rPr>
      </w:pPr>
      <w:bookmarkStart w:id="68" w:name="_Toc20823301"/>
      <w:bookmarkStart w:id="69" w:name="_Toc513029229"/>
      <w:bookmarkStart w:id="70" w:name="_Toc120614218"/>
      <w:bookmarkStart w:id="71" w:name="_Toc16938545"/>
      <w:r>
        <w:rPr>
          <w:rFonts w:hint="eastAsia" w:ascii="宋体" w:hAnsi="宋体" w:cs="宋体"/>
          <w:b/>
          <w:bCs/>
          <w:kern w:val="0"/>
          <w:sz w:val="28"/>
          <w:szCs w:val="28"/>
        </w:rPr>
        <w:t>五</w:t>
      </w:r>
      <w:bookmarkEnd w:id="68"/>
      <w:bookmarkEnd w:id="69"/>
      <w:bookmarkEnd w:id="70"/>
      <w:bookmarkEnd w:id="71"/>
      <w:bookmarkStart w:id="72" w:name="_Toc20823302"/>
      <w:bookmarkStart w:id="73" w:name="_Toc16938546"/>
      <w:bookmarkStart w:id="74" w:name="_Toc513029230"/>
      <w:r>
        <w:rPr>
          <w:rFonts w:hint="eastAsia" w:ascii="宋体" w:hAnsi="宋体" w:cs="宋体"/>
          <w:b/>
          <w:bCs/>
          <w:kern w:val="0"/>
          <w:sz w:val="28"/>
          <w:szCs w:val="28"/>
        </w:rPr>
        <w:t>、磋商与评审</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1.磋商仪式</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1.1采购人将在磋商公告中规定的时间和地点组织磋商开始仪式。供应商应当在磋商公告中规定的时间和地点参加磋商活动。</w:t>
      </w:r>
    </w:p>
    <w:p>
      <w:pPr>
        <w:adjustRightInd w:val="0"/>
        <w:snapToGrid w:val="0"/>
        <w:spacing w:line="460" w:lineRule="exact"/>
        <w:ind w:firstLine="560" w:firstLineChars="200"/>
        <w:rPr>
          <w:rFonts w:ascii="宋体" w:hAnsi="宋体" w:cs="宋体"/>
          <w:b/>
          <w:sz w:val="28"/>
          <w:szCs w:val="28"/>
        </w:rPr>
      </w:pPr>
      <w:r>
        <w:rPr>
          <w:rFonts w:hint="eastAsia" w:ascii="宋体" w:hAnsi="宋体" w:cs="宋体"/>
          <w:bCs/>
          <w:sz w:val="28"/>
          <w:szCs w:val="28"/>
        </w:rPr>
        <w:t>1.2 磋商活动的文件密封性检查工作</w:t>
      </w:r>
      <w:r>
        <w:rPr>
          <w:rFonts w:hint="eastAsia" w:ascii="宋体" w:hAnsi="宋体" w:cs="宋体"/>
          <w:sz w:val="28"/>
          <w:szCs w:val="28"/>
        </w:rPr>
        <w:t>由采购人组织。</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1.3供应商在磋商过程中涉及到的磋商文件密封性检查、磋商结果确认等工作，按照采购人指引进行。</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2.磋商小组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2.1磋商开始仪式结束后，</w:t>
      </w:r>
      <w:r>
        <w:rPr>
          <w:rFonts w:hint="eastAsia" w:ascii="宋体" w:hAnsi="宋体" w:cs="宋体"/>
          <w:bCs/>
          <w:sz w:val="28"/>
          <w:szCs w:val="28"/>
        </w:rPr>
        <w:t>采购人</w:t>
      </w:r>
      <w:r>
        <w:rPr>
          <w:rFonts w:hint="eastAsia" w:ascii="宋体" w:hAnsi="宋体" w:cs="宋体"/>
          <w:sz w:val="28"/>
          <w:szCs w:val="28"/>
        </w:rPr>
        <w:t>将立即组织磋商小组进行评审。</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2.2磋商小组由采购人代表和评审专家共3人以上单数组成，其中评审专家人数不得少于磋商小组成员总数的2/3。</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 磋商评审过程的保密与公正</w:t>
      </w:r>
    </w:p>
    <w:p>
      <w:pPr>
        <w:tabs>
          <w:tab w:val="left" w:pos="900"/>
        </w:tabs>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3.1磋商小组、采购人和相关监督人员等与评审工作有关的人员，对评审情况以及在评审过程中获悉的国家秘密、商业秘密负有保密责任。</w:t>
      </w:r>
    </w:p>
    <w:p>
      <w:pPr>
        <w:tabs>
          <w:tab w:val="left" w:pos="900"/>
        </w:tabs>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3.2在磋商评审过程中，磋商供应商不得以任何行为影响磋商评审过程，否则其响应文件将被作为无效响应文件。</w:t>
      </w:r>
    </w:p>
    <w:p>
      <w:pPr>
        <w:tabs>
          <w:tab w:val="left" w:pos="900"/>
        </w:tabs>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460" w:lineRule="exact"/>
        <w:ind w:firstLine="560" w:firstLineChars="200"/>
        <w:rPr>
          <w:rFonts w:ascii="宋体" w:hAnsi="宋体" w:cs="宋体"/>
          <w:bCs/>
          <w:sz w:val="28"/>
          <w:szCs w:val="28"/>
        </w:rPr>
      </w:pPr>
      <w:r>
        <w:rPr>
          <w:rFonts w:hint="eastAsia" w:ascii="宋体" w:hAnsi="宋体" w:cs="宋体"/>
          <w:sz w:val="28"/>
          <w:szCs w:val="28"/>
        </w:rPr>
        <w:t>3.4</w:t>
      </w:r>
      <w:r>
        <w:rPr>
          <w:rFonts w:hint="eastAsia" w:ascii="宋体" w:hAnsi="宋体" w:cs="宋体"/>
          <w:bCs/>
          <w:sz w:val="28"/>
          <w:szCs w:val="28"/>
        </w:rPr>
        <w:t>评审开始后，直至向成交供应商授予合同时止，凡是与审查、澄清、评价和比较响应的有关资料以及授标建议等，采购人、磋商小组均不得向供应商或与评标无关的其他人员透露。</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3.5在评审期间，采购人将设专门人员与供应商联系。</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3.6采购人和评审小组不向未成交的供应商解释未成交原因，也不公布评审过程中的相关细节。</w:t>
      </w:r>
    </w:p>
    <w:p>
      <w:pPr>
        <w:tabs>
          <w:tab w:val="left" w:pos="900"/>
        </w:tabs>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4.评审过程的澄清</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4.1评审期间，为有助于对响应文件的审查、评价和比较，磋商小组有权要求响应人对其响应文件进行澄清，但并非对每个供应商都作澄清要求。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4.2接到磋商小组澄清要求的供应商应按磋商小组规定的时间和格式做出澄清，澄清的内容作为响应文件的补充部分，但实质性的内容不得做任何更改。</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sz w:val="28"/>
          <w:szCs w:val="28"/>
        </w:rPr>
        <w:t>4.3 接到磋商小组澄清要求的供应商如未按规定做出澄清，其风</w:t>
      </w:r>
      <w:r>
        <w:rPr>
          <w:rFonts w:hint="eastAsia" w:ascii="宋体" w:hAnsi="宋体" w:cs="宋体"/>
          <w:bCs/>
          <w:sz w:val="28"/>
          <w:szCs w:val="28"/>
        </w:rPr>
        <w:t>险由供应商自行承担。</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5.对响应文件的初审</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5.1响应文件初审分为资格性审查和符合性审查。</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5.1.1资格性检查：依据法律法规和磋商文件的规定，由采购人对响应文件中的资格审查文件进行审查。</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5.1.2符合性审查：依据磋商文件的规定，由磋商小组从响应文件的有效性、完整性和对磋商文件的响应程度进行审查，以确定是否对磋商文件的实质性要求作出响应。</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5.1.3未通过资格审查或符合性审查的供应商人，采购人将告知未通过资格审查或符合性审查的原因，并记录存档。</w:t>
      </w:r>
    </w:p>
    <w:p>
      <w:pPr>
        <w:tabs>
          <w:tab w:val="left" w:pos="900"/>
        </w:tabs>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5.3如果响应文件实质上没有响应磋商文件的要求，磋商小组将予以拒绝，供应商不得通过修改或撤销不合要求的偏离或保留而使其响应文件成为实质性响应的文件。</w:t>
      </w:r>
    </w:p>
    <w:p>
      <w:pPr>
        <w:tabs>
          <w:tab w:val="left" w:pos="900"/>
        </w:tabs>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5.4磋商小组将对确定为实质性响应的文件进行进一步审核，看其是否有计算上或累加上的算术错误，修正错误的原则如下：</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（1）响应文件中</w:t>
      </w:r>
      <w:r>
        <w:rPr>
          <w:rFonts w:hint="eastAsia" w:ascii="宋体" w:hAnsi="宋体" w:cs="宋体"/>
          <w:kern w:val="0"/>
          <w:sz w:val="28"/>
          <w:szCs w:val="28"/>
        </w:rPr>
        <w:t>报价总表</w:t>
      </w:r>
      <w:r>
        <w:rPr>
          <w:rFonts w:hint="eastAsia" w:ascii="宋体" w:hAnsi="宋体" w:cs="宋体"/>
          <w:bCs/>
          <w:sz w:val="28"/>
          <w:szCs w:val="28"/>
        </w:rPr>
        <w:t>内容与响应文件中相应内容不一致的，以</w:t>
      </w:r>
      <w:r>
        <w:rPr>
          <w:rFonts w:hint="eastAsia" w:ascii="宋体" w:hAnsi="宋体" w:cs="宋体"/>
          <w:kern w:val="0"/>
          <w:sz w:val="28"/>
          <w:szCs w:val="28"/>
        </w:rPr>
        <w:t>报价总表</w:t>
      </w:r>
      <w:r>
        <w:rPr>
          <w:rFonts w:hint="eastAsia" w:ascii="宋体" w:hAnsi="宋体" w:cs="宋体"/>
          <w:bCs/>
          <w:sz w:val="28"/>
          <w:szCs w:val="28"/>
        </w:rPr>
        <w:t>为准。</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（2）大写金额和小写金额不一致的，以大写金额为准。</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（3）单价金额小数点或者百分比有明显错位的，以</w:t>
      </w:r>
      <w:r>
        <w:rPr>
          <w:rFonts w:hint="eastAsia" w:ascii="宋体" w:hAnsi="宋体" w:cs="宋体"/>
          <w:kern w:val="0"/>
          <w:sz w:val="28"/>
          <w:szCs w:val="28"/>
        </w:rPr>
        <w:t>报价总表</w:t>
      </w:r>
      <w:r>
        <w:rPr>
          <w:rFonts w:hint="eastAsia" w:ascii="宋体" w:hAnsi="宋体" w:cs="宋体"/>
          <w:bCs/>
          <w:sz w:val="28"/>
          <w:szCs w:val="28"/>
        </w:rPr>
        <w:t>的总价为准，并修改单价。</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（4）总价金额与按单价汇总金额不一致的，以单价金额计算结果为准。</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同时出现两种以上错误的，按照前款规定的顺序修正。</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sz w:val="28"/>
          <w:szCs w:val="28"/>
        </w:rPr>
        <w:t>5</w:t>
      </w:r>
      <w:r>
        <w:rPr>
          <w:rFonts w:hint="eastAsia" w:ascii="宋体" w:hAnsi="宋体" w:cs="宋体"/>
          <w:bCs/>
          <w:sz w:val="28"/>
          <w:szCs w:val="28"/>
        </w:rPr>
        <w:t>.5磋商小组将按上述修正错误的方法调整响应文件中的报价，并告知供应商，调整后的价格应对供应商具有约束力。如果供应商不接受修正后的价格，则其磋商活动将被拒绝。</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5.6磋商小组将允许修正响应文件中不构成重大偏离的、微小的、非正规的、不一致的或不规则的地方，但这些修改不能影响任何供应商相应的名次排列。</w:t>
      </w:r>
    </w:p>
    <w:p>
      <w:pPr>
        <w:tabs>
          <w:tab w:val="left" w:pos="6555"/>
          <w:tab w:val="right" w:pos="8306"/>
        </w:tabs>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 被认定为未实质性响应磋商文件的响应文件的情形。</w:t>
      </w:r>
    </w:p>
    <w:p>
      <w:pPr>
        <w:tabs>
          <w:tab w:val="left" w:pos="6555"/>
          <w:tab w:val="right" w:pos="8306"/>
        </w:tabs>
        <w:adjustRightInd w:val="0"/>
        <w:snapToGrid w:val="0"/>
        <w:spacing w:line="460" w:lineRule="exact"/>
        <w:ind w:firstLine="560" w:firstLineChars="200"/>
        <w:rPr>
          <w:rFonts w:ascii="宋体" w:hAnsi="宋体" w:cs="宋体"/>
          <w:b/>
          <w:sz w:val="28"/>
          <w:szCs w:val="28"/>
        </w:rPr>
      </w:pPr>
      <w:r>
        <w:rPr>
          <w:rFonts w:hint="eastAsia" w:ascii="宋体" w:hAnsi="宋体" w:cs="宋体"/>
          <w:bCs/>
          <w:sz w:val="28"/>
          <w:szCs w:val="28"/>
        </w:rPr>
        <w:t>6.1出现下列情形之一的，作无效响应处理。</w:t>
      </w:r>
      <w:r>
        <w:rPr>
          <w:rFonts w:hint="eastAsia" w:ascii="宋体" w:hAnsi="宋体" w:cs="宋体"/>
          <w:bCs/>
          <w:sz w:val="28"/>
          <w:szCs w:val="28"/>
        </w:rPr>
        <w:tab/>
      </w:r>
      <w:r>
        <w:rPr>
          <w:rFonts w:hint="eastAsia" w:ascii="宋体" w:hAnsi="宋体" w:cs="宋体"/>
          <w:b/>
          <w:sz w:val="28"/>
          <w:szCs w:val="28"/>
        </w:rPr>
        <w:tab/>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6.1.1供应商在规定的时间内未成功提交磋商响应文件的。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6.1.2未完整提交响应文件的。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6.1.3同一供应商提交两个（含两个）以上不同的响应报价的。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 xml:space="preserve">6.1.4不具备磋商文件中规定的资格要求的。 </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 xml:space="preserve">6.1.5响应报价超过了采购预算或最高限价的。 </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6.1.6未通过符合性检查的。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6.1.7不符合法律、法规和磋商文件中规定的其他实质性要求的。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6.1.8供应商被 “信用中国”网站（www.creditchina.gov.cn）列入失信被执行人或重大税收违法案件当事人名单或政府采购严重失信行为记录名单，或查询“信用中国”网站后发现供应商存在其他不符合规定条件的信用记录。</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6.1.9 响应文件含有采购人不能接受的附加条件的。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6.1.12响应文件未按照采购文件要求盖章、密封的。</w:t>
      </w:r>
    </w:p>
    <w:p>
      <w:pPr>
        <w:adjustRightInd w:val="0"/>
        <w:snapToGrid w:val="0"/>
        <w:spacing w:line="460" w:lineRule="exact"/>
        <w:ind w:firstLine="562" w:firstLineChars="200"/>
        <w:rPr>
          <w:rFonts w:ascii="宋体" w:hAnsi="宋体" w:cs="宋体"/>
          <w:bCs/>
          <w:sz w:val="28"/>
          <w:szCs w:val="28"/>
        </w:rPr>
      </w:pPr>
      <w:r>
        <w:rPr>
          <w:rFonts w:hint="eastAsia" w:ascii="宋体" w:hAnsi="宋体" w:cs="宋体"/>
          <w:b/>
          <w:sz w:val="28"/>
          <w:szCs w:val="28"/>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6.1.13投标人的商务技术部分得分相差悬殊，评标委员会认为得分畸低者没有实质性响应的。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6.1.14其他法律、法规及本磋商文件规定的属无效响应的情形。</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6.2出现下列情形之一的，磋商失败。</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6.2.1符合条件的供应商或者对磋商文件作实质响应的供应商不足3家的（市场竞争不充分的科研项目，以及需要扶持的科技成果转化项目可以是2家）；</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6.2.2出现影响采购公正的违法违规行为的；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6.2.3因重大变故，采购任务取消的。</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6.2.4磋商小组认定磋商文件存在歧义、重大缺陷导致评审工作无法进行。</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6.2.5 因系统故障原因造成磋商无法继续进行的</w:t>
      </w:r>
      <w:r>
        <w:rPr>
          <w:rFonts w:hint="eastAsia" w:ascii="宋体" w:hAnsi="宋体" w:cs="宋体"/>
          <w:sz w:val="28"/>
          <w:szCs w:val="28"/>
        </w:rPr>
        <w:t>（适用于不见面磋商模式）</w:t>
      </w:r>
      <w:r>
        <w:rPr>
          <w:rFonts w:hint="eastAsia" w:ascii="宋体" w:hAnsi="宋体" w:cs="宋体"/>
          <w:bCs/>
          <w:sz w:val="28"/>
          <w:szCs w:val="28"/>
        </w:rPr>
        <w:t>。</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6.3 响应</w:t>
      </w:r>
      <w:r>
        <w:rPr>
          <w:rFonts w:hint="eastAsia" w:ascii="宋体" w:hAnsi="宋体" w:cs="宋体"/>
          <w:sz w:val="28"/>
          <w:szCs w:val="28"/>
        </w:rPr>
        <w:t>文件提交</w:t>
      </w:r>
      <w:r>
        <w:rPr>
          <w:rFonts w:hint="eastAsia" w:ascii="宋体" w:hAnsi="宋体" w:cs="宋体"/>
          <w:bCs/>
          <w:sz w:val="28"/>
          <w:szCs w:val="28"/>
        </w:rPr>
        <w:t>截止时间结束后参加磋商的供应商不足三家的处理：</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6.3.1如出现响应</w:t>
      </w:r>
      <w:r>
        <w:rPr>
          <w:rFonts w:hint="eastAsia" w:ascii="宋体" w:hAnsi="宋体" w:cs="宋体"/>
          <w:sz w:val="28"/>
          <w:szCs w:val="28"/>
        </w:rPr>
        <w:t>文件提交</w:t>
      </w:r>
      <w:r>
        <w:rPr>
          <w:rFonts w:hint="eastAsia" w:ascii="宋体" w:hAnsi="宋体" w:cs="宋体"/>
          <w:bCs/>
          <w:sz w:val="28"/>
          <w:szCs w:val="28"/>
        </w:rPr>
        <w:t>截止时间结束后参加磋商的供应商或者在评审期间对磋商文件做出实质响应的供应商不足三家情况，除采购任务取消情形外，按照以下方式处理：</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1.采购文件存在不合理条款或者招标程序不符合规定的，采购人改正后依法重新招标采购；</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2</w:t>
      </w:r>
      <w:r>
        <w:rPr>
          <w:rFonts w:hint="eastAsia" w:ascii="宋体" w:hAnsi="宋体" w:cs="宋体"/>
          <w:bCs/>
          <w:sz w:val="28"/>
          <w:szCs w:val="28"/>
          <w:lang w:val="en-US" w:eastAsia="zh-CN"/>
        </w:rPr>
        <w:t>.</w:t>
      </w:r>
      <w:r>
        <w:rPr>
          <w:rFonts w:hint="eastAsia" w:ascii="宋体" w:hAnsi="宋体" w:cs="宋体"/>
          <w:bCs/>
          <w:sz w:val="28"/>
          <w:szCs w:val="28"/>
        </w:rPr>
        <w:t>采购文件没有不合理条款、采购程序符合规定，需要采用其他采购人式采购的，采购人应当依法报采购监管部门批准。</w:t>
      </w:r>
    </w:p>
    <w:bookmarkEnd w:id="72"/>
    <w:bookmarkEnd w:id="73"/>
    <w:bookmarkEnd w:id="74"/>
    <w:p>
      <w:pPr>
        <w:keepNext/>
        <w:keepLines/>
        <w:adjustRightInd w:val="0"/>
        <w:snapToGrid w:val="0"/>
        <w:spacing w:line="460" w:lineRule="exact"/>
        <w:ind w:firstLine="562" w:firstLineChars="200"/>
        <w:outlineLvl w:val="1"/>
        <w:rPr>
          <w:rFonts w:ascii="宋体" w:hAnsi="宋体" w:cs="宋体"/>
          <w:b/>
          <w:bCs/>
          <w:kern w:val="0"/>
          <w:sz w:val="28"/>
          <w:szCs w:val="28"/>
        </w:rPr>
      </w:pPr>
      <w:bookmarkStart w:id="75" w:name="_Toc120614219"/>
      <w:r>
        <w:rPr>
          <w:rFonts w:hint="eastAsia" w:ascii="宋体" w:hAnsi="宋体" w:cs="宋体"/>
          <w:b/>
          <w:bCs/>
          <w:kern w:val="0"/>
          <w:sz w:val="28"/>
          <w:szCs w:val="28"/>
        </w:rPr>
        <w:t>六</w:t>
      </w:r>
      <w:bookmarkEnd w:id="75"/>
      <w:r>
        <w:rPr>
          <w:rFonts w:hint="eastAsia" w:ascii="宋体" w:hAnsi="宋体" w:cs="宋体"/>
          <w:b/>
          <w:bCs/>
          <w:kern w:val="0"/>
          <w:sz w:val="28"/>
          <w:szCs w:val="28"/>
        </w:rPr>
        <w:t>、成交</w:t>
      </w:r>
    </w:p>
    <w:p>
      <w:pPr>
        <w:keepNext/>
        <w:adjustRightInd w:val="0"/>
        <w:snapToGrid w:val="0"/>
        <w:spacing w:line="460" w:lineRule="exact"/>
        <w:ind w:firstLine="560" w:firstLineChars="200"/>
        <w:rPr>
          <w:rFonts w:ascii="宋体" w:hAnsi="宋体" w:cs="宋体"/>
          <w:b/>
          <w:kern w:val="0"/>
          <w:sz w:val="28"/>
          <w:szCs w:val="28"/>
        </w:rPr>
      </w:pPr>
      <w:bookmarkStart w:id="76" w:name="_Toc16938554"/>
      <w:bookmarkStart w:id="77" w:name="_Toc20823310"/>
      <w:r>
        <w:rPr>
          <w:rFonts w:hint="eastAsia" w:ascii="宋体" w:hAnsi="宋体" w:cs="宋体"/>
          <w:kern w:val="0"/>
          <w:sz w:val="28"/>
          <w:szCs w:val="28"/>
        </w:rPr>
        <w:t>1.确定</w:t>
      </w:r>
      <w:bookmarkEnd w:id="76"/>
      <w:bookmarkEnd w:id="77"/>
      <w:r>
        <w:rPr>
          <w:rFonts w:hint="eastAsia" w:ascii="宋体" w:hAnsi="宋体" w:cs="宋体"/>
          <w:kern w:val="0"/>
          <w:sz w:val="28"/>
          <w:szCs w:val="28"/>
        </w:rPr>
        <w:t>成交单位</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 xml:space="preserve">1.1成交候选供应商的选取原则和数量见磋商文件第四部分规定。 </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1.2 采购人授权磋商小组在成交候选供应商中直接确定成交供应商。</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 xml:space="preserve">1.3 </w:t>
      </w:r>
      <w:r>
        <w:rPr>
          <w:rFonts w:hint="eastAsia" w:ascii="宋体" w:hAnsi="宋体" w:cs="宋体"/>
          <w:sz w:val="28"/>
          <w:szCs w:val="28"/>
        </w:rPr>
        <w:t>采购人将在“南通市海门区人民政府网站”发布成交结果公告，公告期限为1个工作日。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1.4若有充分证据证明，成交供应商出现下列情况之一的，一经查实，将被取消成交资格：</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1.4.1提供虚假材料谋取成交的。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1.4.2向采购人行贿或者评审专家提供其他不正当利益的。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1.4.3恶意竞争，最终总报价明显低于其自身合理成本且又无法提供证明的。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1.4.4属于本文件规定的无效条件，但在评审过程中又未被磋商小组发现的。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1.4.5与采购人或者其他供应商恶意串通的。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1.4.6采取不正当手段诋毁、排挤其他供应商的。</w:t>
      </w:r>
    </w:p>
    <w:p>
      <w:pPr>
        <w:adjustRightInd w:val="0"/>
        <w:snapToGrid w:val="0"/>
        <w:spacing w:line="460" w:lineRule="exact"/>
        <w:ind w:firstLine="560" w:firstLineChars="200"/>
        <w:rPr>
          <w:rFonts w:ascii="宋体" w:hAnsi="宋体" w:cs="宋体"/>
          <w:sz w:val="28"/>
          <w:szCs w:val="28"/>
        </w:rPr>
      </w:pPr>
      <w:bookmarkStart w:id="78" w:name="_Toc200451960"/>
      <w:r>
        <w:rPr>
          <w:rFonts w:hint="eastAsia" w:ascii="宋体" w:hAnsi="宋体" w:cs="宋体"/>
          <w:sz w:val="28"/>
          <w:szCs w:val="28"/>
        </w:rPr>
        <w:t>1.5.</w:t>
      </w:r>
      <w:r>
        <w:rPr>
          <w:rFonts w:hint="eastAsia" w:ascii="宋体" w:hAnsi="宋体" w:cs="宋体"/>
          <w:kern w:val="0"/>
          <w:sz w:val="28"/>
          <w:szCs w:val="28"/>
        </w:rPr>
        <w:t>有下列情形之一的，视为供应商串通参与磋商，响应无效：</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1.5.1不同供应商的响应文件由同一单位或者个人编制；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1.5.2不同供应商委托同一单位或者个人办理磋商事宜；</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1.5.3不同供应商的响应文件载明的项目管理成员或者联系人员为同一人；</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1.5.4不同供应商的响应文件异常一致或者响应报价呈规律性差异。</w:t>
      </w:r>
    </w:p>
    <w:p>
      <w:pPr>
        <w:keepNext/>
        <w:adjustRightInd w:val="0"/>
        <w:snapToGrid w:val="0"/>
        <w:spacing w:line="460" w:lineRule="exact"/>
        <w:ind w:firstLine="560" w:firstLineChars="200"/>
        <w:rPr>
          <w:rFonts w:ascii="宋体" w:hAnsi="宋体" w:cs="宋体"/>
          <w:b/>
          <w:kern w:val="0"/>
          <w:sz w:val="28"/>
          <w:szCs w:val="28"/>
        </w:rPr>
      </w:pPr>
      <w:r>
        <w:rPr>
          <w:rFonts w:hint="eastAsia" w:ascii="宋体" w:hAnsi="宋体" w:cs="宋体"/>
          <w:kern w:val="0"/>
          <w:sz w:val="28"/>
          <w:szCs w:val="28"/>
        </w:rPr>
        <w:t>2.质疑处理</w:t>
      </w:r>
      <w:bookmarkEnd w:id="78"/>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提出质疑的供应商应当是参与所质疑项目采购活动的供应商。潜在供应商依法获取其可质疑的磋商文件的，可以对磋商文件提出质疑。</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2.2供应商认为磋商文件、采购过程和采购结果使自己的权益受到损害的，可以在知道或应知其权益受到损害之日起七个工作日内，以书面形式向采购人提出质疑。上述应知其权益受到损害之日，是指：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sz w:val="28"/>
          <w:szCs w:val="28"/>
        </w:rPr>
        <w:t>2.2.1</w:t>
      </w:r>
      <w:r>
        <w:rPr>
          <w:rFonts w:hint="eastAsia" w:ascii="宋体" w:hAnsi="宋体" w:cs="宋体"/>
          <w:kern w:val="0"/>
          <w:sz w:val="28"/>
          <w:szCs w:val="28"/>
        </w:rPr>
        <w:t>对可以质疑的磋商文件提出质疑的，为收到磋商文件之日或者磋商文件公告期限届满之日；</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sz w:val="28"/>
          <w:szCs w:val="28"/>
        </w:rPr>
        <w:t>2.2.2</w:t>
      </w:r>
      <w:r>
        <w:rPr>
          <w:rFonts w:hint="eastAsia" w:ascii="宋体" w:hAnsi="宋体" w:cs="宋体"/>
          <w:kern w:val="0"/>
          <w:sz w:val="28"/>
          <w:szCs w:val="28"/>
        </w:rPr>
        <w:t>对采购过程提出质疑的，为各采购程序环节结束之日；</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sz w:val="28"/>
          <w:szCs w:val="28"/>
        </w:rPr>
        <w:t>2.2.3</w:t>
      </w:r>
      <w:r>
        <w:rPr>
          <w:rFonts w:hint="eastAsia" w:ascii="宋体" w:hAnsi="宋体" w:cs="宋体"/>
          <w:kern w:val="0"/>
          <w:sz w:val="28"/>
          <w:szCs w:val="28"/>
        </w:rPr>
        <w:t>对成交结果提出质疑的，为成交结果公告期限届满之日。</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460" w:lineRule="exact"/>
        <w:ind w:firstLine="560" w:firstLineChars="200"/>
        <w:rPr>
          <w:rFonts w:ascii="宋体" w:hAnsi="宋体" w:cs="宋体"/>
          <w:b/>
          <w:sz w:val="28"/>
          <w:szCs w:val="28"/>
        </w:rPr>
      </w:pPr>
      <w:r>
        <w:rPr>
          <w:rFonts w:hint="eastAsia" w:ascii="宋体" w:hAnsi="宋体" w:cs="宋体"/>
          <w:sz w:val="28"/>
          <w:szCs w:val="28"/>
        </w:rPr>
        <w:t>2.4对采购方式、招标文件中项目需求、供应商资格条件、评标方法和评标标准、资格审查结果以及其他事项等的质疑，请向采购人提出，由采购人负责答复。</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供应商提起质疑采取书面形式，可以现场送达，也可以邮寄。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采购人质疑接收人及联系方式，见磋商文件第一部分。</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2.5供应商提出质疑应当提交质疑函和必要的证明材料，否则不予受理。质疑函应当包括下列内容：</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供应商的姓名或者名称、地址、邮编、联系人及联系电话；</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质疑项目的名称、编号；</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具体、明确的质疑事项和与质疑事项相关的请求；</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事实依据；</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必要的法律依据；</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提出质疑的日期。</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供应商为自然人的，应当由本人签字；供应商为法人或者其他组织的，应当由法定代表人、主要负责人，或者其授权代表签字或者盖章，并加盖公章。</w:t>
      </w:r>
    </w:p>
    <w:p>
      <w:pPr>
        <w:keepNext/>
        <w:adjustRightInd w:val="0"/>
        <w:snapToGrid w:val="0"/>
        <w:spacing w:line="460" w:lineRule="exact"/>
        <w:ind w:firstLine="560" w:firstLineChars="200"/>
        <w:rPr>
          <w:rFonts w:ascii="宋体" w:hAnsi="宋体" w:cs="宋体"/>
          <w:b/>
          <w:kern w:val="0"/>
          <w:sz w:val="28"/>
          <w:szCs w:val="28"/>
        </w:rPr>
      </w:pPr>
      <w:r>
        <w:rPr>
          <w:rFonts w:hint="eastAsia" w:ascii="宋体" w:hAnsi="宋体" w:cs="宋体"/>
          <w:kern w:val="0"/>
          <w:sz w:val="28"/>
          <w:szCs w:val="28"/>
        </w:rPr>
        <w:t>3．成交通知书</w:t>
      </w:r>
      <w:bookmarkStart w:id="87" w:name="_GoBack"/>
      <w:bookmarkEnd w:id="87"/>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3.l</w:t>
      </w:r>
      <w:r>
        <w:rPr>
          <w:rFonts w:hint="eastAsia" w:ascii="宋体" w:hAnsi="宋体" w:cs="宋体"/>
          <w:b/>
          <w:sz w:val="28"/>
          <w:szCs w:val="28"/>
        </w:rPr>
        <w:t xml:space="preserve"> </w:t>
      </w:r>
      <w:r>
        <w:rPr>
          <w:rFonts w:hint="eastAsia" w:ascii="宋体" w:hAnsi="宋体" w:cs="宋体"/>
          <w:sz w:val="28"/>
          <w:szCs w:val="28"/>
        </w:rPr>
        <w:t>成交结果确定后，采购人将向成交供应商发出成交通知书。成交供应商应在成交结果公告期满后5个工作日内到采购人办理领取成交通知书手续，否则，由此产生的后果供应商自负。</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3.2成交通知书将是合同的一个组成部分，对采购人和成交供应商均具有法律效力。成交通知书发出后，采购人改变成交结果的，或者成交供应商放弃磋商项目的，应当依法承担法律责任。</w:t>
      </w:r>
    </w:p>
    <w:p>
      <w:pPr>
        <w:keepNext/>
        <w:keepLines/>
        <w:adjustRightInd w:val="0"/>
        <w:snapToGrid w:val="0"/>
        <w:spacing w:line="460" w:lineRule="exact"/>
        <w:ind w:firstLine="562" w:firstLineChars="200"/>
        <w:outlineLvl w:val="1"/>
        <w:rPr>
          <w:rFonts w:ascii="宋体" w:hAnsi="宋体" w:cs="宋体"/>
          <w:b/>
          <w:bCs/>
          <w:kern w:val="0"/>
          <w:sz w:val="28"/>
          <w:szCs w:val="28"/>
        </w:rPr>
      </w:pPr>
      <w:bookmarkStart w:id="79" w:name="_Toc120614220"/>
      <w:bookmarkStart w:id="80" w:name="_Toc513029236"/>
      <w:bookmarkStart w:id="81" w:name="_Toc20823308"/>
      <w:bookmarkStart w:id="82" w:name="_Toc16938552"/>
      <w:r>
        <w:rPr>
          <w:rFonts w:hint="eastAsia" w:ascii="宋体" w:hAnsi="宋体" w:cs="宋体"/>
          <w:b/>
          <w:bCs/>
          <w:kern w:val="0"/>
          <w:sz w:val="28"/>
          <w:szCs w:val="28"/>
        </w:rPr>
        <w:t>七、授予合同</w:t>
      </w:r>
      <w:bookmarkEnd w:id="79"/>
    </w:p>
    <w:bookmarkEnd w:id="80"/>
    <w:bookmarkEnd w:id="81"/>
    <w:bookmarkEnd w:id="82"/>
    <w:p>
      <w:pPr>
        <w:keepNext/>
        <w:adjustRightInd w:val="0"/>
        <w:snapToGrid w:val="0"/>
        <w:spacing w:line="460" w:lineRule="exact"/>
        <w:ind w:firstLine="560" w:firstLineChars="200"/>
        <w:rPr>
          <w:rFonts w:ascii="宋体" w:hAnsi="宋体" w:cs="宋体"/>
          <w:b/>
          <w:kern w:val="0"/>
          <w:sz w:val="28"/>
          <w:szCs w:val="28"/>
        </w:rPr>
      </w:pPr>
      <w:bookmarkStart w:id="83" w:name="_Toc20823309"/>
      <w:bookmarkStart w:id="84" w:name="_Toc513029237"/>
      <w:bookmarkStart w:id="85" w:name="_Toc16938553"/>
      <w:r>
        <w:rPr>
          <w:rFonts w:hint="eastAsia" w:ascii="宋体" w:hAnsi="宋体" w:cs="宋体"/>
          <w:kern w:val="0"/>
          <w:sz w:val="28"/>
          <w:szCs w:val="28"/>
        </w:rPr>
        <w:t>1.签订合同</w:t>
      </w:r>
    </w:p>
    <w:p>
      <w:pPr>
        <w:adjustRightInd w:val="0"/>
        <w:snapToGrid w:val="0"/>
        <w:spacing w:line="460" w:lineRule="exact"/>
        <w:ind w:firstLine="560" w:firstLineChars="200"/>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.l成交供应商应当在成交通知书发出之日起三十日内，按照磋商文件确定的事项与采购人签订采购合同。</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1.2磋商文件、成交供应商的响应文件及磋商过程中有关澄清、承诺文件均应作为合同附件。</w:t>
      </w:r>
    </w:p>
    <w:p>
      <w:pPr>
        <w:keepNext/>
        <w:adjustRightInd w:val="0"/>
        <w:snapToGrid w:val="0"/>
        <w:spacing w:line="460" w:lineRule="exact"/>
        <w:ind w:firstLine="560" w:firstLineChars="200"/>
        <w:rPr>
          <w:rFonts w:ascii="宋体" w:hAnsi="宋体" w:cs="宋体"/>
          <w:b/>
          <w:kern w:val="0"/>
          <w:sz w:val="28"/>
          <w:szCs w:val="28"/>
        </w:rPr>
      </w:pPr>
      <w:r>
        <w:rPr>
          <w:rFonts w:hint="eastAsia" w:ascii="宋体" w:hAnsi="宋体" w:cs="宋体"/>
          <w:kern w:val="0"/>
          <w:sz w:val="28"/>
          <w:szCs w:val="28"/>
        </w:rPr>
        <w:t>2.货物和服务的追加、减少和添购。</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2.1合同履行中，采购人需追加与合同标的相同的货物和服务的，在不改变合同其他条款的前提下，可以与成交供应商协商签订补充合同，但所有补充合同的采购金额不超过原合同金额10%。</w:t>
      </w:r>
    </w:p>
    <w:p>
      <w:pPr>
        <w:keepNext/>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adjustRightInd w:val="0"/>
        <w:snapToGrid w:val="0"/>
        <w:spacing w:line="360" w:lineRule="auto"/>
        <w:ind w:firstLine="562" w:firstLineChars="200"/>
        <w:rPr>
          <w:rFonts w:ascii="宋体" w:hAnsi="宋体" w:cs="宋体"/>
          <w:b/>
          <w:sz w:val="28"/>
          <w:szCs w:val="28"/>
        </w:rPr>
      </w:pPr>
    </w:p>
    <w:bookmarkEnd w:id="83"/>
    <w:bookmarkEnd w:id="84"/>
    <w:bookmarkEnd w:id="85"/>
    <w:p>
      <w:pPr>
        <w:adjustRightInd w:val="0"/>
        <w:snapToGrid w:val="0"/>
        <w:spacing w:line="360" w:lineRule="auto"/>
        <w:jc w:val="center"/>
        <w:outlineLvl w:val="0"/>
        <w:rPr>
          <w:rFonts w:ascii="宋体" w:hAnsi="宋体" w:cs="宋体"/>
          <w:sz w:val="28"/>
          <w:szCs w:val="28"/>
        </w:rPr>
      </w:pPr>
      <w:r>
        <w:rPr>
          <w:rFonts w:hint="eastAsia" w:ascii="宋体" w:hAnsi="宋体" w:cs="宋体"/>
          <w:bCs/>
          <w:sz w:val="36"/>
          <w:szCs w:val="36"/>
        </w:rPr>
        <w:br w:type="page"/>
      </w:r>
      <w:r>
        <w:rPr>
          <w:rFonts w:hint="eastAsia" w:ascii="宋体" w:hAnsi="宋体" w:cs="宋体"/>
          <w:bCs/>
          <w:sz w:val="36"/>
          <w:szCs w:val="36"/>
        </w:rPr>
        <w:t>第三部分 项目需求</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500" w:lineRule="exact"/>
        <w:rPr>
          <w:rFonts w:ascii="宋体" w:hAnsi="宋体" w:cs="宋体"/>
          <w:b/>
          <w:bCs/>
          <w:sz w:val="28"/>
          <w:szCs w:val="28"/>
        </w:rPr>
      </w:pPr>
      <w:r>
        <w:rPr>
          <w:rFonts w:hint="eastAsia" w:ascii="宋体" w:hAnsi="宋体" w:cs="宋体"/>
          <w:b/>
          <w:bCs/>
          <w:sz w:val="28"/>
          <w:szCs w:val="28"/>
        </w:rPr>
        <w:t>一、采购标</w:t>
      </w:r>
      <w:r>
        <w:rPr>
          <w:rFonts w:hint="eastAsia" w:ascii="宋体" w:hAnsi="宋体" w:cs="宋体"/>
          <w:b/>
          <w:bCs/>
          <w:sz w:val="28"/>
          <w:szCs w:val="28"/>
          <w:lang w:eastAsia="zh-CN"/>
        </w:rPr>
        <w:t>的</w:t>
      </w:r>
      <w:r>
        <w:rPr>
          <w:rFonts w:hint="eastAsia" w:ascii="宋体" w:hAnsi="宋体" w:cs="宋体"/>
          <w:b/>
          <w:bCs/>
          <w:sz w:val="28"/>
          <w:szCs w:val="28"/>
        </w:rPr>
        <w:t>需实现的功能或者目标，以及为落实政府采购政策需满足的要求</w:t>
      </w:r>
    </w:p>
    <w:p>
      <w:pPr>
        <w:spacing w:after="120" w:line="500" w:lineRule="exact"/>
        <w:rPr>
          <w:rFonts w:ascii="宋体" w:hAnsi="宋体"/>
          <w:b/>
          <w:bCs/>
          <w:sz w:val="28"/>
          <w:szCs w:val="36"/>
        </w:rPr>
      </w:pPr>
      <w:r>
        <w:rPr>
          <w:rFonts w:hint="eastAsia" w:ascii="宋体" w:hAnsi="宋体"/>
          <w:b/>
          <w:bCs/>
          <w:sz w:val="28"/>
          <w:szCs w:val="36"/>
        </w:rPr>
        <w:t>1.采购清单、</w:t>
      </w:r>
      <w:r>
        <w:rPr>
          <w:rFonts w:ascii="宋体" w:hAnsi="宋体"/>
          <w:b/>
          <w:bCs/>
          <w:sz w:val="28"/>
          <w:szCs w:val="36"/>
        </w:rPr>
        <w:t>交付地点</w:t>
      </w:r>
      <w:r>
        <w:rPr>
          <w:rFonts w:hint="eastAsia" w:ascii="宋体" w:hAnsi="宋体"/>
          <w:b/>
          <w:bCs/>
          <w:sz w:val="28"/>
          <w:szCs w:val="36"/>
        </w:rPr>
        <w:t>等</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3619"/>
        <w:gridCol w:w="1074"/>
        <w:gridCol w:w="1576"/>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4" w:type="pct"/>
          </w:tcPr>
          <w:p>
            <w:pPr>
              <w:spacing w:line="500" w:lineRule="exact"/>
              <w:jc w:val="center"/>
              <w:rPr>
                <w:rFonts w:ascii="宋体" w:hAnsi="宋体"/>
                <w:sz w:val="28"/>
                <w:szCs w:val="28"/>
              </w:rPr>
            </w:pPr>
            <w:r>
              <w:rPr>
                <w:rFonts w:hint="eastAsia" w:ascii="宋体" w:hAnsi="宋体"/>
                <w:sz w:val="28"/>
                <w:szCs w:val="28"/>
              </w:rPr>
              <w:t>序号</w:t>
            </w:r>
          </w:p>
        </w:tc>
        <w:tc>
          <w:tcPr>
            <w:tcW w:w="1816" w:type="pct"/>
          </w:tcPr>
          <w:p>
            <w:pPr>
              <w:spacing w:line="500" w:lineRule="exact"/>
              <w:jc w:val="center"/>
              <w:rPr>
                <w:rFonts w:ascii="宋体" w:hAnsi="宋体"/>
                <w:sz w:val="28"/>
                <w:szCs w:val="28"/>
              </w:rPr>
            </w:pPr>
            <w:r>
              <w:rPr>
                <w:rFonts w:hint="eastAsia" w:ascii="宋体" w:hAnsi="宋体"/>
                <w:sz w:val="28"/>
                <w:szCs w:val="28"/>
              </w:rPr>
              <w:t>项目名称</w:t>
            </w:r>
          </w:p>
        </w:tc>
        <w:tc>
          <w:tcPr>
            <w:tcW w:w="539" w:type="pct"/>
          </w:tcPr>
          <w:p>
            <w:pPr>
              <w:spacing w:line="500" w:lineRule="exact"/>
              <w:jc w:val="center"/>
              <w:rPr>
                <w:rFonts w:ascii="宋体" w:hAnsi="宋体"/>
                <w:sz w:val="28"/>
                <w:szCs w:val="28"/>
              </w:rPr>
            </w:pPr>
            <w:r>
              <w:rPr>
                <w:rFonts w:hint="eastAsia" w:ascii="宋体" w:hAnsi="宋体"/>
                <w:sz w:val="28"/>
                <w:szCs w:val="28"/>
              </w:rPr>
              <w:t>数量</w:t>
            </w:r>
          </w:p>
        </w:tc>
        <w:tc>
          <w:tcPr>
            <w:tcW w:w="791" w:type="pct"/>
          </w:tcPr>
          <w:p>
            <w:pPr>
              <w:spacing w:line="500" w:lineRule="exact"/>
              <w:jc w:val="center"/>
              <w:rPr>
                <w:rFonts w:ascii="宋体" w:hAnsi="宋体"/>
                <w:sz w:val="28"/>
                <w:szCs w:val="28"/>
              </w:rPr>
            </w:pPr>
            <w:r>
              <w:rPr>
                <w:rFonts w:hint="eastAsia" w:ascii="宋体" w:hAnsi="宋体"/>
                <w:sz w:val="28"/>
                <w:szCs w:val="28"/>
              </w:rPr>
              <w:t>预算价</w:t>
            </w:r>
          </w:p>
        </w:tc>
        <w:tc>
          <w:tcPr>
            <w:tcW w:w="1348" w:type="pct"/>
          </w:tcPr>
          <w:p>
            <w:pPr>
              <w:spacing w:line="500" w:lineRule="exact"/>
              <w:jc w:val="center"/>
              <w:rPr>
                <w:rFonts w:ascii="宋体" w:hAnsi="宋体"/>
                <w:sz w:val="28"/>
                <w:szCs w:val="28"/>
              </w:rPr>
            </w:pPr>
            <w:r>
              <w:rPr>
                <w:rFonts w:hint="eastAsia" w:ascii="宋体" w:hAnsi="宋体"/>
                <w:sz w:val="28"/>
                <w:szCs w:val="28"/>
              </w:rPr>
              <w:t>履约</w:t>
            </w:r>
            <w:r>
              <w:rPr>
                <w:rFonts w:ascii="宋体" w:hAnsi="宋体"/>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4" w:type="pct"/>
            <w:vAlign w:val="center"/>
          </w:tcPr>
          <w:p>
            <w:pPr>
              <w:spacing w:line="500" w:lineRule="exact"/>
              <w:jc w:val="center"/>
              <w:rPr>
                <w:rFonts w:ascii="宋体" w:hAnsi="宋体"/>
                <w:sz w:val="28"/>
                <w:szCs w:val="28"/>
              </w:rPr>
            </w:pPr>
            <w:r>
              <w:rPr>
                <w:rFonts w:hint="eastAsia" w:ascii="宋体" w:hAnsi="宋体"/>
                <w:sz w:val="28"/>
                <w:szCs w:val="28"/>
              </w:rPr>
              <w:t>1</w:t>
            </w:r>
          </w:p>
        </w:tc>
        <w:tc>
          <w:tcPr>
            <w:tcW w:w="1816" w:type="pct"/>
            <w:vAlign w:val="center"/>
          </w:tcPr>
          <w:p>
            <w:pPr>
              <w:spacing w:line="500" w:lineRule="exact"/>
              <w:jc w:val="center"/>
              <w:rPr>
                <w:rFonts w:ascii="宋体" w:hAnsi="宋体"/>
                <w:sz w:val="28"/>
                <w:szCs w:val="28"/>
              </w:rPr>
            </w:pPr>
            <w:r>
              <w:rPr>
                <w:rFonts w:hint="eastAsia" w:ascii="宋体" w:hAnsi="宋体" w:cs="宋体"/>
                <w:sz w:val="28"/>
                <w:szCs w:val="28"/>
              </w:rPr>
              <w:t>南通市海门区区域社会治理现代化指挥中心信息化系统平台集成运维服务项目</w:t>
            </w:r>
          </w:p>
        </w:tc>
        <w:tc>
          <w:tcPr>
            <w:tcW w:w="539" w:type="pct"/>
            <w:vAlign w:val="center"/>
          </w:tcPr>
          <w:p>
            <w:pPr>
              <w:spacing w:line="500" w:lineRule="exact"/>
              <w:jc w:val="center"/>
              <w:rPr>
                <w:rFonts w:ascii="宋体" w:hAnsi="宋体"/>
                <w:sz w:val="28"/>
                <w:szCs w:val="28"/>
              </w:rPr>
            </w:pPr>
            <w:r>
              <w:rPr>
                <w:rFonts w:ascii="宋体" w:hAnsi="宋体"/>
                <w:sz w:val="28"/>
                <w:szCs w:val="28"/>
              </w:rPr>
              <w:t>1</w:t>
            </w:r>
            <w:r>
              <w:rPr>
                <w:rFonts w:hint="eastAsia" w:ascii="宋体" w:hAnsi="宋体"/>
                <w:sz w:val="28"/>
                <w:szCs w:val="28"/>
              </w:rPr>
              <w:t>项</w:t>
            </w:r>
          </w:p>
        </w:tc>
        <w:tc>
          <w:tcPr>
            <w:tcW w:w="791" w:type="pct"/>
            <w:vAlign w:val="center"/>
          </w:tcPr>
          <w:p>
            <w:pPr>
              <w:spacing w:line="500" w:lineRule="exact"/>
              <w:jc w:val="center"/>
              <w:rPr>
                <w:rFonts w:ascii="宋体" w:hAnsi="宋体"/>
                <w:sz w:val="28"/>
                <w:szCs w:val="28"/>
              </w:rPr>
            </w:pPr>
            <w:r>
              <w:rPr>
                <w:rFonts w:ascii="宋体" w:hAnsi="宋体"/>
                <w:sz w:val="28"/>
                <w:szCs w:val="28"/>
              </w:rPr>
              <w:t>35</w:t>
            </w:r>
            <w:r>
              <w:rPr>
                <w:rFonts w:hint="eastAsia" w:ascii="宋体" w:hAnsi="宋体"/>
                <w:sz w:val="28"/>
                <w:szCs w:val="28"/>
              </w:rPr>
              <w:t>万元</w:t>
            </w:r>
          </w:p>
        </w:tc>
        <w:tc>
          <w:tcPr>
            <w:tcW w:w="1348" w:type="pct"/>
            <w:vAlign w:val="center"/>
          </w:tcPr>
          <w:p>
            <w:pPr>
              <w:spacing w:line="500" w:lineRule="exact"/>
              <w:jc w:val="center"/>
              <w:rPr>
                <w:rFonts w:ascii="宋体" w:hAnsi="宋体"/>
                <w:sz w:val="28"/>
                <w:szCs w:val="28"/>
              </w:rPr>
            </w:pPr>
            <w:r>
              <w:rPr>
                <w:rFonts w:hint="eastAsia" w:ascii="宋体" w:hAnsi="宋体"/>
                <w:sz w:val="28"/>
                <w:szCs w:val="28"/>
              </w:rPr>
              <w:t>南通市海门区区域社会治理现代化指挥中心</w:t>
            </w:r>
          </w:p>
        </w:tc>
      </w:tr>
    </w:tbl>
    <w:p>
      <w:pPr>
        <w:spacing w:after="120" w:line="500" w:lineRule="exact"/>
        <w:rPr>
          <w:rFonts w:ascii="宋体" w:hAnsi="宋体"/>
          <w:b/>
          <w:bCs/>
          <w:sz w:val="28"/>
          <w:szCs w:val="36"/>
        </w:rPr>
      </w:pPr>
      <w:r>
        <w:rPr>
          <w:rFonts w:hint="eastAsia" w:ascii="宋体" w:hAnsi="宋体"/>
          <w:b/>
          <w:bCs/>
          <w:sz w:val="28"/>
          <w:szCs w:val="36"/>
        </w:rPr>
        <w:t>2.服务周期</w:t>
      </w:r>
    </w:p>
    <w:p>
      <w:pPr>
        <w:spacing w:line="460" w:lineRule="exact"/>
        <w:ind w:firstLine="560" w:firstLineChars="200"/>
        <w:rPr>
          <w:rFonts w:ascii="宋体" w:hAnsi="宋体" w:cs="等线"/>
          <w:sz w:val="28"/>
          <w:szCs w:val="28"/>
        </w:rPr>
      </w:pPr>
      <w:r>
        <w:rPr>
          <w:rFonts w:hint="eastAsia" w:ascii="宋体" w:hAnsi="宋体" w:cs="等线"/>
          <w:sz w:val="28"/>
          <w:szCs w:val="28"/>
        </w:rPr>
        <w:t>自合同签订生效之日开始，至2025年12月31日结束。</w:t>
      </w:r>
    </w:p>
    <w:p>
      <w:pPr>
        <w:spacing w:after="120" w:line="500" w:lineRule="exact"/>
        <w:rPr>
          <w:rFonts w:ascii="宋体" w:hAnsi="宋体"/>
          <w:b/>
          <w:bCs/>
          <w:sz w:val="28"/>
          <w:szCs w:val="36"/>
        </w:rPr>
      </w:pPr>
      <w:r>
        <w:rPr>
          <w:rFonts w:ascii="宋体" w:hAnsi="宋体"/>
          <w:b/>
          <w:bCs/>
          <w:sz w:val="28"/>
          <w:szCs w:val="36"/>
        </w:rPr>
        <w:t>3</w:t>
      </w:r>
      <w:r>
        <w:rPr>
          <w:rFonts w:hint="eastAsia" w:ascii="宋体" w:hAnsi="宋体"/>
          <w:b/>
          <w:bCs/>
          <w:sz w:val="28"/>
          <w:szCs w:val="36"/>
        </w:rPr>
        <w:t>.项目目标</w:t>
      </w:r>
    </w:p>
    <w:p>
      <w:pPr>
        <w:spacing w:line="460" w:lineRule="exact"/>
        <w:ind w:firstLine="560" w:firstLineChars="200"/>
        <w:rPr>
          <w:rFonts w:hint="eastAsia" w:ascii="宋体" w:hAnsi="宋体" w:cs="等线"/>
          <w:sz w:val="28"/>
          <w:szCs w:val="28"/>
        </w:rPr>
      </w:pPr>
      <w:r>
        <w:rPr>
          <w:rFonts w:hint="eastAsia" w:ascii="宋体" w:hAnsi="宋体" w:cs="等线"/>
          <w:sz w:val="28"/>
          <w:szCs w:val="28"/>
        </w:rPr>
        <w:t>根据《南通市海门区数字政府建设实施方案》（海政办发〔2023〕42号）要求，整合利用现有各类信息化建设和运维资金，实行全口径全覆盖扎口管理开展信息系统集成运维工作。</w:t>
      </w:r>
    </w:p>
    <w:p>
      <w:pPr>
        <w:spacing w:line="460" w:lineRule="exact"/>
        <w:ind w:firstLine="560" w:firstLineChars="200"/>
        <w:rPr>
          <w:rFonts w:ascii="宋体" w:hAnsi="宋体" w:cs="等线"/>
          <w:sz w:val="28"/>
          <w:szCs w:val="28"/>
        </w:rPr>
      </w:pPr>
      <w:r>
        <w:rPr>
          <w:rFonts w:hint="eastAsia" w:ascii="宋体" w:hAnsi="宋体" w:cs="等线"/>
          <w:sz w:val="28"/>
          <w:szCs w:val="28"/>
        </w:rPr>
        <w:t>为有效保障南通市海门区区域社会治理现代化指挥中心信息化系统平台的正常运行，有力提高整体运行效率，现需服务供应商对南通市海门区区域社会治理现代化指挥中心的信息化系统平台提供集成运维服务。</w:t>
      </w:r>
    </w:p>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二、采购标的需执行的国家相关标准、行业标准、地方标准或者其他标准、规范</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市镇一体化平台（专题图）、海门区“智慧苍穹”长江大保护智能应用平台、海门区政务服务总客服系统（含海门区社情民意监测预警平台）、海门区城市信息模型（CIM平台）、海门区全景全域指挥调度平台（原海门区综合执法可视化联动指挥平台）、统一通讯系统等项目招标需求、实施方案、数据标准等内容。</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2.《中华人民共和国网络安全法》</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3.《中华人民共和国计算机信息系统安全保护条例》</w:t>
      </w:r>
    </w:p>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三、采购标的需满足的质量、安全、技术规格、物理特性等要求</w:t>
      </w:r>
    </w:p>
    <w:p>
      <w:pPr>
        <w:spacing w:line="360" w:lineRule="auto"/>
        <w:ind w:firstLine="560" w:firstLineChars="200"/>
        <w:rPr>
          <w:rFonts w:asciiTheme="minorEastAsia" w:hAnsiTheme="minorEastAsia" w:eastAsiaTheme="minorEastAsia" w:cstheme="minorEastAsia"/>
          <w:bCs/>
          <w:sz w:val="28"/>
          <w:szCs w:val="28"/>
        </w:rPr>
      </w:pPr>
      <w:bookmarkStart w:id="86" w:name="_Hlk126915840"/>
      <w:r>
        <w:rPr>
          <w:rFonts w:hint="eastAsia" w:asciiTheme="minorEastAsia" w:hAnsiTheme="minorEastAsia" w:eastAsiaTheme="minorEastAsia" w:cstheme="minorEastAsia"/>
          <w:bCs/>
          <w:sz w:val="28"/>
          <w:szCs w:val="28"/>
        </w:rPr>
        <w:t>（一）本次集成运维服务的范围包含如下系统：</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1.市镇一体化平台（专题图）：海门区区域</w:t>
      </w:r>
      <w:r>
        <w:rPr>
          <w:rFonts w:hint="eastAsia" w:asciiTheme="minorEastAsia" w:hAnsiTheme="minorEastAsia" w:eastAsiaTheme="minorEastAsia" w:cstheme="minorEastAsia"/>
          <w:sz w:val="28"/>
          <w:szCs w:val="28"/>
          <w:lang w:eastAsia="zh-CN"/>
        </w:rPr>
        <w:t>社会</w:t>
      </w:r>
      <w:r>
        <w:rPr>
          <w:rFonts w:hint="eastAsia" w:asciiTheme="minorEastAsia" w:hAnsiTheme="minorEastAsia" w:eastAsiaTheme="minorEastAsia" w:cstheme="minorEastAsia"/>
          <w:sz w:val="28"/>
          <w:szCs w:val="28"/>
        </w:rPr>
        <w:t>治理现代化指挥中心市镇一体化平台，通过构建职责清晰、分级负责、上下贯通、运行高效的市域治理现代化指挥体系，实现“一体联管、一门共管、一网统管”，以及市域治理全覆盖、实时性、能预警、可追溯，提升市域治理科学化、精细化和智能化水平。</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海门区“智慧苍穹”长江大保护智能应用平台：将涉及到长江大保护的相关工作进行整合，开发出一套综合性的“智慧苍穹”长江大保护智能应用平台，体现长江大保护各相关部门在长江大保护工作中的治理成效。</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海门区政务服务总客服系统：以“企业群众需求在哪里，热线服务就延伸到哪里”的服务理念，构建运行联动处置体系，完善疑难复杂问题全流程闭环工作模式，从解决“一件事”向办好“一类事”转变，打造成密切政-群-企关系的“连心线”。</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4.海门区城市信息模型（CIM平台）：将城市智慧治理要素集成加载到三维立体模型上，搭建数字孪生城市，做到人、房、物一体化数据串联感知。</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海门区全景全域指挥调度平台：实现指挥调度的“重点目标可视化、区域控制实时化、信息获取立体化、情况处置数字化”。平台可调度已汇集的区镇两级指挥中心、综合执法部门视讯终端以及领导驾驶舱、执法队员、无人机、网格员，还可以通过查询、呼叫手机号码，以电话语音或者微信小程序的形式，实现对不在平台系统人员的指挥调度，真正实现联动指挥的范围全覆盖。</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6.统一通讯系统：新一代的通讯平台，融合语音、视频、即时消息、文本、图片等移动互联网的数据融合通信平台。</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bidi="zh-CN"/>
        </w:rPr>
        <w:t>（二）本次集成运维总计包含下述主要工作：</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1.数据资产统计：根据工作需要，负责相关业务系统的数据资产统计和上报。</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系统日常运维：协助对系统人员账号进行新增、调整、删除等操作；协助对部门架构进行新增、调整、删除等操作；每日对相关业务系统进行软件、硬件检查，保障平台运行环境，及时排除可能存在的隐患，记录上述系统的运行状态,并形成《服务周报》；定期对应用和数据进行在线和离线备份；其他保障上述应用系统稳定运行的bug修复、功能微调和日常维护等服务。</w:t>
      </w:r>
      <w:r>
        <w:rPr>
          <w:rFonts w:hint="eastAsia" w:asciiTheme="minorEastAsia" w:hAnsiTheme="minorEastAsia" w:eastAsiaTheme="minorEastAsia" w:cstheme="minorEastAsia"/>
          <w:sz w:val="28"/>
          <w:szCs w:val="28"/>
        </w:rPr>
        <w:tab/>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3.业务数据更新：根据工作需要，基于业务部门提供的资料，对系统中的业务数据进行更新和维护。</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漏洞扫描和渗透测试：对服务器/云主机进行漏洞扫描，发现主机操作系统、网络设备、数据库、安全设备等存在的安全漏洞，弱口令，开发的端口等，并提出安全加固建议（每季度1次）。对服务器/云主机模拟黑客可能使用的攻击技术和漏洞发现技术，对系统的安全作深入的探测，发现系统最脆弱的环节（1次）。</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5.网络安全服务：根据政府主管部门的要求，对各类网络安全保障行动、网络安全事件及时处理和响应。</w:t>
      </w:r>
    </w:p>
    <w:p>
      <w:pPr>
        <w:pStyle w:val="93"/>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6.应急保障：对区指挥中心体系承担的灾害天气、突发事件、重大活动、重要会议等紧急、临时性的任务进行应急保障，确保任务高效完成。</w:t>
      </w:r>
    </w:p>
    <w:bookmarkEnd w:id="86"/>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四、采购标的数量、采购项目交付或者实施的时间和地点</w:t>
      </w:r>
    </w:p>
    <w:tbl>
      <w:tblPr>
        <w:tblStyle w:val="10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3384"/>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93" w:type="dxa"/>
            <w:vAlign w:val="center"/>
          </w:tcPr>
          <w:p>
            <w:pPr>
              <w:widowControl/>
              <w:adjustRightInd w:val="0"/>
              <w:snapToGrid w:val="0"/>
              <w:spacing w:line="48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3384" w:type="dxa"/>
            <w:vAlign w:val="center"/>
          </w:tcPr>
          <w:p>
            <w:pPr>
              <w:widowControl/>
              <w:adjustRightInd w:val="0"/>
              <w:snapToGrid w:val="0"/>
              <w:spacing w:line="48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维护服务</w:t>
            </w:r>
          </w:p>
        </w:tc>
        <w:tc>
          <w:tcPr>
            <w:tcW w:w="4356" w:type="dxa"/>
            <w:vAlign w:val="center"/>
          </w:tcPr>
          <w:p>
            <w:pPr>
              <w:widowControl/>
              <w:adjustRightInd w:val="0"/>
              <w:snapToGrid w:val="0"/>
              <w:spacing w:line="48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293"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3384"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数据资产统计</w:t>
            </w:r>
          </w:p>
        </w:tc>
        <w:tc>
          <w:tcPr>
            <w:tcW w:w="4356"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签订合同日至</w:t>
            </w:r>
            <w:r>
              <w:rPr>
                <w:rFonts w:asciiTheme="minorEastAsia" w:hAnsiTheme="minorEastAsia" w:eastAsiaTheme="minorEastAsia"/>
                <w:sz w:val="28"/>
                <w:szCs w:val="28"/>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293"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3384"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系统日常运维</w:t>
            </w:r>
          </w:p>
        </w:tc>
        <w:tc>
          <w:tcPr>
            <w:tcW w:w="4356"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签订合同日至</w:t>
            </w:r>
            <w:r>
              <w:rPr>
                <w:rFonts w:asciiTheme="minorEastAsia" w:hAnsiTheme="minorEastAsia" w:eastAsiaTheme="minorEastAsia"/>
                <w:sz w:val="28"/>
                <w:szCs w:val="28"/>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293"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3384"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业务数据更新</w:t>
            </w:r>
          </w:p>
        </w:tc>
        <w:tc>
          <w:tcPr>
            <w:tcW w:w="4356"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签订合同日至</w:t>
            </w:r>
            <w:r>
              <w:rPr>
                <w:rFonts w:asciiTheme="minorEastAsia" w:hAnsiTheme="minorEastAsia" w:eastAsiaTheme="minorEastAsia"/>
                <w:sz w:val="28"/>
                <w:szCs w:val="28"/>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293"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4</w:t>
            </w:r>
          </w:p>
        </w:tc>
        <w:tc>
          <w:tcPr>
            <w:tcW w:w="3384"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漏洞扫描和渗透测试</w:t>
            </w:r>
          </w:p>
        </w:tc>
        <w:tc>
          <w:tcPr>
            <w:tcW w:w="4356"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签订合同日至</w:t>
            </w:r>
            <w:r>
              <w:rPr>
                <w:rFonts w:asciiTheme="minorEastAsia" w:hAnsiTheme="minorEastAsia" w:eastAsiaTheme="minorEastAsia"/>
                <w:sz w:val="28"/>
                <w:szCs w:val="28"/>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293"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5</w:t>
            </w:r>
          </w:p>
        </w:tc>
        <w:tc>
          <w:tcPr>
            <w:tcW w:w="3384"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网络安全</w:t>
            </w:r>
            <w:r>
              <w:rPr>
                <w:rFonts w:hint="eastAsia" w:asciiTheme="minorEastAsia" w:hAnsiTheme="minorEastAsia" w:eastAsiaTheme="minorEastAsia"/>
                <w:sz w:val="28"/>
                <w:szCs w:val="28"/>
              </w:rPr>
              <w:t>服务</w:t>
            </w:r>
          </w:p>
        </w:tc>
        <w:tc>
          <w:tcPr>
            <w:tcW w:w="4356"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签订合同日至</w:t>
            </w:r>
            <w:r>
              <w:rPr>
                <w:rFonts w:asciiTheme="minorEastAsia" w:hAnsiTheme="minorEastAsia" w:eastAsiaTheme="minorEastAsia"/>
                <w:sz w:val="28"/>
                <w:szCs w:val="28"/>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93"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3384"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应急保障</w:t>
            </w:r>
          </w:p>
        </w:tc>
        <w:tc>
          <w:tcPr>
            <w:tcW w:w="4356" w:type="dxa"/>
            <w:vAlign w:val="center"/>
          </w:tcPr>
          <w:p>
            <w:pPr>
              <w:widowControl/>
              <w:adjustRightInd w:val="0"/>
              <w:snapToGrid w:val="0"/>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签订合同日至</w:t>
            </w:r>
            <w:r>
              <w:rPr>
                <w:rFonts w:asciiTheme="minorEastAsia" w:hAnsiTheme="minorEastAsia" w:eastAsiaTheme="minorEastAsia"/>
                <w:sz w:val="28"/>
                <w:szCs w:val="28"/>
              </w:rPr>
              <w:t>2025年12月31日</w:t>
            </w:r>
          </w:p>
        </w:tc>
      </w:tr>
    </w:tbl>
    <w:p>
      <w:pPr>
        <w:spacing w:before="120" w:beforeLines="50" w:line="360" w:lineRule="auto"/>
        <w:rPr>
          <w:b/>
          <w:sz w:val="28"/>
          <w:szCs w:val="28"/>
        </w:rPr>
      </w:pPr>
      <w:r>
        <w:rPr>
          <w:rFonts w:hint="eastAsia"/>
          <w:b/>
          <w:sz w:val="28"/>
          <w:szCs w:val="28"/>
        </w:rPr>
        <w:t>五、采购标的需满足的服务标准、期限、效率等要求</w:t>
      </w:r>
    </w:p>
    <w:p>
      <w:pPr>
        <w:spacing w:line="360" w:lineRule="auto"/>
        <w:ind w:firstLine="560" w:firstLineChars="200"/>
        <w:rPr>
          <w:sz w:val="28"/>
          <w:szCs w:val="28"/>
        </w:rPr>
      </w:pPr>
      <w:r>
        <w:rPr>
          <w:rFonts w:hint="eastAsia"/>
          <w:sz w:val="28"/>
          <w:szCs w:val="28"/>
        </w:rPr>
        <w:t>1.签定合同日期：成交供应商接到中标通知书后</w:t>
      </w:r>
      <w:r>
        <w:rPr>
          <w:rFonts w:hint="eastAsia"/>
          <w:sz w:val="28"/>
          <w:szCs w:val="28"/>
          <w:lang w:val="en-US" w:eastAsia="zh-CN"/>
        </w:rPr>
        <w:t>30</w:t>
      </w:r>
      <w:r>
        <w:rPr>
          <w:rFonts w:hint="eastAsia"/>
          <w:sz w:val="28"/>
          <w:szCs w:val="28"/>
        </w:rPr>
        <w:t>日内签订正式合同。</w:t>
      </w:r>
    </w:p>
    <w:p>
      <w:pPr>
        <w:spacing w:line="360" w:lineRule="auto"/>
        <w:ind w:firstLine="560" w:firstLineChars="200"/>
        <w:rPr>
          <w:sz w:val="28"/>
          <w:szCs w:val="28"/>
        </w:rPr>
      </w:pPr>
      <w:r>
        <w:rPr>
          <w:rFonts w:hint="eastAsia"/>
          <w:sz w:val="28"/>
          <w:szCs w:val="28"/>
        </w:rPr>
        <w:t>2.服务时间：合同签订之日起提供服务，服务期为签订合同日至</w:t>
      </w:r>
      <w:r>
        <w:rPr>
          <w:sz w:val="28"/>
          <w:szCs w:val="28"/>
        </w:rPr>
        <w:t>2025年12月31日</w:t>
      </w:r>
      <w:r>
        <w:rPr>
          <w:rFonts w:hint="eastAsia"/>
          <w:sz w:val="28"/>
          <w:szCs w:val="28"/>
        </w:rPr>
        <w:t>。</w:t>
      </w:r>
    </w:p>
    <w:p>
      <w:pPr>
        <w:spacing w:line="360" w:lineRule="auto"/>
        <w:ind w:firstLine="560" w:firstLineChars="200"/>
        <w:rPr>
          <w:sz w:val="28"/>
          <w:szCs w:val="28"/>
        </w:rPr>
      </w:pPr>
      <w:r>
        <w:rPr>
          <w:rFonts w:hint="eastAsia"/>
          <w:sz w:val="28"/>
          <w:szCs w:val="28"/>
        </w:rPr>
        <w:t>3.服务地点：南通市海门区区域社会治理现代化指挥中心。</w:t>
      </w:r>
    </w:p>
    <w:p>
      <w:pPr>
        <w:spacing w:line="360" w:lineRule="auto"/>
        <w:ind w:firstLine="560" w:firstLineChars="200"/>
        <w:rPr>
          <w:sz w:val="28"/>
          <w:szCs w:val="28"/>
        </w:rPr>
      </w:pPr>
      <w:r>
        <w:rPr>
          <w:sz w:val="28"/>
          <w:szCs w:val="28"/>
        </w:rPr>
        <w:t>4</w:t>
      </w:r>
      <w:r>
        <w:rPr>
          <w:rFonts w:hint="eastAsia"/>
          <w:sz w:val="28"/>
          <w:szCs w:val="28"/>
        </w:rPr>
        <w:t>.运维团队：供应商需设立运维团队。团队需由</w:t>
      </w:r>
      <w:r>
        <w:rPr>
          <w:sz w:val="28"/>
          <w:szCs w:val="28"/>
        </w:rPr>
        <w:t>1名项目负责人和不少于2名专业技术人员构成，且为服务供应商自有员工；</w:t>
      </w:r>
      <w:r>
        <w:rPr>
          <w:rFonts w:hint="eastAsia"/>
          <w:sz w:val="28"/>
          <w:szCs w:val="28"/>
        </w:rPr>
        <w:t>服务期内，发现问题或接到报修指令后，运维工程师应在</w:t>
      </w:r>
      <w:r>
        <w:rPr>
          <w:sz w:val="28"/>
          <w:szCs w:val="28"/>
        </w:rPr>
        <w:t>10分钟内到达问题现场，</w:t>
      </w:r>
      <w:r>
        <w:rPr>
          <w:rFonts w:hint="eastAsia"/>
          <w:sz w:val="28"/>
          <w:szCs w:val="28"/>
        </w:rPr>
        <w:t>并在</w:t>
      </w:r>
      <w:r>
        <w:rPr>
          <w:sz w:val="28"/>
          <w:szCs w:val="28"/>
        </w:rPr>
        <w:t>2个小时</w:t>
      </w:r>
      <w:r>
        <w:rPr>
          <w:rFonts w:hint="eastAsia"/>
          <w:sz w:val="28"/>
          <w:szCs w:val="28"/>
        </w:rPr>
        <w:t>时间内解决（如因水、火、雷电灾害等特殊原因造成不能及时解决的，则以书面形式说明情况及处理方案）。</w:t>
      </w:r>
    </w:p>
    <w:p>
      <w:pPr>
        <w:spacing w:line="360" w:lineRule="auto"/>
        <w:ind w:firstLine="560" w:firstLineChars="200"/>
        <w:rPr>
          <w:sz w:val="28"/>
          <w:szCs w:val="28"/>
        </w:rPr>
      </w:pPr>
      <w:r>
        <w:rPr>
          <w:rFonts w:hint="eastAsia"/>
          <w:sz w:val="28"/>
          <w:szCs w:val="28"/>
        </w:rPr>
        <w:t>5.如遇有在区指挥中心举办的各类会议</w:t>
      </w:r>
      <w:r>
        <w:rPr>
          <w:sz w:val="28"/>
          <w:szCs w:val="28"/>
        </w:rPr>
        <w:t>/活动（考察调研/会议、应急处置、实战演练），无论规模大小，服务供应商承诺按照区指挥中心的要求做好相关的运行保障工作。</w:t>
      </w:r>
    </w:p>
    <w:p>
      <w:pPr>
        <w:spacing w:line="360" w:lineRule="auto"/>
        <w:ind w:firstLine="560" w:firstLineChars="200"/>
        <w:rPr>
          <w:sz w:val="28"/>
          <w:szCs w:val="28"/>
        </w:rPr>
      </w:pPr>
      <w:r>
        <w:rPr>
          <w:rFonts w:hint="eastAsia"/>
          <w:sz w:val="28"/>
          <w:szCs w:val="28"/>
        </w:rPr>
        <w:t>6.服务</w:t>
      </w:r>
      <w:r>
        <w:rPr>
          <w:sz w:val="28"/>
          <w:szCs w:val="28"/>
        </w:rPr>
        <w:t>期内每月、季度出具小结，向区指挥中心相关负责人汇报维护情况以及存在的问题和下一步整改方案，维保到期后应配合指挥中心做好下一阶段的维保准备(或移交)工作，并出具年度维保报告。</w:t>
      </w:r>
    </w:p>
    <w:p>
      <w:pPr>
        <w:spacing w:line="360" w:lineRule="auto"/>
        <w:ind w:firstLine="560" w:firstLineChars="200"/>
        <w:rPr>
          <w:sz w:val="28"/>
          <w:szCs w:val="28"/>
        </w:rPr>
      </w:pPr>
      <w:r>
        <w:rPr>
          <w:rFonts w:hint="eastAsia"/>
          <w:sz w:val="28"/>
          <w:szCs w:val="28"/>
        </w:rPr>
        <w:t>7.</w:t>
      </w:r>
      <w:r>
        <w:rPr>
          <w:sz w:val="28"/>
          <w:szCs w:val="28"/>
        </w:rPr>
        <w:t>签署保密协议，定期接受区指挥中心对运维工作的</w:t>
      </w:r>
      <w:r>
        <w:rPr>
          <w:rFonts w:hint="eastAsia"/>
          <w:sz w:val="28"/>
          <w:szCs w:val="28"/>
        </w:rPr>
        <w:t>验收</w:t>
      </w:r>
      <w:r>
        <w:rPr>
          <w:sz w:val="28"/>
          <w:szCs w:val="28"/>
        </w:rPr>
        <w:t>。</w:t>
      </w:r>
    </w:p>
    <w:p>
      <w:pPr>
        <w:spacing w:line="360" w:lineRule="auto"/>
        <w:ind w:firstLine="560" w:firstLineChars="200"/>
        <w:rPr>
          <w:sz w:val="28"/>
          <w:szCs w:val="28"/>
        </w:rPr>
      </w:pPr>
      <w:r>
        <w:rPr>
          <w:rFonts w:hint="eastAsia"/>
          <w:sz w:val="28"/>
          <w:szCs w:val="28"/>
        </w:rPr>
        <w:t>8.</w:t>
      </w:r>
      <w:r>
        <w:rPr>
          <w:sz w:val="28"/>
          <w:szCs w:val="28"/>
        </w:rPr>
        <w:t>乙方在服务周期内</w:t>
      </w:r>
      <w:r>
        <w:rPr>
          <w:rFonts w:hint="eastAsia"/>
          <w:sz w:val="28"/>
          <w:szCs w:val="28"/>
        </w:rPr>
        <w:t>验收</w:t>
      </w:r>
      <w:r>
        <w:rPr>
          <w:sz w:val="28"/>
          <w:szCs w:val="28"/>
        </w:rPr>
        <w:t>合格且满足甲方续签要求的，经双方协商一致可以续签本服务合同，每次续签期限为1年，最多续签2次</w:t>
      </w:r>
      <w:r>
        <w:rPr>
          <w:rFonts w:hint="eastAsia"/>
          <w:sz w:val="28"/>
          <w:szCs w:val="28"/>
        </w:rPr>
        <w:t>,费用根据财政相关要求，协商确定</w:t>
      </w:r>
      <w:r>
        <w:rPr>
          <w:sz w:val="28"/>
          <w:szCs w:val="28"/>
        </w:rPr>
        <w:t>。</w:t>
      </w:r>
    </w:p>
    <w:p>
      <w:pPr>
        <w:spacing w:line="360" w:lineRule="auto"/>
        <w:rPr>
          <w:b/>
          <w:sz w:val="28"/>
          <w:szCs w:val="28"/>
        </w:rPr>
      </w:pPr>
      <w:r>
        <w:rPr>
          <w:rFonts w:hint="eastAsia"/>
          <w:b/>
          <w:sz w:val="28"/>
          <w:szCs w:val="28"/>
        </w:rPr>
        <w:t>六、采购标的验收标准</w:t>
      </w:r>
    </w:p>
    <w:p>
      <w:pPr>
        <w:spacing w:line="360" w:lineRule="auto"/>
        <w:ind w:firstLine="560" w:firstLineChars="200"/>
        <w:rPr>
          <w:sz w:val="28"/>
          <w:szCs w:val="28"/>
        </w:rPr>
      </w:pPr>
      <w:r>
        <w:rPr>
          <w:sz w:val="28"/>
          <w:szCs w:val="28"/>
        </w:rPr>
        <w:t>区指挥中心</w:t>
      </w:r>
      <w:r>
        <w:rPr>
          <w:rFonts w:hint="eastAsia"/>
          <w:sz w:val="28"/>
          <w:szCs w:val="28"/>
        </w:rPr>
        <w:t>将在2</w:t>
      </w:r>
      <w:r>
        <w:rPr>
          <w:sz w:val="28"/>
          <w:szCs w:val="28"/>
        </w:rPr>
        <w:t>025年</w:t>
      </w:r>
      <w:r>
        <w:rPr>
          <w:rFonts w:hint="eastAsia"/>
          <w:sz w:val="28"/>
          <w:szCs w:val="28"/>
        </w:rPr>
        <w:t>6月、2</w:t>
      </w:r>
      <w:r>
        <w:rPr>
          <w:sz w:val="28"/>
          <w:szCs w:val="28"/>
        </w:rPr>
        <w:t>025年</w:t>
      </w:r>
      <w:r>
        <w:rPr>
          <w:rFonts w:hint="eastAsia"/>
          <w:sz w:val="28"/>
          <w:szCs w:val="28"/>
        </w:rPr>
        <w:t>1</w:t>
      </w:r>
      <w:r>
        <w:rPr>
          <w:sz w:val="28"/>
          <w:szCs w:val="28"/>
        </w:rPr>
        <w:t>2月</w:t>
      </w:r>
      <w:r>
        <w:rPr>
          <w:rFonts w:hint="eastAsia"/>
          <w:sz w:val="28"/>
          <w:szCs w:val="28"/>
        </w:rPr>
        <w:t>对项目完成情况进行评估并确认是否同意组织中期验收/项目终验。如不同意验收，向供应商提出书面整改意见，整改完成后重新组织验收；如同意组织验收，采购单位将通知供应商共同组织验收并出具验收报告，验收合格的作为支付款项的依据。</w:t>
      </w:r>
    </w:p>
    <w:p>
      <w:pPr>
        <w:spacing w:line="360" w:lineRule="auto"/>
        <w:rPr>
          <w:b/>
          <w:sz w:val="28"/>
          <w:szCs w:val="28"/>
        </w:rPr>
      </w:pPr>
      <w:r>
        <w:rPr>
          <w:b/>
          <w:sz w:val="28"/>
          <w:szCs w:val="28"/>
        </w:rPr>
        <w:t>七</w:t>
      </w:r>
      <w:r>
        <w:rPr>
          <w:rFonts w:hint="eastAsia"/>
          <w:b/>
          <w:sz w:val="28"/>
          <w:szCs w:val="28"/>
        </w:rPr>
        <w:t>、采购标的其他技术、服务等要求</w:t>
      </w:r>
    </w:p>
    <w:p>
      <w:pPr>
        <w:spacing w:line="360" w:lineRule="auto"/>
        <w:ind w:firstLine="560" w:firstLineChars="200"/>
        <w:rPr>
          <w:sz w:val="28"/>
          <w:szCs w:val="28"/>
        </w:rPr>
      </w:pPr>
      <w:r>
        <w:rPr>
          <w:rFonts w:hint="eastAsia"/>
          <w:sz w:val="28"/>
          <w:szCs w:val="28"/>
        </w:rPr>
        <w:t>本项目评标专家费（包括评标期间所产生的其他费用）等，由中标单位支付（专家费用支付节点以招标人要求为准）。</w:t>
      </w:r>
    </w:p>
    <w:p>
      <w:pPr>
        <w:spacing w:line="360" w:lineRule="auto"/>
        <w:ind w:firstLine="560" w:firstLineChars="200"/>
        <w:rPr>
          <w:sz w:val="28"/>
          <w:szCs w:val="28"/>
        </w:rPr>
      </w:pPr>
      <w:r>
        <w:rPr>
          <w:rFonts w:hint="eastAsia"/>
          <w:sz w:val="28"/>
          <w:szCs w:val="28"/>
        </w:rPr>
        <w:t>供应商报价时需考虑系统运维费用、人员培训费等其它所需的一切费用；投标人要对本次项目进行充分的调研，并制定详细的运维方案，确保在项目运维过程中各类业务系统正常运行。请投标人认真按照要求报价。因报价和质量原因引起的损失，由投标人自行承担。</w:t>
      </w:r>
    </w:p>
    <w:p>
      <w:pPr>
        <w:spacing w:line="360" w:lineRule="auto"/>
        <w:rPr>
          <w:b/>
          <w:sz w:val="28"/>
          <w:szCs w:val="28"/>
        </w:rPr>
      </w:pPr>
      <w:r>
        <w:rPr>
          <w:rFonts w:hint="eastAsia"/>
          <w:b/>
          <w:sz w:val="28"/>
          <w:szCs w:val="28"/>
        </w:rPr>
        <w:t>八、非单一产品采购项目，采购标的中的核心产品</w:t>
      </w:r>
    </w:p>
    <w:p>
      <w:pPr>
        <w:spacing w:line="360" w:lineRule="auto"/>
        <w:ind w:firstLine="560" w:firstLineChars="200"/>
        <w:rPr>
          <w:sz w:val="28"/>
          <w:szCs w:val="28"/>
        </w:rPr>
      </w:pPr>
      <w:r>
        <w:rPr>
          <w:sz w:val="28"/>
          <w:szCs w:val="28"/>
        </w:rPr>
        <w:t>无。</w:t>
      </w:r>
    </w:p>
    <w:p>
      <w:pPr>
        <w:spacing w:line="360" w:lineRule="auto"/>
        <w:rPr>
          <w:b/>
          <w:sz w:val="28"/>
          <w:szCs w:val="28"/>
        </w:rPr>
      </w:pPr>
      <w:r>
        <w:rPr>
          <w:b/>
          <w:sz w:val="28"/>
          <w:szCs w:val="28"/>
        </w:rPr>
        <w:t>九</w:t>
      </w:r>
      <w:r>
        <w:rPr>
          <w:rFonts w:hint="eastAsia"/>
          <w:b/>
          <w:sz w:val="28"/>
          <w:szCs w:val="28"/>
        </w:rPr>
        <w:t>、采购需求中必须满足的实质性要求（请单独列出）</w:t>
      </w:r>
    </w:p>
    <w:p>
      <w:pPr>
        <w:spacing w:line="360" w:lineRule="auto"/>
        <w:ind w:firstLine="560" w:firstLineChars="200"/>
        <w:rPr>
          <w:b/>
          <w:color w:val="000000"/>
          <w:sz w:val="32"/>
          <w:szCs w:val="32"/>
        </w:rPr>
      </w:pPr>
      <w:r>
        <w:rPr>
          <w:sz w:val="28"/>
          <w:szCs w:val="28"/>
        </w:rPr>
        <w:t>无。</w:t>
      </w:r>
    </w:p>
    <w:p>
      <w:pPr>
        <w:spacing w:line="500" w:lineRule="exact"/>
        <w:rPr>
          <w:rFonts w:ascii="宋体" w:hAnsi="宋体" w:cs="宋体"/>
          <w:b/>
          <w:bCs/>
          <w:sz w:val="28"/>
          <w:szCs w:val="28"/>
        </w:rPr>
      </w:pPr>
      <w:r>
        <w:rPr>
          <w:rFonts w:hint="eastAsia" w:ascii="宋体" w:hAnsi="宋体" w:cs="宋体"/>
          <w:b/>
          <w:bCs/>
          <w:sz w:val="28"/>
          <w:szCs w:val="28"/>
        </w:rPr>
        <w:t>十、</w:t>
      </w:r>
      <w:r>
        <w:rPr>
          <w:rFonts w:hint="eastAsia" w:ascii="宋体" w:hAnsi="宋体" w:cs="等线 Light"/>
          <w:b/>
          <w:bCs/>
          <w:sz w:val="28"/>
          <w:szCs w:val="28"/>
        </w:rPr>
        <w:t>付款方式</w:t>
      </w:r>
    </w:p>
    <w:p>
      <w:pPr>
        <w:spacing w:line="460" w:lineRule="exact"/>
        <w:ind w:firstLine="560" w:firstLineChars="200"/>
        <w:rPr>
          <w:rFonts w:ascii="宋体" w:hAnsi="宋体" w:cs="等线"/>
          <w:sz w:val="28"/>
          <w:szCs w:val="28"/>
        </w:rPr>
      </w:pPr>
      <w:r>
        <w:rPr>
          <w:rFonts w:hint="eastAsia" w:ascii="宋体" w:hAnsi="宋体" w:cs="等线"/>
          <w:sz w:val="28"/>
          <w:szCs w:val="28"/>
        </w:rPr>
        <w:t>合同签订后</w:t>
      </w:r>
      <w:r>
        <w:rPr>
          <w:rFonts w:hint="eastAsia" w:ascii="宋体" w:hAnsi="宋体" w:cs="等线"/>
          <w:sz w:val="28"/>
          <w:szCs w:val="28"/>
          <w:lang w:val="en-US" w:eastAsia="zh-CN"/>
        </w:rPr>
        <w:t>20</w:t>
      </w:r>
      <w:r>
        <w:rPr>
          <w:rFonts w:hint="eastAsia" w:ascii="宋体" w:hAnsi="宋体" w:cs="等线"/>
          <w:sz w:val="28"/>
          <w:szCs w:val="28"/>
        </w:rPr>
        <w:t>个工作日内，支付运维费用的20%；2025年6月30日前，通过验收后支付运维费用的40%；2025年12月31日前，通过验收后支付运维费用的40%。</w:t>
      </w:r>
    </w:p>
    <w:p>
      <w:pPr>
        <w:spacing w:line="460" w:lineRule="exact"/>
        <w:ind w:firstLine="560" w:firstLineChars="200"/>
        <w:rPr>
          <w:rFonts w:ascii="宋体" w:hAnsi="宋体" w:cs="等线"/>
          <w:sz w:val="28"/>
          <w:szCs w:val="28"/>
        </w:rPr>
      </w:pPr>
      <w:r>
        <w:rPr>
          <w:rFonts w:hint="eastAsia" w:ascii="宋体" w:hAnsi="宋体" w:cs="等线"/>
          <w:sz w:val="28"/>
          <w:szCs w:val="28"/>
        </w:rPr>
        <w:t>每次付款乙方须开具等额增值税发票交甲方财务入账为必要条件。</w:t>
      </w:r>
    </w:p>
    <w:p>
      <w:pPr>
        <w:spacing w:line="460" w:lineRule="exact"/>
        <w:ind w:firstLine="560" w:firstLineChars="200"/>
        <w:rPr>
          <w:rFonts w:ascii="宋体" w:hAnsi="宋体" w:cs="宋体"/>
          <w:color w:val="FF0000"/>
          <w:sz w:val="28"/>
          <w:szCs w:val="28"/>
        </w:rPr>
      </w:pPr>
    </w:p>
    <w:p>
      <w:pPr>
        <w:spacing w:line="460" w:lineRule="exact"/>
        <w:jc w:val="center"/>
        <w:rPr>
          <w:rFonts w:ascii="宋体" w:hAnsi="宋体" w:cs="宋体"/>
          <w:b/>
          <w:sz w:val="32"/>
          <w:szCs w:val="32"/>
        </w:rPr>
      </w:pPr>
      <w:r>
        <w:rPr>
          <w:bCs/>
        </w:rPr>
        <w:br w:type="page"/>
      </w:r>
      <w:r>
        <w:rPr>
          <w:rFonts w:hint="eastAsia" w:ascii="宋体" w:hAnsi="宋体" w:cs="宋体"/>
          <w:bCs/>
          <w:sz w:val="36"/>
          <w:szCs w:val="36"/>
        </w:rPr>
        <w:t>第四部分 评审方法和评审标准</w:t>
      </w:r>
    </w:p>
    <w:p>
      <w:pPr>
        <w:adjustRightInd w:val="0"/>
        <w:snapToGrid w:val="0"/>
        <w:spacing w:line="460" w:lineRule="exact"/>
        <w:ind w:firstLine="562" w:firstLineChars="200"/>
        <w:jc w:val="left"/>
        <w:textAlignment w:val="baseline"/>
        <w:outlineLvl w:val="1"/>
        <w:rPr>
          <w:rFonts w:ascii="宋体" w:hAnsi="宋体" w:cs="宋体"/>
          <w:b/>
          <w:sz w:val="28"/>
          <w:szCs w:val="28"/>
        </w:rPr>
      </w:pPr>
      <w:r>
        <w:rPr>
          <w:rFonts w:hint="eastAsia" w:ascii="宋体" w:hAnsi="宋体" w:cs="宋体"/>
          <w:b/>
          <w:sz w:val="28"/>
          <w:szCs w:val="28"/>
        </w:rPr>
        <w:t>一、</w:t>
      </w:r>
      <w:r>
        <w:rPr>
          <w:rFonts w:hint="eastAsia" w:ascii="宋体" w:hAnsi="宋体" w:cs="宋体"/>
          <w:bCs/>
          <w:sz w:val="28"/>
          <w:szCs w:val="28"/>
        </w:rPr>
        <w:t>磋商方式</w:t>
      </w:r>
    </w:p>
    <w:p>
      <w:pPr>
        <w:tabs>
          <w:tab w:val="left" w:pos="3585"/>
        </w:tabs>
        <w:adjustRightInd w:val="0"/>
        <w:snapToGrid w:val="0"/>
        <w:spacing w:line="460" w:lineRule="exact"/>
        <w:ind w:firstLine="537" w:firstLineChars="192"/>
        <w:rPr>
          <w:rFonts w:ascii="宋体" w:hAnsi="宋体" w:cs="宋体"/>
          <w:sz w:val="28"/>
          <w:szCs w:val="28"/>
        </w:rPr>
      </w:pPr>
      <w:r>
        <w:rPr>
          <w:rFonts w:hint="eastAsia" w:ascii="宋体" w:hAnsi="宋体" w:cs="宋体"/>
          <w:sz w:val="28"/>
          <w:szCs w:val="28"/>
        </w:rPr>
        <w:t>见面磋商模式：供应商在采购文件规定的时间和地点参加磋商活动。</w:t>
      </w:r>
    </w:p>
    <w:p>
      <w:pPr>
        <w:adjustRightInd w:val="0"/>
        <w:snapToGrid w:val="0"/>
        <w:spacing w:line="460" w:lineRule="exact"/>
        <w:ind w:firstLine="562" w:firstLineChars="200"/>
        <w:jc w:val="left"/>
        <w:textAlignment w:val="baseline"/>
        <w:outlineLvl w:val="1"/>
        <w:rPr>
          <w:rFonts w:ascii="宋体" w:hAnsi="宋体" w:cs="宋体"/>
          <w:sz w:val="28"/>
          <w:szCs w:val="28"/>
        </w:rPr>
      </w:pPr>
      <w:r>
        <w:rPr>
          <w:rFonts w:hint="eastAsia" w:ascii="宋体" w:hAnsi="宋体" w:cs="宋体"/>
          <w:b/>
          <w:sz w:val="28"/>
          <w:szCs w:val="28"/>
        </w:rPr>
        <w:t>二、</w:t>
      </w:r>
      <w:r>
        <w:rPr>
          <w:rFonts w:hint="eastAsia" w:ascii="宋体" w:hAnsi="宋体" w:cs="宋体"/>
          <w:sz w:val="28"/>
          <w:szCs w:val="28"/>
        </w:rPr>
        <w:t>磋商程序及评审方法和标准</w:t>
      </w:r>
    </w:p>
    <w:p>
      <w:pPr>
        <w:adjustRightInd w:val="0"/>
        <w:snapToGrid w:val="0"/>
        <w:spacing w:line="460" w:lineRule="exact"/>
        <w:ind w:firstLine="691" w:firstLineChars="247"/>
        <w:rPr>
          <w:rFonts w:ascii="宋体" w:hAnsi="宋体" w:cs="宋体"/>
          <w:bCs/>
          <w:sz w:val="28"/>
          <w:szCs w:val="28"/>
        </w:rPr>
      </w:pPr>
      <w:r>
        <w:rPr>
          <w:rFonts w:hint="eastAsia" w:ascii="宋体" w:hAnsi="宋体" w:cs="宋体"/>
          <w:bCs/>
          <w:sz w:val="28"/>
          <w:szCs w:val="28"/>
        </w:rPr>
        <w:t>1.评审方法：综合评分法，经磋商确定最终采购需求和提交最后报价的供应商后，由磋商小组采用综合评分法对提交最后报价的供应商的响应文件和最后报价进行综合评分。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460" w:lineRule="exact"/>
        <w:ind w:firstLine="700" w:firstLineChars="250"/>
        <w:rPr>
          <w:rFonts w:ascii="宋体" w:hAnsi="宋体" w:cs="宋体"/>
          <w:bCs/>
          <w:sz w:val="28"/>
          <w:szCs w:val="28"/>
        </w:rPr>
      </w:pPr>
      <w:r>
        <w:rPr>
          <w:rFonts w:hint="eastAsia" w:ascii="宋体" w:hAnsi="宋体" w:cs="宋体"/>
          <w:bCs/>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商务技术部分评审结束后进入最后报价环节，最后报价将作为评审价。采购人发送最后报价填报通知后，所有的响应供应商须在15分钟内填写并提交最后报价，未在规定时间内提交最后报价的，视作无效响应处理。</w:t>
      </w:r>
    </w:p>
    <w:p>
      <w:pPr>
        <w:adjustRightInd w:val="0"/>
        <w:snapToGrid w:val="0"/>
        <w:spacing w:line="460" w:lineRule="exact"/>
        <w:ind w:firstLine="555"/>
        <w:rPr>
          <w:rFonts w:ascii="宋体" w:hAnsi="宋体" w:cs="宋体"/>
          <w:sz w:val="28"/>
          <w:szCs w:val="28"/>
        </w:rPr>
      </w:pPr>
      <w:r>
        <w:rPr>
          <w:rFonts w:hint="eastAsia" w:ascii="宋体" w:hAnsi="宋体" w:cs="宋体"/>
          <w:sz w:val="28"/>
          <w:szCs w:val="28"/>
        </w:rPr>
        <w:t>供应商商务、技术部分和价格部分的合计分值，为该供应商的评审总得分。</w:t>
      </w:r>
    </w:p>
    <w:p>
      <w:pPr>
        <w:adjustRightInd w:val="0"/>
        <w:snapToGrid w:val="0"/>
        <w:spacing w:line="460" w:lineRule="exact"/>
        <w:ind w:firstLine="555"/>
        <w:rPr>
          <w:rFonts w:ascii="宋体" w:hAnsi="宋体" w:cs="宋体"/>
          <w:sz w:val="28"/>
          <w:szCs w:val="28"/>
        </w:rPr>
      </w:pPr>
      <w:r>
        <w:rPr>
          <w:rFonts w:hint="eastAsia" w:ascii="宋体" w:hAnsi="宋体" w:cs="宋体"/>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460" w:lineRule="exact"/>
        <w:ind w:firstLine="555"/>
        <w:rPr>
          <w:rFonts w:ascii="宋体" w:hAnsi="宋体" w:cs="宋体"/>
          <w:sz w:val="28"/>
          <w:szCs w:val="28"/>
        </w:rPr>
      </w:pPr>
      <w:r>
        <w:rPr>
          <w:rFonts w:hint="eastAsia" w:ascii="宋体" w:hAnsi="宋体" w:cs="宋体"/>
          <w:sz w:val="28"/>
          <w:szCs w:val="28"/>
        </w:rPr>
        <w:t>评委在认真审阅响应文件的基础上，根据各响应文件的响应程度独立评判，不得统一打分。</w:t>
      </w:r>
    </w:p>
    <w:p>
      <w:pPr>
        <w:adjustRightInd w:val="0"/>
        <w:snapToGrid w:val="0"/>
        <w:spacing w:line="460" w:lineRule="exact"/>
        <w:ind w:firstLine="555"/>
        <w:rPr>
          <w:rFonts w:ascii="宋体" w:hAnsi="宋体" w:cs="宋体"/>
          <w:sz w:val="28"/>
          <w:szCs w:val="28"/>
        </w:rPr>
      </w:pPr>
      <w:r>
        <w:rPr>
          <w:rFonts w:hint="eastAsia" w:ascii="宋体" w:hAnsi="宋体" w:cs="宋体"/>
          <w:sz w:val="28"/>
          <w:szCs w:val="28"/>
        </w:rPr>
        <w:t>技术商务部分评审结束后，再开启最后报价计算分值。总分值为100分，加分和减分因素除外。</w:t>
      </w:r>
    </w:p>
    <w:p>
      <w:pPr>
        <w:adjustRightInd w:val="0"/>
        <w:snapToGrid w:val="0"/>
        <w:spacing w:line="460" w:lineRule="exact"/>
        <w:ind w:firstLine="579" w:firstLineChars="206"/>
        <w:outlineLvl w:val="2"/>
        <w:rPr>
          <w:rFonts w:ascii="宋体" w:hAnsi="宋体" w:cs="宋体"/>
          <w:b/>
          <w:sz w:val="28"/>
          <w:szCs w:val="28"/>
        </w:rPr>
      </w:pPr>
      <w:r>
        <w:rPr>
          <w:rFonts w:hint="eastAsia" w:ascii="宋体" w:hAnsi="宋体" w:cs="宋体"/>
          <w:b/>
          <w:sz w:val="28"/>
          <w:szCs w:val="28"/>
        </w:rPr>
        <w:t>（一）采购人（代表）对供应商资格进行审查。</w:t>
      </w:r>
    </w:p>
    <w:p>
      <w:pPr>
        <w:adjustRightInd w:val="0"/>
        <w:snapToGrid w:val="0"/>
        <w:spacing w:line="460" w:lineRule="exact"/>
        <w:ind w:firstLine="576" w:firstLineChars="206"/>
        <w:rPr>
          <w:rFonts w:ascii="宋体" w:hAnsi="宋体" w:cs="宋体"/>
          <w:kern w:val="0"/>
          <w:sz w:val="28"/>
          <w:szCs w:val="28"/>
        </w:rPr>
      </w:pPr>
      <w:r>
        <w:rPr>
          <w:rFonts w:hint="eastAsia" w:ascii="宋体" w:hAnsi="宋体" w:cs="宋体"/>
          <w:kern w:val="0"/>
          <w:sz w:val="28"/>
          <w:szCs w:val="28"/>
        </w:rPr>
        <w:t>供应商资格不合格的，其响应文件判定为无效响应文件。</w:t>
      </w:r>
    </w:p>
    <w:p>
      <w:pPr>
        <w:adjustRightInd w:val="0"/>
        <w:snapToGrid w:val="0"/>
        <w:spacing w:line="460" w:lineRule="exact"/>
        <w:ind w:firstLine="579" w:firstLineChars="206"/>
        <w:outlineLvl w:val="2"/>
        <w:rPr>
          <w:rFonts w:ascii="宋体" w:hAnsi="宋体" w:cs="宋体"/>
          <w:b/>
          <w:sz w:val="28"/>
          <w:szCs w:val="28"/>
        </w:rPr>
      </w:pPr>
      <w:r>
        <w:rPr>
          <w:rFonts w:hint="eastAsia" w:ascii="宋体" w:hAnsi="宋体" w:cs="宋体"/>
          <w:b/>
          <w:sz w:val="28"/>
          <w:szCs w:val="28"/>
        </w:rPr>
        <w:t>（二）磋商小组对符合资格供应商的响应文件进行符合性审查。</w:t>
      </w:r>
    </w:p>
    <w:p>
      <w:pPr>
        <w:adjustRightInd w:val="0"/>
        <w:snapToGrid w:val="0"/>
        <w:spacing w:line="460" w:lineRule="exact"/>
        <w:ind w:firstLine="576" w:firstLineChars="206"/>
        <w:rPr>
          <w:rFonts w:ascii="宋体" w:hAnsi="宋体" w:cs="宋体"/>
          <w:kern w:val="0"/>
          <w:sz w:val="28"/>
          <w:szCs w:val="28"/>
        </w:rPr>
      </w:pPr>
      <w:r>
        <w:rPr>
          <w:rFonts w:hint="eastAsia" w:ascii="宋体" w:hAnsi="宋体" w:cs="宋体"/>
          <w:kern w:val="0"/>
          <w:sz w:val="28"/>
          <w:szCs w:val="28"/>
        </w:rPr>
        <w:t xml:space="preserve">未通过符合性审查的响应文件，将被判为不满足磋商文件实质性要求。 </w:t>
      </w:r>
    </w:p>
    <w:p>
      <w:pPr>
        <w:adjustRightInd w:val="0"/>
        <w:snapToGrid w:val="0"/>
        <w:spacing w:line="460" w:lineRule="exact"/>
        <w:ind w:firstLine="560" w:firstLineChars="200"/>
        <w:jc w:val="left"/>
        <w:outlineLvl w:val="2"/>
        <w:rPr>
          <w:rFonts w:ascii="宋体" w:hAnsi="宋体" w:cs="宋体"/>
          <w:sz w:val="28"/>
          <w:szCs w:val="28"/>
          <w:lang w:val="zh-CN"/>
        </w:rPr>
      </w:pPr>
      <w:r>
        <w:rPr>
          <w:rFonts w:hint="eastAsia" w:ascii="宋体" w:hAnsi="宋体" w:cs="宋体"/>
          <w:sz w:val="28"/>
          <w:szCs w:val="28"/>
          <w:lang w:val="zh-CN"/>
        </w:rPr>
        <w:t>（三）商务技术分：</w:t>
      </w:r>
      <w:r>
        <w:rPr>
          <w:rFonts w:ascii="宋体" w:hAnsi="宋体" w:cs="宋体"/>
          <w:sz w:val="28"/>
          <w:szCs w:val="28"/>
        </w:rPr>
        <w:t>7</w:t>
      </w:r>
      <w:r>
        <w:rPr>
          <w:rFonts w:hint="eastAsia" w:ascii="宋体" w:hAnsi="宋体" w:cs="宋体"/>
          <w:sz w:val="28"/>
          <w:szCs w:val="28"/>
        </w:rPr>
        <w:t>0</w:t>
      </w:r>
      <w:r>
        <w:rPr>
          <w:rFonts w:hint="eastAsia" w:ascii="宋体" w:hAnsi="宋体" w:cs="宋体"/>
          <w:sz w:val="28"/>
          <w:szCs w:val="28"/>
          <w:lang w:val="zh-CN"/>
        </w:rPr>
        <w:t>分</w:t>
      </w:r>
    </w:p>
    <w:p>
      <w:pPr>
        <w:adjustRightInd w:val="0"/>
        <w:snapToGrid w:val="0"/>
        <w:spacing w:line="460" w:lineRule="exact"/>
        <w:ind w:firstLine="700" w:firstLineChars="250"/>
        <w:jc w:val="left"/>
        <w:rPr>
          <w:rFonts w:ascii="宋体" w:hAnsi="宋体" w:cs="宋体"/>
          <w:sz w:val="28"/>
          <w:szCs w:val="28"/>
        </w:rPr>
      </w:pPr>
      <w:r>
        <w:rPr>
          <w:rFonts w:hint="eastAsia" w:ascii="宋体" w:hAnsi="宋体" w:cs="宋体"/>
          <w:sz w:val="28"/>
          <w:szCs w:val="28"/>
        </w:rPr>
        <w:t>各供应商得分为磋商小组成员评分的算术平均分，分值保留小数点后两位。</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1357"/>
        <w:gridCol w:w="684"/>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40" w:type="dxa"/>
            <w:vAlign w:val="center"/>
          </w:tcPr>
          <w:p>
            <w:pPr>
              <w:jc w:val="center"/>
              <w:rPr>
                <w:b/>
                <w:bCs/>
                <w:szCs w:val="28"/>
              </w:rPr>
            </w:pPr>
            <w:r>
              <w:rPr>
                <w:rFonts w:hint="eastAsia"/>
                <w:b/>
                <w:bCs/>
                <w:szCs w:val="28"/>
              </w:rPr>
              <w:t>序号</w:t>
            </w:r>
          </w:p>
        </w:tc>
        <w:tc>
          <w:tcPr>
            <w:tcW w:w="1357" w:type="dxa"/>
            <w:vAlign w:val="center"/>
          </w:tcPr>
          <w:p>
            <w:pPr>
              <w:jc w:val="center"/>
              <w:rPr>
                <w:b/>
                <w:bCs/>
                <w:szCs w:val="28"/>
              </w:rPr>
            </w:pPr>
            <w:r>
              <w:rPr>
                <w:rFonts w:hint="eastAsia"/>
                <w:b/>
                <w:bCs/>
                <w:szCs w:val="28"/>
              </w:rPr>
              <w:t>评分点名称</w:t>
            </w:r>
          </w:p>
        </w:tc>
        <w:tc>
          <w:tcPr>
            <w:tcW w:w="684" w:type="dxa"/>
            <w:vAlign w:val="center"/>
          </w:tcPr>
          <w:p>
            <w:pPr>
              <w:jc w:val="center"/>
              <w:rPr>
                <w:b/>
                <w:bCs/>
                <w:szCs w:val="28"/>
              </w:rPr>
            </w:pPr>
            <w:r>
              <w:rPr>
                <w:rFonts w:hint="eastAsia"/>
                <w:b/>
                <w:bCs/>
                <w:szCs w:val="28"/>
              </w:rPr>
              <w:t>分值</w:t>
            </w:r>
          </w:p>
        </w:tc>
        <w:tc>
          <w:tcPr>
            <w:tcW w:w="6342" w:type="dxa"/>
            <w:vAlign w:val="center"/>
          </w:tcPr>
          <w:p>
            <w:pPr>
              <w:jc w:val="center"/>
              <w:rPr>
                <w:b/>
                <w:bCs/>
                <w:szCs w:val="28"/>
              </w:rPr>
            </w:pPr>
            <w:r>
              <w:rPr>
                <w:rFonts w:hint="eastAsia"/>
                <w:b/>
                <w:bCs/>
                <w:szCs w:val="28"/>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40" w:type="dxa"/>
            <w:vMerge w:val="restart"/>
            <w:vAlign w:val="center"/>
          </w:tcPr>
          <w:p>
            <w:pPr>
              <w:spacing w:line="360" w:lineRule="auto"/>
              <w:jc w:val="center"/>
              <w:rPr>
                <w:szCs w:val="28"/>
              </w:rPr>
            </w:pPr>
            <w:r>
              <w:rPr>
                <w:rFonts w:hint="eastAsia"/>
                <w:szCs w:val="28"/>
              </w:rPr>
              <w:t>1</w:t>
            </w:r>
          </w:p>
        </w:tc>
        <w:tc>
          <w:tcPr>
            <w:tcW w:w="1357" w:type="dxa"/>
            <w:vMerge w:val="restart"/>
            <w:vAlign w:val="center"/>
          </w:tcPr>
          <w:p>
            <w:pPr>
              <w:widowControl/>
              <w:jc w:val="center"/>
            </w:pPr>
            <w:r>
              <w:rPr>
                <w:rFonts w:hint="eastAsia"/>
              </w:rPr>
              <w:t>企业能力(10分）</w:t>
            </w:r>
          </w:p>
        </w:tc>
        <w:tc>
          <w:tcPr>
            <w:tcW w:w="684" w:type="dxa"/>
            <w:vMerge w:val="restart"/>
            <w:vAlign w:val="center"/>
          </w:tcPr>
          <w:p>
            <w:pPr>
              <w:spacing w:line="360" w:lineRule="auto"/>
              <w:jc w:val="center"/>
            </w:pPr>
            <w:r>
              <w:rPr>
                <w:rFonts w:hint="eastAsia"/>
              </w:rPr>
              <w:t>10</w:t>
            </w:r>
          </w:p>
        </w:tc>
        <w:tc>
          <w:tcPr>
            <w:tcW w:w="6342" w:type="dxa"/>
            <w:vAlign w:val="center"/>
          </w:tcPr>
          <w:p>
            <w:pPr>
              <w:widowControl/>
              <w:spacing w:line="360" w:lineRule="exact"/>
              <w:ind w:firstLine="440"/>
            </w:pPr>
            <w:r>
              <w:rPr>
                <w:rFonts w:hint="eastAsia"/>
              </w:rPr>
              <w:t>具有ISO14001环境管理体系认证证书的得2分，没有的不得分。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40" w:type="dxa"/>
            <w:vMerge w:val="continue"/>
            <w:vAlign w:val="center"/>
          </w:tcPr>
          <w:p>
            <w:pPr>
              <w:spacing w:line="360" w:lineRule="auto"/>
              <w:ind w:firstLine="444"/>
              <w:jc w:val="center"/>
              <w:rPr>
                <w:szCs w:val="28"/>
              </w:rPr>
            </w:pPr>
          </w:p>
        </w:tc>
        <w:tc>
          <w:tcPr>
            <w:tcW w:w="1357" w:type="dxa"/>
            <w:vMerge w:val="continue"/>
            <w:vAlign w:val="center"/>
          </w:tcPr>
          <w:p>
            <w:pPr>
              <w:spacing w:line="360" w:lineRule="auto"/>
              <w:jc w:val="center"/>
              <w:rPr>
                <w:szCs w:val="28"/>
              </w:rPr>
            </w:pPr>
          </w:p>
        </w:tc>
        <w:tc>
          <w:tcPr>
            <w:tcW w:w="684" w:type="dxa"/>
            <w:vMerge w:val="continue"/>
            <w:vAlign w:val="center"/>
          </w:tcPr>
          <w:p>
            <w:pPr>
              <w:spacing w:line="360" w:lineRule="auto"/>
              <w:ind w:firstLine="440"/>
              <w:jc w:val="center"/>
              <w:rPr>
                <w:szCs w:val="28"/>
              </w:rPr>
            </w:pPr>
          </w:p>
        </w:tc>
        <w:tc>
          <w:tcPr>
            <w:tcW w:w="6342" w:type="dxa"/>
            <w:vAlign w:val="center"/>
          </w:tcPr>
          <w:p>
            <w:pPr>
              <w:widowControl/>
              <w:spacing w:line="360" w:lineRule="exact"/>
              <w:ind w:firstLine="440"/>
            </w:pPr>
            <w:r>
              <w:rPr>
                <w:rFonts w:hint="eastAsia"/>
              </w:rPr>
              <w:t>具有ISO27001信息安全体系认证证书的得2分，没有的不得分。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40" w:type="dxa"/>
            <w:vMerge w:val="continue"/>
            <w:vAlign w:val="center"/>
          </w:tcPr>
          <w:p>
            <w:pPr>
              <w:spacing w:line="360" w:lineRule="auto"/>
              <w:ind w:firstLine="444"/>
              <w:jc w:val="center"/>
              <w:rPr>
                <w:szCs w:val="28"/>
              </w:rPr>
            </w:pPr>
          </w:p>
        </w:tc>
        <w:tc>
          <w:tcPr>
            <w:tcW w:w="1357" w:type="dxa"/>
            <w:vMerge w:val="continue"/>
            <w:vAlign w:val="center"/>
          </w:tcPr>
          <w:p>
            <w:pPr>
              <w:spacing w:line="360" w:lineRule="auto"/>
              <w:jc w:val="center"/>
              <w:rPr>
                <w:szCs w:val="28"/>
              </w:rPr>
            </w:pPr>
          </w:p>
        </w:tc>
        <w:tc>
          <w:tcPr>
            <w:tcW w:w="684" w:type="dxa"/>
            <w:vMerge w:val="continue"/>
            <w:vAlign w:val="center"/>
          </w:tcPr>
          <w:p>
            <w:pPr>
              <w:spacing w:line="360" w:lineRule="auto"/>
              <w:ind w:firstLine="440"/>
              <w:jc w:val="center"/>
              <w:rPr>
                <w:szCs w:val="28"/>
              </w:rPr>
            </w:pPr>
          </w:p>
        </w:tc>
        <w:tc>
          <w:tcPr>
            <w:tcW w:w="6342" w:type="dxa"/>
            <w:vAlign w:val="center"/>
          </w:tcPr>
          <w:p>
            <w:pPr>
              <w:widowControl/>
              <w:spacing w:line="360" w:lineRule="exact"/>
              <w:ind w:firstLine="440"/>
            </w:pPr>
            <w:r>
              <w:rPr>
                <w:rFonts w:hint="eastAsia"/>
              </w:rPr>
              <w:t>具有ISO20000信息技术服务管理体系认证证书的得2分，没有的不得分。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740" w:type="dxa"/>
            <w:vMerge w:val="continue"/>
            <w:vAlign w:val="center"/>
          </w:tcPr>
          <w:p>
            <w:pPr>
              <w:spacing w:line="360" w:lineRule="auto"/>
              <w:ind w:firstLine="444"/>
              <w:jc w:val="center"/>
              <w:rPr>
                <w:szCs w:val="28"/>
              </w:rPr>
            </w:pPr>
          </w:p>
        </w:tc>
        <w:tc>
          <w:tcPr>
            <w:tcW w:w="1357" w:type="dxa"/>
            <w:vMerge w:val="continue"/>
            <w:vAlign w:val="center"/>
          </w:tcPr>
          <w:p>
            <w:pPr>
              <w:spacing w:line="360" w:lineRule="auto"/>
              <w:jc w:val="center"/>
              <w:rPr>
                <w:szCs w:val="28"/>
              </w:rPr>
            </w:pPr>
          </w:p>
        </w:tc>
        <w:tc>
          <w:tcPr>
            <w:tcW w:w="684" w:type="dxa"/>
            <w:vMerge w:val="continue"/>
            <w:vAlign w:val="center"/>
          </w:tcPr>
          <w:p>
            <w:pPr>
              <w:spacing w:line="360" w:lineRule="auto"/>
              <w:ind w:firstLine="440"/>
              <w:jc w:val="center"/>
              <w:rPr>
                <w:szCs w:val="28"/>
              </w:rPr>
            </w:pPr>
          </w:p>
        </w:tc>
        <w:tc>
          <w:tcPr>
            <w:tcW w:w="6342" w:type="dxa"/>
            <w:vAlign w:val="center"/>
          </w:tcPr>
          <w:p>
            <w:pPr>
              <w:widowControl/>
              <w:spacing w:line="360" w:lineRule="exact"/>
              <w:ind w:firstLine="440"/>
            </w:pPr>
            <w:r>
              <w:rPr>
                <w:rFonts w:hint="eastAsia"/>
              </w:rPr>
              <w:t>具有ISO9001质量管理管理体系认证证书的得2分，没有的不得分。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40" w:type="dxa"/>
            <w:vMerge w:val="continue"/>
            <w:vAlign w:val="center"/>
          </w:tcPr>
          <w:p>
            <w:pPr>
              <w:spacing w:line="360" w:lineRule="auto"/>
              <w:ind w:firstLine="444"/>
              <w:jc w:val="center"/>
              <w:rPr>
                <w:szCs w:val="28"/>
              </w:rPr>
            </w:pPr>
          </w:p>
        </w:tc>
        <w:tc>
          <w:tcPr>
            <w:tcW w:w="1357" w:type="dxa"/>
            <w:vMerge w:val="continue"/>
            <w:vAlign w:val="center"/>
          </w:tcPr>
          <w:p>
            <w:pPr>
              <w:spacing w:line="360" w:lineRule="auto"/>
              <w:jc w:val="center"/>
              <w:rPr>
                <w:szCs w:val="28"/>
              </w:rPr>
            </w:pPr>
          </w:p>
        </w:tc>
        <w:tc>
          <w:tcPr>
            <w:tcW w:w="684" w:type="dxa"/>
            <w:vMerge w:val="continue"/>
            <w:vAlign w:val="center"/>
          </w:tcPr>
          <w:p>
            <w:pPr>
              <w:spacing w:line="360" w:lineRule="auto"/>
              <w:ind w:firstLine="440"/>
              <w:jc w:val="center"/>
              <w:rPr>
                <w:szCs w:val="28"/>
              </w:rPr>
            </w:pPr>
          </w:p>
        </w:tc>
        <w:tc>
          <w:tcPr>
            <w:tcW w:w="6342" w:type="dxa"/>
            <w:vAlign w:val="center"/>
          </w:tcPr>
          <w:p>
            <w:pPr>
              <w:pStyle w:val="109"/>
              <w:spacing w:line="360" w:lineRule="exact"/>
              <w:ind w:firstLine="440"/>
              <w:rPr>
                <w:rFonts w:ascii="宋体" w:hAnsi="宋体" w:eastAsia="宋体" w:cs="宋体"/>
                <w:sz w:val="22"/>
                <w:szCs w:val="22"/>
                <w:lang w:val="zh-CN"/>
              </w:rPr>
            </w:pPr>
            <w:r>
              <w:rPr>
                <w:rFonts w:hint="eastAsia" w:ascii="宋体" w:hAnsi="宋体" w:eastAsia="宋体" w:cs="宋体"/>
                <w:sz w:val="22"/>
                <w:szCs w:val="22"/>
                <w:lang w:val="zh-CN"/>
              </w:rPr>
              <w:t>具有I</w:t>
            </w:r>
            <w:r>
              <w:rPr>
                <w:rFonts w:ascii="宋体" w:hAnsi="宋体" w:eastAsia="宋体" w:cs="宋体"/>
                <w:sz w:val="22"/>
                <w:szCs w:val="22"/>
                <w:lang w:val="zh-CN"/>
              </w:rPr>
              <w:t>TSS</w:t>
            </w:r>
            <w:r>
              <w:rPr>
                <w:rFonts w:hint="eastAsia" w:ascii="宋体" w:hAnsi="宋体" w:eastAsia="宋体" w:cs="宋体"/>
                <w:sz w:val="22"/>
                <w:szCs w:val="22"/>
                <w:lang w:val="zh-CN"/>
              </w:rPr>
              <w:t>三级及以上的证书的得</w:t>
            </w:r>
            <w:r>
              <w:rPr>
                <w:rFonts w:ascii="宋体" w:hAnsi="宋体" w:eastAsia="宋体" w:cs="宋体"/>
                <w:sz w:val="22"/>
                <w:szCs w:val="22"/>
                <w:lang w:val="zh-CN"/>
              </w:rPr>
              <w:t>2</w:t>
            </w:r>
            <w:r>
              <w:rPr>
                <w:rFonts w:hint="eastAsia" w:ascii="宋体" w:hAnsi="宋体" w:eastAsia="宋体" w:cs="宋体"/>
                <w:sz w:val="22"/>
                <w:szCs w:val="22"/>
                <w:lang w:val="zh-CN"/>
              </w:rPr>
              <w:t>分，没有的不得分。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740" w:type="dxa"/>
            <w:vMerge w:val="restart"/>
            <w:vAlign w:val="center"/>
          </w:tcPr>
          <w:p>
            <w:pPr>
              <w:spacing w:line="360" w:lineRule="auto"/>
              <w:jc w:val="center"/>
              <w:rPr>
                <w:szCs w:val="28"/>
              </w:rPr>
            </w:pPr>
            <w:r>
              <w:rPr>
                <w:rFonts w:hint="eastAsia"/>
                <w:szCs w:val="28"/>
              </w:rPr>
              <w:t>2</w:t>
            </w:r>
          </w:p>
        </w:tc>
        <w:tc>
          <w:tcPr>
            <w:tcW w:w="1357" w:type="dxa"/>
            <w:vMerge w:val="restart"/>
            <w:vAlign w:val="center"/>
          </w:tcPr>
          <w:p>
            <w:pPr>
              <w:jc w:val="center"/>
              <w:rPr>
                <w:szCs w:val="28"/>
              </w:rPr>
            </w:pPr>
            <w:r>
              <w:rPr>
                <w:rFonts w:hint="eastAsia"/>
                <w:szCs w:val="28"/>
              </w:rPr>
              <w:t>团队技术能力（</w:t>
            </w:r>
            <w:r>
              <w:rPr>
                <w:szCs w:val="28"/>
              </w:rPr>
              <w:t>8</w:t>
            </w:r>
            <w:r>
              <w:rPr>
                <w:rFonts w:hint="eastAsia"/>
                <w:szCs w:val="28"/>
              </w:rPr>
              <w:t>分）</w:t>
            </w:r>
          </w:p>
        </w:tc>
        <w:tc>
          <w:tcPr>
            <w:tcW w:w="684" w:type="dxa"/>
            <w:vAlign w:val="center"/>
          </w:tcPr>
          <w:p>
            <w:pPr>
              <w:spacing w:line="360" w:lineRule="auto"/>
              <w:jc w:val="center"/>
              <w:rPr>
                <w:szCs w:val="28"/>
              </w:rPr>
            </w:pPr>
            <w:r>
              <w:rPr>
                <w:rFonts w:hint="eastAsia"/>
                <w:szCs w:val="28"/>
              </w:rPr>
              <w:t>5</w:t>
            </w:r>
          </w:p>
        </w:tc>
        <w:tc>
          <w:tcPr>
            <w:tcW w:w="6342" w:type="dxa"/>
            <w:vAlign w:val="center"/>
          </w:tcPr>
          <w:p>
            <w:pPr>
              <w:spacing w:line="360" w:lineRule="exact"/>
              <w:ind w:firstLine="444"/>
            </w:pPr>
            <w:r>
              <w:rPr>
                <w:rFonts w:hint="eastAsia"/>
              </w:rPr>
              <w:t>团队负责人具有硕士研究生及以上学历、同时具有计算机类中级及以上职称的，得5分；</w:t>
            </w:r>
          </w:p>
          <w:p>
            <w:pPr>
              <w:spacing w:line="360" w:lineRule="exact"/>
              <w:ind w:firstLine="440"/>
            </w:pPr>
            <w:r>
              <w:rPr>
                <w:rFonts w:hint="eastAsia"/>
              </w:rPr>
              <w:t>团队负责人具有本科学历，同时具有计算机类中级职称的，得3分；否则不得分。</w:t>
            </w:r>
          </w:p>
          <w:p>
            <w:pPr>
              <w:spacing w:line="360" w:lineRule="exact"/>
            </w:pPr>
            <w:r>
              <w:rPr>
                <w:rFonts w:hint="eastAsia"/>
              </w:rPr>
              <w:t>（提供毕业证书扫描件与学信网截图、职称证书扫描件及投标人为其缴纳的投标截止时间前一个月的养老保险缴费证明；注册不到一个月的新公司可以不提供养老保险缴费证明。）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740" w:type="dxa"/>
            <w:vMerge w:val="continue"/>
            <w:vAlign w:val="center"/>
          </w:tcPr>
          <w:p>
            <w:pPr>
              <w:spacing w:line="360" w:lineRule="auto"/>
              <w:ind w:firstLine="444"/>
              <w:jc w:val="center"/>
              <w:rPr>
                <w:szCs w:val="28"/>
              </w:rPr>
            </w:pPr>
          </w:p>
        </w:tc>
        <w:tc>
          <w:tcPr>
            <w:tcW w:w="1357" w:type="dxa"/>
            <w:vMerge w:val="continue"/>
            <w:vAlign w:val="center"/>
          </w:tcPr>
          <w:p>
            <w:pPr>
              <w:jc w:val="center"/>
              <w:rPr>
                <w:szCs w:val="28"/>
              </w:rPr>
            </w:pPr>
          </w:p>
        </w:tc>
        <w:tc>
          <w:tcPr>
            <w:tcW w:w="684" w:type="dxa"/>
            <w:vAlign w:val="center"/>
          </w:tcPr>
          <w:p>
            <w:pPr>
              <w:spacing w:line="360" w:lineRule="auto"/>
              <w:jc w:val="center"/>
              <w:rPr>
                <w:szCs w:val="28"/>
              </w:rPr>
            </w:pPr>
            <w:r>
              <w:rPr>
                <w:szCs w:val="28"/>
              </w:rPr>
              <w:t>3</w:t>
            </w:r>
          </w:p>
        </w:tc>
        <w:tc>
          <w:tcPr>
            <w:tcW w:w="6342" w:type="dxa"/>
            <w:vAlign w:val="center"/>
          </w:tcPr>
          <w:p>
            <w:pPr>
              <w:spacing w:line="360" w:lineRule="exact"/>
              <w:ind w:firstLine="440"/>
            </w:pPr>
            <w:r>
              <w:rPr>
                <w:rFonts w:hint="eastAsia"/>
              </w:rPr>
              <w:t>团队成员（不包括团队负责人）中有智能化/电气/计算机中级及以上职称，每有1人得1分，最高得</w:t>
            </w:r>
            <w:r>
              <w:t>3</w:t>
            </w:r>
            <w:r>
              <w:rPr>
                <w:rFonts w:hint="eastAsia"/>
              </w:rPr>
              <w:t>分；相同人员重复不得分。</w:t>
            </w:r>
          </w:p>
          <w:p>
            <w:pPr>
              <w:spacing w:line="360" w:lineRule="exact"/>
            </w:pPr>
            <w:r>
              <w:rPr>
                <w:rFonts w:hint="eastAsia"/>
              </w:rPr>
              <w:t>（提供相应的证书扫描件及投标人为其缴纳的投标截止时间前一个月的养老保险缴费证明；注册不到一个月的新公司可以不提供养老保险缴费证明。）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740" w:type="dxa"/>
            <w:vAlign w:val="center"/>
          </w:tcPr>
          <w:p>
            <w:pPr>
              <w:spacing w:line="360" w:lineRule="auto"/>
              <w:jc w:val="center"/>
              <w:rPr>
                <w:szCs w:val="28"/>
              </w:rPr>
            </w:pPr>
            <w:r>
              <w:rPr>
                <w:rFonts w:hint="eastAsia"/>
                <w:szCs w:val="28"/>
              </w:rPr>
              <w:t>3</w:t>
            </w:r>
          </w:p>
        </w:tc>
        <w:tc>
          <w:tcPr>
            <w:tcW w:w="1357" w:type="dxa"/>
            <w:vAlign w:val="center"/>
          </w:tcPr>
          <w:p>
            <w:pPr>
              <w:widowControl/>
              <w:jc w:val="center"/>
            </w:pPr>
            <w:r>
              <w:rPr>
                <w:rFonts w:hint="eastAsia"/>
              </w:rPr>
              <w:t>类似业绩(20分）</w:t>
            </w:r>
          </w:p>
        </w:tc>
        <w:tc>
          <w:tcPr>
            <w:tcW w:w="684" w:type="dxa"/>
            <w:vAlign w:val="center"/>
          </w:tcPr>
          <w:p>
            <w:pPr>
              <w:widowControl/>
              <w:jc w:val="center"/>
            </w:pPr>
            <w:r>
              <w:rPr>
                <w:rFonts w:hint="eastAsia"/>
              </w:rPr>
              <w:t>20</w:t>
            </w:r>
          </w:p>
        </w:tc>
        <w:tc>
          <w:tcPr>
            <w:tcW w:w="6342" w:type="dxa"/>
            <w:vAlign w:val="center"/>
          </w:tcPr>
          <w:p>
            <w:pPr>
              <w:widowControl/>
              <w:spacing w:line="360" w:lineRule="exact"/>
              <w:ind w:firstLine="440"/>
            </w:pPr>
            <w:r>
              <w:rPr>
                <w:rFonts w:hint="eastAsia"/>
              </w:rPr>
              <w:t>投标人自2</w:t>
            </w:r>
            <w:r>
              <w:t>021</w:t>
            </w:r>
            <w:r>
              <w:rPr>
                <w:rFonts w:hint="eastAsia"/>
              </w:rPr>
              <w:t>年</w:t>
            </w:r>
            <w:r>
              <w:t>8</w:t>
            </w:r>
            <w:r>
              <w:rPr>
                <w:rFonts w:hint="eastAsia"/>
              </w:rPr>
              <w:t>月1日以来实施过类似综合性单位或体系（包括硬件设备及软件运维）的运维服务项目，有一个得4分，最多得20分。没有或业绩内容不符合的不得分。（提供合同及发票，时间以发票为准。）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vMerge w:val="restart"/>
            <w:vAlign w:val="center"/>
          </w:tcPr>
          <w:p>
            <w:pPr>
              <w:spacing w:line="360" w:lineRule="auto"/>
              <w:jc w:val="center"/>
              <w:rPr>
                <w:szCs w:val="28"/>
              </w:rPr>
            </w:pPr>
            <w:r>
              <w:rPr>
                <w:rFonts w:hint="eastAsia"/>
                <w:szCs w:val="28"/>
              </w:rPr>
              <w:t>4</w:t>
            </w:r>
          </w:p>
        </w:tc>
        <w:tc>
          <w:tcPr>
            <w:tcW w:w="1357" w:type="dxa"/>
            <w:vMerge w:val="restart"/>
            <w:vAlign w:val="center"/>
          </w:tcPr>
          <w:p>
            <w:pPr>
              <w:spacing w:line="360" w:lineRule="auto"/>
              <w:jc w:val="center"/>
              <w:rPr>
                <w:szCs w:val="28"/>
              </w:rPr>
            </w:pPr>
            <w:r>
              <w:rPr>
                <w:rFonts w:hint="eastAsia"/>
                <w:szCs w:val="28"/>
              </w:rPr>
              <w:t>维保服务方案（</w:t>
            </w:r>
            <w:r>
              <w:rPr>
                <w:szCs w:val="28"/>
              </w:rPr>
              <w:t>20</w:t>
            </w:r>
            <w:r>
              <w:rPr>
                <w:rFonts w:hint="eastAsia"/>
                <w:szCs w:val="28"/>
              </w:rPr>
              <w:t>分）</w:t>
            </w:r>
          </w:p>
        </w:tc>
        <w:tc>
          <w:tcPr>
            <w:tcW w:w="684" w:type="dxa"/>
            <w:vAlign w:val="center"/>
          </w:tcPr>
          <w:p>
            <w:pPr>
              <w:spacing w:line="360" w:lineRule="auto"/>
              <w:jc w:val="center"/>
              <w:rPr>
                <w:szCs w:val="28"/>
              </w:rPr>
            </w:pPr>
            <w:r>
              <w:rPr>
                <w:szCs w:val="28"/>
              </w:rPr>
              <w:t>4</w:t>
            </w:r>
          </w:p>
        </w:tc>
        <w:tc>
          <w:tcPr>
            <w:tcW w:w="6342" w:type="dxa"/>
            <w:vAlign w:val="center"/>
          </w:tcPr>
          <w:p>
            <w:pPr>
              <w:spacing w:line="360" w:lineRule="exact"/>
              <w:ind w:firstLine="444"/>
              <w:rPr>
                <w:szCs w:val="28"/>
              </w:rPr>
            </w:pPr>
            <w:r>
              <w:rPr>
                <w:rFonts w:hint="eastAsia"/>
                <w:szCs w:val="28"/>
              </w:rPr>
              <w:t>运维方案对数据资产统计、业务数据更新描述内容完整、内容详实的，得</w:t>
            </w:r>
            <w:r>
              <w:rPr>
                <w:szCs w:val="28"/>
              </w:rPr>
              <w:t>4</w:t>
            </w:r>
            <w:r>
              <w:rPr>
                <w:rFonts w:hint="eastAsia"/>
                <w:szCs w:val="28"/>
              </w:rPr>
              <w:t>分；内容完整，内容一般的，得</w:t>
            </w:r>
            <w:r>
              <w:rPr>
                <w:szCs w:val="28"/>
              </w:rPr>
              <w:t>2</w:t>
            </w:r>
            <w:r>
              <w:rPr>
                <w:rFonts w:hint="eastAsia"/>
                <w:szCs w:val="28"/>
              </w:rPr>
              <w:t>分；内容不完整的，不符合集成运维要求的，得1分。不提供不得分。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vMerge w:val="continue"/>
            <w:vAlign w:val="center"/>
          </w:tcPr>
          <w:p>
            <w:pPr>
              <w:spacing w:line="360" w:lineRule="auto"/>
              <w:jc w:val="center"/>
              <w:rPr>
                <w:szCs w:val="28"/>
              </w:rPr>
            </w:pPr>
          </w:p>
        </w:tc>
        <w:tc>
          <w:tcPr>
            <w:tcW w:w="1357" w:type="dxa"/>
            <w:vMerge w:val="continue"/>
            <w:vAlign w:val="center"/>
          </w:tcPr>
          <w:p>
            <w:pPr>
              <w:spacing w:line="360" w:lineRule="auto"/>
              <w:jc w:val="center"/>
              <w:rPr>
                <w:szCs w:val="28"/>
              </w:rPr>
            </w:pPr>
          </w:p>
        </w:tc>
        <w:tc>
          <w:tcPr>
            <w:tcW w:w="684" w:type="dxa"/>
            <w:vAlign w:val="center"/>
          </w:tcPr>
          <w:p>
            <w:pPr>
              <w:spacing w:line="360" w:lineRule="auto"/>
              <w:jc w:val="center"/>
              <w:rPr>
                <w:szCs w:val="28"/>
              </w:rPr>
            </w:pPr>
            <w:r>
              <w:rPr>
                <w:szCs w:val="28"/>
              </w:rPr>
              <w:t>4</w:t>
            </w:r>
          </w:p>
        </w:tc>
        <w:tc>
          <w:tcPr>
            <w:tcW w:w="6342" w:type="dxa"/>
            <w:vAlign w:val="center"/>
          </w:tcPr>
          <w:p>
            <w:pPr>
              <w:spacing w:line="360" w:lineRule="exact"/>
              <w:ind w:firstLine="444"/>
              <w:rPr>
                <w:szCs w:val="28"/>
              </w:rPr>
            </w:pPr>
            <w:r>
              <w:rPr>
                <w:rFonts w:hint="eastAsia"/>
                <w:szCs w:val="28"/>
              </w:rPr>
              <w:t>运维方案对运维故障的处理，描述准确，处理方案准确及时的，服务得</w:t>
            </w:r>
            <w:r>
              <w:rPr>
                <w:szCs w:val="28"/>
              </w:rPr>
              <w:t>4</w:t>
            </w:r>
            <w:r>
              <w:rPr>
                <w:rFonts w:hint="eastAsia"/>
                <w:szCs w:val="28"/>
              </w:rPr>
              <w:t>分；运维故障的描述、处置方案一般的，得</w:t>
            </w:r>
            <w:r>
              <w:rPr>
                <w:szCs w:val="28"/>
              </w:rPr>
              <w:t>2</w:t>
            </w:r>
            <w:r>
              <w:rPr>
                <w:rFonts w:hint="eastAsia"/>
                <w:szCs w:val="28"/>
              </w:rPr>
              <w:t>分；较差的得1分；不提供不得分。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vMerge w:val="continue"/>
            <w:vAlign w:val="center"/>
          </w:tcPr>
          <w:p>
            <w:pPr>
              <w:spacing w:line="360" w:lineRule="auto"/>
              <w:jc w:val="center"/>
              <w:rPr>
                <w:szCs w:val="28"/>
              </w:rPr>
            </w:pPr>
          </w:p>
        </w:tc>
        <w:tc>
          <w:tcPr>
            <w:tcW w:w="1357" w:type="dxa"/>
            <w:vMerge w:val="continue"/>
            <w:vAlign w:val="center"/>
          </w:tcPr>
          <w:p>
            <w:pPr>
              <w:spacing w:line="360" w:lineRule="auto"/>
              <w:jc w:val="center"/>
              <w:rPr>
                <w:szCs w:val="28"/>
              </w:rPr>
            </w:pPr>
          </w:p>
        </w:tc>
        <w:tc>
          <w:tcPr>
            <w:tcW w:w="684" w:type="dxa"/>
            <w:vAlign w:val="center"/>
          </w:tcPr>
          <w:p>
            <w:pPr>
              <w:spacing w:line="360" w:lineRule="auto"/>
              <w:jc w:val="center"/>
              <w:rPr>
                <w:szCs w:val="28"/>
              </w:rPr>
            </w:pPr>
            <w:r>
              <w:rPr>
                <w:szCs w:val="28"/>
              </w:rPr>
              <w:t>4</w:t>
            </w:r>
          </w:p>
        </w:tc>
        <w:tc>
          <w:tcPr>
            <w:tcW w:w="6342" w:type="dxa"/>
            <w:vAlign w:val="center"/>
          </w:tcPr>
          <w:p>
            <w:pPr>
              <w:spacing w:line="360" w:lineRule="exact"/>
              <w:ind w:firstLine="444"/>
              <w:rPr>
                <w:szCs w:val="28"/>
              </w:rPr>
            </w:pPr>
            <w:r>
              <w:rPr>
                <w:rFonts w:hint="eastAsia"/>
                <w:szCs w:val="28"/>
              </w:rPr>
              <w:t>运维方案中渗透测试、漏洞扫描、网络安全服务描述内容完整、内容详实的，得</w:t>
            </w:r>
            <w:r>
              <w:rPr>
                <w:szCs w:val="28"/>
              </w:rPr>
              <w:t>4</w:t>
            </w:r>
            <w:r>
              <w:rPr>
                <w:rFonts w:hint="eastAsia"/>
                <w:szCs w:val="28"/>
              </w:rPr>
              <w:t>分；内容完整，内容一般的，得</w:t>
            </w:r>
            <w:r>
              <w:rPr>
                <w:szCs w:val="28"/>
              </w:rPr>
              <w:t>2</w:t>
            </w:r>
            <w:r>
              <w:rPr>
                <w:rFonts w:hint="eastAsia"/>
                <w:szCs w:val="28"/>
              </w:rPr>
              <w:t>分；内容不完整的，不符合集成运维要求的，得1分。不提供不得分。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vMerge w:val="continue"/>
            <w:vAlign w:val="center"/>
          </w:tcPr>
          <w:p>
            <w:pPr>
              <w:spacing w:line="360" w:lineRule="auto"/>
              <w:jc w:val="center"/>
              <w:rPr>
                <w:szCs w:val="28"/>
              </w:rPr>
            </w:pPr>
          </w:p>
        </w:tc>
        <w:tc>
          <w:tcPr>
            <w:tcW w:w="1357" w:type="dxa"/>
            <w:vMerge w:val="continue"/>
            <w:vAlign w:val="center"/>
          </w:tcPr>
          <w:p>
            <w:pPr>
              <w:spacing w:line="360" w:lineRule="auto"/>
              <w:jc w:val="center"/>
              <w:rPr>
                <w:szCs w:val="28"/>
              </w:rPr>
            </w:pPr>
          </w:p>
        </w:tc>
        <w:tc>
          <w:tcPr>
            <w:tcW w:w="684" w:type="dxa"/>
            <w:vAlign w:val="center"/>
          </w:tcPr>
          <w:p>
            <w:pPr>
              <w:spacing w:line="360" w:lineRule="auto"/>
              <w:jc w:val="center"/>
              <w:rPr>
                <w:szCs w:val="28"/>
              </w:rPr>
            </w:pPr>
            <w:r>
              <w:rPr>
                <w:szCs w:val="28"/>
              </w:rPr>
              <w:t>4</w:t>
            </w:r>
          </w:p>
        </w:tc>
        <w:tc>
          <w:tcPr>
            <w:tcW w:w="6342" w:type="dxa"/>
            <w:vAlign w:val="center"/>
          </w:tcPr>
          <w:p>
            <w:pPr>
              <w:spacing w:line="360" w:lineRule="exact"/>
              <w:ind w:firstLine="444"/>
              <w:rPr>
                <w:szCs w:val="28"/>
              </w:rPr>
            </w:pPr>
            <w:r>
              <w:rPr>
                <w:rFonts w:hint="eastAsia"/>
                <w:szCs w:val="28"/>
              </w:rPr>
              <w:t>运维方案中运维范围内的所有各类活动保障，各类活动描述准确，保障流程、内容详实可操作的，得</w:t>
            </w:r>
            <w:r>
              <w:rPr>
                <w:szCs w:val="28"/>
              </w:rPr>
              <w:t>4分；描述、可操作性一般的，得2分；较差的得1分。不提供不得分。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vMerge w:val="continue"/>
            <w:vAlign w:val="center"/>
          </w:tcPr>
          <w:p>
            <w:pPr>
              <w:spacing w:line="360" w:lineRule="auto"/>
              <w:jc w:val="center"/>
              <w:rPr>
                <w:szCs w:val="28"/>
              </w:rPr>
            </w:pPr>
          </w:p>
        </w:tc>
        <w:tc>
          <w:tcPr>
            <w:tcW w:w="1357" w:type="dxa"/>
            <w:vMerge w:val="continue"/>
            <w:vAlign w:val="center"/>
          </w:tcPr>
          <w:p>
            <w:pPr>
              <w:widowControl/>
              <w:spacing w:line="500" w:lineRule="exact"/>
              <w:jc w:val="center"/>
            </w:pPr>
          </w:p>
        </w:tc>
        <w:tc>
          <w:tcPr>
            <w:tcW w:w="684" w:type="dxa"/>
            <w:vAlign w:val="center"/>
          </w:tcPr>
          <w:p>
            <w:pPr>
              <w:widowControl/>
              <w:spacing w:line="500" w:lineRule="exact"/>
              <w:jc w:val="center"/>
            </w:pPr>
            <w:r>
              <w:t>4</w:t>
            </w:r>
          </w:p>
        </w:tc>
        <w:tc>
          <w:tcPr>
            <w:tcW w:w="6342" w:type="dxa"/>
            <w:vAlign w:val="center"/>
          </w:tcPr>
          <w:p>
            <w:pPr>
              <w:spacing w:line="360" w:lineRule="exact"/>
              <w:ind w:firstLine="444"/>
              <w:rPr>
                <w:szCs w:val="28"/>
              </w:rPr>
            </w:pPr>
            <w:r>
              <w:rPr>
                <w:rFonts w:hint="eastAsia"/>
                <w:szCs w:val="28"/>
              </w:rPr>
              <w:t>运维方案中应急处置预案能够适应区指挥中心出现的各类紧急情况的，得</w:t>
            </w:r>
            <w:r>
              <w:rPr>
                <w:szCs w:val="28"/>
              </w:rPr>
              <w:t>4</w:t>
            </w:r>
            <w:r>
              <w:rPr>
                <w:rFonts w:hint="eastAsia"/>
                <w:szCs w:val="28"/>
              </w:rPr>
              <w:t>分；内容泛泛而不适的得</w:t>
            </w:r>
            <w:r>
              <w:rPr>
                <w:szCs w:val="28"/>
              </w:rPr>
              <w:t>2</w:t>
            </w:r>
            <w:r>
              <w:rPr>
                <w:rFonts w:hint="eastAsia"/>
                <w:szCs w:val="28"/>
              </w:rPr>
              <w:t>分；较差的得1分；不提供不得分。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740" w:type="dxa"/>
            <w:vMerge w:val="restart"/>
            <w:vAlign w:val="center"/>
          </w:tcPr>
          <w:p>
            <w:pPr>
              <w:spacing w:line="360" w:lineRule="auto"/>
              <w:jc w:val="center"/>
              <w:rPr>
                <w:szCs w:val="28"/>
              </w:rPr>
            </w:pPr>
            <w:r>
              <w:rPr>
                <w:szCs w:val="28"/>
              </w:rPr>
              <w:t>5</w:t>
            </w:r>
          </w:p>
        </w:tc>
        <w:tc>
          <w:tcPr>
            <w:tcW w:w="1357" w:type="dxa"/>
            <w:vMerge w:val="restart"/>
            <w:vAlign w:val="center"/>
          </w:tcPr>
          <w:p>
            <w:pPr>
              <w:widowControl/>
              <w:spacing w:line="500" w:lineRule="exact"/>
              <w:jc w:val="center"/>
            </w:pPr>
            <w:r>
              <w:rPr>
                <w:rFonts w:hint="eastAsia"/>
              </w:rPr>
              <w:t>运维和应急保障能力（</w:t>
            </w:r>
            <w:r>
              <w:t>12</w:t>
            </w:r>
            <w:r>
              <w:rPr>
                <w:rFonts w:hint="eastAsia"/>
              </w:rPr>
              <w:t>分）</w:t>
            </w:r>
          </w:p>
        </w:tc>
        <w:tc>
          <w:tcPr>
            <w:tcW w:w="684" w:type="dxa"/>
            <w:vAlign w:val="center"/>
          </w:tcPr>
          <w:p>
            <w:pPr>
              <w:spacing w:line="500" w:lineRule="exact"/>
              <w:jc w:val="center"/>
            </w:pPr>
            <w:r>
              <w:t>6</w:t>
            </w:r>
          </w:p>
        </w:tc>
        <w:tc>
          <w:tcPr>
            <w:tcW w:w="6342" w:type="dxa"/>
            <w:vAlign w:val="center"/>
          </w:tcPr>
          <w:p>
            <w:pPr>
              <w:spacing w:line="360" w:lineRule="exact"/>
              <w:ind w:firstLine="440"/>
            </w:pPr>
            <w:r>
              <w:rPr>
                <w:rFonts w:hint="eastAsia"/>
              </w:rPr>
              <w:t>应急方案：为了保证运维服务和应急处置保障能力，投标单位提供应急保障、活动服务解决方案，方案清晰明了的，得</w:t>
            </w:r>
            <w:r>
              <w:t>6</w:t>
            </w:r>
            <w:r>
              <w:rPr>
                <w:rFonts w:hint="eastAsia"/>
              </w:rPr>
              <w:t>分；方案一般的，得</w:t>
            </w:r>
            <w:r>
              <w:t>3</w:t>
            </w:r>
            <w:r>
              <w:rPr>
                <w:rFonts w:hint="eastAsia"/>
              </w:rPr>
              <w:t>分；不提供的，不得分。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740" w:type="dxa"/>
            <w:vMerge w:val="continue"/>
            <w:vAlign w:val="center"/>
          </w:tcPr>
          <w:p>
            <w:pPr>
              <w:spacing w:line="360" w:lineRule="auto"/>
              <w:ind w:firstLine="444"/>
              <w:jc w:val="center"/>
              <w:rPr>
                <w:szCs w:val="28"/>
              </w:rPr>
            </w:pPr>
          </w:p>
        </w:tc>
        <w:tc>
          <w:tcPr>
            <w:tcW w:w="1357" w:type="dxa"/>
            <w:vMerge w:val="continue"/>
            <w:vAlign w:val="center"/>
          </w:tcPr>
          <w:p>
            <w:pPr>
              <w:widowControl/>
              <w:spacing w:line="500" w:lineRule="exact"/>
              <w:jc w:val="center"/>
            </w:pPr>
          </w:p>
        </w:tc>
        <w:tc>
          <w:tcPr>
            <w:tcW w:w="684" w:type="dxa"/>
            <w:vAlign w:val="center"/>
          </w:tcPr>
          <w:p>
            <w:pPr>
              <w:spacing w:line="500" w:lineRule="exact"/>
              <w:jc w:val="center"/>
            </w:pPr>
            <w:r>
              <w:t>6</w:t>
            </w:r>
          </w:p>
        </w:tc>
        <w:tc>
          <w:tcPr>
            <w:tcW w:w="6342" w:type="dxa"/>
            <w:vAlign w:val="center"/>
          </w:tcPr>
          <w:p>
            <w:pPr>
              <w:spacing w:line="360" w:lineRule="exact"/>
              <w:ind w:firstLine="440"/>
            </w:pPr>
            <w:r>
              <w:rPr>
                <w:rFonts w:hint="eastAsia"/>
              </w:rPr>
              <w:t>根据应急方案提供相应的满足（1</w:t>
            </w:r>
            <w:r>
              <w:t>0</w:t>
            </w:r>
            <w:r>
              <w:rPr>
                <w:rFonts w:hint="eastAsia"/>
              </w:rPr>
              <w:t>分钟到达现场）的佐证材料，佐证材料真实可信、切实可行的得</w:t>
            </w:r>
            <w:r>
              <w:t>6</w:t>
            </w:r>
            <w:r>
              <w:rPr>
                <w:rFonts w:hint="eastAsia"/>
              </w:rPr>
              <w:t>分，一般仅理论可行的，得</w:t>
            </w:r>
            <w:r>
              <w:t>3</w:t>
            </w:r>
            <w:r>
              <w:rPr>
                <w:rFonts w:hint="eastAsia"/>
              </w:rPr>
              <w:t>分；不提供的，不得分。</w:t>
            </w:r>
          </w:p>
        </w:tc>
      </w:tr>
    </w:tbl>
    <w:p>
      <w:pPr>
        <w:pStyle w:val="2"/>
        <w:spacing w:before="120" w:after="120"/>
        <w:rPr>
          <w:rFonts w:hint="eastAsia"/>
        </w:rPr>
      </w:pPr>
    </w:p>
    <w:p>
      <w:pPr>
        <w:ind w:firstLine="562" w:firstLineChars="200"/>
        <w:rPr>
          <w:rFonts w:ascii="宋体" w:hAnsi="宋体" w:cs="宋体"/>
          <w:sz w:val="28"/>
          <w:szCs w:val="28"/>
        </w:rPr>
      </w:pPr>
      <w:r>
        <w:rPr>
          <w:rFonts w:hint="eastAsia" w:ascii="宋体" w:hAnsi="宋体" w:cs="宋体"/>
          <w:b/>
          <w:sz w:val="28"/>
          <w:szCs w:val="28"/>
        </w:rPr>
        <w:t>（四）</w:t>
      </w:r>
      <w:r>
        <w:rPr>
          <w:rFonts w:hint="eastAsia" w:ascii="宋体" w:hAnsi="宋体" w:cs="宋体"/>
          <w:b/>
          <w:sz w:val="28"/>
          <w:szCs w:val="28"/>
          <w:lang w:val="zh-CN"/>
        </w:rPr>
        <w:t>价格分</w:t>
      </w:r>
      <w:r>
        <w:rPr>
          <w:rFonts w:hint="eastAsia" w:ascii="宋体" w:hAnsi="宋体" w:cs="宋体"/>
          <w:b/>
          <w:sz w:val="28"/>
          <w:szCs w:val="28"/>
        </w:rPr>
        <w:t>：</w:t>
      </w:r>
      <w:r>
        <w:rPr>
          <w:rFonts w:ascii="宋体" w:hAnsi="宋体" w:cs="宋体"/>
          <w:sz w:val="28"/>
          <w:szCs w:val="28"/>
        </w:rPr>
        <w:t>3</w:t>
      </w:r>
      <w:r>
        <w:rPr>
          <w:rFonts w:hint="eastAsia" w:ascii="宋体" w:hAnsi="宋体" w:cs="宋体"/>
          <w:sz w:val="28"/>
          <w:szCs w:val="28"/>
        </w:rPr>
        <w:t>0</w:t>
      </w:r>
      <w:r>
        <w:rPr>
          <w:rFonts w:hint="eastAsia" w:ascii="宋体" w:hAnsi="宋体" w:cs="宋体"/>
          <w:sz w:val="28"/>
          <w:szCs w:val="28"/>
          <w:lang w:val="zh-CN"/>
        </w:rPr>
        <w:t>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磋商报价得分=（磋商基准价/最后磋商报价）×10分</w:t>
      </w:r>
    </w:p>
    <w:p>
      <w:pPr>
        <w:adjustRightInd w:val="0"/>
        <w:snapToGrid w:val="0"/>
        <w:spacing w:line="460" w:lineRule="exact"/>
        <w:ind w:firstLine="570"/>
        <w:rPr>
          <w:rFonts w:ascii="宋体" w:hAnsi="宋体" w:cs="宋体"/>
          <w:sz w:val="28"/>
          <w:szCs w:val="28"/>
        </w:rPr>
      </w:pPr>
      <w:r>
        <w:rPr>
          <w:rFonts w:hint="eastAsia" w:ascii="宋体" w:hAnsi="宋体" w:cs="宋体"/>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napToGrid w:val="0"/>
        <w:spacing w:line="460" w:lineRule="exact"/>
        <w:ind w:firstLine="570"/>
        <w:outlineLvl w:val="2"/>
        <w:rPr>
          <w:rFonts w:ascii="宋体" w:hAnsi="宋体" w:cs="宋体"/>
          <w:bCs/>
          <w:sz w:val="28"/>
          <w:szCs w:val="28"/>
        </w:rPr>
      </w:pPr>
      <w:r>
        <w:rPr>
          <w:rFonts w:hint="eastAsia" w:ascii="宋体" w:hAnsi="宋体" w:cs="宋体"/>
          <w:b/>
          <w:sz w:val="28"/>
          <w:szCs w:val="28"/>
        </w:rPr>
        <w:t>（五）成交供应商的确定</w:t>
      </w:r>
    </w:p>
    <w:p>
      <w:pPr>
        <w:adjustRightInd w:val="0"/>
        <w:snapToGrid w:val="0"/>
        <w:spacing w:line="460" w:lineRule="exact"/>
        <w:ind w:firstLine="570"/>
        <w:rPr>
          <w:rFonts w:ascii="宋体" w:hAnsi="宋体" w:cs="宋体"/>
          <w:sz w:val="28"/>
          <w:szCs w:val="28"/>
        </w:rPr>
      </w:pPr>
      <w:r>
        <w:rPr>
          <w:rFonts w:hint="eastAsia" w:ascii="宋体" w:hAnsi="宋体" w:cs="宋体"/>
          <w:sz w:val="28"/>
          <w:szCs w:val="28"/>
        </w:rPr>
        <w:t>磋商小组汇总各评委评分后，按照得分从高到低的顺序推荐三名成交候选人，并编写评审报告。</w:t>
      </w:r>
    </w:p>
    <w:p>
      <w:pPr>
        <w:adjustRightInd w:val="0"/>
        <w:snapToGrid w:val="0"/>
        <w:spacing w:line="460" w:lineRule="exact"/>
        <w:ind w:firstLine="570"/>
        <w:rPr>
          <w:rFonts w:ascii="宋体" w:hAnsi="宋体" w:cs="宋体"/>
          <w:sz w:val="28"/>
          <w:szCs w:val="28"/>
        </w:rPr>
      </w:pPr>
      <w:r>
        <w:rPr>
          <w:rFonts w:hint="eastAsia" w:ascii="宋体" w:hAnsi="宋体" w:cs="宋体"/>
          <w:sz w:val="28"/>
          <w:szCs w:val="28"/>
        </w:rPr>
        <w:t>采购人委托磋商小组直接确定排名第一的成交候选人为成交供应商。</w:t>
      </w:r>
    </w:p>
    <w:p>
      <w:pPr>
        <w:adjustRightInd w:val="0"/>
        <w:snapToGrid w:val="0"/>
        <w:spacing w:line="460" w:lineRule="exact"/>
        <w:ind w:firstLine="562" w:firstLineChars="200"/>
        <w:outlineLvl w:val="2"/>
        <w:rPr>
          <w:rFonts w:ascii="宋体" w:hAnsi="宋体" w:cs="宋体"/>
          <w:b/>
          <w:sz w:val="28"/>
          <w:szCs w:val="28"/>
        </w:rPr>
      </w:pPr>
      <w:r>
        <w:rPr>
          <w:rFonts w:hint="eastAsia" w:ascii="宋体" w:hAnsi="宋体" w:cs="宋体"/>
          <w:b/>
          <w:sz w:val="28"/>
          <w:szCs w:val="28"/>
        </w:rPr>
        <w:t>（六）公告成交结果</w:t>
      </w:r>
    </w:p>
    <w:p>
      <w:pPr>
        <w:adjustRightInd w:val="0"/>
        <w:snapToGrid w:val="0"/>
        <w:spacing w:line="460" w:lineRule="exact"/>
        <w:ind w:firstLine="570"/>
        <w:rPr>
          <w:rFonts w:ascii="宋体" w:hAnsi="宋体" w:cs="宋体"/>
          <w:sz w:val="28"/>
          <w:szCs w:val="28"/>
        </w:rPr>
      </w:pPr>
      <w:r>
        <w:rPr>
          <w:rFonts w:hint="eastAsia" w:ascii="宋体" w:hAnsi="宋体" w:cs="宋体"/>
          <w:sz w:val="28"/>
          <w:szCs w:val="28"/>
        </w:rPr>
        <w:t>自确定成交供应商之日起2个工作日内，在南通市海门区人民政府网站公告成交结果，公告期限为1个工作日。</w:t>
      </w:r>
    </w:p>
    <w:p>
      <w:pPr>
        <w:adjustRightInd w:val="0"/>
        <w:snapToGrid w:val="0"/>
        <w:spacing w:line="460" w:lineRule="exact"/>
        <w:ind w:firstLine="562" w:firstLineChars="200"/>
        <w:outlineLvl w:val="2"/>
        <w:rPr>
          <w:rFonts w:ascii="宋体" w:hAnsi="宋体" w:cs="宋体"/>
          <w:b/>
          <w:bCs/>
          <w:sz w:val="28"/>
          <w:szCs w:val="28"/>
        </w:rPr>
      </w:pPr>
      <w:r>
        <w:rPr>
          <w:rFonts w:hint="eastAsia" w:ascii="宋体" w:hAnsi="宋体" w:cs="宋体"/>
          <w:b/>
          <w:sz w:val="28"/>
          <w:szCs w:val="28"/>
        </w:rPr>
        <w:t>（七）</w:t>
      </w:r>
      <w:r>
        <w:rPr>
          <w:rFonts w:hint="eastAsia" w:ascii="宋体" w:hAnsi="宋体" w:cs="宋体"/>
          <w:b/>
          <w:bCs/>
          <w:sz w:val="28"/>
          <w:szCs w:val="28"/>
        </w:rPr>
        <w:t>发放成交通知书</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sz w:val="28"/>
          <w:szCs w:val="28"/>
        </w:rPr>
        <w:t>公告成交结果的同时，采购人</w:t>
      </w:r>
      <w:r>
        <w:rPr>
          <w:rFonts w:hint="eastAsia" w:ascii="宋体" w:hAnsi="宋体" w:cs="宋体"/>
          <w:bCs/>
          <w:sz w:val="28"/>
          <w:szCs w:val="28"/>
        </w:rPr>
        <w:t>向成交供应商发放成交通知书。</w:t>
      </w:r>
    </w:p>
    <w:p>
      <w:pPr>
        <w:adjustRightInd w:val="0"/>
        <w:snapToGrid w:val="0"/>
        <w:spacing w:line="460" w:lineRule="exact"/>
        <w:ind w:firstLine="570"/>
        <w:rPr>
          <w:rFonts w:ascii="宋体" w:hAnsi="宋体" w:cs="宋体"/>
          <w:sz w:val="28"/>
          <w:szCs w:val="28"/>
        </w:rPr>
      </w:pPr>
      <w:r>
        <w:rPr>
          <w:rFonts w:hint="eastAsia" w:ascii="宋体" w:hAnsi="宋体" w:cs="宋体"/>
          <w:sz w:val="28"/>
          <w:szCs w:val="28"/>
        </w:rPr>
        <w:t>成交通知书发出后，采购人不得违法改变成交结果，成交供应商无正当理由不得放弃成交。</w:t>
      </w:r>
    </w:p>
    <w:p>
      <w:pPr>
        <w:snapToGrid w:val="0"/>
        <w:spacing w:line="460" w:lineRule="exact"/>
        <w:ind w:firstLine="562" w:firstLineChars="200"/>
        <w:rPr>
          <w:rFonts w:ascii="宋体" w:hAnsi="宋体" w:cs="宋体"/>
          <w:b/>
          <w:sz w:val="28"/>
          <w:szCs w:val="28"/>
        </w:rPr>
      </w:pPr>
      <w:r>
        <w:rPr>
          <w:rFonts w:hint="eastAsia" w:ascii="宋体" w:hAnsi="宋体" w:cs="宋体"/>
          <w:b/>
          <w:sz w:val="28"/>
          <w:szCs w:val="28"/>
        </w:rPr>
        <w:t>（八）其他</w:t>
      </w:r>
    </w:p>
    <w:p>
      <w:pPr>
        <w:adjustRightInd w:val="0"/>
        <w:snapToGrid w:val="0"/>
        <w:spacing w:line="460" w:lineRule="exact"/>
        <w:ind w:firstLine="570"/>
        <w:rPr>
          <w:rFonts w:ascii="宋体" w:hAnsi="宋体" w:cs="宋体"/>
          <w:sz w:val="28"/>
          <w:szCs w:val="28"/>
        </w:rPr>
      </w:pPr>
      <w:r>
        <w:rPr>
          <w:rFonts w:hint="eastAsia" w:ascii="宋体" w:hAnsi="宋体" w:cs="宋体"/>
          <w:sz w:val="28"/>
          <w:szCs w:val="28"/>
        </w:rPr>
        <w:t>当中标候选人无正当理由放弃中标，被查实存在影响中标结果的违法行为等情形，采购人有权按照相关法律法规的规定对其采取惩戒措施，包含但不限于列入采购失信人黑名单等措施。</w:t>
      </w:r>
    </w:p>
    <w:p>
      <w:pPr>
        <w:adjustRightInd w:val="0"/>
        <w:snapToGrid w:val="0"/>
        <w:spacing w:line="460" w:lineRule="exact"/>
        <w:ind w:firstLine="570"/>
        <w:rPr>
          <w:rFonts w:ascii="宋体" w:hAnsi="宋体" w:cs="宋体"/>
          <w:sz w:val="28"/>
          <w:szCs w:val="28"/>
        </w:rPr>
      </w:pPr>
      <w:r>
        <w:rPr>
          <w:rFonts w:hint="eastAsia" w:ascii="宋体" w:hAnsi="宋体" w:cs="宋体"/>
          <w:sz w:val="28"/>
          <w:szCs w:val="28"/>
        </w:rPr>
        <w:t>当中标候选人放弃中标、因不可抗力不能履行合同，或者被查实存在影响中标结果的违法行为等情形，不符合中标条件的，招标人重新招标。</w:t>
      </w:r>
    </w:p>
    <w:p>
      <w:pPr>
        <w:adjustRightInd w:val="0"/>
        <w:snapToGrid w:val="0"/>
        <w:spacing w:line="360" w:lineRule="auto"/>
        <w:jc w:val="center"/>
        <w:outlineLvl w:val="0"/>
        <w:rPr>
          <w:rFonts w:ascii="宋体" w:hAnsi="宋体" w:cs="宋体"/>
          <w:b/>
          <w:sz w:val="28"/>
          <w:szCs w:val="28"/>
        </w:rPr>
      </w:pPr>
      <w:r>
        <w:rPr>
          <w:rFonts w:hint="eastAsia" w:ascii="宋体" w:hAnsi="宋体" w:cs="宋体"/>
          <w:b/>
          <w:sz w:val="36"/>
          <w:szCs w:val="36"/>
        </w:rPr>
        <w:br w:type="page"/>
      </w:r>
      <w:r>
        <w:rPr>
          <w:rFonts w:hint="eastAsia" w:ascii="宋体" w:hAnsi="宋体" w:cs="宋体"/>
          <w:bCs/>
          <w:sz w:val="36"/>
          <w:szCs w:val="36"/>
        </w:rPr>
        <w:t>第五部分 响应文件组成</w:t>
      </w:r>
    </w:p>
    <w:p>
      <w:pPr>
        <w:adjustRightInd w:val="0"/>
        <w:snapToGrid w:val="0"/>
        <w:spacing w:line="460" w:lineRule="exact"/>
        <w:ind w:firstLine="562" w:firstLineChars="200"/>
        <w:jc w:val="left"/>
        <w:rPr>
          <w:rFonts w:asciiTheme="minorEastAsia" w:hAnsiTheme="minorEastAsia" w:eastAsiaTheme="minorEastAsia"/>
          <w:sz w:val="32"/>
          <w:szCs w:val="32"/>
        </w:rPr>
      </w:pPr>
      <w:r>
        <w:rPr>
          <w:rFonts w:hint="eastAsia" w:ascii="宋体" w:hAnsi="宋体" w:cs="宋体"/>
          <w:b/>
          <w:sz w:val="28"/>
          <w:szCs w:val="28"/>
        </w:rPr>
        <w:t>响应文件由以下文件组成。</w:t>
      </w:r>
    </w:p>
    <w:tbl>
      <w:tblPr>
        <w:tblStyle w:val="28"/>
        <w:tblpPr w:leftFromText="180" w:rightFromText="180" w:vertAnchor="text" w:horzAnchor="page" w:tblpX="959" w:tblpY="208"/>
        <w:tblOverlap w:val="never"/>
        <w:tblW w:w="99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2737"/>
        <w:gridCol w:w="2055"/>
        <w:gridCol w:w="772"/>
        <w:gridCol w:w="770"/>
        <w:gridCol w:w="1449"/>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28" w:type="dxa"/>
          </w:tcPr>
          <w:p>
            <w:pPr>
              <w:pStyle w:val="89"/>
              <w:spacing w:before="150"/>
              <w:ind w:left="137" w:right="121"/>
              <w:jc w:val="left"/>
              <w:rPr>
                <w:rFonts w:asciiTheme="minorEastAsia" w:hAnsiTheme="minorEastAsia" w:eastAsiaTheme="minorEastAsia"/>
              </w:rPr>
            </w:pPr>
            <w:r>
              <w:rPr>
                <w:rFonts w:asciiTheme="minorEastAsia" w:hAnsiTheme="minorEastAsia" w:eastAsiaTheme="minorEastAsia"/>
              </w:rPr>
              <w:t>序号</w:t>
            </w:r>
          </w:p>
        </w:tc>
        <w:tc>
          <w:tcPr>
            <w:tcW w:w="2737" w:type="dxa"/>
          </w:tcPr>
          <w:p>
            <w:pPr>
              <w:pStyle w:val="89"/>
              <w:spacing w:before="150"/>
              <w:ind w:left="210" w:right="198" w:firstLine="420"/>
              <w:jc w:val="left"/>
              <w:rPr>
                <w:rFonts w:asciiTheme="minorEastAsia" w:hAnsiTheme="minorEastAsia" w:eastAsiaTheme="minorEastAsia"/>
              </w:rPr>
            </w:pPr>
            <w:r>
              <w:rPr>
                <w:rFonts w:asciiTheme="minorEastAsia" w:hAnsiTheme="minorEastAsia" w:eastAsiaTheme="minorEastAsia"/>
              </w:rPr>
              <w:t>采购文件要求</w:t>
            </w:r>
          </w:p>
        </w:tc>
        <w:tc>
          <w:tcPr>
            <w:tcW w:w="2055" w:type="dxa"/>
          </w:tcPr>
          <w:p>
            <w:pPr>
              <w:pStyle w:val="89"/>
              <w:spacing w:before="150"/>
              <w:ind w:left="395"/>
              <w:jc w:val="left"/>
              <w:rPr>
                <w:rFonts w:asciiTheme="minorEastAsia" w:hAnsiTheme="minorEastAsia" w:eastAsiaTheme="minorEastAsia"/>
              </w:rPr>
            </w:pPr>
            <w:r>
              <w:rPr>
                <w:rFonts w:asciiTheme="minorEastAsia" w:hAnsiTheme="minorEastAsia" w:eastAsiaTheme="minorEastAsia"/>
              </w:rPr>
              <w:t>证明材料名称</w:t>
            </w:r>
          </w:p>
        </w:tc>
        <w:tc>
          <w:tcPr>
            <w:tcW w:w="1542" w:type="dxa"/>
            <w:gridSpan w:val="2"/>
          </w:tcPr>
          <w:p>
            <w:pPr>
              <w:pStyle w:val="89"/>
              <w:spacing w:before="150"/>
              <w:ind w:left="137"/>
              <w:jc w:val="left"/>
              <w:rPr>
                <w:rFonts w:asciiTheme="minorEastAsia" w:hAnsiTheme="minorEastAsia" w:eastAsiaTheme="minorEastAsia"/>
              </w:rPr>
            </w:pPr>
            <w:r>
              <w:rPr>
                <w:rFonts w:asciiTheme="minorEastAsia" w:hAnsiTheme="minorEastAsia" w:eastAsiaTheme="minorEastAsia"/>
              </w:rPr>
              <w:t>响应文件位置</w:t>
            </w:r>
          </w:p>
        </w:tc>
        <w:tc>
          <w:tcPr>
            <w:tcW w:w="1449" w:type="dxa"/>
            <w:tcBorders>
              <w:right w:val="nil"/>
            </w:tcBorders>
          </w:tcPr>
          <w:p>
            <w:pPr>
              <w:pStyle w:val="89"/>
              <w:spacing w:before="150"/>
              <w:ind w:right="102" w:firstLine="420"/>
              <w:jc w:val="left"/>
              <w:rPr>
                <w:rFonts w:asciiTheme="minorEastAsia" w:hAnsiTheme="minorEastAsia" w:eastAsiaTheme="minorEastAsia"/>
              </w:rPr>
            </w:pPr>
            <w:r>
              <w:rPr>
                <w:rFonts w:asciiTheme="minorEastAsia" w:hAnsiTheme="minorEastAsia" w:eastAsiaTheme="minorEastAsia"/>
              </w:rPr>
              <w:t>说</w:t>
            </w:r>
          </w:p>
        </w:tc>
        <w:tc>
          <w:tcPr>
            <w:tcW w:w="1444" w:type="dxa"/>
            <w:tcBorders>
              <w:left w:val="nil"/>
            </w:tcBorders>
          </w:tcPr>
          <w:p>
            <w:pPr>
              <w:pStyle w:val="89"/>
              <w:spacing w:before="150"/>
              <w:ind w:left="106" w:firstLine="420"/>
              <w:jc w:val="left"/>
              <w:rPr>
                <w:rFonts w:asciiTheme="minorEastAsia" w:hAnsiTheme="minorEastAsia" w:eastAsiaTheme="minorEastAsia"/>
              </w:rPr>
            </w:pPr>
            <w:r>
              <w:rPr>
                <w:rFonts w:asciiTheme="minorEastAsia" w:hAnsiTheme="minorEastAsia" w:eastAsiaTheme="minorEastAsia"/>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28" w:type="dxa"/>
            <w:vAlign w:val="center"/>
          </w:tcPr>
          <w:p>
            <w:pPr>
              <w:pStyle w:val="89"/>
              <w:spacing w:before="162"/>
              <w:jc w:val="center"/>
              <w:rPr>
                <w:rFonts w:asciiTheme="minorEastAsia" w:hAnsiTheme="minorEastAsia" w:eastAsiaTheme="minorEastAsia"/>
              </w:rPr>
            </w:pPr>
            <w:r>
              <w:rPr>
                <w:rFonts w:asciiTheme="minorEastAsia" w:hAnsiTheme="minorEastAsia" w:eastAsiaTheme="minorEastAsia"/>
              </w:rPr>
              <w:t>1</w:t>
            </w:r>
          </w:p>
        </w:tc>
        <w:tc>
          <w:tcPr>
            <w:tcW w:w="2737" w:type="dxa"/>
            <w:vAlign w:val="center"/>
          </w:tcPr>
          <w:p>
            <w:pPr>
              <w:pStyle w:val="89"/>
              <w:spacing w:before="162"/>
              <w:ind w:right="198"/>
              <w:jc w:val="center"/>
              <w:rPr>
                <w:rFonts w:asciiTheme="minorEastAsia" w:hAnsiTheme="minorEastAsia" w:eastAsiaTheme="minorEastAsia"/>
              </w:rPr>
            </w:pPr>
            <w:r>
              <w:rPr>
                <w:rFonts w:asciiTheme="minorEastAsia" w:hAnsiTheme="minorEastAsia" w:eastAsiaTheme="minorEastAsia"/>
              </w:rPr>
              <w:t>关于资格的声明函</w:t>
            </w:r>
          </w:p>
        </w:tc>
        <w:tc>
          <w:tcPr>
            <w:tcW w:w="2055" w:type="dxa"/>
          </w:tcPr>
          <w:p>
            <w:pPr>
              <w:pStyle w:val="89"/>
              <w:ind w:firstLine="400"/>
              <w:jc w:val="left"/>
              <w:rPr>
                <w:rFonts w:asciiTheme="minorEastAsia" w:hAnsiTheme="minorEastAsia" w:eastAsiaTheme="minorEastAsia"/>
                <w:sz w:val="20"/>
              </w:rPr>
            </w:pPr>
          </w:p>
        </w:tc>
        <w:tc>
          <w:tcPr>
            <w:tcW w:w="772" w:type="dxa"/>
            <w:tcBorders>
              <w:right w:val="nil"/>
            </w:tcBorders>
          </w:tcPr>
          <w:p>
            <w:pPr>
              <w:pStyle w:val="89"/>
              <w:spacing w:before="164"/>
              <w:ind w:right="204"/>
              <w:jc w:val="left"/>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 xml:space="preserve"> </w:t>
            </w:r>
            <w:r>
              <w:rPr>
                <w:rFonts w:asciiTheme="minorEastAsia" w:hAnsiTheme="minorEastAsia" w:eastAsiaTheme="minorEastAsia"/>
              </w:rPr>
              <w:t xml:space="preserve"> </w:t>
            </w:r>
          </w:p>
        </w:tc>
        <w:tc>
          <w:tcPr>
            <w:tcW w:w="770" w:type="dxa"/>
            <w:tcBorders>
              <w:left w:val="nil"/>
            </w:tcBorders>
          </w:tcPr>
          <w:p>
            <w:pPr>
              <w:pStyle w:val="89"/>
              <w:spacing w:before="164"/>
              <w:jc w:val="left"/>
              <w:rPr>
                <w:rFonts w:hint="eastAsia" w:asciiTheme="minorEastAsia" w:hAnsiTheme="minorEastAsia" w:eastAsiaTheme="minorEastAsia"/>
              </w:rPr>
            </w:pPr>
            <w:r>
              <w:rPr>
                <w:rFonts w:asciiTheme="minorEastAsia" w:hAnsiTheme="minorEastAsia" w:eastAsiaTheme="minorEastAsia"/>
              </w:rPr>
              <w:t>页</w:t>
            </w:r>
          </w:p>
        </w:tc>
        <w:tc>
          <w:tcPr>
            <w:tcW w:w="2893" w:type="dxa"/>
            <w:gridSpan w:val="2"/>
          </w:tcPr>
          <w:p>
            <w:pPr>
              <w:pStyle w:val="89"/>
              <w:spacing w:before="162"/>
              <w:ind w:left="1062" w:right="1055"/>
              <w:jc w:val="left"/>
              <w:rPr>
                <w:rFonts w:asciiTheme="minorEastAsia" w:hAnsiTheme="minorEastAsia" w:eastAsiaTheme="minorEastAsia"/>
              </w:rPr>
            </w:pPr>
            <w:r>
              <w:rPr>
                <w:rFonts w:asciiTheme="minorEastAsia" w:hAnsiTheme="minorEastAsia" w:eastAsiaTheme="minorEastAsia"/>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89"/>
              <w:spacing w:before="164"/>
              <w:jc w:val="center"/>
              <w:rPr>
                <w:rFonts w:asciiTheme="minorEastAsia" w:hAnsiTheme="minorEastAsia" w:eastAsiaTheme="minorEastAsia"/>
              </w:rPr>
            </w:pPr>
            <w:r>
              <w:rPr>
                <w:rFonts w:asciiTheme="minorEastAsia" w:hAnsiTheme="minorEastAsia" w:eastAsiaTheme="minorEastAsia"/>
              </w:rPr>
              <w:t>2</w:t>
            </w:r>
          </w:p>
        </w:tc>
        <w:tc>
          <w:tcPr>
            <w:tcW w:w="2737" w:type="dxa"/>
            <w:vAlign w:val="center"/>
          </w:tcPr>
          <w:p>
            <w:pPr>
              <w:pStyle w:val="89"/>
              <w:spacing w:before="164"/>
              <w:ind w:right="198"/>
              <w:jc w:val="center"/>
              <w:rPr>
                <w:rFonts w:asciiTheme="minorEastAsia" w:hAnsiTheme="minorEastAsia" w:eastAsiaTheme="minorEastAsia"/>
              </w:rPr>
            </w:pPr>
            <w:r>
              <w:rPr>
                <w:rFonts w:asciiTheme="minorEastAsia" w:hAnsiTheme="minorEastAsia" w:eastAsiaTheme="minorEastAsia"/>
              </w:rPr>
              <w:t>法定代表人身份证明书</w:t>
            </w:r>
          </w:p>
        </w:tc>
        <w:tc>
          <w:tcPr>
            <w:tcW w:w="2055" w:type="dxa"/>
          </w:tcPr>
          <w:p>
            <w:pPr>
              <w:pStyle w:val="89"/>
              <w:ind w:firstLine="400"/>
              <w:jc w:val="left"/>
              <w:rPr>
                <w:rFonts w:asciiTheme="minorEastAsia" w:hAnsiTheme="minorEastAsia" w:eastAsiaTheme="minorEastAsia"/>
                <w:sz w:val="20"/>
              </w:rPr>
            </w:pPr>
          </w:p>
        </w:tc>
        <w:tc>
          <w:tcPr>
            <w:tcW w:w="772" w:type="dxa"/>
            <w:tcBorders>
              <w:right w:val="nil"/>
            </w:tcBorders>
          </w:tcPr>
          <w:p>
            <w:pPr>
              <w:pStyle w:val="89"/>
              <w:spacing w:before="164"/>
              <w:ind w:right="204"/>
              <w:jc w:val="left"/>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 xml:space="preserve"> </w:t>
            </w:r>
            <w:r>
              <w:rPr>
                <w:rFonts w:asciiTheme="minorEastAsia" w:hAnsiTheme="minorEastAsia" w:eastAsiaTheme="minorEastAsia"/>
              </w:rPr>
              <w:t xml:space="preserve"> </w:t>
            </w:r>
          </w:p>
        </w:tc>
        <w:tc>
          <w:tcPr>
            <w:tcW w:w="770" w:type="dxa"/>
            <w:tcBorders>
              <w:left w:val="nil"/>
            </w:tcBorders>
          </w:tcPr>
          <w:p>
            <w:pPr>
              <w:pStyle w:val="89"/>
              <w:spacing w:before="164"/>
              <w:jc w:val="left"/>
              <w:rPr>
                <w:rFonts w:hint="eastAsia" w:asciiTheme="minorEastAsia" w:hAnsiTheme="minorEastAsia" w:eastAsiaTheme="minorEastAsia"/>
              </w:rPr>
            </w:pPr>
            <w:r>
              <w:rPr>
                <w:rFonts w:asciiTheme="minorEastAsia" w:hAnsiTheme="minorEastAsia" w:eastAsiaTheme="minorEastAsia"/>
              </w:rPr>
              <w:t>页</w:t>
            </w:r>
          </w:p>
        </w:tc>
        <w:tc>
          <w:tcPr>
            <w:tcW w:w="2893" w:type="dxa"/>
            <w:gridSpan w:val="2"/>
          </w:tcPr>
          <w:p>
            <w:pPr>
              <w:pStyle w:val="89"/>
              <w:spacing w:before="164"/>
              <w:ind w:left="1062" w:right="1055"/>
              <w:jc w:val="left"/>
              <w:rPr>
                <w:rFonts w:asciiTheme="minorEastAsia" w:hAnsiTheme="minorEastAsia" w:eastAsiaTheme="minorEastAsia"/>
              </w:rPr>
            </w:pPr>
            <w:r>
              <w:rPr>
                <w:rFonts w:asciiTheme="minorEastAsia" w:hAnsiTheme="minorEastAsia" w:eastAsiaTheme="minorEastAsia"/>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28" w:type="dxa"/>
            <w:vAlign w:val="center"/>
          </w:tcPr>
          <w:p>
            <w:pPr>
              <w:pStyle w:val="89"/>
              <w:spacing w:before="162"/>
              <w:jc w:val="center"/>
              <w:rPr>
                <w:rFonts w:asciiTheme="minorEastAsia" w:hAnsiTheme="minorEastAsia" w:eastAsiaTheme="minorEastAsia"/>
              </w:rPr>
            </w:pPr>
            <w:r>
              <w:rPr>
                <w:rFonts w:asciiTheme="minorEastAsia" w:hAnsiTheme="minorEastAsia" w:eastAsiaTheme="minorEastAsia"/>
              </w:rPr>
              <w:t>3</w:t>
            </w:r>
          </w:p>
        </w:tc>
        <w:tc>
          <w:tcPr>
            <w:tcW w:w="2737" w:type="dxa"/>
            <w:vAlign w:val="center"/>
          </w:tcPr>
          <w:p>
            <w:pPr>
              <w:pStyle w:val="89"/>
              <w:spacing w:before="162"/>
              <w:ind w:right="198"/>
              <w:jc w:val="center"/>
              <w:rPr>
                <w:rFonts w:asciiTheme="minorEastAsia" w:hAnsiTheme="minorEastAsia" w:eastAsiaTheme="minorEastAsia"/>
              </w:rPr>
            </w:pPr>
            <w:r>
              <w:rPr>
                <w:rFonts w:asciiTheme="minorEastAsia" w:hAnsiTheme="minorEastAsia" w:eastAsiaTheme="minorEastAsia"/>
              </w:rPr>
              <w:t>授权委托书</w:t>
            </w:r>
          </w:p>
        </w:tc>
        <w:tc>
          <w:tcPr>
            <w:tcW w:w="2055" w:type="dxa"/>
          </w:tcPr>
          <w:p>
            <w:pPr>
              <w:pStyle w:val="89"/>
              <w:jc w:val="left"/>
              <w:rPr>
                <w:rFonts w:asciiTheme="minorEastAsia" w:hAnsiTheme="minorEastAsia" w:eastAsiaTheme="minorEastAsia"/>
                <w:sz w:val="20"/>
              </w:rPr>
            </w:pPr>
            <w:r>
              <w:rPr>
                <w:rFonts w:hint="eastAsia"/>
                <w:szCs w:val="21"/>
              </w:rPr>
              <w:t>授权代表为投标企业正式人员证明：须提供用工合同复印件及单位为其缴纳的社保证明材料（近一个月）</w:t>
            </w:r>
          </w:p>
        </w:tc>
        <w:tc>
          <w:tcPr>
            <w:tcW w:w="772" w:type="dxa"/>
            <w:tcBorders>
              <w:right w:val="nil"/>
            </w:tcBorders>
          </w:tcPr>
          <w:p>
            <w:pPr>
              <w:pStyle w:val="89"/>
              <w:spacing w:before="164"/>
              <w:ind w:right="204"/>
              <w:jc w:val="left"/>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 xml:space="preserve"> </w:t>
            </w:r>
            <w:r>
              <w:rPr>
                <w:rFonts w:asciiTheme="minorEastAsia" w:hAnsiTheme="minorEastAsia" w:eastAsiaTheme="minorEastAsia"/>
              </w:rPr>
              <w:t xml:space="preserve"> </w:t>
            </w:r>
          </w:p>
        </w:tc>
        <w:tc>
          <w:tcPr>
            <w:tcW w:w="770" w:type="dxa"/>
            <w:tcBorders>
              <w:left w:val="nil"/>
            </w:tcBorders>
          </w:tcPr>
          <w:p>
            <w:pPr>
              <w:pStyle w:val="89"/>
              <w:spacing w:before="164"/>
              <w:jc w:val="left"/>
              <w:rPr>
                <w:rFonts w:hint="eastAsia" w:asciiTheme="minorEastAsia" w:hAnsiTheme="minorEastAsia" w:eastAsiaTheme="minorEastAsia"/>
              </w:rPr>
            </w:pPr>
            <w:r>
              <w:rPr>
                <w:rFonts w:asciiTheme="minorEastAsia" w:hAnsiTheme="minorEastAsia" w:eastAsiaTheme="minorEastAsia"/>
              </w:rPr>
              <w:t>页</w:t>
            </w:r>
          </w:p>
        </w:tc>
        <w:tc>
          <w:tcPr>
            <w:tcW w:w="2893" w:type="dxa"/>
            <w:gridSpan w:val="2"/>
          </w:tcPr>
          <w:p>
            <w:pPr>
              <w:pStyle w:val="89"/>
              <w:spacing w:before="27" w:line="242" w:lineRule="auto"/>
              <w:ind w:right="175"/>
              <w:jc w:val="left"/>
              <w:rPr>
                <w:rFonts w:asciiTheme="minorEastAsia" w:hAnsiTheme="minorEastAsia" w:eastAsiaTheme="minorEastAsia"/>
              </w:rPr>
            </w:pPr>
            <w:r>
              <w:rPr>
                <w:rFonts w:asciiTheme="minorEastAsia" w:hAnsiTheme="minorEastAsia" w:eastAsiaTheme="minorEastAsia"/>
              </w:rPr>
              <w:t>法定代表人参加投标的可不提供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728" w:type="dxa"/>
            <w:vAlign w:val="center"/>
          </w:tcPr>
          <w:p>
            <w:pPr>
              <w:pStyle w:val="89"/>
              <w:spacing w:before="164"/>
              <w:jc w:val="center"/>
              <w:rPr>
                <w:rFonts w:asciiTheme="minorEastAsia" w:hAnsiTheme="minorEastAsia" w:eastAsiaTheme="minorEastAsia"/>
              </w:rPr>
            </w:pPr>
            <w:r>
              <w:rPr>
                <w:rFonts w:asciiTheme="minorEastAsia" w:hAnsiTheme="minorEastAsia" w:eastAsiaTheme="minorEastAsia"/>
              </w:rPr>
              <w:t>4</w:t>
            </w:r>
          </w:p>
        </w:tc>
        <w:tc>
          <w:tcPr>
            <w:tcW w:w="2737" w:type="dxa"/>
          </w:tcPr>
          <w:p>
            <w:pPr>
              <w:pStyle w:val="89"/>
              <w:spacing w:before="164"/>
              <w:ind w:right="198"/>
              <w:jc w:val="center"/>
              <w:rPr>
                <w:rFonts w:asciiTheme="minorEastAsia" w:hAnsiTheme="minorEastAsia" w:eastAsiaTheme="minorEastAsia"/>
              </w:rPr>
            </w:pPr>
            <w:r>
              <w:rPr>
                <w:rFonts w:asciiTheme="minorEastAsia" w:hAnsiTheme="minorEastAsia" w:eastAsiaTheme="minorEastAsia"/>
              </w:rPr>
              <w:t>营业执照</w:t>
            </w:r>
          </w:p>
        </w:tc>
        <w:tc>
          <w:tcPr>
            <w:tcW w:w="2055" w:type="dxa"/>
          </w:tcPr>
          <w:p>
            <w:pPr>
              <w:pStyle w:val="89"/>
              <w:ind w:firstLine="400"/>
              <w:jc w:val="left"/>
              <w:rPr>
                <w:rFonts w:asciiTheme="minorEastAsia" w:hAnsiTheme="minorEastAsia" w:eastAsiaTheme="minorEastAsia"/>
                <w:sz w:val="20"/>
              </w:rPr>
            </w:pPr>
          </w:p>
        </w:tc>
        <w:tc>
          <w:tcPr>
            <w:tcW w:w="772" w:type="dxa"/>
            <w:tcBorders>
              <w:right w:val="nil"/>
            </w:tcBorders>
          </w:tcPr>
          <w:p>
            <w:pPr>
              <w:pStyle w:val="89"/>
              <w:spacing w:before="164"/>
              <w:ind w:right="204"/>
              <w:jc w:val="left"/>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 xml:space="preserve"> </w:t>
            </w:r>
            <w:r>
              <w:rPr>
                <w:rFonts w:asciiTheme="minorEastAsia" w:hAnsiTheme="minorEastAsia" w:eastAsiaTheme="minorEastAsia"/>
              </w:rPr>
              <w:t xml:space="preserve"> </w:t>
            </w:r>
          </w:p>
        </w:tc>
        <w:tc>
          <w:tcPr>
            <w:tcW w:w="770" w:type="dxa"/>
            <w:tcBorders>
              <w:left w:val="nil"/>
            </w:tcBorders>
          </w:tcPr>
          <w:p>
            <w:pPr>
              <w:pStyle w:val="89"/>
              <w:spacing w:before="164"/>
              <w:jc w:val="left"/>
              <w:rPr>
                <w:rFonts w:hint="eastAsia" w:asciiTheme="minorEastAsia" w:hAnsiTheme="minorEastAsia" w:eastAsiaTheme="minorEastAsia"/>
              </w:rPr>
            </w:pPr>
            <w:r>
              <w:rPr>
                <w:rFonts w:asciiTheme="minorEastAsia" w:hAnsiTheme="minorEastAsia" w:eastAsiaTheme="minorEastAsia"/>
              </w:rPr>
              <w:t>页</w:t>
            </w:r>
          </w:p>
        </w:tc>
        <w:tc>
          <w:tcPr>
            <w:tcW w:w="2893" w:type="dxa"/>
            <w:gridSpan w:val="2"/>
          </w:tcPr>
          <w:p>
            <w:pPr>
              <w:pStyle w:val="89"/>
              <w:ind w:firstLine="400"/>
              <w:jc w:val="left"/>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tcPr>
          <w:p>
            <w:pPr>
              <w:jc w:val="center"/>
            </w:pPr>
            <w:r>
              <w:rPr>
                <w:rFonts w:asciiTheme="minorEastAsia" w:hAnsiTheme="minorEastAsia" w:eastAsiaTheme="minorEastAsia"/>
              </w:rPr>
              <w:t>5</w:t>
            </w:r>
          </w:p>
        </w:tc>
        <w:tc>
          <w:tcPr>
            <w:tcW w:w="2737" w:type="dxa"/>
          </w:tcPr>
          <w:p>
            <w:pPr>
              <w:pStyle w:val="89"/>
              <w:spacing w:before="27" w:line="242" w:lineRule="auto"/>
              <w:ind w:right="175" w:firstLine="420"/>
              <w:jc w:val="left"/>
              <w:rPr>
                <w:rFonts w:asciiTheme="minorEastAsia" w:hAnsiTheme="minorEastAsia" w:eastAsiaTheme="minorEastAsia"/>
              </w:rPr>
            </w:pPr>
            <w:r>
              <w:rPr>
                <w:rFonts w:hint="eastAsia" w:asciiTheme="minorEastAsia" w:hAnsiTheme="minorEastAsia" w:eastAsiaTheme="minorEastAsia"/>
              </w:rPr>
              <w:t>投标人符合《政府采购法》第二十二条规定条件的声明函</w:t>
            </w:r>
          </w:p>
        </w:tc>
        <w:tc>
          <w:tcPr>
            <w:tcW w:w="2055" w:type="dxa"/>
          </w:tcPr>
          <w:p>
            <w:pPr>
              <w:pStyle w:val="89"/>
              <w:spacing w:before="27" w:line="242" w:lineRule="auto"/>
              <w:ind w:left="1234" w:right="175" w:firstLine="420"/>
              <w:jc w:val="left"/>
              <w:rPr>
                <w:rFonts w:asciiTheme="minorEastAsia" w:hAnsiTheme="minorEastAsia" w:eastAsiaTheme="minorEastAsia"/>
              </w:rPr>
            </w:pPr>
          </w:p>
        </w:tc>
        <w:tc>
          <w:tcPr>
            <w:tcW w:w="772" w:type="dxa"/>
            <w:tcBorders>
              <w:right w:val="nil"/>
            </w:tcBorders>
          </w:tcPr>
          <w:p>
            <w:pPr>
              <w:pStyle w:val="89"/>
              <w:spacing w:before="27" w:line="242" w:lineRule="auto"/>
              <w:ind w:left="1234" w:right="175" w:firstLine="420"/>
              <w:jc w:val="left"/>
              <w:rPr>
                <w:rFonts w:asciiTheme="minorEastAsia" w:hAnsiTheme="minorEastAsia" w:eastAsiaTheme="minorEastAsia"/>
              </w:rPr>
            </w:pPr>
            <w:r>
              <w:rPr>
                <w:rFonts w:asciiTheme="minorEastAsia" w:hAnsiTheme="minorEastAsia" w:eastAsiaTheme="minorEastAsia"/>
              </w:rPr>
              <w:t>第</w:t>
            </w:r>
          </w:p>
        </w:tc>
        <w:tc>
          <w:tcPr>
            <w:tcW w:w="770" w:type="dxa"/>
            <w:tcBorders>
              <w:left w:val="nil"/>
            </w:tcBorders>
          </w:tcPr>
          <w:p>
            <w:pPr>
              <w:pStyle w:val="89"/>
              <w:spacing w:before="27" w:line="242" w:lineRule="auto"/>
              <w:ind w:left="1234" w:right="175" w:firstLine="420"/>
              <w:jc w:val="left"/>
              <w:rPr>
                <w:rFonts w:asciiTheme="minorEastAsia" w:hAnsiTheme="minorEastAsia" w:eastAsiaTheme="minorEastAsia"/>
              </w:rPr>
            </w:pPr>
            <w:r>
              <w:rPr>
                <w:rFonts w:asciiTheme="minorEastAsia" w:hAnsiTheme="minorEastAsia" w:eastAsiaTheme="minorEastAsia"/>
              </w:rPr>
              <w:t>页</w:t>
            </w:r>
          </w:p>
        </w:tc>
        <w:tc>
          <w:tcPr>
            <w:tcW w:w="2893" w:type="dxa"/>
            <w:gridSpan w:val="2"/>
          </w:tcPr>
          <w:p>
            <w:pPr>
              <w:pStyle w:val="89"/>
              <w:spacing w:before="27" w:line="242" w:lineRule="auto"/>
              <w:ind w:right="175"/>
              <w:jc w:val="center"/>
              <w:rPr>
                <w:rFonts w:asciiTheme="minorEastAsia" w:hAnsiTheme="minorEastAsia" w:eastAsiaTheme="minorEastAsia"/>
              </w:rPr>
            </w:pPr>
            <w:r>
              <w:rPr>
                <w:rFonts w:hint="eastAsia" w:asciiTheme="minorEastAsia" w:hAnsiTheme="minorEastAsia" w:eastAsiaTheme="minorEastAsia"/>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tcPr>
          <w:p>
            <w:pPr>
              <w:jc w:val="center"/>
            </w:pPr>
            <w:r>
              <w:rPr>
                <w:rFonts w:asciiTheme="minorEastAsia" w:hAnsiTheme="minorEastAsia" w:eastAsiaTheme="minorEastAsia"/>
              </w:rPr>
              <w:t>6</w:t>
            </w:r>
          </w:p>
        </w:tc>
        <w:tc>
          <w:tcPr>
            <w:tcW w:w="2737" w:type="dxa"/>
          </w:tcPr>
          <w:p>
            <w:pPr>
              <w:pStyle w:val="89"/>
              <w:spacing w:before="27" w:line="242" w:lineRule="auto"/>
              <w:ind w:right="175" w:firstLine="420"/>
              <w:jc w:val="left"/>
              <w:rPr>
                <w:rFonts w:asciiTheme="minorEastAsia" w:hAnsiTheme="minorEastAsia" w:eastAsiaTheme="minorEastAsia"/>
              </w:rPr>
            </w:pPr>
            <w:r>
              <w:rPr>
                <w:rFonts w:hint="eastAsia" w:asciiTheme="minorEastAsia" w:hAnsiTheme="minorEastAsia" w:eastAsiaTheme="minorEastAsia"/>
              </w:rPr>
              <w:t>招标公告资格要求提供相应的佐证材料（如专门面向中小企业采购则须提供中小企业声明函）</w:t>
            </w:r>
          </w:p>
        </w:tc>
        <w:tc>
          <w:tcPr>
            <w:tcW w:w="2055" w:type="dxa"/>
          </w:tcPr>
          <w:p>
            <w:pPr>
              <w:pStyle w:val="89"/>
              <w:spacing w:before="27" w:line="242" w:lineRule="auto"/>
              <w:ind w:left="1234" w:right="175" w:firstLine="420"/>
              <w:jc w:val="left"/>
              <w:rPr>
                <w:rFonts w:asciiTheme="minorEastAsia" w:hAnsiTheme="minorEastAsia" w:eastAsiaTheme="minorEastAsia"/>
              </w:rPr>
            </w:pPr>
          </w:p>
        </w:tc>
        <w:tc>
          <w:tcPr>
            <w:tcW w:w="772" w:type="dxa"/>
            <w:tcBorders>
              <w:right w:val="nil"/>
            </w:tcBorders>
          </w:tcPr>
          <w:p>
            <w:pPr>
              <w:pStyle w:val="89"/>
              <w:spacing w:before="27" w:line="242" w:lineRule="auto"/>
              <w:ind w:left="1234" w:right="175" w:firstLine="420"/>
              <w:jc w:val="left"/>
              <w:rPr>
                <w:rFonts w:asciiTheme="minorEastAsia" w:hAnsiTheme="minorEastAsia" w:eastAsiaTheme="minorEastAsia"/>
              </w:rPr>
            </w:pPr>
          </w:p>
        </w:tc>
        <w:tc>
          <w:tcPr>
            <w:tcW w:w="770" w:type="dxa"/>
            <w:tcBorders>
              <w:left w:val="nil"/>
            </w:tcBorders>
          </w:tcPr>
          <w:p>
            <w:pPr>
              <w:pStyle w:val="89"/>
              <w:spacing w:before="27" w:line="242" w:lineRule="auto"/>
              <w:ind w:left="1234" w:right="175" w:firstLine="420"/>
              <w:jc w:val="left"/>
              <w:rPr>
                <w:rFonts w:asciiTheme="minorEastAsia" w:hAnsiTheme="minorEastAsia" w:eastAsiaTheme="minorEastAsia"/>
              </w:rPr>
            </w:pPr>
          </w:p>
        </w:tc>
        <w:tc>
          <w:tcPr>
            <w:tcW w:w="2893" w:type="dxa"/>
            <w:gridSpan w:val="2"/>
          </w:tcPr>
          <w:p>
            <w:pPr>
              <w:pStyle w:val="89"/>
              <w:spacing w:before="27" w:line="242" w:lineRule="auto"/>
              <w:ind w:left="1234" w:right="175" w:firstLine="420"/>
              <w:jc w:val="left"/>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tcPr>
          <w:p>
            <w:pPr>
              <w:jc w:val="center"/>
            </w:pPr>
            <w:r>
              <w:rPr>
                <w:rFonts w:asciiTheme="minorEastAsia" w:hAnsiTheme="minorEastAsia" w:eastAsiaTheme="minorEastAsia"/>
              </w:rPr>
              <w:t>7</w:t>
            </w:r>
          </w:p>
        </w:tc>
        <w:tc>
          <w:tcPr>
            <w:tcW w:w="2737" w:type="dxa"/>
          </w:tcPr>
          <w:p>
            <w:pPr>
              <w:pStyle w:val="89"/>
              <w:spacing w:before="27" w:line="242" w:lineRule="auto"/>
              <w:ind w:right="175" w:firstLine="420"/>
              <w:jc w:val="left"/>
              <w:rPr>
                <w:rFonts w:asciiTheme="minorEastAsia" w:hAnsiTheme="minorEastAsia" w:eastAsiaTheme="minorEastAsia"/>
              </w:rPr>
            </w:pPr>
            <w:r>
              <w:rPr>
                <w:rFonts w:hint="eastAsia" w:asciiTheme="minorEastAsia" w:hAnsiTheme="minorEastAsia" w:eastAsiaTheme="minorEastAsia"/>
              </w:rPr>
              <w:t>未被“信用中国”网站列入失信被执行人、重大税收违法案件当事人名单、政府采购严重失信行为记录名单（提供网站截图）</w:t>
            </w:r>
          </w:p>
        </w:tc>
        <w:tc>
          <w:tcPr>
            <w:tcW w:w="2055" w:type="dxa"/>
          </w:tcPr>
          <w:p>
            <w:pPr>
              <w:pStyle w:val="89"/>
              <w:spacing w:before="27" w:line="242" w:lineRule="auto"/>
              <w:ind w:left="1234" w:right="175" w:firstLine="420"/>
              <w:jc w:val="left"/>
              <w:rPr>
                <w:rFonts w:asciiTheme="minorEastAsia" w:hAnsiTheme="minorEastAsia" w:eastAsiaTheme="minorEastAsia"/>
              </w:rPr>
            </w:pPr>
          </w:p>
        </w:tc>
        <w:tc>
          <w:tcPr>
            <w:tcW w:w="772" w:type="dxa"/>
            <w:tcBorders>
              <w:right w:val="nil"/>
            </w:tcBorders>
          </w:tcPr>
          <w:p>
            <w:pPr>
              <w:pStyle w:val="89"/>
              <w:spacing w:before="27" w:line="242" w:lineRule="auto"/>
              <w:ind w:left="1234" w:right="175" w:firstLine="420"/>
              <w:jc w:val="left"/>
              <w:rPr>
                <w:rFonts w:asciiTheme="minorEastAsia" w:hAnsiTheme="minorEastAsia" w:eastAsiaTheme="minorEastAsia"/>
              </w:rPr>
            </w:pPr>
          </w:p>
        </w:tc>
        <w:tc>
          <w:tcPr>
            <w:tcW w:w="770" w:type="dxa"/>
            <w:tcBorders>
              <w:left w:val="nil"/>
            </w:tcBorders>
          </w:tcPr>
          <w:p>
            <w:pPr>
              <w:pStyle w:val="89"/>
              <w:spacing w:before="27" w:line="242" w:lineRule="auto"/>
              <w:ind w:left="1234" w:right="175" w:firstLine="420"/>
              <w:jc w:val="left"/>
              <w:rPr>
                <w:rFonts w:asciiTheme="minorEastAsia" w:hAnsiTheme="minorEastAsia" w:eastAsiaTheme="minorEastAsia"/>
              </w:rPr>
            </w:pPr>
          </w:p>
        </w:tc>
        <w:tc>
          <w:tcPr>
            <w:tcW w:w="2893" w:type="dxa"/>
            <w:gridSpan w:val="2"/>
          </w:tcPr>
          <w:p>
            <w:pPr>
              <w:pStyle w:val="89"/>
              <w:spacing w:before="27" w:line="242" w:lineRule="auto"/>
              <w:ind w:left="1234" w:right="175" w:firstLine="420"/>
              <w:jc w:val="left"/>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tcPr>
          <w:p>
            <w:pPr>
              <w:jc w:val="center"/>
            </w:pPr>
            <w:r>
              <w:rPr>
                <w:rFonts w:asciiTheme="minorEastAsia" w:hAnsiTheme="minorEastAsia" w:eastAsiaTheme="minorEastAsia"/>
              </w:rPr>
              <w:t>8</w:t>
            </w:r>
          </w:p>
        </w:tc>
        <w:tc>
          <w:tcPr>
            <w:tcW w:w="2737" w:type="dxa"/>
          </w:tcPr>
          <w:p>
            <w:pPr>
              <w:tabs>
                <w:tab w:val="left" w:pos="3375"/>
              </w:tabs>
              <w:adjustRightInd w:val="0"/>
              <w:snapToGrid w:val="0"/>
              <w:jc w:val="left"/>
              <w:rPr>
                <w:rFonts w:asciiTheme="minorEastAsia" w:hAnsiTheme="minorEastAsia" w:eastAsiaTheme="minorEastAsia"/>
              </w:rPr>
            </w:pPr>
            <w:r>
              <w:rPr>
                <w:rFonts w:hint="eastAsia"/>
                <w:szCs w:val="21"/>
              </w:rPr>
              <w:t>本项目的特定资格要求证明文件</w:t>
            </w:r>
          </w:p>
        </w:tc>
        <w:tc>
          <w:tcPr>
            <w:tcW w:w="2055" w:type="dxa"/>
          </w:tcPr>
          <w:p>
            <w:pPr>
              <w:pStyle w:val="89"/>
              <w:spacing w:before="27" w:line="242" w:lineRule="auto"/>
              <w:ind w:left="1234" w:right="175" w:firstLine="420"/>
              <w:jc w:val="left"/>
              <w:rPr>
                <w:rFonts w:asciiTheme="minorEastAsia" w:hAnsiTheme="minorEastAsia" w:eastAsiaTheme="minorEastAsia"/>
              </w:rPr>
            </w:pPr>
          </w:p>
        </w:tc>
        <w:tc>
          <w:tcPr>
            <w:tcW w:w="772" w:type="dxa"/>
            <w:tcBorders>
              <w:right w:val="nil"/>
            </w:tcBorders>
          </w:tcPr>
          <w:p>
            <w:pPr>
              <w:pStyle w:val="89"/>
              <w:spacing w:before="27" w:line="242" w:lineRule="auto"/>
              <w:ind w:left="1234" w:right="175" w:firstLine="420"/>
              <w:jc w:val="left"/>
              <w:rPr>
                <w:rFonts w:asciiTheme="minorEastAsia" w:hAnsiTheme="minorEastAsia" w:eastAsiaTheme="minorEastAsia"/>
              </w:rPr>
            </w:pPr>
            <w:r>
              <w:rPr>
                <w:rFonts w:asciiTheme="minorEastAsia" w:hAnsiTheme="minorEastAsia" w:eastAsiaTheme="minorEastAsia"/>
              </w:rPr>
              <w:t>第</w:t>
            </w:r>
          </w:p>
        </w:tc>
        <w:tc>
          <w:tcPr>
            <w:tcW w:w="770" w:type="dxa"/>
            <w:tcBorders>
              <w:left w:val="nil"/>
            </w:tcBorders>
          </w:tcPr>
          <w:p>
            <w:pPr>
              <w:pStyle w:val="89"/>
              <w:spacing w:before="27" w:line="242" w:lineRule="auto"/>
              <w:ind w:left="1234" w:right="175" w:firstLine="420"/>
              <w:jc w:val="left"/>
              <w:rPr>
                <w:rFonts w:asciiTheme="minorEastAsia" w:hAnsiTheme="minorEastAsia" w:eastAsiaTheme="minorEastAsia"/>
              </w:rPr>
            </w:pPr>
            <w:r>
              <w:rPr>
                <w:rFonts w:asciiTheme="minorEastAsia" w:hAnsiTheme="minorEastAsia" w:eastAsiaTheme="minorEastAsia"/>
              </w:rPr>
              <w:t>页</w:t>
            </w:r>
          </w:p>
        </w:tc>
        <w:tc>
          <w:tcPr>
            <w:tcW w:w="2893" w:type="dxa"/>
            <w:gridSpan w:val="2"/>
          </w:tcPr>
          <w:p>
            <w:pPr>
              <w:pStyle w:val="89"/>
              <w:spacing w:before="27" w:line="242" w:lineRule="auto"/>
              <w:ind w:left="1234" w:right="175" w:firstLine="420"/>
              <w:jc w:val="left"/>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728" w:type="dxa"/>
          </w:tcPr>
          <w:p>
            <w:pPr>
              <w:jc w:val="center"/>
            </w:pPr>
            <w:r>
              <w:rPr>
                <w:rFonts w:asciiTheme="minorEastAsia" w:hAnsiTheme="minorEastAsia" w:eastAsiaTheme="minorEastAsia"/>
              </w:rPr>
              <w:t>9</w:t>
            </w:r>
          </w:p>
        </w:tc>
        <w:tc>
          <w:tcPr>
            <w:tcW w:w="2737" w:type="dxa"/>
            <w:vAlign w:val="center"/>
          </w:tcPr>
          <w:p>
            <w:pPr>
              <w:tabs>
                <w:tab w:val="left" w:pos="3375"/>
              </w:tabs>
              <w:adjustRightInd w:val="0"/>
              <w:snapToGrid w:val="0"/>
              <w:jc w:val="center"/>
              <w:rPr>
                <w:rFonts w:asciiTheme="minorEastAsia" w:hAnsiTheme="minorEastAsia" w:eastAsiaTheme="minorEastAsia"/>
              </w:rPr>
            </w:pPr>
            <w:r>
              <w:rPr>
                <w:rFonts w:hint="eastAsia"/>
                <w:szCs w:val="21"/>
              </w:rPr>
              <w:t>商务技术</w:t>
            </w:r>
          </w:p>
        </w:tc>
        <w:tc>
          <w:tcPr>
            <w:tcW w:w="2055" w:type="dxa"/>
          </w:tcPr>
          <w:p>
            <w:pPr>
              <w:pStyle w:val="89"/>
              <w:ind w:firstLine="400"/>
              <w:jc w:val="left"/>
              <w:rPr>
                <w:rFonts w:asciiTheme="minorEastAsia" w:hAnsiTheme="minorEastAsia" w:eastAsiaTheme="minorEastAsia"/>
                <w:sz w:val="20"/>
              </w:rPr>
            </w:pPr>
          </w:p>
        </w:tc>
        <w:tc>
          <w:tcPr>
            <w:tcW w:w="772" w:type="dxa"/>
            <w:tcBorders>
              <w:right w:val="nil"/>
            </w:tcBorders>
          </w:tcPr>
          <w:p>
            <w:pPr>
              <w:pStyle w:val="89"/>
              <w:spacing w:before="164"/>
              <w:ind w:right="204"/>
              <w:jc w:val="left"/>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 xml:space="preserve"> </w:t>
            </w:r>
            <w:r>
              <w:rPr>
                <w:rFonts w:asciiTheme="minorEastAsia" w:hAnsiTheme="minorEastAsia" w:eastAsiaTheme="minorEastAsia"/>
              </w:rPr>
              <w:t xml:space="preserve"> </w:t>
            </w:r>
          </w:p>
        </w:tc>
        <w:tc>
          <w:tcPr>
            <w:tcW w:w="770" w:type="dxa"/>
            <w:tcBorders>
              <w:left w:val="nil"/>
            </w:tcBorders>
          </w:tcPr>
          <w:p>
            <w:pPr>
              <w:pStyle w:val="89"/>
              <w:spacing w:before="164"/>
              <w:jc w:val="left"/>
              <w:rPr>
                <w:rFonts w:hint="eastAsia" w:asciiTheme="minorEastAsia" w:hAnsiTheme="minorEastAsia" w:eastAsiaTheme="minorEastAsia"/>
              </w:rPr>
            </w:pPr>
            <w:r>
              <w:rPr>
                <w:rFonts w:asciiTheme="minorEastAsia" w:hAnsiTheme="minorEastAsia" w:eastAsiaTheme="minorEastAsia"/>
              </w:rPr>
              <w:t>页</w:t>
            </w:r>
          </w:p>
        </w:tc>
        <w:tc>
          <w:tcPr>
            <w:tcW w:w="2893" w:type="dxa"/>
            <w:gridSpan w:val="2"/>
          </w:tcPr>
          <w:p>
            <w:pPr>
              <w:pStyle w:val="89"/>
              <w:jc w:val="left"/>
              <w:rPr>
                <w:rFonts w:asciiTheme="minorEastAsia" w:hAnsiTheme="minorEastAsia" w:eastAsiaTheme="minorEastAsia"/>
                <w:sz w:val="20"/>
              </w:rPr>
            </w:pPr>
            <w:r>
              <w:rPr>
                <w:rFonts w:hint="eastAsia"/>
              </w:rPr>
              <w:t>按照评分标准提供相应的材料及方案，文件目录前提供评分索引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tcPr>
          <w:p>
            <w:pPr>
              <w:jc w:val="center"/>
            </w:pPr>
            <w:r>
              <w:rPr>
                <w:rFonts w:asciiTheme="minorEastAsia" w:hAnsiTheme="minorEastAsia" w:eastAsiaTheme="minorEastAsia"/>
              </w:rPr>
              <w:t>10</w:t>
            </w:r>
          </w:p>
        </w:tc>
        <w:tc>
          <w:tcPr>
            <w:tcW w:w="2737" w:type="dxa"/>
          </w:tcPr>
          <w:p>
            <w:pPr>
              <w:pStyle w:val="89"/>
              <w:spacing w:before="164"/>
              <w:ind w:right="198"/>
              <w:jc w:val="left"/>
              <w:rPr>
                <w:rFonts w:asciiTheme="minorEastAsia" w:hAnsiTheme="minorEastAsia" w:eastAsiaTheme="minorEastAsia"/>
              </w:rPr>
            </w:pPr>
            <w:r>
              <w:rPr>
                <w:rFonts w:hint="eastAsia"/>
              </w:rPr>
              <w:t>投标人认为需要提交的其他资料</w:t>
            </w:r>
          </w:p>
        </w:tc>
        <w:tc>
          <w:tcPr>
            <w:tcW w:w="2055" w:type="dxa"/>
          </w:tcPr>
          <w:p>
            <w:pPr>
              <w:pStyle w:val="89"/>
              <w:ind w:firstLine="400"/>
              <w:jc w:val="left"/>
              <w:rPr>
                <w:rFonts w:asciiTheme="minorEastAsia" w:hAnsiTheme="minorEastAsia" w:eastAsiaTheme="minorEastAsia"/>
                <w:sz w:val="20"/>
              </w:rPr>
            </w:pPr>
          </w:p>
        </w:tc>
        <w:tc>
          <w:tcPr>
            <w:tcW w:w="772" w:type="dxa"/>
            <w:tcBorders>
              <w:right w:val="nil"/>
            </w:tcBorders>
          </w:tcPr>
          <w:p>
            <w:pPr>
              <w:pStyle w:val="89"/>
              <w:spacing w:before="164"/>
              <w:ind w:right="204"/>
              <w:jc w:val="left"/>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 xml:space="preserve"> </w:t>
            </w:r>
            <w:r>
              <w:rPr>
                <w:rFonts w:asciiTheme="minorEastAsia" w:hAnsiTheme="minorEastAsia" w:eastAsiaTheme="minorEastAsia"/>
              </w:rPr>
              <w:t xml:space="preserve"> </w:t>
            </w:r>
          </w:p>
        </w:tc>
        <w:tc>
          <w:tcPr>
            <w:tcW w:w="770" w:type="dxa"/>
            <w:tcBorders>
              <w:left w:val="nil"/>
            </w:tcBorders>
          </w:tcPr>
          <w:p>
            <w:pPr>
              <w:pStyle w:val="89"/>
              <w:spacing w:before="164"/>
              <w:jc w:val="left"/>
              <w:rPr>
                <w:rFonts w:hint="eastAsia" w:asciiTheme="minorEastAsia" w:hAnsiTheme="minorEastAsia" w:eastAsiaTheme="minorEastAsia"/>
              </w:rPr>
            </w:pPr>
            <w:r>
              <w:rPr>
                <w:rFonts w:asciiTheme="minorEastAsia" w:hAnsiTheme="minorEastAsia" w:eastAsiaTheme="minorEastAsia"/>
              </w:rPr>
              <w:t>页</w:t>
            </w:r>
          </w:p>
        </w:tc>
        <w:tc>
          <w:tcPr>
            <w:tcW w:w="2893" w:type="dxa"/>
            <w:gridSpan w:val="2"/>
          </w:tcPr>
          <w:p>
            <w:pPr>
              <w:pStyle w:val="89"/>
              <w:ind w:firstLine="400"/>
              <w:jc w:val="left"/>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062" w:type="dxa"/>
            <w:gridSpan w:val="5"/>
          </w:tcPr>
          <w:p>
            <w:pPr>
              <w:pStyle w:val="89"/>
              <w:spacing w:before="168"/>
              <w:ind w:firstLine="3012" w:firstLineChars="1250"/>
              <w:jc w:val="left"/>
              <w:rPr>
                <w:rFonts w:asciiTheme="minorEastAsia" w:hAnsiTheme="minorEastAsia" w:eastAsiaTheme="minorEastAsia"/>
                <w:b/>
                <w:sz w:val="24"/>
                <w:lang w:val="en-US"/>
              </w:rPr>
            </w:pPr>
            <w:r>
              <w:rPr>
                <w:rFonts w:hint="eastAsia" w:asciiTheme="minorEastAsia" w:hAnsiTheme="minorEastAsia" w:eastAsiaTheme="minorEastAsia"/>
                <w:b/>
                <w:sz w:val="24"/>
                <w:lang w:val="en-US"/>
              </w:rPr>
              <w:t>报价</w:t>
            </w:r>
            <w:r>
              <w:rPr>
                <w:rFonts w:hint="eastAsia" w:asciiTheme="minorEastAsia" w:hAnsiTheme="minorEastAsia" w:eastAsiaTheme="minorEastAsia"/>
                <w:b/>
                <w:sz w:val="24"/>
              </w:rPr>
              <w:t>一览表</w:t>
            </w:r>
          </w:p>
        </w:tc>
        <w:tc>
          <w:tcPr>
            <w:tcW w:w="2893" w:type="dxa"/>
            <w:gridSpan w:val="2"/>
          </w:tcPr>
          <w:p>
            <w:pPr>
              <w:pStyle w:val="89"/>
              <w:spacing w:before="168"/>
              <w:ind w:left="1062" w:right="1057"/>
              <w:jc w:val="left"/>
              <w:rPr>
                <w:rFonts w:asciiTheme="minorEastAsia" w:hAnsiTheme="minorEastAsia" w:eastAsiaTheme="minorEastAsia"/>
                <w:b/>
                <w:sz w:val="24"/>
              </w:rPr>
            </w:pPr>
            <w:r>
              <w:rPr>
                <w:rFonts w:asciiTheme="minorEastAsia" w:hAnsiTheme="minorEastAsia" w:eastAsiaTheme="minorEastAsia"/>
                <w:b/>
                <w:sz w:val="24"/>
              </w:rPr>
              <w:t>见附件</w:t>
            </w:r>
          </w:p>
        </w:tc>
      </w:tr>
    </w:tbl>
    <w:p>
      <w:pPr>
        <w:spacing w:line="360" w:lineRule="auto"/>
        <w:ind w:firstLine="532" w:firstLineChars="200"/>
        <w:rPr>
          <w:rFonts w:asciiTheme="minorEastAsia" w:hAnsiTheme="minorEastAsia" w:eastAsiaTheme="minorEastAsia"/>
          <w:spacing w:val="-7"/>
          <w:sz w:val="28"/>
          <w:szCs w:val="28"/>
        </w:rPr>
      </w:pPr>
      <w:r>
        <w:rPr>
          <w:rFonts w:hint="eastAsia" w:cs="宋体" w:asciiTheme="minorEastAsia" w:hAnsiTheme="minorEastAsia" w:eastAsiaTheme="minorEastAsia"/>
          <w:spacing w:val="-7"/>
          <w:sz w:val="28"/>
          <w:szCs w:val="28"/>
          <w:lang w:val="zh-CN" w:bidi="zh-CN"/>
        </w:rPr>
        <w:t>单位名称（公章）</w:t>
      </w:r>
      <w:r>
        <w:rPr>
          <w:rFonts w:hint="eastAsia" w:cs="宋体" w:asciiTheme="minorEastAsia" w:hAnsiTheme="minorEastAsia" w:eastAsiaTheme="minorEastAsia"/>
          <w:spacing w:val="-7"/>
          <w:sz w:val="28"/>
          <w:szCs w:val="28"/>
          <w:lang w:bidi="zh-CN"/>
        </w:rPr>
        <w:t xml:space="preserve">             </w:t>
      </w:r>
      <w:r>
        <w:rPr>
          <w:rFonts w:hint="eastAsia" w:cs="宋体" w:asciiTheme="minorEastAsia" w:hAnsiTheme="minorEastAsia" w:eastAsiaTheme="minorEastAsia"/>
          <w:spacing w:val="-7"/>
          <w:sz w:val="28"/>
          <w:szCs w:val="28"/>
          <w:lang w:val="zh-CN" w:bidi="zh-CN"/>
        </w:rPr>
        <w:tab/>
      </w:r>
      <w:r>
        <w:rPr>
          <w:rFonts w:hint="eastAsia" w:cs="宋体" w:asciiTheme="minorEastAsia" w:hAnsiTheme="minorEastAsia" w:eastAsiaTheme="minorEastAsia"/>
          <w:spacing w:val="-7"/>
          <w:sz w:val="28"/>
          <w:szCs w:val="28"/>
          <w:lang w:bidi="zh-CN"/>
        </w:rPr>
        <w:t xml:space="preserve">   </w:t>
      </w:r>
      <w:r>
        <w:rPr>
          <w:rFonts w:hint="eastAsia" w:cs="宋体" w:asciiTheme="minorEastAsia" w:hAnsiTheme="minorEastAsia" w:eastAsiaTheme="minorEastAsia"/>
          <w:spacing w:val="-7"/>
          <w:sz w:val="28"/>
          <w:szCs w:val="28"/>
          <w:lang w:val="zh-CN" w:bidi="zh-CN"/>
        </w:rPr>
        <w:t>法定代表人或被授权（签字）</w:t>
      </w:r>
    </w:p>
    <w:p>
      <w:pPr>
        <w:pStyle w:val="6"/>
        <w:tabs>
          <w:tab w:val="left" w:pos="4956"/>
          <w:tab w:val="left" w:pos="7335"/>
          <w:tab w:val="left" w:pos="8178"/>
        </w:tabs>
        <w:spacing w:line="360" w:lineRule="auto"/>
        <w:ind w:left="6450" w:leftChars="2554" w:right="1508" w:hanging="1087" w:hangingChars="409"/>
        <w:rPr>
          <w:rFonts w:asciiTheme="minorEastAsia" w:hAnsiTheme="minorEastAsia" w:eastAsiaTheme="minorEastAsia"/>
          <w:spacing w:val="-7"/>
        </w:rPr>
      </w:pPr>
      <w:r>
        <w:rPr>
          <w:rFonts w:hint="eastAsia" w:cs="宋体" w:asciiTheme="minorEastAsia" w:hAnsiTheme="minorEastAsia" w:eastAsiaTheme="minorEastAsia"/>
          <w:spacing w:val="-7"/>
          <w:sz w:val="28"/>
          <w:szCs w:val="28"/>
          <w:lang w:val="zh-CN" w:bidi="zh-CN"/>
        </w:rPr>
        <w:t xml:space="preserve"> </w:t>
      </w:r>
      <w:r>
        <w:rPr>
          <w:rFonts w:hint="eastAsia" w:cs="宋体" w:asciiTheme="minorEastAsia" w:hAnsiTheme="minorEastAsia" w:eastAsiaTheme="minorEastAsia"/>
          <w:spacing w:val="-7"/>
          <w:sz w:val="28"/>
          <w:szCs w:val="28"/>
          <w:lang w:bidi="zh-CN"/>
        </w:rPr>
        <w:t xml:space="preserve">       </w:t>
      </w:r>
      <w:r>
        <w:rPr>
          <w:rFonts w:hint="eastAsia" w:cs="宋体" w:asciiTheme="minorEastAsia" w:hAnsiTheme="minorEastAsia" w:eastAsiaTheme="minorEastAsia"/>
          <w:spacing w:val="-7"/>
          <w:sz w:val="28"/>
          <w:szCs w:val="28"/>
          <w:lang w:val="zh-CN" w:bidi="zh-CN"/>
        </w:rPr>
        <w:t>年</w:t>
      </w:r>
      <w:r>
        <w:rPr>
          <w:rFonts w:hint="eastAsia" w:cs="宋体" w:asciiTheme="minorEastAsia" w:hAnsiTheme="minorEastAsia" w:eastAsiaTheme="minorEastAsia"/>
          <w:spacing w:val="-7"/>
          <w:sz w:val="28"/>
          <w:szCs w:val="28"/>
          <w:lang w:bidi="zh-CN"/>
        </w:rPr>
        <w:t xml:space="preserve">  </w:t>
      </w:r>
      <w:r>
        <w:rPr>
          <w:rFonts w:hint="eastAsia" w:cs="宋体" w:asciiTheme="minorEastAsia" w:hAnsiTheme="minorEastAsia" w:eastAsiaTheme="minorEastAsia"/>
          <w:spacing w:val="-7"/>
          <w:sz w:val="28"/>
          <w:szCs w:val="28"/>
          <w:lang w:val="zh-CN" w:bidi="zh-CN"/>
        </w:rPr>
        <w:t>月</w:t>
      </w:r>
      <w:r>
        <w:rPr>
          <w:rFonts w:hint="eastAsia" w:cs="宋体" w:asciiTheme="minorEastAsia" w:hAnsiTheme="minorEastAsia" w:eastAsiaTheme="minorEastAsia"/>
          <w:spacing w:val="-7"/>
          <w:sz w:val="28"/>
          <w:szCs w:val="28"/>
          <w:lang w:bidi="zh-CN"/>
        </w:rPr>
        <w:t xml:space="preserve">  </w:t>
      </w:r>
      <w:r>
        <w:rPr>
          <w:rFonts w:hint="eastAsia" w:cs="宋体" w:asciiTheme="minorEastAsia" w:hAnsiTheme="minorEastAsia" w:eastAsiaTheme="minorEastAsia"/>
          <w:spacing w:val="-7"/>
          <w:sz w:val="28"/>
          <w:szCs w:val="28"/>
          <w:lang w:val="zh-CN" w:bidi="zh-CN"/>
        </w:rPr>
        <w:t>日</w:t>
      </w:r>
    </w:p>
    <w:p>
      <w:pPr>
        <w:pStyle w:val="93"/>
        <w:tabs>
          <w:tab w:val="left" w:pos="1003"/>
        </w:tabs>
        <w:spacing w:line="241" w:lineRule="exact"/>
        <w:ind w:firstLine="396"/>
        <w:rPr>
          <w:rFonts w:asciiTheme="minorEastAsia" w:hAnsiTheme="minorEastAsia" w:eastAsiaTheme="minorEastAsia"/>
        </w:rPr>
      </w:pPr>
      <w:r>
        <w:rPr>
          <w:rFonts w:hint="eastAsia" w:asciiTheme="minorEastAsia" w:hAnsiTheme="minorEastAsia" w:eastAsiaTheme="minorEastAsia"/>
          <w:spacing w:val="-6"/>
        </w:rPr>
        <w:t>（1）</w:t>
      </w:r>
      <w:r>
        <w:rPr>
          <w:rFonts w:asciiTheme="minorEastAsia" w:hAnsiTheme="minorEastAsia" w:eastAsiaTheme="minorEastAsia"/>
          <w:spacing w:val="-6"/>
        </w:rPr>
        <w:t xml:space="preserve">投标资料目录装订于投标文件内的第 </w:t>
      </w:r>
      <w:r>
        <w:rPr>
          <w:rFonts w:asciiTheme="minorEastAsia" w:hAnsiTheme="minorEastAsia" w:eastAsiaTheme="minorEastAsia"/>
        </w:rPr>
        <w:t>1</w:t>
      </w:r>
      <w:r>
        <w:rPr>
          <w:rFonts w:asciiTheme="minorEastAsia" w:hAnsiTheme="minorEastAsia" w:eastAsiaTheme="minorEastAsia"/>
          <w:spacing w:val="-20"/>
        </w:rPr>
        <w:t xml:space="preserve"> 页。</w:t>
      </w:r>
    </w:p>
    <w:p>
      <w:pPr>
        <w:pStyle w:val="93"/>
        <w:tabs>
          <w:tab w:val="left" w:pos="1003"/>
        </w:tabs>
        <w:spacing w:before="179"/>
        <w:ind w:firstLine="408"/>
        <w:rPr>
          <w:rFonts w:asciiTheme="minorEastAsia" w:hAnsiTheme="minorEastAsia" w:eastAsiaTheme="minorEastAsia"/>
        </w:rPr>
      </w:pPr>
      <w:r>
        <w:rPr>
          <w:rFonts w:hint="eastAsia" w:asciiTheme="minorEastAsia" w:hAnsiTheme="minorEastAsia" w:eastAsiaTheme="minorEastAsia"/>
          <w:spacing w:val="-3"/>
        </w:rPr>
        <w:t>（2）</w:t>
      </w:r>
      <w:r>
        <w:rPr>
          <w:rFonts w:asciiTheme="minorEastAsia" w:hAnsiTheme="minorEastAsia" w:eastAsiaTheme="minorEastAsia"/>
          <w:spacing w:val="-3"/>
        </w:rPr>
        <w:t>《授权书》及相关《承诺函》、《报价</w:t>
      </w:r>
      <w:r>
        <w:rPr>
          <w:rFonts w:hint="eastAsia" w:asciiTheme="minorEastAsia" w:hAnsiTheme="minorEastAsia" w:eastAsiaTheme="minorEastAsia"/>
          <w:spacing w:val="-3"/>
        </w:rPr>
        <w:t>一览表</w:t>
      </w:r>
      <w:r>
        <w:rPr>
          <w:rFonts w:asciiTheme="minorEastAsia" w:hAnsiTheme="minorEastAsia" w:eastAsiaTheme="minorEastAsia"/>
          <w:spacing w:val="-3"/>
        </w:rPr>
        <w:t>》等格式详见附件。</w:t>
      </w:r>
    </w:p>
    <w:p>
      <w:pPr>
        <w:rPr>
          <w:rFonts w:asciiTheme="minorEastAsia" w:hAnsiTheme="minorEastAsia" w:eastAsiaTheme="minorEastAsia"/>
        </w:rPr>
        <w:sectPr>
          <w:footerReference r:id="rId5" w:type="default"/>
          <w:pgSz w:w="11910" w:h="16840"/>
          <w:pgMar w:top="1440" w:right="1083" w:bottom="1440" w:left="1083" w:header="0" w:footer="937" w:gutter="0"/>
          <w:cols w:space="720" w:num="1"/>
        </w:sectPr>
      </w:pPr>
    </w:p>
    <w:p>
      <w:pPr>
        <w:pStyle w:val="65"/>
        <w:widowControl/>
        <w:snapToGrid w:val="0"/>
        <w:spacing w:line="300" w:lineRule="auto"/>
        <w:ind w:firstLine="0" w:firstLineChars="0"/>
        <w:jc w:val="center"/>
        <w:rPr>
          <w:rFonts w:asciiTheme="minorEastAsia" w:hAnsiTheme="minorEastAsia" w:eastAsiaTheme="minorEastAsia"/>
          <w:b/>
          <w:sz w:val="36"/>
          <w:szCs w:val="36"/>
        </w:rPr>
      </w:pPr>
      <w:r>
        <w:rPr>
          <w:rFonts w:asciiTheme="minorEastAsia" w:hAnsiTheme="minorEastAsia" w:eastAsiaTheme="minorEastAsia"/>
          <w:b/>
          <w:sz w:val="36"/>
          <w:szCs w:val="36"/>
        </w:rPr>
        <w:t>关于资格的声明函</w:t>
      </w:r>
    </w:p>
    <w:p>
      <w:pPr>
        <w:spacing w:line="360" w:lineRule="auto"/>
        <w:jc w:val="center"/>
        <w:rPr>
          <w:rFonts w:asciiTheme="minorEastAsia" w:hAnsiTheme="minorEastAsia" w:eastAsiaTheme="minorEastAsia"/>
          <w:b/>
          <w:szCs w:val="21"/>
        </w:rPr>
      </w:pPr>
    </w:p>
    <w:p>
      <w:pPr>
        <w:pStyle w:val="23"/>
        <w:snapToGrid w:val="0"/>
        <w:spacing w:line="300" w:lineRule="auto"/>
        <w:rPr>
          <w:rFonts w:cs="仿宋_GB2312" w:asciiTheme="minorEastAsia" w:hAnsiTheme="minorEastAsia" w:eastAsiaTheme="minorEastAsia"/>
          <w:bCs/>
          <w:sz w:val="28"/>
          <w:szCs w:val="28"/>
        </w:rPr>
      </w:pPr>
      <w:r>
        <w:rPr>
          <w:rFonts w:hint="eastAsia" w:asciiTheme="minorEastAsia" w:hAnsiTheme="minorEastAsia" w:eastAsiaTheme="minorEastAsia"/>
          <w:sz w:val="28"/>
          <w:szCs w:val="28"/>
          <w:u w:val="single"/>
        </w:rPr>
        <w:t>南通市海门区区域社会治理现代化指挥中心</w:t>
      </w:r>
      <w:r>
        <w:rPr>
          <w:rFonts w:hint="eastAsia" w:cs="仿宋_GB2312" w:asciiTheme="minorEastAsia" w:hAnsiTheme="minorEastAsia" w:eastAsiaTheme="minorEastAsia"/>
          <w:bCs/>
          <w:sz w:val="28"/>
          <w:szCs w:val="28"/>
        </w:rPr>
        <w:t>：</w:t>
      </w:r>
    </w:p>
    <w:p>
      <w:pPr>
        <w:pStyle w:val="23"/>
        <w:snapToGrid w:val="0"/>
        <w:spacing w:line="30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我公司认真对照招标公告，符合贵方提出的资格要求，自愿报名参加投标，并保证提供的资料文件是准确的和真实的。提供虚假材料的愿意承担相应的法律责任。</w:t>
      </w:r>
    </w:p>
    <w:p>
      <w:pPr>
        <w:pStyle w:val="23"/>
        <w:widowControl w:val="0"/>
        <w:snapToGrid w:val="0"/>
        <w:spacing w:before="0" w:beforeAutospacing="0" w:after="0" w:afterAutospacing="0" w:line="300" w:lineRule="auto"/>
        <w:ind w:firstLine="280" w:firstLineChars="100"/>
        <w:rPr>
          <w:rFonts w:cs="仿宋_GB2312" w:asciiTheme="minorEastAsia" w:hAnsiTheme="minorEastAsia" w:eastAsiaTheme="minorEastAsia"/>
          <w:sz w:val="28"/>
          <w:szCs w:val="28"/>
        </w:rPr>
      </w:pPr>
      <w:r>
        <w:rPr>
          <w:rFonts w:hint="eastAsia" w:cs="仿宋_GB2312" w:asciiTheme="minorEastAsia" w:hAnsiTheme="minorEastAsia" w:eastAsiaTheme="minorEastAsia"/>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86"/>
        <w:gridCol w:w="28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23"/>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时 间</w:t>
            </w:r>
          </w:p>
        </w:tc>
        <w:tc>
          <w:tcPr>
            <w:tcW w:w="3086" w:type="dxa"/>
            <w:tcBorders>
              <w:top w:val="single" w:color="auto" w:sz="4" w:space="0"/>
              <w:left w:val="single" w:color="auto" w:sz="4" w:space="0"/>
              <w:bottom w:val="single" w:color="auto" w:sz="4" w:space="0"/>
              <w:right w:val="single" w:color="auto" w:sz="4" w:space="0"/>
            </w:tcBorders>
            <w:vAlign w:val="center"/>
          </w:tcPr>
          <w:p>
            <w:pPr>
              <w:pStyle w:val="23"/>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受处理的原因</w:t>
            </w:r>
          </w:p>
          <w:p>
            <w:pPr>
              <w:pStyle w:val="23"/>
              <w:snapToGrid w:val="0"/>
              <w:spacing w:line="300" w:lineRule="auto"/>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（如在政府采购活动中受处理的，注明采购项目名称及处理原因）</w:t>
            </w:r>
          </w:p>
        </w:tc>
        <w:tc>
          <w:tcPr>
            <w:tcW w:w="2868" w:type="dxa"/>
            <w:tcBorders>
              <w:top w:val="single" w:color="auto" w:sz="4" w:space="0"/>
              <w:left w:val="single" w:color="auto" w:sz="4" w:space="0"/>
              <w:bottom w:val="single" w:color="auto" w:sz="4" w:space="0"/>
              <w:right w:val="single" w:color="auto" w:sz="4" w:space="0"/>
            </w:tcBorders>
            <w:vAlign w:val="center"/>
          </w:tcPr>
          <w:p>
            <w:pPr>
              <w:pStyle w:val="23"/>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处理的内容</w:t>
            </w:r>
          </w:p>
          <w:p>
            <w:pPr>
              <w:pStyle w:val="23"/>
              <w:snapToGrid w:val="0"/>
              <w:spacing w:line="300" w:lineRule="auto"/>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23"/>
              <w:snapToGrid w:val="0"/>
              <w:spacing w:line="300" w:lineRule="auto"/>
              <w:rPr>
                <w:rFonts w:cs="仿宋_GB2312" w:asciiTheme="minorEastAsia" w:hAnsiTheme="minorEastAsia" w:eastAsiaTheme="minorEastAsia"/>
                <w:kern w:val="2"/>
                <w:sz w:val="28"/>
                <w:szCs w:val="28"/>
              </w:rPr>
            </w:pPr>
          </w:p>
        </w:tc>
        <w:tc>
          <w:tcPr>
            <w:tcW w:w="3086" w:type="dxa"/>
            <w:tcBorders>
              <w:top w:val="single" w:color="auto" w:sz="4" w:space="0"/>
              <w:left w:val="single" w:color="auto" w:sz="4" w:space="0"/>
              <w:bottom w:val="single" w:color="auto" w:sz="4" w:space="0"/>
              <w:right w:val="single" w:color="auto" w:sz="4" w:space="0"/>
            </w:tcBorders>
          </w:tcPr>
          <w:p>
            <w:pPr>
              <w:pStyle w:val="23"/>
              <w:snapToGrid w:val="0"/>
              <w:spacing w:line="300" w:lineRule="auto"/>
              <w:rPr>
                <w:rFonts w:cs="仿宋_GB2312" w:asciiTheme="minorEastAsia" w:hAnsiTheme="minorEastAsia" w:eastAsiaTheme="minorEastAsia"/>
                <w:kern w:val="2"/>
                <w:sz w:val="28"/>
                <w:szCs w:val="28"/>
              </w:rPr>
            </w:pPr>
          </w:p>
        </w:tc>
        <w:tc>
          <w:tcPr>
            <w:tcW w:w="2868" w:type="dxa"/>
            <w:tcBorders>
              <w:top w:val="single" w:color="auto" w:sz="4" w:space="0"/>
              <w:left w:val="single" w:color="auto" w:sz="4" w:space="0"/>
              <w:bottom w:val="single" w:color="auto" w:sz="4" w:space="0"/>
              <w:right w:val="single" w:color="auto" w:sz="4" w:space="0"/>
            </w:tcBorders>
          </w:tcPr>
          <w:p>
            <w:pPr>
              <w:pStyle w:val="23"/>
              <w:snapToGrid w:val="0"/>
              <w:spacing w:line="300" w:lineRule="auto"/>
              <w:rPr>
                <w:rFonts w:cs="仿宋_GB2312" w:asciiTheme="minorEastAsia" w:hAnsiTheme="minorEastAsia" w:eastAsiaTheme="minorEastAsia"/>
                <w:kern w:val="2"/>
                <w:sz w:val="28"/>
                <w:szCs w:val="28"/>
              </w:rPr>
            </w:pPr>
          </w:p>
        </w:tc>
        <w:tc>
          <w:tcPr>
            <w:tcW w:w="1276" w:type="dxa"/>
            <w:tcBorders>
              <w:top w:val="single" w:color="auto" w:sz="4" w:space="0"/>
              <w:left w:val="single" w:color="auto" w:sz="4" w:space="0"/>
              <w:bottom w:val="single" w:color="auto" w:sz="4" w:space="0"/>
              <w:right w:val="single" w:color="auto" w:sz="4" w:space="0"/>
            </w:tcBorders>
          </w:tcPr>
          <w:p>
            <w:pPr>
              <w:pStyle w:val="23"/>
              <w:snapToGrid w:val="0"/>
              <w:spacing w:line="300" w:lineRule="auto"/>
              <w:rPr>
                <w:rFonts w:cs="仿宋_GB2312" w:asciiTheme="minorEastAsia" w:hAnsiTheme="minorEastAsia" w:eastAsiaTheme="minorEastAsia"/>
                <w:kern w:val="2"/>
                <w:sz w:val="28"/>
                <w:szCs w:val="28"/>
              </w:rPr>
            </w:pPr>
          </w:p>
        </w:tc>
      </w:tr>
    </w:tbl>
    <w:p>
      <w:pPr>
        <w:pStyle w:val="7"/>
        <w:rPr>
          <w:rFonts w:asciiTheme="minorEastAsia" w:hAnsiTheme="minorEastAsia" w:eastAsiaTheme="minorEastAsia"/>
        </w:rPr>
      </w:pPr>
    </w:p>
    <w:p>
      <w:pPr>
        <w:pStyle w:val="23"/>
        <w:widowControl w:val="0"/>
        <w:spacing w:before="0" w:beforeAutospacing="0" w:after="0" w:afterAutospacing="0" w:line="560" w:lineRule="exact"/>
        <w:jc w:val="center"/>
        <w:rPr>
          <w:rFonts w:asciiTheme="minorEastAsia" w:hAnsiTheme="minorEastAsia" w:eastAsiaTheme="minorEastAsia"/>
          <w:b/>
          <w:sz w:val="32"/>
          <w:szCs w:val="32"/>
        </w:rPr>
      </w:pPr>
      <w:r>
        <w:rPr>
          <w:rFonts w:hint="eastAsia" w:cs="黑体" w:asciiTheme="minorEastAsia" w:hAnsiTheme="minorEastAsia" w:eastAsiaTheme="minorEastAsia"/>
          <w:sz w:val="30"/>
          <w:szCs w:val="30"/>
          <w:lang w:val="en-GB"/>
        </w:rPr>
        <w:br w:type="page"/>
      </w:r>
      <w:r>
        <w:rPr>
          <w:rFonts w:hint="eastAsia" w:asciiTheme="minorEastAsia" w:hAnsiTheme="minorEastAsia" w:eastAsiaTheme="minorEastAsia"/>
          <w:b/>
          <w:kern w:val="2"/>
          <w:sz w:val="32"/>
          <w:szCs w:val="32"/>
          <w:lang w:bidi="ar"/>
        </w:rPr>
        <w:t>法定代表人身份证明</w:t>
      </w:r>
    </w:p>
    <w:p>
      <w:pPr>
        <w:spacing w:line="480" w:lineRule="exact"/>
        <w:rPr>
          <w:rFonts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highlight w:val="white"/>
          <w:u w:val="single"/>
          <w:lang w:bidi="ar"/>
        </w:rPr>
        <w:t xml:space="preserve">        </w:t>
      </w:r>
      <w:r>
        <w:rPr>
          <w:rFonts w:hint="eastAsia" w:cs="仿宋_GB2312" w:asciiTheme="minorEastAsia" w:hAnsiTheme="minorEastAsia" w:eastAsiaTheme="minorEastAsia"/>
          <w:sz w:val="24"/>
          <w:highlight w:val="white"/>
          <w:lang w:bidi="ar"/>
        </w:rPr>
        <w:t>先生</w:t>
      </w:r>
      <w:r>
        <w:rPr>
          <w:rFonts w:asciiTheme="minorEastAsia" w:hAnsiTheme="minorEastAsia" w:eastAsiaTheme="minorEastAsia"/>
          <w:sz w:val="24"/>
          <w:highlight w:val="white"/>
          <w:lang w:bidi="ar"/>
        </w:rPr>
        <w:t>/</w:t>
      </w:r>
      <w:r>
        <w:rPr>
          <w:rFonts w:hint="eastAsia" w:cs="仿宋_GB2312" w:asciiTheme="minorEastAsia" w:hAnsiTheme="minorEastAsia" w:eastAsiaTheme="minorEastAsia"/>
          <w:sz w:val="24"/>
          <w:highlight w:val="white"/>
          <w:lang w:bidi="ar"/>
        </w:rPr>
        <w:t>女士：</w:t>
      </w:r>
      <w:r>
        <w:rPr>
          <w:rFonts w:asciiTheme="minorEastAsia" w:hAnsiTheme="minorEastAsia" w:eastAsiaTheme="minorEastAsia"/>
          <w:sz w:val="24"/>
          <w:highlight w:val="white"/>
          <w:lang w:bidi="ar"/>
        </w:rPr>
        <w:t xml:space="preserve"> </w:t>
      </w:r>
      <w:r>
        <w:rPr>
          <w:rFonts w:hint="eastAsia" w:cs="仿宋_GB2312" w:asciiTheme="minorEastAsia" w:hAnsiTheme="minorEastAsia" w:eastAsiaTheme="minorEastAsia"/>
          <w:sz w:val="24"/>
          <w:highlight w:val="white"/>
          <w:lang w:bidi="ar"/>
        </w:rPr>
        <w:t>现任我单位</w:t>
      </w:r>
      <w:r>
        <w:rPr>
          <w:rFonts w:asciiTheme="minorEastAsia" w:hAnsiTheme="minorEastAsia" w:eastAsiaTheme="minorEastAsia"/>
          <w:sz w:val="24"/>
          <w:highlight w:val="white"/>
          <w:u w:val="single"/>
          <w:lang w:bidi="ar"/>
        </w:rPr>
        <w:t xml:space="preserve">        </w:t>
      </w:r>
      <w:r>
        <w:rPr>
          <w:rFonts w:hint="eastAsia" w:cs="仿宋_GB2312" w:asciiTheme="minorEastAsia" w:hAnsiTheme="minorEastAsia" w:eastAsiaTheme="minorEastAsia"/>
          <w:sz w:val="24"/>
          <w:highlight w:val="white"/>
          <w:lang w:bidi="ar"/>
        </w:rPr>
        <w:t>职务，为法定代表人，特此证明。</w:t>
      </w:r>
    </w:p>
    <w:p>
      <w:pPr>
        <w:spacing w:line="480" w:lineRule="exact"/>
        <w:ind w:firstLine="480"/>
        <w:rPr>
          <w:rFonts w:asciiTheme="minorEastAsia" w:hAnsiTheme="minorEastAsia" w:eastAsiaTheme="minorEastAsia"/>
          <w:sz w:val="24"/>
          <w:u w:val="single"/>
        </w:rPr>
      </w:pPr>
      <w:r>
        <w:rPr>
          <w:rFonts w:hint="eastAsia" w:cs="仿宋_GB2312" w:asciiTheme="minorEastAsia" w:hAnsiTheme="minorEastAsia" w:eastAsiaTheme="minorEastAsia"/>
          <w:sz w:val="24"/>
          <w:lang w:bidi="ar"/>
        </w:rPr>
        <w:t>身份证号码：</w:t>
      </w:r>
      <w:r>
        <w:rPr>
          <w:rFonts w:asciiTheme="minorEastAsia" w:hAnsiTheme="minorEastAsia" w:eastAsiaTheme="minorEastAsia"/>
          <w:sz w:val="24"/>
          <w:highlight w:val="white"/>
          <w:u w:val="single"/>
          <w:lang w:bidi="ar"/>
        </w:rPr>
        <w:t xml:space="preserve">                                               </w:t>
      </w:r>
    </w:p>
    <w:p>
      <w:pPr>
        <w:spacing w:line="480" w:lineRule="exact"/>
        <w:ind w:firstLine="480"/>
        <w:rPr>
          <w:rFonts w:asciiTheme="minorEastAsia" w:hAnsiTheme="minorEastAsia" w:eastAsiaTheme="minorEastAsia"/>
          <w:sz w:val="24"/>
        </w:rPr>
      </w:pPr>
    </w:p>
    <w:p>
      <w:pPr>
        <w:pStyle w:val="111"/>
        <w:widowControl/>
        <w:spacing w:line="60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注：提供法定代表人的身份证复印件盖公章</w:t>
      </w:r>
    </w:p>
    <w:p>
      <w:pPr>
        <w:pStyle w:val="4"/>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7"/>
        <w:rPr>
          <w:rFonts w:cs="黑体" w:asciiTheme="minorEastAsia" w:hAnsiTheme="minorEastAsia" w:eastAsiaTheme="minorEastAsia"/>
          <w:sz w:val="30"/>
          <w:szCs w:val="30"/>
          <w:lang w:val="en-GB"/>
        </w:rPr>
      </w:pPr>
    </w:p>
    <w:p>
      <w:pPr>
        <w:pStyle w:val="4"/>
        <w:jc w:val="center"/>
        <w:rPr>
          <w:rFonts w:cs="黑体" w:asciiTheme="minorEastAsia" w:hAnsiTheme="minorEastAsia" w:eastAsiaTheme="minorEastAsia"/>
          <w:sz w:val="30"/>
          <w:szCs w:val="30"/>
          <w:lang w:val="en-GB"/>
        </w:rPr>
      </w:pPr>
      <w:r>
        <w:rPr>
          <w:rFonts w:hint="eastAsia" w:asciiTheme="minorEastAsia" w:hAnsiTheme="minorEastAsia" w:eastAsiaTheme="minorEastAsia"/>
          <w:szCs w:val="21"/>
        </w:rPr>
        <w:t>授权委托书</w:t>
      </w:r>
    </w:p>
    <w:p>
      <w:pPr>
        <w:spacing w:line="560" w:lineRule="exact"/>
        <w:rPr>
          <w:rFonts w:asciiTheme="minorEastAsia" w:hAnsiTheme="minorEastAsia" w:eastAsiaTheme="minorEastAsia"/>
          <w:bCs/>
          <w:sz w:val="28"/>
          <w:szCs w:val="28"/>
        </w:rPr>
      </w:pPr>
      <w:r>
        <w:rPr>
          <w:rFonts w:hint="eastAsia" w:asciiTheme="minorEastAsia" w:hAnsiTheme="minorEastAsia" w:eastAsiaTheme="minorEastAsia"/>
          <w:sz w:val="28"/>
          <w:szCs w:val="28"/>
          <w:u w:val="single"/>
        </w:rPr>
        <w:t>南通市海门区区域社会治理现代化指挥中心</w:t>
      </w:r>
      <w:r>
        <w:rPr>
          <w:rFonts w:hint="eastAsia" w:asciiTheme="minorEastAsia" w:hAnsiTheme="minorEastAsia" w:eastAsiaTheme="minorEastAsia"/>
          <w:bCs/>
          <w:sz w:val="28"/>
          <w:szCs w:val="28"/>
        </w:rPr>
        <w:t>：</w:t>
      </w:r>
    </w:p>
    <w:p>
      <w:pPr>
        <w:snapToGri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兹授权</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Cs w:val="21"/>
        </w:rPr>
        <w:t>被授权人的姓名、职务</w:t>
      </w:r>
      <w:r>
        <w:rPr>
          <w:rFonts w:hint="eastAsia" w:asciiTheme="minorEastAsia" w:hAnsiTheme="minorEastAsia" w:eastAsiaTheme="minorEastAsia"/>
          <w:sz w:val="28"/>
          <w:szCs w:val="28"/>
        </w:rPr>
        <w:t>）代表我公司参加</w:t>
      </w:r>
      <w:r>
        <w:rPr>
          <w:rFonts w:hint="eastAsia"/>
          <w:sz w:val="28"/>
          <w:szCs w:val="28"/>
          <w:u w:val="single"/>
        </w:rPr>
        <w:t>南通市海门区区域社会治理现代化指挥中心采购信息化应用系统集成运维服务项目</w:t>
      </w:r>
      <w:r>
        <w:rPr>
          <w:rFonts w:hint="eastAsia" w:asciiTheme="minorEastAsia" w:hAnsiTheme="minorEastAsia" w:eastAsiaTheme="minorEastAsia"/>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560" w:lineRule="exact"/>
        <w:rPr>
          <w:rFonts w:asciiTheme="minorEastAsia" w:hAnsiTheme="minorEastAsia" w:eastAsiaTheme="minorEastAsia"/>
          <w:szCs w:val="21"/>
        </w:rPr>
      </w:pPr>
      <w:r>
        <w:rPr>
          <w:rFonts w:hint="eastAsia" w:asciiTheme="minorEastAsia" w:hAnsiTheme="minorEastAsia" w:eastAsiaTheme="minorEastAsia"/>
          <w:szCs w:val="21"/>
        </w:rPr>
        <w:t>附：授权代表情况：</w:t>
      </w:r>
    </w:p>
    <w:p>
      <w:pPr>
        <w:spacing w:line="560" w:lineRule="exact"/>
        <w:rPr>
          <w:rFonts w:asciiTheme="minorEastAsia" w:hAnsiTheme="minorEastAsia" w:eastAsiaTheme="minorEastAsia"/>
          <w:szCs w:val="21"/>
          <w:u w:val="single"/>
        </w:rPr>
      </w:pPr>
      <w:r>
        <w:rPr>
          <w:rFonts w:hint="eastAsia" w:asciiTheme="minorEastAsia" w:hAnsiTheme="minorEastAsia" w:eastAsiaTheme="minorEastAsia"/>
          <w:szCs w:val="21"/>
        </w:rPr>
        <w:t>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性别：</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p>
    <w:p>
      <w:pPr>
        <w:spacing w:line="560" w:lineRule="exact"/>
        <w:rPr>
          <w:rFonts w:asciiTheme="minorEastAsia" w:hAnsiTheme="minorEastAsia" w:eastAsiaTheme="minorEastAsia"/>
          <w:szCs w:val="21"/>
          <w:u w:val="single"/>
        </w:rPr>
      </w:pPr>
      <w:r>
        <w:rPr>
          <w:rFonts w:hint="eastAsia" w:asciiTheme="minorEastAsia" w:hAnsiTheme="minorEastAsia" w:eastAsiaTheme="minorEastAsia"/>
          <w:szCs w:val="21"/>
        </w:rPr>
        <w:t>身份证号码：</w:t>
      </w:r>
      <w:r>
        <w:rPr>
          <w:rFonts w:hint="eastAsia" w:asciiTheme="minorEastAsia" w:hAnsiTheme="minorEastAsia" w:eastAsiaTheme="minorEastAsia"/>
          <w:szCs w:val="21"/>
          <w:u w:val="single"/>
        </w:rPr>
        <w:t xml:space="preserve">                               </w:t>
      </w:r>
    </w:p>
    <w:p>
      <w:pPr>
        <w:spacing w:line="560" w:lineRule="exact"/>
        <w:rPr>
          <w:rFonts w:asciiTheme="minorEastAsia" w:hAnsiTheme="minorEastAsia" w:eastAsiaTheme="minorEastAsia"/>
          <w:szCs w:val="21"/>
        </w:rPr>
      </w:pPr>
      <w:r>
        <w:rPr>
          <w:rFonts w:hint="eastAsia" w:asciiTheme="minorEastAsia" w:hAnsiTheme="minorEastAsia" w:eastAsiaTheme="minorEastAsia"/>
          <w:szCs w:val="21"/>
        </w:rPr>
        <w:t>详细通讯地址：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邮政编码：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传真：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pPr>
        <w:spacing w:line="560" w:lineRule="exact"/>
        <w:rPr>
          <w:rFonts w:asciiTheme="minorEastAsia" w:hAnsiTheme="minorEastAsia" w:eastAsiaTheme="minorEastAsia"/>
          <w:szCs w:val="21"/>
        </w:rPr>
      </w:pP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单位名称（公章）             </w:t>
      </w:r>
      <w:r>
        <w:rPr>
          <w:rFonts w:hint="eastAsia" w:asciiTheme="minorEastAsia" w:hAnsiTheme="minorEastAsia" w:eastAsiaTheme="minorEastAsia"/>
          <w:bCs/>
          <w:sz w:val="28"/>
          <w:szCs w:val="28"/>
        </w:rPr>
        <w:t>法定代表人（签字）</w:t>
      </w:r>
    </w:p>
    <w:p>
      <w:pPr>
        <w:spacing w:line="560" w:lineRule="exact"/>
        <w:ind w:firstLine="1400" w:firstLineChars="500"/>
        <w:rPr>
          <w:rFonts w:asciiTheme="minorEastAsia" w:hAnsiTheme="minorEastAsia" w:eastAsiaTheme="minorEastAsia"/>
          <w:szCs w:val="21"/>
        </w:rPr>
      </w:pPr>
      <w:r>
        <w:rPr>
          <w:rFonts w:hint="eastAsia" w:asciiTheme="minorEastAsia" w:hAnsiTheme="minorEastAsia" w:eastAsiaTheme="minorEastAsia"/>
          <w:sz w:val="28"/>
          <w:szCs w:val="28"/>
        </w:rPr>
        <w:t xml:space="preserve">                                  年   月    日  </w:t>
      </w:r>
    </w:p>
    <w:p>
      <w:pPr>
        <w:pStyle w:val="7"/>
        <w:ind w:firstLine="0"/>
        <w:rPr>
          <w:rFonts w:cs="黑体" w:asciiTheme="minorEastAsia" w:hAnsiTheme="minorEastAsia" w:eastAsiaTheme="minorEastAsia"/>
          <w:sz w:val="30"/>
          <w:szCs w:val="30"/>
          <w:lang w:val="en-GB"/>
        </w:rPr>
      </w:pPr>
    </w:p>
    <w:p>
      <w:pPr>
        <w:pStyle w:val="112"/>
        <w:spacing w:line="560" w:lineRule="atLeast"/>
        <w:jc w:val="center"/>
        <w:rPr>
          <w:rFonts w:cs="宋体" w:asciiTheme="minorEastAsia" w:hAnsiTheme="minorEastAsia" w:eastAsiaTheme="minorEastAsia"/>
          <w:b/>
          <w:bCs/>
          <w:sz w:val="36"/>
          <w:szCs w:val="36"/>
        </w:rPr>
      </w:pPr>
    </w:p>
    <w:p>
      <w:pPr>
        <w:pStyle w:val="112"/>
        <w:spacing w:line="560" w:lineRule="atLeast"/>
        <w:jc w:val="center"/>
        <w:rPr>
          <w:rFonts w:cs="宋体" w:asciiTheme="minorEastAsia" w:hAnsiTheme="minorEastAsia" w:eastAsiaTheme="minorEastAsia"/>
          <w:b/>
          <w:bCs/>
          <w:sz w:val="36"/>
          <w:szCs w:val="36"/>
        </w:rPr>
      </w:pPr>
    </w:p>
    <w:p>
      <w:pPr>
        <w:pStyle w:val="112"/>
        <w:spacing w:line="560" w:lineRule="atLeast"/>
        <w:jc w:val="center"/>
        <w:rPr>
          <w:rFonts w:cs="宋体" w:asciiTheme="minorEastAsia" w:hAnsiTheme="minorEastAsia" w:eastAsiaTheme="minorEastAsia"/>
          <w:b/>
          <w:bCs/>
          <w:sz w:val="36"/>
          <w:szCs w:val="36"/>
        </w:rPr>
      </w:pPr>
    </w:p>
    <w:p>
      <w:pPr>
        <w:pStyle w:val="112"/>
        <w:spacing w:line="560" w:lineRule="atLeast"/>
        <w:jc w:val="center"/>
        <w:rPr>
          <w:rFonts w:cs="宋体" w:asciiTheme="minorEastAsia" w:hAnsiTheme="minorEastAsia" w:eastAsiaTheme="minorEastAsia"/>
          <w:b/>
          <w:bCs/>
          <w:sz w:val="36"/>
          <w:szCs w:val="36"/>
        </w:rPr>
      </w:pPr>
    </w:p>
    <w:p>
      <w:pPr>
        <w:pStyle w:val="112"/>
        <w:spacing w:line="560" w:lineRule="atLeast"/>
        <w:jc w:val="center"/>
        <w:rPr>
          <w:rFonts w:cs="宋体" w:asciiTheme="minorEastAsia" w:hAnsiTheme="minorEastAsia" w:eastAsiaTheme="minorEastAsia"/>
          <w:b/>
          <w:bCs/>
          <w:sz w:val="36"/>
          <w:szCs w:val="36"/>
        </w:rPr>
      </w:pPr>
    </w:p>
    <w:p>
      <w:pPr>
        <w:pStyle w:val="112"/>
        <w:spacing w:line="560" w:lineRule="atLeast"/>
        <w:jc w:val="center"/>
        <w:rPr>
          <w:rFonts w:cs="宋体" w:asciiTheme="minorEastAsia" w:hAnsiTheme="minorEastAsia" w:eastAsiaTheme="minorEastAsia"/>
          <w:b/>
          <w:bCs/>
          <w:sz w:val="36"/>
          <w:szCs w:val="36"/>
        </w:rPr>
      </w:pPr>
    </w:p>
    <w:p>
      <w:pPr>
        <w:pStyle w:val="112"/>
        <w:spacing w:line="560" w:lineRule="atLeast"/>
        <w:jc w:val="center"/>
        <w:rPr>
          <w:rFonts w:cs="宋体" w:asciiTheme="minorEastAsia" w:hAnsiTheme="minorEastAsia" w:eastAsiaTheme="minorEastAsia"/>
          <w:b/>
          <w:bCs/>
          <w:sz w:val="36"/>
          <w:szCs w:val="36"/>
        </w:rPr>
      </w:pPr>
    </w:p>
    <w:p>
      <w:pPr>
        <w:pStyle w:val="112"/>
        <w:spacing w:line="560" w:lineRule="atLeast"/>
        <w:jc w:val="center"/>
        <w:rPr>
          <w:rFonts w:cs="宋体" w:asciiTheme="minorEastAsia" w:hAnsiTheme="minorEastAsia" w:eastAsiaTheme="minorEastAsia"/>
          <w:b/>
          <w:bCs/>
          <w:sz w:val="36"/>
          <w:szCs w:val="36"/>
        </w:rPr>
      </w:pPr>
    </w:p>
    <w:p>
      <w:pPr>
        <w:pStyle w:val="112"/>
        <w:spacing w:line="560" w:lineRule="atLeast"/>
        <w:jc w:val="both"/>
        <w:rPr>
          <w:rFonts w:cs="宋体"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jc w:val="center"/>
        <w:rPr>
          <w:b/>
          <w:color w:val="000000"/>
          <w:sz w:val="30"/>
          <w:szCs w:val="30"/>
        </w:rPr>
      </w:pPr>
      <w:r>
        <w:rPr>
          <w:rFonts w:hint="eastAsia"/>
          <w:b/>
          <w:color w:val="000000"/>
          <w:sz w:val="30"/>
          <w:szCs w:val="30"/>
        </w:rPr>
        <w:t>投标人符合《政府采购法》第二十二条规定条件的声明函</w:t>
      </w:r>
    </w:p>
    <w:p>
      <w:pPr>
        <w:spacing w:line="460" w:lineRule="exact"/>
        <w:rPr>
          <w:b/>
          <w:bCs/>
          <w:color w:val="000000"/>
          <w:sz w:val="44"/>
          <w:szCs w:val="44"/>
        </w:rPr>
      </w:pPr>
    </w:p>
    <w:p>
      <w:pPr>
        <w:spacing w:line="520" w:lineRule="exact"/>
        <w:ind w:firstLine="560" w:firstLineChars="200"/>
        <w:rPr>
          <w:b/>
          <w:bCs/>
          <w:color w:val="000000"/>
          <w:sz w:val="28"/>
          <w:szCs w:val="28"/>
        </w:rPr>
      </w:pPr>
      <w:r>
        <w:rPr>
          <w:rFonts w:hint="eastAsia"/>
          <w:bCs/>
          <w:color w:val="000000"/>
          <w:sz w:val="28"/>
          <w:szCs w:val="28"/>
        </w:rPr>
        <w:t>我单位参加</w:t>
      </w:r>
      <w:r>
        <w:rPr>
          <w:rFonts w:hint="eastAsia"/>
          <w:sz w:val="28"/>
          <w:szCs w:val="28"/>
          <w:u w:val="single"/>
        </w:rPr>
        <w:t>南通市海门区区域社会治理现代化指挥中心采购信息化应用系统集成运维服务项目</w:t>
      </w:r>
      <w:r>
        <w:rPr>
          <w:rFonts w:hint="eastAsia"/>
          <w:bCs/>
          <w:color w:val="000000"/>
          <w:sz w:val="28"/>
          <w:szCs w:val="28"/>
        </w:rPr>
        <w:t>投标活动。针对《中华人民共和国政府采购法》第二十二条规定做出如下声明：</w:t>
      </w:r>
    </w:p>
    <w:p>
      <w:pPr>
        <w:spacing w:line="520" w:lineRule="exact"/>
        <w:ind w:firstLine="482"/>
        <w:rPr>
          <w:color w:val="000000"/>
          <w:sz w:val="28"/>
          <w:szCs w:val="28"/>
        </w:rPr>
      </w:pPr>
      <w:r>
        <w:rPr>
          <w:rFonts w:hint="eastAsia"/>
          <w:bCs/>
          <w:color w:val="000000"/>
          <w:sz w:val="28"/>
          <w:szCs w:val="28"/>
        </w:rPr>
        <w:t>1.我单位具有独立承担民事责任的能力；</w:t>
      </w:r>
    </w:p>
    <w:p>
      <w:pPr>
        <w:spacing w:line="520" w:lineRule="exact"/>
        <w:ind w:firstLine="482"/>
        <w:rPr>
          <w:color w:val="000000"/>
          <w:sz w:val="28"/>
          <w:szCs w:val="28"/>
        </w:rPr>
      </w:pPr>
      <w:r>
        <w:rPr>
          <w:rFonts w:hint="eastAsia"/>
          <w:color w:val="000000"/>
          <w:sz w:val="28"/>
          <w:szCs w:val="28"/>
        </w:rPr>
        <w:t>2.我单位具有良好的商业信誉和健全的财务会计制度；</w:t>
      </w:r>
    </w:p>
    <w:p>
      <w:pPr>
        <w:spacing w:line="520" w:lineRule="exact"/>
        <w:ind w:firstLine="482"/>
        <w:rPr>
          <w:color w:val="000000"/>
          <w:sz w:val="28"/>
          <w:szCs w:val="28"/>
        </w:rPr>
      </w:pPr>
      <w:r>
        <w:rPr>
          <w:rFonts w:hint="eastAsia"/>
          <w:color w:val="000000"/>
          <w:sz w:val="28"/>
          <w:szCs w:val="28"/>
        </w:rPr>
        <w:t>3.我单位具有履行合同所必需的设备和专业技术能力；</w:t>
      </w:r>
    </w:p>
    <w:p>
      <w:pPr>
        <w:spacing w:line="520" w:lineRule="exact"/>
        <w:ind w:firstLine="482"/>
        <w:rPr>
          <w:color w:val="000000"/>
          <w:sz w:val="28"/>
          <w:szCs w:val="28"/>
        </w:rPr>
      </w:pPr>
      <w:r>
        <w:rPr>
          <w:rFonts w:hint="eastAsia"/>
          <w:color w:val="000000"/>
          <w:sz w:val="28"/>
          <w:szCs w:val="28"/>
        </w:rPr>
        <w:t>4.我单位有依法缴纳税收和社会保障资金的良好记录；</w:t>
      </w:r>
    </w:p>
    <w:p>
      <w:pPr>
        <w:spacing w:line="520" w:lineRule="exact"/>
        <w:ind w:firstLine="482"/>
        <w:rPr>
          <w:color w:val="000000"/>
          <w:sz w:val="28"/>
          <w:szCs w:val="28"/>
        </w:rPr>
      </w:pPr>
      <w:r>
        <w:rPr>
          <w:rFonts w:hint="eastAsia"/>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color w:val="000000"/>
          <w:sz w:val="28"/>
          <w:szCs w:val="28"/>
        </w:rPr>
      </w:pPr>
      <w:r>
        <w:rPr>
          <w:rFonts w:hint="eastAsia"/>
          <w:color w:val="000000"/>
          <w:sz w:val="28"/>
          <w:szCs w:val="28"/>
        </w:rPr>
        <w:t>6.我单位满足法律、行政法规规定的其他条件。</w:t>
      </w:r>
    </w:p>
    <w:p>
      <w:pPr>
        <w:spacing w:line="500" w:lineRule="exact"/>
        <w:ind w:firstLine="482"/>
        <w:rPr>
          <w:color w:val="000000"/>
          <w:sz w:val="24"/>
        </w:rPr>
      </w:pPr>
    </w:p>
    <w:p>
      <w:pPr>
        <w:spacing w:line="500" w:lineRule="exact"/>
        <w:rPr>
          <w:color w:val="000000"/>
          <w:sz w:val="24"/>
        </w:rPr>
      </w:pPr>
    </w:p>
    <w:p>
      <w:pPr>
        <w:spacing w:line="500" w:lineRule="exact"/>
        <w:rPr>
          <w:bCs/>
          <w:color w:val="000000"/>
          <w:sz w:val="24"/>
          <w:szCs w:val="21"/>
        </w:rPr>
      </w:pPr>
    </w:p>
    <w:p>
      <w:pPr>
        <w:spacing w:line="500" w:lineRule="exact"/>
        <w:rPr>
          <w:bCs/>
          <w:color w:val="000000"/>
          <w:sz w:val="24"/>
          <w:szCs w:val="21"/>
        </w:rPr>
      </w:pPr>
    </w:p>
    <w:p>
      <w:pPr>
        <w:spacing w:line="500" w:lineRule="exact"/>
        <w:rPr>
          <w:bCs/>
          <w:color w:val="000000"/>
          <w:sz w:val="24"/>
          <w:szCs w:val="21"/>
        </w:rPr>
      </w:pPr>
    </w:p>
    <w:p>
      <w:pPr>
        <w:spacing w:line="460" w:lineRule="exact"/>
        <w:jc w:val="center"/>
        <w:rPr>
          <w:bCs/>
          <w:color w:val="000000"/>
          <w:sz w:val="28"/>
          <w:szCs w:val="28"/>
        </w:rPr>
      </w:pPr>
      <w:r>
        <w:rPr>
          <w:rFonts w:hint="eastAsia"/>
          <w:bCs/>
          <w:color w:val="000000"/>
          <w:sz w:val="28"/>
          <w:szCs w:val="28"/>
        </w:rPr>
        <w:t>承诺人名称（公章）：</w:t>
      </w:r>
    </w:p>
    <w:p>
      <w:pPr>
        <w:spacing w:line="460" w:lineRule="exact"/>
        <w:jc w:val="right"/>
        <w:rPr>
          <w:bCs/>
          <w:color w:val="000000"/>
          <w:sz w:val="28"/>
          <w:szCs w:val="28"/>
        </w:rPr>
      </w:pPr>
    </w:p>
    <w:p>
      <w:pPr>
        <w:spacing w:line="460" w:lineRule="exact"/>
        <w:jc w:val="center"/>
        <w:rPr>
          <w:bCs/>
          <w:color w:val="000000"/>
          <w:sz w:val="28"/>
          <w:szCs w:val="28"/>
        </w:rPr>
      </w:pPr>
      <w:r>
        <w:rPr>
          <w:rFonts w:hint="eastAsia"/>
          <w:bCs/>
          <w:color w:val="000000"/>
          <w:sz w:val="28"/>
          <w:szCs w:val="28"/>
        </w:rPr>
        <w:t xml:space="preserve">                                   日期：    年   月   日</w:t>
      </w:r>
    </w:p>
    <w:p>
      <w:pPr>
        <w:pStyle w:val="7"/>
      </w:pPr>
    </w:p>
    <w:p>
      <w:pPr>
        <w:pStyle w:val="7"/>
      </w:pPr>
    </w:p>
    <w:p>
      <w:pPr>
        <w:pStyle w:val="7"/>
      </w:pPr>
    </w:p>
    <w:p>
      <w:pPr>
        <w:pStyle w:val="7"/>
      </w:pPr>
    </w:p>
    <w:p>
      <w:pPr>
        <w:pStyle w:val="7"/>
      </w:pPr>
    </w:p>
    <w:p>
      <w:pPr>
        <w:pStyle w:val="7"/>
      </w:pPr>
    </w:p>
    <w:p>
      <w:pPr>
        <w:widowControl/>
        <w:spacing w:line="360" w:lineRule="auto"/>
        <w:jc w:val="center"/>
        <w:rPr>
          <w:b/>
          <w:sz w:val="32"/>
          <w:szCs w:val="32"/>
        </w:rPr>
      </w:pPr>
      <w:r>
        <w:rPr>
          <w:rFonts w:hint="eastAsia"/>
          <w:b/>
          <w:sz w:val="32"/>
          <w:szCs w:val="32"/>
        </w:rPr>
        <w:t>中小企业声明函</w:t>
      </w:r>
    </w:p>
    <w:p>
      <w:pPr>
        <w:widowControl/>
        <w:spacing w:line="360" w:lineRule="auto"/>
        <w:ind w:firstLine="560" w:firstLineChars="200"/>
        <w:rPr>
          <w:sz w:val="28"/>
          <w:szCs w:val="28"/>
        </w:rPr>
      </w:pPr>
      <w:r>
        <w:rPr>
          <w:rFonts w:hint="eastAsia"/>
          <w:sz w:val="28"/>
          <w:szCs w:val="28"/>
        </w:rPr>
        <w:t>本公司郑重声明，根据《政府采购促进中小企业发展管理办法》（财库﹝</w:t>
      </w:r>
      <w:r>
        <w:rPr>
          <w:sz w:val="28"/>
          <w:szCs w:val="28"/>
        </w:rPr>
        <w:t>2020</w:t>
      </w:r>
      <w:r>
        <w:rPr>
          <w:rFonts w:hint="eastAsia"/>
          <w:sz w:val="28"/>
          <w:szCs w:val="28"/>
        </w:rPr>
        <w:t>﹞</w:t>
      </w:r>
      <w:r>
        <w:rPr>
          <w:sz w:val="28"/>
          <w:szCs w:val="28"/>
        </w:rPr>
        <w:t xml:space="preserve">46 </w:t>
      </w:r>
      <w:r>
        <w:rPr>
          <w:rFonts w:hint="eastAsia"/>
          <w:sz w:val="28"/>
          <w:szCs w:val="28"/>
        </w:rPr>
        <w:t>号）的规定，本公司参加</w:t>
      </w:r>
      <w:r>
        <w:rPr>
          <w:rFonts w:hint="eastAsia"/>
          <w:sz w:val="28"/>
          <w:szCs w:val="28"/>
          <w:u w:val="single"/>
        </w:rPr>
        <w:t xml:space="preserve"> 南通市海门区区域社会治理现代化指挥中心采购信息化应用系统集成运维服务项目</w:t>
      </w:r>
      <w:r>
        <w:rPr>
          <w:rFonts w:hint="eastAsia"/>
          <w:sz w:val="28"/>
          <w:szCs w:val="28"/>
        </w:rPr>
        <w:t>采购活动，服务全部由符合政策要求的中小企业承接。相关企业的具体情况如下：</w:t>
      </w:r>
    </w:p>
    <w:p>
      <w:pPr>
        <w:widowControl/>
        <w:spacing w:line="360" w:lineRule="auto"/>
        <w:ind w:firstLine="560" w:firstLineChars="200"/>
        <w:rPr>
          <w:sz w:val="28"/>
          <w:szCs w:val="28"/>
        </w:rPr>
      </w:pPr>
      <w:r>
        <w:rPr>
          <w:rFonts w:hint="eastAsia"/>
          <w:sz w:val="28"/>
          <w:szCs w:val="28"/>
          <w:u w:val="single"/>
        </w:rPr>
        <w:t>南通市海门区区域社会治理现代化指挥中心采购信息化应用系统集成运维服务项目</w:t>
      </w:r>
      <w:r>
        <w:rPr>
          <w:rFonts w:hint="eastAsia"/>
          <w:sz w:val="28"/>
          <w:szCs w:val="28"/>
        </w:rPr>
        <w:t>，属于</w:t>
      </w:r>
      <w:r>
        <w:rPr>
          <w:rFonts w:hint="eastAsia"/>
          <w:sz w:val="28"/>
          <w:szCs w:val="28"/>
          <w:u w:val="single"/>
        </w:rPr>
        <w:t xml:space="preserve"> </w:t>
      </w:r>
      <w:r>
        <w:rPr>
          <w:sz w:val="28"/>
          <w:szCs w:val="28"/>
          <w:u w:val="single"/>
        </w:rPr>
        <w:t xml:space="preserve">     </w:t>
      </w:r>
      <w:r>
        <w:rPr>
          <w:rFonts w:hint="eastAsia"/>
          <w:sz w:val="28"/>
          <w:szCs w:val="28"/>
          <w:u w:val="single"/>
        </w:rPr>
        <w:t>业</w:t>
      </w:r>
      <w:r>
        <w:rPr>
          <w:rFonts w:hint="eastAsia"/>
          <w:sz w:val="28"/>
          <w:szCs w:val="28"/>
        </w:rPr>
        <w:t>；承接企业为</w:t>
      </w:r>
      <w:r>
        <w:rPr>
          <w:rFonts w:hint="eastAsia"/>
          <w:sz w:val="28"/>
          <w:szCs w:val="28"/>
          <w:u w:val="single"/>
        </w:rPr>
        <w:t>（企业名称）</w:t>
      </w:r>
      <w:r>
        <w:rPr>
          <w:rFonts w:hint="eastAsia"/>
          <w:sz w:val="28"/>
          <w:szCs w:val="28"/>
        </w:rPr>
        <w:t>，营业收入</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元，资产总额</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元，属于</w:t>
      </w:r>
      <w:r>
        <w:rPr>
          <w:rFonts w:hint="eastAsia"/>
          <w:sz w:val="28"/>
          <w:szCs w:val="28"/>
          <w:u w:val="single"/>
        </w:rPr>
        <w:t>（中型企业、小型企业、微型企业）</w:t>
      </w:r>
      <w:r>
        <w:rPr>
          <w:rFonts w:hint="eastAsia"/>
          <w:sz w:val="28"/>
          <w:szCs w:val="28"/>
        </w:rPr>
        <w:t>。</w:t>
      </w:r>
      <w:r>
        <w:rPr>
          <w:sz w:val="28"/>
          <w:szCs w:val="28"/>
        </w:rPr>
        <w:t xml:space="preserve"> </w:t>
      </w:r>
    </w:p>
    <w:p>
      <w:pPr>
        <w:widowControl/>
        <w:spacing w:line="360" w:lineRule="auto"/>
        <w:ind w:firstLine="560" w:firstLineChars="200"/>
        <w:rPr>
          <w:sz w:val="28"/>
          <w:szCs w:val="28"/>
        </w:rPr>
      </w:pPr>
      <w:r>
        <w:rPr>
          <w:rFonts w:hint="eastAsia"/>
          <w:sz w:val="28"/>
          <w:szCs w:val="28"/>
        </w:rPr>
        <w:t>以上企业，不属于大企业的分支机构，不存在控股股东为大企业的情形，也不存在与大企业的负责人为同一人的情形。</w:t>
      </w:r>
    </w:p>
    <w:p>
      <w:pPr>
        <w:widowControl/>
        <w:spacing w:line="360" w:lineRule="auto"/>
        <w:ind w:firstLine="560" w:firstLineChars="200"/>
        <w:rPr>
          <w:sz w:val="28"/>
          <w:szCs w:val="28"/>
        </w:rPr>
      </w:pPr>
      <w:r>
        <w:rPr>
          <w:rFonts w:hint="eastAsia"/>
          <w:sz w:val="28"/>
          <w:szCs w:val="28"/>
        </w:rPr>
        <w:t>本企业对上述声明内容的真实性负责。如有虚假，将依法承担相应责任。</w:t>
      </w:r>
      <w:r>
        <w:rPr>
          <w:sz w:val="28"/>
          <w:szCs w:val="28"/>
        </w:rPr>
        <w:t xml:space="preserve"> </w:t>
      </w:r>
    </w:p>
    <w:p>
      <w:pPr>
        <w:widowControl/>
        <w:spacing w:line="360" w:lineRule="auto"/>
        <w:ind w:firstLine="560" w:firstLineChars="200"/>
        <w:rPr>
          <w:sz w:val="28"/>
          <w:szCs w:val="28"/>
        </w:rPr>
      </w:pPr>
    </w:p>
    <w:p>
      <w:pPr>
        <w:widowControl/>
        <w:spacing w:line="360" w:lineRule="auto"/>
        <w:ind w:firstLine="5040" w:firstLineChars="1800"/>
        <w:rPr>
          <w:sz w:val="28"/>
          <w:szCs w:val="28"/>
        </w:rPr>
      </w:pPr>
      <w:r>
        <w:rPr>
          <w:rFonts w:hint="eastAsia"/>
          <w:sz w:val="28"/>
          <w:szCs w:val="28"/>
        </w:rPr>
        <w:t>企业名称（盖章）：</w:t>
      </w:r>
      <w:r>
        <w:rPr>
          <w:sz w:val="28"/>
          <w:szCs w:val="28"/>
        </w:rPr>
        <w:t xml:space="preserve"> </w:t>
      </w:r>
    </w:p>
    <w:p>
      <w:pPr>
        <w:widowControl/>
        <w:spacing w:line="360" w:lineRule="auto"/>
        <w:ind w:firstLine="5040" w:firstLineChars="1800"/>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p>
    <w:p>
      <w:pPr>
        <w:pStyle w:val="14"/>
        <w:ind w:left="1470" w:right="1470"/>
      </w:pPr>
    </w:p>
    <w:p>
      <w:pPr>
        <w:pStyle w:val="11"/>
        <w:rPr>
          <w:rFonts w:hint="eastAsia"/>
        </w:rPr>
      </w:pPr>
    </w:p>
    <w:p>
      <w:pPr>
        <w:pStyle w:val="14"/>
        <w:ind w:left="1470" w:right="1470"/>
      </w:pPr>
    </w:p>
    <w:p>
      <w:pPr>
        <w:pStyle w:val="14"/>
        <w:ind w:left="1470" w:right="1470"/>
      </w:pPr>
    </w:p>
    <w:p>
      <w:pPr>
        <w:pStyle w:val="14"/>
        <w:ind w:left="1470" w:right="1470"/>
      </w:pPr>
    </w:p>
    <w:p>
      <w:pPr>
        <w:pStyle w:val="14"/>
        <w:ind w:left="1470" w:right="1470"/>
      </w:pPr>
    </w:p>
    <w:p>
      <w:pPr>
        <w:pStyle w:val="14"/>
        <w:ind w:left="1470" w:right="1470"/>
      </w:pPr>
    </w:p>
    <w:p>
      <w:pPr>
        <w:pStyle w:val="14"/>
        <w:ind w:left="1470" w:right="1470"/>
      </w:pPr>
    </w:p>
    <w:p>
      <w:pPr>
        <w:pStyle w:val="11"/>
        <w:rPr>
          <w:rFonts w:hint="eastAsia"/>
        </w:rPr>
      </w:pPr>
    </w:p>
    <w:p>
      <w:pPr>
        <w:pStyle w:val="14"/>
        <w:ind w:left="1470" w:right="1470"/>
      </w:pPr>
    </w:p>
    <w:p>
      <w:pPr>
        <w:pStyle w:val="14"/>
        <w:ind w:left="0" w:leftChars="0" w:right="1470"/>
      </w:pPr>
    </w:p>
    <w:p>
      <w:pPr>
        <w:widowControl/>
        <w:spacing w:line="360" w:lineRule="auto"/>
        <w:rPr>
          <w:color w:val="FF0000"/>
          <w:sz w:val="24"/>
          <w:szCs w:val="28"/>
        </w:rPr>
      </w:pPr>
      <w:r>
        <w:rPr>
          <w:rFonts w:hint="eastAsia"/>
          <w:color w:val="FF0000"/>
          <w:sz w:val="24"/>
          <w:szCs w:val="28"/>
        </w:rPr>
        <w:t>注：1.投标人如未提供此表作无效标处理！</w:t>
      </w:r>
    </w:p>
    <w:p>
      <w:pPr>
        <w:widowControl/>
        <w:spacing w:line="360" w:lineRule="auto"/>
        <w:ind w:firstLine="480" w:firstLineChars="200"/>
        <w:rPr>
          <w:rFonts w:asciiTheme="minorEastAsia" w:hAnsiTheme="minorEastAsia" w:eastAsiaTheme="minorEastAsia"/>
        </w:rPr>
      </w:pPr>
      <w:r>
        <w:rPr>
          <w:rFonts w:hint="eastAsia"/>
          <w:color w:val="FF0000"/>
          <w:sz w:val="24"/>
          <w:szCs w:val="28"/>
        </w:rPr>
        <w:t>2.营业收入、资产总额填报上一年度数据，无上一年度数据的新成立企业可不填报。</w:t>
      </w:r>
    </w:p>
    <w:p>
      <w:pPr>
        <w:spacing w:line="360" w:lineRule="auto"/>
        <w:jc w:val="center"/>
        <w:rPr>
          <w:sz w:val="36"/>
          <w:szCs w:val="36"/>
        </w:rPr>
      </w:pPr>
      <w:r>
        <w:rPr>
          <w:rFonts w:hint="eastAsia"/>
          <w:sz w:val="36"/>
          <w:szCs w:val="36"/>
        </w:rPr>
        <w:t>南通市海门区区域社会治理现代化指挥中心</w:t>
      </w:r>
    </w:p>
    <w:p>
      <w:pPr>
        <w:spacing w:line="360" w:lineRule="auto"/>
        <w:jc w:val="center"/>
        <w:rPr>
          <w:sz w:val="36"/>
          <w:szCs w:val="36"/>
        </w:rPr>
      </w:pPr>
      <w:r>
        <w:rPr>
          <w:rFonts w:hint="eastAsia"/>
          <w:sz w:val="36"/>
          <w:szCs w:val="36"/>
        </w:rPr>
        <w:t>采购信息化应用系统集成运维服务项目</w:t>
      </w:r>
    </w:p>
    <w:p>
      <w:pPr>
        <w:spacing w:line="360" w:lineRule="auto"/>
        <w:jc w:val="center"/>
        <w:rPr>
          <w:sz w:val="28"/>
          <w:szCs w:val="28"/>
        </w:rPr>
      </w:pPr>
      <w:r>
        <w:rPr>
          <w:rFonts w:hint="eastAsia"/>
          <w:sz w:val="28"/>
          <w:szCs w:val="28"/>
        </w:rPr>
        <w:t>报价一览表</w:t>
      </w:r>
    </w:p>
    <w:p>
      <w:pPr>
        <w:spacing w:line="360" w:lineRule="auto"/>
        <w:rPr>
          <w:sz w:val="28"/>
          <w:szCs w:val="28"/>
        </w:rPr>
      </w:pPr>
      <w:r>
        <w:rPr>
          <w:rFonts w:hint="eastAsia"/>
          <w:sz w:val="28"/>
          <w:szCs w:val="28"/>
        </w:rPr>
        <w:t>投标单位：（公章）</w:t>
      </w:r>
    </w:p>
    <w:tbl>
      <w:tblPr>
        <w:tblStyle w:val="2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959"/>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81" w:type="dxa"/>
            <w:vAlign w:val="center"/>
          </w:tcPr>
          <w:p>
            <w:pPr>
              <w:spacing w:line="276" w:lineRule="auto"/>
              <w:jc w:val="center"/>
              <w:rPr>
                <w:rFonts w:cs="仿宋"/>
                <w:b/>
                <w:sz w:val="24"/>
              </w:rPr>
            </w:pPr>
            <w:r>
              <w:rPr>
                <w:rFonts w:hint="eastAsia" w:cs="仿宋"/>
                <w:b/>
                <w:sz w:val="24"/>
              </w:rPr>
              <w:t>序号</w:t>
            </w:r>
          </w:p>
        </w:tc>
        <w:tc>
          <w:tcPr>
            <w:tcW w:w="3959" w:type="dxa"/>
            <w:vAlign w:val="center"/>
          </w:tcPr>
          <w:p>
            <w:pPr>
              <w:spacing w:line="276" w:lineRule="auto"/>
              <w:jc w:val="center"/>
              <w:rPr>
                <w:rFonts w:cs="仿宋"/>
                <w:b/>
                <w:sz w:val="24"/>
              </w:rPr>
            </w:pPr>
            <w:r>
              <w:rPr>
                <w:rFonts w:hint="eastAsia" w:cs="仿宋"/>
                <w:b/>
                <w:sz w:val="24"/>
              </w:rPr>
              <w:t>项目名称</w:t>
            </w:r>
          </w:p>
        </w:tc>
        <w:tc>
          <w:tcPr>
            <w:tcW w:w="1276" w:type="dxa"/>
            <w:vAlign w:val="center"/>
          </w:tcPr>
          <w:p>
            <w:pPr>
              <w:spacing w:line="276" w:lineRule="auto"/>
              <w:jc w:val="center"/>
              <w:rPr>
                <w:rFonts w:cs="仿宋"/>
                <w:b/>
                <w:sz w:val="24"/>
              </w:rPr>
            </w:pPr>
            <w:r>
              <w:rPr>
                <w:rFonts w:hint="eastAsia" w:cs="仿宋"/>
                <w:b/>
                <w:sz w:val="24"/>
              </w:rPr>
              <w:t>最高限价万元）</w:t>
            </w:r>
          </w:p>
        </w:tc>
        <w:tc>
          <w:tcPr>
            <w:tcW w:w="1559" w:type="dxa"/>
            <w:vAlign w:val="center"/>
          </w:tcPr>
          <w:p>
            <w:pPr>
              <w:spacing w:line="276" w:lineRule="auto"/>
              <w:jc w:val="center"/>
              <w:rPr>
                <w:rFonts w:cs="仿宋"/>
                <w:b/>
                <w:sz w:val="24"/>
              </w:rPr>
            </w:pPr>
            <w:r>
              <w:rPr>
                <w:rFonts w:hint="eastAsia" w:cs="仿宋"/>
                <w:b/>
                <w:sz w:val="24"/>
              </w:rPr>
              <w:t>投标报价（万元）</w:t>
            </w:r>
          </w:p>
        </w:tc>
        <w:tc>
          <w:tcPr>
            <w:tcW w:w="1559" w:type="dxa"/>
            <w:vAlign w:val="center"/>
          </w:tcPr>
          <w:p>
            <w:pPr>
              <w:spacing w:line="276" w:lineRule="auto"/>
              <w:jc w:val="center"/>
              <w:rPr>
                <w:rFonts w:cs="仿宋"/>
                <w:b/>
                <w:sz w:val="24"/>
              </w:rPr>
            </w:pPr>
            <w:r>
              <w:rPr>
                <w:rFonts w:hint="eastAsia"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81" w:type="dxa"/>
            <w:vAlign w:val="center"/>
          </w:tcPr>
          <w:p>
            <w:pPr>
              <w:spacing w:line="276" w:lineRule="auto"/>
              <w:jc w:val="center"/>
              <w:rPr>
                <w:rFonts w:cs="仿宋"/>
                <w:sz w:val="24"/>
              </w:rPr>
            </w:pPr>
            <w:r>
              <w:rPr>
                <w:rFonts w:hint="eastAsia" w:cs="仿宋"/>
                <w:sz w:val="24"/>
              </w:rPr>
              <w:t>1</w:t>
            </w:r>
          </w:p>
        </w:tc>
        <w:tc>
          <w:tcPr>
            <w:tcW w:w="3959" w:type="dxa"/>
            <w:vAlign w:val="center"/>
          </w:tcPr>
          <w:p>
            <w:pPr>
              <w:spacing w:line="276" w:lineRule="auto"/>
              <w:jc w:val="center"/>
              <w:rPr>
                <w:rFonts w:cs="仿宋"/>
                <w:sz w:val="24"/>
              </w:rPr>
            </w:pPr>
            <w:r>
              <w:rPr>
                <w:rFonts w:hint="eastAsia" w:cs="仿宋"/>
                <w:sz w:val="24"/>
              </w:rPr>
              <w:t>南通市海门区区域社会治理现代化指挥中心采购信息化应用系统集成运维服务项目</w:t>
            </w:r>
          </w:p>
        </w:tc>
        <w:tc>
          <w:tcPr>
            <w:tcW w:w="1276" w:type="dxa"/>
            <w:vAlign w:val="center"/>
          </w:tcPr>
          <w:p>
            <w:pPr>
              <w:spacing w:line="276" w:lineRule="auto"/>
              <w:jc w:val="center"/>
              <w:rPr>
                <w:rFonts w:cs="仿宋"/>
                <w:sz w:val="24"/>
              </w:rPr>
            </w:pPr>
            <w:r>
              <w:rPr>
                <w:rFonts w:cs="仿宋"/>
                <w:sz w:val="24"/>
              </w:rPr>
              <w:t>35</w:t>
            </w:r>
          </w:p>
        </w:tc>
        <w:tc>
          <w:tcPr>
            <w:tcW w:w="1559" w:type="dxa"/>
            <w:vAlign w:val="center"/>
          </w:tcPr>
          <w:p>
            <w:pPr>
              <w:spacing w:line="276" w:lineRule="auto"/>
              <w:jc w:val="center"/>
              <w:rPr>
                <w:rFonts w:cs="仿宋"/>
                <w:sz w:val="24"/>
              </w:rPr>
            </w:pPr>
          </w:p>
        </w:tc>
        <w:tc>
          <w:tcPr>
            <w:tcW w:w="1559" w:type="dxa"/>
            <w:vAlign w:val="center"/>
          </w:tcPr>
          <w:p>
            <w:pPr>
              <w:spacing w:line="276" w:lineRule="auto"/>
              <w:jc w:val="center"/>
              <w:rPr>
                <w:rFonts w:cs="仿宋"/>
                <w:sz w:val="24"/>
              </w:rPr>
            </w:pPr>
          </w:p>
        </w:tc>
      </w:tr>
    </w:tbl>
    <w:p>
      <w:pPr>
        <w:widowControl/>
        <w:spacing w:before="60" w:after="60" w:line="360" w:lineRule="auto"/>
        <w:ind w:right="60"/>
        <w:rPr>
          <w:sz w:val="24"/>
        </w:rPr>
      </w:pPr>
      <w:r>
        <w:rPr>
          <w:rFonts w:hint="eastAsia"/>
          <w:sz w:val="24"/>
        </w:rPr>
        <w:t xml:space="preserve">                        </w:t>
      </w:r>
    </w:p>
    <w:p>
      <w:pPr>
        <w:widowControl/>
        <w:topLinePunct/>
        <w:snapToGrid w:val="0"/>
        <w:spacing w:before="4"/>
        <w:ind w:right="560"/>
        <w:jc w:val="center"/>
        <w:rPr>
          <w:b/>
          <w:bCs/>
          <w:sz w:val="28"/>
          <w:szCs w:val="28"/>
        </w:rPr>
      </w:pPr>
      <w:r>
        <w:rPr>
          <w:rFonts w:hint="eastAsia"/>
          <w:bCs/>
          <w:sz w:val="28"/>
          <w:szCs w:val="28"/>
        </w:rPr>
        <w:t xml:space="preserve">                  法定代表人（授权代表）签名</w:t>
      </w:r>
      <w:r>
        <w:rPr>
          <w:rFonts w:hint="eastAsia"/>
          <w:b/>
          <w:bCs/>
          <w:sz w:val="28"/>
          <w:szCs w:val="28"/>
        </w:rPr>
        <w:t>：</w:t>
      </w:r>
    </w:p>
    <w:p>
      <w:pPr>
        <w:pStyle w:val="26"/>
        <w:ind w:right="560" w:firstLine="6000" w:firstLineChars="2000"/>
      </w:pPr>
    </w:p>
    <w:p>
      <w:pPr>
        <w:pStyle w:val="26"/>
        <w:ind w:right="560" w:firstLine="5600" w:firstLineChars="2000"/>
        <w:rPr>
          <w:bCs/>
          <w:sz w:val="28"/>
          <w:szCs w:val="28"/>
        </w:rPr>
      </w:pPr>
      <w:r>
        <w:rPr>
          <w:rFonts w:hint="eastAsia"/>
          <w:bCs/>
          <w:sz w:val="28"/>
          <w:szCs w:val="28"/>
        </w:rPr>
        <w:t>年    月    日</w:t>
      </w:r>
    </w:p>
    <w:p>
      <w:pPr>
        <w:pStyle w:val="7"/>
        <w:ind w:firstLine="0"/>
      </w:pPr>
    </w:p>
    <w:p>
      <w:pPr>
        <w:spacing w:line="360" w:lineRule="auto"/>
        <w:ind w:firstLine="422" w:firstLineChars="150"/>
        <w:rPr>
          <w:b/>
          <w:sz w:val="28"/>
          <w:szCs w:val="28"/>
        </w:rPr>
      </w:pPr>
      <w:r>
        <w:rPr>
          <w:rFonts w:hint="eastAsia"/>
          <w:b/>
          <w:sz w:val="28"/>
          <w:szCs w:val="28"/>
        </w:rPr>
        <w:t>以下内容为开标时填写：</w:t>
      </w:r>
    </w:p>
    <w:tbl>
      <w:tblPr>
        <w:tblStyle w:val="2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959"/>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81" w:type="dxa"/>
            <w:vAlign w:val="center"/>
          </w:tcPr>
          <w:p>
            <w:pPr>
              <w:spacing w:line="276" w:lineRule="auto"/>
              <w:jc w:val="center"/>
              <w:rPr>
                <w:rFonts w:cs="仿宋"/>
                <w:b/>
                <w:sz w:val="24"/>
              </w:rPr>
            </w:pPr>
            <w:r>
              <w:rPr>
                <w:rFonts w:hint="eastAsia" w:cs="仿宋"/>
                <w:b/>
                <w:sz w:val="24"/>
              </w:rPr>
              <w:t>序号</w:t>
            </w:r>
          </w:p>
        </w:tc>
        <w:tc>
          <w:tcPr>
            <w:tcW w:w="3959" w:type="dxa"/>
            <w:vAlign w:val="center"/>
          </w:tcPr>
          <w:p>
            <w:pPr>
              <w:spacing w:line="276" w:lineRule="auto"/>
              <w:jc w:val="center"/>
              <w:rPr>
                <w:rFonts w:cs="仿宋"/>
                <w:b/>
                <w:sz w:val="24"/>
              </w:rPr>
            </w:pPr>
            <w:r>
              <w:rPr>
                <w:rFonts w:hint="eastAsia" w:cs="仿宋"/>
                <w:b/>
                <w:sz w:val="24"/>
              </w:rPr>
              <w:t>项目名称</w:t>
            </w:r>
          </w:p>
        </w:tc>
        <w:tc>
          <w:tcPr>
            <w:tcW w:w="1276" w:type="dxa"/>
            <w:vAlign w:val="center"/>
          </w:tcPr>
          <w:p>
            <w:pPr>
              <w:spacing w:line="276" w:lineRule="auto"/>
              <w:jc w:val="center"/>
              <w:rPr>
                <w:rFonts w:cs="仿宋"/>
                <w:b/>
                <w:sz w:val="24"/>
              </w:rPr>
            </w:pPr>
            <w:r>
              <w:rPr>
                <w:rFonts w:hint="eastAsia" w:cs="仿宋"/>
                <w:b/>
                <w:sz w:val="24"/>
              </w:rPr>
              <w:t>最高限价万元）</w:t>
            </w:r>
          </w:p>
        </w:tc>
        <w:tc>
          <w:tcPr>
            <w:tcW w:w="1559" w:type="dxa"/>
            <w:vAlign w:val="center"/>
          </w:tcPr>
          <w:p>
            <w:pPr>
              <w:spacing w:line="276" w:lineRule="auto"/>
              <w:jc w:val="center"/>
              <w:rPr>
                <w:rFonts w:cs="仿宋"/>
                <w:b/>
                <w:sz w:val="24"/>
              </w:rPr>
            </w:pPr>
            <w:r>
              <w:rPr>
                <w:rFonts w:hint="eastAsia" w:cs="仿宋"/>
                <w:b/>
                <w:sz w:val="24"/>
              </w:rPr>
              <w:t>投标报价（万元）</w:t>
            </w:r>
          </w:p>
        </w:tc>
        <w:tc>
          <w:tcPr>
            <w:tcW w:w="1559" w:type="dxa"/>
            <w:vAlign w:val="center"/>
          </w:tcPr>
          <w:p>
            <w:pPr>
              <w:spacing w:line="276" w:lineRule="auto"/>
              <w:jc w:val="center"/>
              <w:rPr>
                <w:rFonts w:cs="仿宋"/>
                <w:b/>
                <w:sz w:val="24"/>
              </w:rPr>
            </w:pPr>
            <w:r>
              <w:rPr>
                <w:rFonts w:hint="eastAsia"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81" w:type="dxa"/>
            <w:vAlign w:val="center"/>
          </w:tcPr>
          <w:p>
            <w:pPr>
              <w:spacing w:line="276" w:lineRule="auto"/>
              <w:jc w:val="center"/>
              <w:rPr>
                <w:rFonts w:cs="仿宋"/>
                <w:sz w:val="24"/>
              </w:rPr>
            </w:pPr>
            <w:r>
              <w:rPr>
                <w:rFonts w:hint="eastAsia" w:cs="仿宋"/>
                <w:sz w:val="24"/>
              </w:rPr>
              <w:t>1</w:t>
            </w:r>
          </w:p>
        </w:tc>
        <w:tc>
          <w:tcPr>
            <w:tcW w:w="3959" w:type="dxa"/>
            <w:vAlign w:val="center"/>
          </w:tcPr>
          <w:p>
            <w:pPr>
              <w:spacing w:line="276" w:lineRule="auto"/>
              <w:jc w:val="center"/>
              <w:rPr>
                <w:rFonts w:cs="仿宋"/>
                <w:sz w:val="24"/>
              </w:rPr>
            </w:pPr>
            <w:r>
              <w:rPr>
                <w:rFonts w:hint="eastAsia" w:cs="仿宋"/>
                <w:sz w:val="24"/>
              </w:rPr>
              <w:t>南通市海门区区域社会治理现代化指挥中心采购信息化应用系统集成运维服务项目</w:t>
            </w:r>
          </w:p>
        </w:tc>
        <w:tc>
          <w:tcPr>
            <w:tcW w:w="1276" w:type="dxa"/>
            <w:vAlign w:val="center"/>
          </w:tcPr>
          <w:p>
            <w:pPr>
              <w:spacing w:line="276" w:lineRule="auto"/>
              <w:jc w:val="center"/>
              <w:rPr>
                <w:rFonts w:cs="仿宋"/>
                <w:sz w:val="24"/>
              </w:rPr>
            </w:pPr>
            <w:r>
              <w:rPr>
                <w:rFonts w:cs="仿宋"/>
                <w:sz w:val="24"/>
              </w:rPr>
              <w:t>35</w:t>
            </w:r>
          </w:p>
        </w:tc>
        <w:tc>
          <w:tcPr>
            <w:tcW w:w="1559" w:type="dxa"/>
            <w:vAlign w:val="center"/>
          </w:tcPr>
          <w:p>
            <w:pPr>
              <w:spacing w:line="276" w:lineRule="auto"/>
              <w:jc w:val="center"/>
              <w:rPr>
                <w:rFonts w:cs="仿宋"/>
                <w:sz w:val="24"/>
              </w:rPr>
            </w:pPr>
          </w:p>
        </w:tc>
        <w:tc>
          <w:tcPr>
            <w:tcW w:w="1559" w:type="dxa"/>
            <w:vAlign w:val="center"/>
          </w:tcPr>
          <w:p>
            <w:pPr>
              <w:spacing w:line="276" w:lineRule="auto"/>
              <w:jc w:val="center"/>
              <w:rPr>
                <w:rFonts w:cs="仿宋"/>
                <w:sz w:val="24"/>
              </w:rPr>
            </w:pPr>
          </w:p>
        </w:tc>
      </w:tr>
    </w:tbl>
    <w:p>
      <w:pPr>
        <w:pStyle w:val="7"/>
      </w:pPr>
    </w:p>
    <w:p>
      <w:pPr>
        <w:widowControl/>
        <w:topLinePunct/>
        <w:snapToGrid w:val="0"/>
        <w:spacing w:before="4"/>
        <w:ind w:right="560"/>
        <w:rPr>
          <w:bCs/>
          <w:sz w:val="28"/>
          <w:szCs w:val="28"/>
        </w:rPr>
      </w:pPr>
    </w:p>
    <w:p>
      <w:pPr>
        <w:widowControl/>
        <w:topLinePunct/>
        <w:snapToGrid w:val="0"/>
        <w:spacing w:before="4"/>
        <w:ind w:right="560"/>
        <w:jc w:val="center"/>
        <w:rPr>
          <w:b/>
          <w:bCs/>
          <w:sz w:val="28"/>
          <w:szCs w:val="28"/>
        </w:rPr>
      </w:pPr>
      <w:r>
        <w:rPr>
          <w:rFonts w:hint="eastAsia"/>
          <w:bCs/>
          <w:sz w:val="28"/>
          <w:szCs w:val="28"/>
        </w:rPr>
        <w:t xml:space="preserve">            签字</w:t>
      </w:r>
      <w:r>
        <w:rPr>
          <w:rFonts w:hint="eastAsia"/>
          <w:b/>
          <w:bCs/>
          <w:sz w:val="28"/>
          <w:szCs w:val="28"/>
        </w:rPr>
        <w:t>：</w:t>
      </w:r>
    </w:p>
    <w:p>
      <w:pPr>
        <w:widowControl/>
        <w:topLinePunct/>
        <w:snapToGrid w:val="0"/>
        <w:spacing w:before="4"/>
        <w:ind w:right="560"/>
        <w:jc w:val="center"/>
        <w:rPr>
          <w:rFonts w:asciiTheme="minorEastAsia" w:hAnsiTheme="minorEastAsia" w:eastAsiaTheme="minorEastAsia"/>
        </w:rPr>
      </w:pPr>
      <w:r>
        <w:t xml:space="preserve">                                  </w:t>
      </w:r>
      <w:r>
        <w:rPr>
          <w:bCs/>
          <w:sz w:val="28"/>
          <w:szCs w:val="28"/>
        </w:rPr>
        <w:t xml:space="preserve"> </w:t>
      </w:r>
      <w:r>
        <w:rPr>
          <w:rFonts w:hint="eastAsia"/>
          <w:bCs/>
          <w:sz w:val="28"/>
          <w:szCs w:val="28"/>
        </w:rPr>
        <w:t xml:space="preserve">   日期：    年    月    日</w:t>
      </w:r>
    </w:p>
    <w:p>
      <w:pPr>
        <w:adjustRightInd w:val="0"/>
        <w:snapToGrid w:val="0"/>
        <w:spacing w:line="460" w:lineRule="exact"/>
        <w:ind w:firstLine="560" w:firstLineChars="200"/>
        <w:outlineLvl w:val="1"/>
        <w:rPr>
          <w:rFonts w:ascii="宋体" w:hAnsi="宋体" w:cs="宋体"/>
          <w:sz w:val="28"/>
          <w:szCs w:val="28"/>
        </w:rPr>
      </w:pPr>
    </w:p>
    <w:p>
      <w:pPr>
        <w:pStyle w:val="2"/>
        <w:spacing w:before="120" w:after="120"/>
      </w:pPr>
    </w:p>
    <w:p>
      <w:pPr>
        <w:snapToGrid w:val="0"/>
        <w:spacing w:line="360" w:lineRule="auto"/>
        <w:rPr>
          <w:rFonts w:ascii="宋体" w:hAnsi="宋体" w:cs="宋体"/>
          <w:sz w:val="32"/>
          <w:szCs w:val="32"/>
        </w:rPr>
      </w:pPr>
    </w:p>
    <w:p>
      <w:pPr>
        <w:snapToGrid w:val="0"/>
        <w:spacing w:line="360" w:lineRule="auto"/>
        <w:rPr>
          <w:rFonts w:ascii="宋体" w:hAnsi="宋体" w:cs="宋体"/>
          <w:sz w:val="32"/>
          <w:szCs w:val="32"/>
        </w:rPr>
      </w:pPr>
    </w:p>
    <w:p>
      <w:pPr>
        <w:snapToGrid w:val="0"/>
        <w:spacing w:line="360" w:lineRule="auto"/>
        <w:rPr>
          <w:rFonts w:ascii="宋体" w:hAnsi="宋体" w:cs="宋体"/>
          <w:sz w:val="32"/>
          <w:szCs w:val="32"/>
        </w:rPr>
      </w:pPr>
    </w:p>
    <w:p>
      <w:pPr>
        <w:snapToGrid w:val="0"/>
        <w:spacing w:line="360" w:lineRule="auto"/>
        <w:rPr>
          <w:rFonts w:ascii="宋体" w:hAnsi="宋体" w:cs="宋体"/>
          <w:sz w:val="32"/>
          <w:szCs w:val="32"/>
        </w:rPr>
      </w:pPr>
    </w:p>
    <w:p>
      <w:pPr>
        <w:spacing w:line="360" w:lineRule="auto"/>
        <w:jc w:val="center"/>
        <w:rPr>
          <w:rFonts w:ascii="宋体" w:hAnsi="宋体" w:cs="宋体"/>
          <w:bCs/>
          <w:sz w:val="40"/>
          <w:szCs w:val="40"/>
        </w:rPr>
      </w:pPr>
      <w:r>
        <w:rPr>
          <w:rFonts w:hint="eastAsia" w:ascii="宋体" w:hAnsi="宋体" w:cs="宋体"/>
          <w:bCs/>
          <w:sz w:val="40"/>
          <w:szCs w:val="40"/>
        </w:rPr>
        <w:t>质疑函范本</w:t>
      </w:r>
    </w:p>
    <w:p>
      <w:pPr>
        <w:adjustRightInd w:val="0"/>
        <w:snapToGrid w:val="0"/>
        <w:spacing w:before="240" w:beforeLines="100" w:line="360" w:lineRule="auto"/>
        <w:rPr>
          <w:rFonts w:ascii="宋体" w:hAnsi="宋体" w:cs="宋体"/>
          <w:bCs/>
          <w:sz w:val="28"/>
          <w:szCs w:val="28"/>
        </w:rPr>
      </w:pPr>
      <w:r>
        <w:rPr>
          <w:rFonts w:hint="eastAsia" w:ascii="宋体" w:hAnsi="宋体" w:cs="宋体"/>
          <w:bCs/>
          <w:sz w:val="28"/>
          <w:szCs w:val="28"/>
        </w:rPr>
        <w:t>一、质疑供应商基本信息</w:t>
      </w:r>
    </w:p>
    <w:p>
      <w:pPr>
        <w:adjustRightInd w:val="0"/>
        <w:snapToGrid w:val="0"/>
        <w:spacing w:line="360" w:lineRule="auto"/>
        <w:rPr>
          <w:rFonts w:ascii="宋体" w:hAnsi="宋体" w:cs="宋体"/>
          <w:sz w:val="28"/>
          <w:szCs w:val="28"/>
          <w:u w:val="dotted"/>
        </w:rPr>
      </w:pPr>
      <w:r>
        <w:rPr>
          <w:rFonts w:hint="eastAsia" w:ascii="宋体" w:hAnsi="宋体" w:cs="宋体"/>
          <w:sz w:val="28"/>
          <w:szCs w:val="28"/>
        </w:rPr>
        <w:t>质疑供应商：</w:t>
      </w:r>
    </w:p>
    <w:p>
      <w:pPr>
        <w:adjustRightInd w:val="0"/>
        <w:snapToGrid w:val="0"/>
        <w:spacing w:line="360" w:lineRule="auto"/>
        <w:rPr>
          <w:rFonts w:ascii="宋体" w:hAnsi="宋体" w:cs="宋体"/>
          <w:sz w:val="28"/>
          <w:szCs w:val="28"/>
        </w:rPr>
      </w:pPr>
      <w:r>
        <w:rPr>
          <w:rFonts w:hint="eastAsia" w:ascii="宋体" w:hAnsi="宋体" w:cs="宋体"/>
          <w:sz w:val="28"/>
          <w:szCs w:val="28"/>
        </w:rPr>
        <w:t>地址：邮编：</w:t>
      </w:r>
    </w:p>
    <w:p>
      <w:pPr>
        <w:adjustRightInd w:val="0"/>
        <w:snapToGrid w:val="0"/>
        <w:spacing w:line="360" w:lineRule="auto"/>
        <w:rPr>
          <w:rFonts w:ascii="宋体" w:hAnsi="宋体" w:cs="宋体"/>
          <w:sz w:val="28"/>
          <w:szCs w:val="28"/>
        </w:rPr>
      </w:pPr>
      <w:r>
        <w:rPr>
          <w:rFonts w:hint="eastAsia" w:ascii="宋体" w:hAnsi="宋体" w:cs="宋体"/>
          <w:sz w:val="28"/>
          <w:szCs w:val="28"/>
        </w:rPr>
        <w:t>联系人：联系电话：</w:t>
      </w:r>
    </w:p>
    <w:p>
      <w:pPr>
        <w:adjustRightInd w:val="0"/>
        <w:snapToGrid w:val="0"/>
        <w:spacing w:line="360" w:lineRule="auto"/>
        <w:rPr>
          <w:rFonts w:ascii="宋体" w:hAnsi="宋体" w:cs="宋体"/>
          <w:sz w:val="28"/>
          <w:szCs w:val="28"/>
          <w:u w:val="dotted"/>
        </w:rPr>
      </w:pPr>
      <w:r>
        <w:rPr>
          <w:rFonts w:hint="eastAsia" w:ascii="宋体" w:hAnsi="宋体" w:cs="宋体"/>
          <w:sz w:val="28"/>
          <w:szCs w:val="28"/>
        </w:rPr>
        <w:t>授权代表：</w:t>
      </w:r>
    </w:p>
    <w:p>
      <w:pPr>
        <w:adjustRightInd w:val="0"/>
        <w:snapToGrid w:val="0"/>
        <w:spacing w:line="360" w:lineRule="auto"/>
        <w:rPr>
          <w:rFonts w:ascii="宋体" w:hAnsi="宋体" w:cs="宋体"/>
          <w:sz w:val="28"/>
          <w:szCs w:val="28"/>
        </w:rPr>
      </w:pPr>
      <w:r>
        <w:rPr>
          <w:rFonts w:hint="eastAsia" w:ascii="宋体" w:hAnsi="宋体" w:cs="宋体"/>
          <w:sz w:val="28"/>
          <w:szCs w:val="28"/>
        </w:rPr>
        <w:t>联系电话：</w:t>
      </w:r>
    </w:p>
    <w:p>
      <w:pPr>
        <w:adjustRightInd w:val="0"/>
        <w:snapToGrid w:val="0"/>
        <w:spacing w:line="360" w:lineRule="auto"/>
        <w:rPr>
          <w:rFonts w:ascii="宋体" w:hAnsi="宋体" w:cs="宋体"/>
          <w:sz w:val="28"/>
          <w:szCs w:val="28"/>
        </w:rPr>
      </w:pPr>
      <w:r>
        <w:rPr>
          <w:rFonts w:hint="eastAsia" w:ascii="宋体" w:hAnsi="宋体" w:cs="宋体"/>
          <w:sz w:val="28"/>
          <w:szCs w:val="28"/>
        </w:rPr>
        <w:t>地址：邮编：</w:t>
      </w:r>
    </w:p>
    <w:p>
      <w:pPr>
        <w:adjustRightInd w:val="0"/>
        <w:snapToGrid w:val="0"/>
        <w:spacing w:line="360" w:lineRule="auto"/>
        <w:rPr>
          <w:rFonts w:ascii="宋体" w:hAnsi="宋体" w:cs="宋体"/>
          <w:bCs/>
          <w:sz w:val="28"/>
          <w:szCs w:val="28"/>
        </w:rPr>
      </w:pPr>
      <w:r>
        <w:rPr>
          <w:rFonts w:hint="eastAsia" w:ascii="宋体" w:hAnsi="宋体" w:cs="宋体"/>
          <w:bCs/>
          <w:sz w:val="28"/>
          <w:szCs w:val="28"/>
        </w:rPr>
        <w:t>二、质疑项目基本情况</w:t>
      </w:r>
    </w:p>
    <w:p>
      <w:pPr>
        <w:adjustRightInd w:val="0"/>
        <w:snapToGrid w:val="0"/>
        <w:spacing w:line="360" w:lineRule="auto"/>
        <w:rPr>
          <w:rFonts w:ascii="宋体" w:hAnsi="宋体" w:cs="宋体"/>
          <w:sz w:val="28"/>
          <w:szCs w:val="28"/>
        </w:rPr>
      </w:pPr>
      <w:r>
        <w:rPr>
          <w:rFonts w:hint="eastAsia" w:ascii="宋体" w:hAnsi="宋体" w:cs="宋体"/>
          <w:sz w:val="28"/>
          <w:szCs w:val="28"/>
        </w:rPr>
        <w:t>质疑项目的名称：</w:t>
      </w:r>
    </w:p>
    <w:p>
      <w:pPr>
        <w:adjustRightInd w:val="0"/>
        <w:snapToGrid w:val="0"/>
        <w:spacing w:line="360" w:lineRule="auto"/>
        <w:rPr>
          <w:rFonts w:ascii="宋体" w:hAnsi="宋体" w:cs="宋体"/>
          <w:sz w:val="28"/>
          <w:szCs w:val="28"/>
        </w:rPr>
      </w:pPr>
      <w:r>
        <w:rPr>
          <w:rFonts w:hint="eastAsia" w:ascii="宋体" w:hAnsi="宋体" w:cs="宋体"/>
          <w:sz w:val="28"/>
          <w:szCs w:val="28"/>
        </w:rPr>
        <w:t>质疑项目的编号：包号：</w:t>
      </w:r>
    </w:p>
    <w:p>
      <w:pPr>
        <w:adjustRightInd w:val="0"/>
        <w:snapToGrid w:val="0"/>
        <w:spacing w:line="360" w:lineRule="auto"/>
        <w:rPr>
          <w:rFonts w:ascii="宋体" w:hAnsi="宋体" w:cs="宋体"/>
          <w:sz w:val="28"/>
          <w:szCs w:val="28"/>
          <w:u w:val="dotted"/>
        </w:rPr>
      </w:pPr>
      <w:r>
        <w:rPr>
          <w:rFonts w:hint="eastAsia" w:ascii="宋体" w:hAnsi="宋体" w:cs="宋体"/>
          <w:sz w:val="28"/>
          <w:szCs w:val="28"/>
        </w:rPr>
        <w:t>采购人名称：</w:t>
      </w:r>
    </w:p>
    <w:p>
      <w:pPr>
        <w:adjustRightInd w:val="0"/>
        <w:snapToGrid w:val="0"/>
        <w:spacing w:line="360" w:lineRule="auto"/>
        <w:rPr>
          <w:rFonts w:ascii="宋体" w:hAnsi="宋体" w:cs="宋体"/>
          <w:sz w:val="28"/>
          <w:szCs w:val="28"/>
        </w:rPr>
      </w:pPr>
      <w:r>
        <w:rPr>
          <w:rFonts w:hint="eastAsia" w:ascii="宋体" w:hAnsi="宋体" w:cs="宋体"/>
          <w:sz w:val="28"/>
          <w:szCs w:val="28"/>
        </w:rPr>
        <w:t>采购文件获取日期：</w:t>
      </w:r>
    </w:p>
    <w:p>
      <w:pPr>
        <w:adjustRightInd w:val="0"/>
        <w:snapToGrid w:val="0"/>
        <w:spacing w:line="360" w:lineRule="auto"/>
        <w:rPr>
          <w:rFonts w:ascii="宋体" w:hAnsi="宋体" w:cs="宋体"/>
          <w:bCs/>
          <w:sz w:val="28"/>
          <w:szCs w:val="28"/>
        </w:rPr>
      </w:pPr>
      <w:r>
        <w:rPr>
          <w:rFonts w:hint="eastAsia" w:ascii="宋体" w:hAnsi="宋体" w:cs="宋体"/>
          <w:bCs/>
          <w:sz w:val="28"/>
          <w:szCs w:val="28"/>
        </w:rPr>
        <w:t>三、质疑事项具体内容</w:t>
      </w:r>
    </w:p>
    <w:p>
      <w:pPr>
        <w:adjustRightInd w:val="0"/>
        <w:snapToGrid w:val="0"/>
        <w:spacing w:line="360" w:lineRule="auto"/>
        <w:rPr>
          <w:rFonts w:ascii="宋体" w:hAnsi="宋体" w:cs="宋体"/>
          <w:sz w:val="28"/>
          <w:szCs w:val="28"/>
          <w:u w:val="dotted"/>
        </w:rPr>
      </w:pPr>
      <w:r>
        <w:rPr>
          <w:rFonts w:hint="eastAsia" w:ascii="宋体" w:hAnsi="宋体" w:cs="宋体"/>
          <w:sz w:val="28"/>
          <w:szCs w:val="28"/>
        </w:rPr>
        <w:t>质疑事项1：</w:t>
      </w:r>
    </w:p>
    <w:p>
      <w:pPr>
        <w:adjustRightInd w:val="0"/>
        <w:snapToGrid w:val="0"/>
        <w:spacing w:line="360" w:lineRule="auto"/>
        <w:rPr>
          <w:rFonts w:ascii="宋体" w:hAnsi="宋体" w:cs="宋体"/>
          <w:sz w:val="28"/>
          <w:szCs w:val="28"/>
          <w:u w:val="dotted"/>
        </w:rPr>
      </w:pPr>
      <w:r>
        <w:rPr>
          <w:rFonts w:hint="eastAsia" w:ascii="宋体" w:hAnsi="宋体" w:cs="宋体"/>
          <w:sz w:val="28"/>
          <w:szCs w:val="28"/>
        </w:rPr>
        <w:t>事实依据：</w:t>
      </w:r>
    </w:p>
    <w:p>
      <w:pPr>
        <w:adjustRightInd w:val="0"/>
        <w:snapToGrid w:val="0"/>
        <w:spacing w:line="360" w:lineRule="auto"/>
        <w:rPr>
          <w:rFonts w:ascii="宋体" w:hAnsi="宋体" w:cs="宋体"/>
          <w:sz w:val="28"/>
          <w:szCs w:val="28"/>
        </w:rPr>
      </w:pPr>
    </w:p>
    <w:p>
      <w:pPr>
        <w:adjustRightInd w:val="0"/>
        <w:snapToGrid w:val="0"/>
        <w:spacing w:line="360" w:lineRule="auto"/>
        <w:rPr>
          <w:rFonts w:ascii="宋体" w:hAnsi="宋体" w:cs="宋体"/>
          <w:sz w:val="28"/>
          <w:szCs w:val="28"/>
          <w:u w:val="dotted"/>
        </w:rPr>
      </w:pPr>
      <w:r>
        <w:rPr>
          <w:rFonts w:hint="eastAsia" w:ascii="宋体" w:hAnsi="宋体" w:cs="宋体"/>
          <w:sz w:val="28"/>
          <w:szCs w:val="28"/>
        </w:rPr>
        <w:t>法律依据：</w:t>
      </w:r>
    </w:p>
    <w:p>
      <w:pPr>
        <w:adjustRightInd w:val="0"/>
        <w:snapToGrid w:val="0"/>
        <w:spacing w:line="360" w:lineRule="auto"/>
        <w:rPr>
          <w:rFonts w:ascii="宋体" w:hAnsi="宋体" w:cs="宋体"/>
          <w:sz w:val="28"/>
          <w:szCs w:val="28"/>
          <w:u w:val="dotted"/>
        </w:rPr>
      </w:pPr>
    </w:p>
    <w:p>
      <w:pPr>
        <w:adjustRightInd w:val="0"/>
        <w:snapToGrid w:val="0"/>
        <w:spacing w:line="360" w:lineRule="auto"/>
        <w:rPr>
          <w:rFonts w:ascii="宋体" w:hAnsi="宋体" w:cs="宋体"/>
          <w:sz w:val="28"/>
          <w:szCs w:val="28"/>
          <w:u w:val="dotted"/>
        </w:rPr>
      </w:pPr>
      <w:r>
        <w:rPr>
          <w:rFonts w:hint="eastAsia" w:ascii="宋体" w:hAnsi="宋体" w:cs="宋体"/>
          <w:sz w:val="28"/>
          <w:szCs w:val="28"/>
        </w:rPr>
        <w:t>质疑事项2</w:t>
      </w:r>
    </w:p>
    <w:p>
      <w:pPr>
        <w:adjustRightInd w:val="0"/>
        <w:snapToGrid w:val="0"/>
        <w:spacing w:line="360" w:lineRule="auto"/>
        <w:rPr>
          <w:rFonts w:ascii="宋体" w:hAnsi="宋体" w:cs="宋体"/>
          <w:sz w:val="28"/>
          <w:szCs w:val="28"/>
        </w:rPr>
      </w:pPr>
      <w:r>
        <w:rPr>
          <w:rFonts w:hint="eastAsia" w:ascii="宋体" w:hAnsi="宋体" w:cs="宋体"/>
          <w:sz w:val="28"/>
          <w:szCs w:val="28"/>
        </w:rPr>
        <w:t>……</w:t>
      </w:r>
    </w:p>
    <w:p>
      <w:pPr>
        <w:adjustRightInd w:val="0"/>
        <w:snapToGrid w:val="0"/>
        <w:spacing w:line="360" w:lineRule="auto"/>
        <w:rPr>
          <w:rFonts w:ascii="宋体" w:hAnsi="宋体" w:cs="宋体"/>
          <w:bCs/>
          <w:sz w:val="28"/>
          <w:szCs w:val="28"/>
        </w:rPr>
      </w:pPr>
      <w:r>
        <w:rPr>
          <w:rFonts w:hint="eastAsia" w:ascii="宋体" w:hAnsi="宋体" w:cs="宋体"/>
          <w:bCs/>
          <w:sz w:val="28"/>
          <w:szCs w:val="28"/>
        </w:rPr>
        <w:t>四、与质疑事项相关的质疑请求</w:t>
      </w:r>
    </w:p>
    <w:p>
      <w:pPr>
        <w:adjustRightInd w:val="0"/>
        <w:snapToGrid w:val="0"/>
        <w:spacing w:line="360" w:lineRule="auto"/>
        <w:rPr>
          <w:rFonts w:ascii="宋体" w:hAnsi="宋体" w:cs="宋体"/>
          <w:sz w:val="28"/>
          <w:szCs w:val="28"/>
          <w:u w:val="dotted"/>
        </w:rPr>
      </w:pPr>
      <w:r>
        <w:rPr>
          <w:rFonts w:hint="eastAsia" w:ascii="宋体" w:hAnsi="宋体" w:cs="宋体"/>
          <w:sz w:val="28"/>
          <w:szCs w:val="28"/>
        </w:rPr>
        <w:t>请求：</w:t>
      </w:r>
    </w:p>
    <w:p>
      <w:pPr>
        <w:spacing w:line="360" w:lineRule="auto"/>
        <w:rPr>
          <w:rFonts w:ascii="宋体" w:hAnsi="宋体" w:cs="宋体"/>
          <w:sz w:val="28"/>
          <w:szCs w:val="28"/>
        </w:rPr>
      </w:pPr>
      <w:r>
        <w:rPr>
          <w:rFonts w:hint="eastAsia" w:ascii="宋体" w:hAnsi="宋体" w:cs="宋体"/>
          <w:sz w:val="28"/>
          <w:szCs w:val="28"/>
        </w:rPr>
        <w:t xml:space="preserve">签字(签章)：                   公章：                      </w:t>
      </w:r>
    </w:p>
    <w:p>
      <w:pPr>
        <w:spacing w:line="360" w:lineRule="auto"/>
        <w:rPr>
          <w:rFonts w:ascii="宋体" w:hAnsi="宋体" w:cs="宋体"/>
          <w:b/>
          <w:sz w:val="28"/>
          <w:szCs w:val="28"/>
        </w:rPr>
      </w:pPr>
      <w:r>
        <w:rPr>
          <w:rFonts w:hint="eastAsia" w:ascii="宋体" w:hAnsi="宋体" w:cs="宋体"/>
          <w:sz w:val="28"/>
          <w:szCs w:val="28"/>
        </w:rPr>
        <w:t xml:space="preserve">日期：    </w:t>
      </w:r>
    </w:p>
    <w:p>
      <w:pPr>
        <w:spacing w:line="360" w:lineRule="auto"/>
        <w:rPr>
          <w:rFonts w:ascii="宋体" w:hAnsi="宋体" w:cs="宋体"/>
          <w:b/>
          <w:sz w:val="28"/>
          <w:szCs w:val="28"/>
        </w:rPr>
      </w:pPr>
      <w:r>
        <w:rPr>
          <w:rFonts w:hint="eastAsia" w:ascii="宋体" w:hAnsi="宋体" w:cs="宋体"/>
          <w:b/>
          <w:sz w:val="28"/>
          <w:szCs w:val="28"/>
        </w:rPr>
        <w:t>质疑函制作说明：</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pPr>
        <w:pStyle w:val="2"/>
        <w:spacing w:before="120" w:after="120"/>
        <w:rPr>
          <w:rFonts w:hint="eastAsia"/>
        </w:rPr>
      </w:pPr>
    </w:p>
    <w:sectPr>
      <w:headerReference r:id="rId6" w:type="default"/>
      <w:footerReference r:id="rId7"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9"/>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xvTj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tsjydAFLyroNlJf699Dn1MmP5Mys+ya6/CU+jOIk7uEsru4TU/lRsXh7ecWZolBxWSwWVxlF3D8O&#10;EdMHDY5lo+KRZjdIKvefMI2pp5Rcy8ONsZb8srT+gYMws0fkzscOs5X6TT+1vYH6QGw6GnvFPW05&#10;Z/ajJ1XzhpyMeDI2k5FrYHi3S1R46CejjlBTMZrRwGjap7wE/96HrPt/aH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KNxvTjHAQAAiwMAAA4AAAAAAAAAAQAgAAAAHwEAAGRycy9lMm9Eb2Mu&#10;eG1sUEsFBgAAAAAGAAYAWQEAAFg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0"/>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05"/>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03"/>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pStyle w:val="10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96"/>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3N2UwNmNjMDJkYTRlMWQ4ZDQ4MDZkYWJkNDA4Y2M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7641"/>
    <w:rsid w:val="000807C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F120D"/>
    <w:rsid w:val="001F3AEC"/>
    <w:rsid w:val="001F4F3E"/>
    <w:rsid w:val="001F7EC5"/>
    <w:rsid w:val="002007BF"/>
    <w:rsid w:val="0020082B"/>
    <w:rsid w:val="00201576"/>
    <w:rsid w:val="00204B7C"/>
    <w:rsid w:val="002106EA"/>
    <w:rsid w:val="00211E04"/>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4BA"/>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C38"/>
    <w:rsid w:val="003164A3"/>
    <w:rsid w:val="00320476"/>
    <w:rsid w:val="00320B07"/>
    <w:rsid w:val="00320C34"/>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1C66"/>
    <w:rsid w:val="003B38ED"/>
    <w:rsid w:val="003B5148"/>
    <w:rsid w:val="003B75AA"/>
    <w:rsid w:val="003C6991"/>
    <w:rsid w:val="003C6D44"/>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1B75"/>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3179"/>
    <w:rsid w:val="00554692"/>
    <w:rsid w:val="00554B19"/>
    <w:rsid w:val="00555573"/>
    <w:rsid w:val="00556006"/>
    <w:rsid w:val="005569D2"/>
    <w:rsid w:val="00561A91"/>
    <w:rsid w:val="005627F2"/>
    <w:rsid w:val="00562FB5"/>
    <w:rsid w:val="005632D0"/>
    <w:rsid w:val="00564B31"/>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767"/>
    <w:rsid w:val="0073472E"/>
    <w:rsid w:val="00736373"/>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10D0"/>
    <w:rsid w:val="007B2B83"/>
    <w:rsid w:val="007B3AC7"/>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1C25"/>
    <w:rsid w:val="008F5E85"/>
    <w:rsid w:val="008F70FC"/>
    <w:rsid w:val="00900FB2"/>
    <w:rsid w:val="009015EF"/>
    <w:rsid w:val="00901DB7"/>
    <w:rsid w:val="00904499"/>
    <w:rsid w:val="00904AA6"/>
    <w:rsid w:val="00905D01"/>
    <w:rsid w:val="00906B25"/>
    <w:rsid w:val="00906EE0"/>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0602"/>
    <w:rsid w:val="0099104D"/>
    <w:rsid w:val="00992A0D"/>
    <w:rsid w:val="009960BD"/>
    <w:rsid w:val="009A2102"/>
    <w:rsid w:val="009A2379"/>
    <w:rsid w:val="009A270A"/>
    <w:rsid w:val="009A2769"/>
    <w:rsid w:val="009A2912"/>
    <w:rsid w:val="009A376E"/>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5FC"/>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768"/>
    <w:rsid w:val="00CD5D9B"/>
    <w:rsid w:val="00CD756F"/>
    <w:rsid w:val="00CE08D4"/>
    <w:rsid w:val="00CE299E"/>
    <w:rsid w:val="00CE3B6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2EF6"/>
    <w:rsid w:val="00D95708"/>
    <w:rsid w:val="00D96915"/>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4F57"/>
    <w:rsid w:val="00F776EA"/>
    <w:rsid w:val="00F80CE5"/>
    <w:rsid w:val="00F8253D"/>
    <w:rsid w:val="00F82C93"/>
    <w:rsid w:val="00F91666"/>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2F9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A46519"/>
    <w:rsid w:val="02C34EEE"/>
    <w:rsid w:val="02F30FA1"/>
    <w:rsid w:val="030663D5"/>
    <w:rsid w:val="031D75DC"/>
    <w:rsid w:val="034F46D6"/>
    <w:rsid w:val="03784CB1"/>
    <w:rsid w:val="04051239"/>
    <w:rsid w:val="04CC6B4B"/>
    <w:rsid w:val="053E2C54"/>
    <w:rsid w:val="0654321E"/>
    <w:rsid w:val="068C1FDE"/>
    <w:rsid w:val="06B0131B"/>
    <w:rsid w:val="06F91383"/>
    <w:rsid w:val="079A247E"/>
    <w:rsid w:val="079B2882"/>
    <w:rsid w:val="07B71116"/>
    <w:rsid w:val="07F27FE4"/>
    <w:rsid w:val="08405380"/>
    <w:rsid w:val="08690DDE"/>
    <w:rsid w:val="08980A8D"/>
    <w:rsid w:val="08A07782"/>
    <w:rsid w:val="09572537"/>
    <w:rsid w:val="09694699"/>
    <w:rsid w:val="09992B4F"/>
    <w:rsid w:val="09E8138B"/>
    <w:rsid w:val="0A6071C9"/>
    <w:rsid w:val="0AA572D2"/>
    <w:rsid w:val="0AD03B89"/>
    <w:rsid w:val="0AF60B0D"/>
    <w:rsid w:val="0B067BB8"/>
    <w:rsid w:val="0B896BF3"/>
    <w:rsid w:val="0B8B296C"/>
    <w:rsid w:val="0B8F7378"/>
    <w:rsid w:val="0B9818EB"/>
    <w:rsid w:val="0BA5348D"/>
    <w:rsid w:val="0BC31006"/>
    <w:rsid w:val="0C26412E"/>
    <w:rsid w:val="0C9B41C4"/>
    <w:rsid w:val="0CF757AC"/>
    <w:rsid w:val="0D2C751C"/>
    <w:rsid w:val="0D57008A"/>
    <w:rsid w:val="0D7D135A"/>
    <w:rsid w:val="0D9E4C87"/>
    <w:rsid w:val="0DA56F93"/>
    <w:rsid w:val="0DB52476"/>
    <w:rsid w:val="0DCE1A94"/>
    <w:rsid w:val="0DDC0C86"/>
    <w:rsid w:val="0E7E1C83"/>
    <w:rsid w:val="0E7E5E5F"/>
    <w:rsid w:val="0F603F8D"/>
    <w:rsid w:val="1049527D"/>
    <w:rsid w:val="106A2B50"/>
    <w:rsid w:val="10B34976"/>
    <w:rsid w:val="110F725F"/>
    <w:rsid w:val="11163121"/>
    <w:rsid w:val="11285B62"/>
    <w:rsid w:val="11380EA0"/>
    <w:rsid w:val="11B30526"/>
    <w:rsid w:val="12214824"/>
    <w:rsid w:val="12315DC0"/>
    <w:rsid w:val="12362D47"/>
    <w:rsid w:val="124F183D"/>
    <w:rsid w:val="12942106"/>
    <w:rsid w:val="12DD0C75"/>
    <w:rsid w:val="12FA67BA"/>
    <w:rsid w:val="13304B67"/>
    <w:rsid w:val="134566BC"/>
    <w:rsid w:val="135774FE"/>
    <w:rsid w:val="13A46379"/>
    <w:rsid w:val="13AD66FE"/>
    <w:rsid w:val="13F310AE"/>
    <w:rsid w:val="13FA243C"/>
    <w:rsid w:val="142011A6"/>
    <w:rsid w:val="14564609"/>
    <w:rsid w:val="14583120"/>
    <w:rsid w:val="15215C70"/>
    <w:rsid w:val="15495F87"/>
    <w:rsid w:val="1574342C"/>
    <w:rsid w:val="15965C16"/>
    <w:rsid w:val="15A444A6"/>
    <w:rsid w:val="15C658E8"/>
    <w:rsid w:val="16277A0B"/>
    <w:rsid w:val="16852D6C"/>
    <w:rsid w:val="16884649"/>
    <w:rsid w:val="16C94348"/>
    <w:rsid w:val="17517F11"/>
    <w:rsid w:val="17B24919"/>
    <w:rsid w:val="17B4163D"/>
    <w:rsid w:val="17F94FFE"/>
    <w:rsid w:val="1813218C"/>
    <w:rsid w:val="182F467F"/>
    <w:rsid w:val="185B7983"/>
    <w:rsid w:val="18AF29F3"/>
    <w:rsid w:val="18DC65B5"/>
    <w:rsid w:val="190805F5"/>
    <w:rsid w:val="19660714"/>
    <w:rsid w:val="197C2955"/>
    <w:rsid w:val="19E82C89"/>
    <w:rsid w:val="1A370CDA"/>
    <w:rsid w:val="1A4268EB"/>
    <w:rsid w:val="1A444411"/>
    <w:rsid w:val="1A5279E9"/>
    <w:rsid w:val="1A7620CB"/>
    <w:rsid w:val="1AD43112"/>
    <w:rsid w:val="1B925650"/>
    <w:rsid w:val="1C8B1F64"/>
    <w:rsid w:val="1CD25790"/>
    <w:rsid w:val="1D3544E5"/>
    <w:rsid w:val="1D787557"/>
    <w:rsid w:val="1E036392"/>
    <w:rsid w:val="1E097B16"/>
    <w:rsid w:val="1E53284B"/>
    <w:rsid w:val="1E5F512D"/>
    <w:rsid w:val="1E892E63"/>
    <w:rsid w:val="1EE70F94"/>
    <w:rsid w:val="1F257AB9"/>
    <w:rsid w:val="1F4F3A29"/>
    <w:rsid w:val="1F9B16E8"/>
    <w:rsid w:val="20085EE1"/>
    <w:rsid w:val="20255070"/>
    <w:rsid w:val="202B6819"/>
    <w:rsid w:val="20EE6FC1"/>
    <w:rsid w:val="20EF1D98"/>
    <w:rsid w:val="21606878"/>
    <w:rsid w:val="2193780B"/>
    <w:rsid w:val="219C0FD7"/>
    <w:rsid w:val="21FA130C"/>
    <w:rsid w:val="22027AEB"/>
    <w:rsid w:val="2235090D"/>
    <w:rsid w:val="22547340"/>
    <w:rsid w:val="226570FE"/>
    <w:rsid w:val="230A5C39"/>
    <w:rsid w:val="23545E69"/>
    <w:rsid w:val="23A42D0F"/>
    <w:rsid w:val="23A60FED"/>
    <w:rsid w:val="24062928"/>
    <w:rsid w:val="244217C3"/>
    <w:rsid w:val="24446463"/>
    <w:rsid w:val="24462A2D"/>
    <w:rsid w:val="246B6A3F"/>
    <w:rsid w:val="24AF1021"/>
    <w:rsid w:val="255E9A8F"/>
    <w:rsid w:val="25761FE8"/>
    <w:rsid w:val="25A55F80"/>
    <w:rsid w:val="26B36D0C"/>
    <w:rsid w:val="26C70FC3"/>
    <w:rsid w:val="272F3A51"/>
    <w:rsid w:val="27333F23"/>
    <w:rsid w:val="27E17743"/>
    <w:rsid w:val="27F00097"/>
    <w:rsid w:val="280803EC"/>
    <w:rsid w:val="281C69CE"/>
    <w:rsid w:val="282E0237"/>
    <w:rsid w:val="28643197"/>
    <w:rsid w:val="28B44E58"/>
    <w:rsid w:val="28C01D17"/>
    <w:rsid w:val="28C661CF"/>
    <w:rsid w:val="29362D86"/>
    <w:rsid w:val="293E0BC6"/>
    <w:rsid w:val="298230B0"/>
    <w:rsid w:val="29A11347"/>
    <w:rsid w:val="2A27165A"/>
    <w:rsid w:val="2A4E3D69"/>
    <w:rsid w:val="2A6B3DB1"/>
    <w:rsid w:val="2B0352FB"/>
    <w:rsid w:val="2B5F21E3"/>
    <w:rsid w:val="2B987F6F"/>
    <w:rsid w:val="2BAD5B8F"/>
    <w:rsid w:val="2BAE36BF"/>
    <w:rsid w:val="2BCB3F2A"/>
    <w:rsid w:val="2C102611"/>
    <w:rsid w:val="2C29369E"/>
    <w:rsid w:val="2C35294C"/>
    <w:rsid w:val="2CF27CFD"/>
    <w:rsid w:val="2D5914BC"/>
    <w:rsid w:val="2D821071"/>
    <w:rsid w:val="2DC14C40"/>
    <w:rsid w:val="2DCD2FDA"/>
    <w:rsid w:val="2DD81DDD"/>
    <w:rsid w:val="2E057444"/>
    <w:rsid w:val="2E216B3B"/>
    <w:rsid w:val="2E4A46A0"/>
    <w:rsid w:val="2E513149"/>
    <w:rsid w:val="2E7D5CEC"/>
    <w:rsid w:val="2EB07E70"/>
    <w:rsid w:val="2EB23ECC"/>
    <w:rsid w:val="2EF72DA2"/>
    <w:rsid w:val="2F0267D5"/>
    <w:rsid w:val="2F3515C3"/>
    <w:rsid w:val="2F391C13"/>
    <w:rsid w:val="2F3F38D4"/>
    <w:rsid w:val="2F7970D7"/>
    <w:rsid w:val="2FB6247B"/>
    <w:rsid w:val="301339CC"/>
    <w:rsid w:val="3083145F"/>
    <w:rsid w:val="30E958BB"/>
    <w:rsid w:val="31320866"/>
    <w:rsid w:val="313B43AB"/>
    <w:rsid w:val="317407C0"/>
    <w:rsid w:val="31AB7E01"/>
    <w:rsid w:val="329524D6"/>
    <w:rsid w:val="32B3311C"/>
    <w:rsid w:val="3312555B"/>
    <w:rsid w:val="33274478"/>
    <w:rsid w:val="334502B8"/>
    <w:rsid w:val="3384079C"/>
    <w:rsid w:val="33AA6EA7"/>
    <w:rsid w:val="33E54C86"/>
    <w:rsid w:val="342F6C69"/>
    <w:rsid w:val="34A00986"/>
    <w:rsid w:val="34FF1114"/>
    <w:rsid w:val="35386E11"/>
    <w:rsid w:val="35BD291C"/>
    <w:rsid w:val="36127FB0"/>
    <w:rsid w:val="36BE3D73"/>
    <w:rsid w:val="36E44AE2"/>
    <w:rsid w:val="37741972"/>
    <w:rsid w:val="377443BF"/>
    <w:rsid w:val="380A6843"/>
    <w:rsid w:val="38BD73CD"/>
    <w:rsid w:val="39243934"/>
    <w:rsid w:val="39535BFE"/>
    <w:rsid w:val="398B7F95"/>
    <w:rsid w:val="39A96F72"/>
    <w:rsid w:val="39B5458C"/>
    <w:rsid w:val="39CE38A0"/>
    <w:rsid w:val="3A1C4963"/>
    <w:rsid w:val="3A5570FB"/>
    <w:rsid w:val="3A563FC1"/>
    <w:rsid w:val="3A97759B"/>
    <w:rsid w:val="3A990BD3"/>
    <w:rsid w:val="3AC86541"/>
    <w:rsid w:val="3B3D12B2"/>
    <w:rsid w:val="3B4E2FFF"/>
    <w:rsid w:val="3B6049CB"/>
    <w:rsid w:val="3BAC29ED"/>
    <w:rsid w:val="3BB367AF"/>
    <w:rsid w:val="3BD03227"/>
    <w:rsid w:val="3C024B7D"/>
    <w:rsid w:val="3C7F4EBC"/>
    <w:rsid w:val="3C862210"/>
    <w:rsid w:val="3D205A10"/>
    <w:rsid w:val="3D5671AA"/>
    <w:rsid w:val="3D8E2068"/>
    <w:rsid w:val="3DFF4595"/>
    <w:rsid w:val="3E1D7CAF"/>
    <w:rsid w:val="3E7E66A3"/>
    <w:rsid w:val="3EAD286A"/>
    <w:rsid w:val="3F676329"/>
    <w:rsid w:val="3F676452"/>
    <w:rsid w:val="3F7B4A09"/>
    <w:rsid w:val="3FE756BB"/>
    <w:rsid w:val="40972C3D"/>
    <w:rsid w:val="40B777E0"/>
    <w:rsid w:val="40C96B6F"/>
    <w:rsid w:val="40E26775"/>
    <w:rsid w:val="40FF1D3F"/>
    <w:rsid w:val="41445C3F"/>
    <w:rsid w:val="41655958"/>
    <w:rsid w:val="418954B3"/>
    <w:rsid w:val="4194717D"/>
    <w:rsid w:val="42661790"/>
    <w:rsid w:val="42E163F2"/>
    <w:rsid w:val="43087E22"/>
    <w:rsid w:val="4315749D"/>
    <w:rsid w:val="435528D9"/>
    <w:rsid w:val="4357078B"/>
    <w:rsid w:val="4379029A"/>
    <w:rsid w:val="43A46303"/>
    <w:rsid w:val="43A7763B"/>
    <w:rsid w:val="43AC108E"/>
    <w:rsid w:val="43CA2CF3"/>
    <w:rsid w:val="440A1978"/>
    <w:rsid w:val="441962C2"/>
    <w:rsid w:val="442473B1"/>
    <w:rsid w:val="442D3928"/>
    <w:rsid w:val="4440689F"/>
    <w:rsid w:val="447E0969"/>
    <w:rsid w:val="45647867"/>
    <w:rsid w:val="4582210E"/>
    <w:rsid w:val="45C86CE6"/>
    <w:rsid w:val="45F14B9E"/>
    <w:rsid w:val="45FA5F64"/>
    <w:rsid w:val="460743C1"/>
    <w:rsid w:val="46144D30"/>
    <w:rsid w:val="467F21AA"/>
    <w:rsid w:val="46BF4C9C"/>
    <w:rsid w:val="47883ED1"/>
    <w:rsid w:val="47D6229D"/>
    <w:rsid w:val="47FE7A46"/>
    <w:rsid w:val="48374FFD"/>
    <w:rsid w:val="487E1EBD"/>
    <w:rsid w:val="49602681"/>
    <w:rsid w:val="497C0C22"/>
    <w:rsid w:val="49BF2FBD"/>
    <w:rsid w:val="4AB80DFE"/>
    <w:rsid w:val="4AFA3073"/>
    <w:rsid w:val="4B477F40"/>
    <w:rsid w:val="4BE66A88"/>
    <w:rsid w:val="4C1F5F2B"/>
    <w:rsid w:val="4C46012D"/>
    <w:rsid w:val="4CB532A8"/>
    <w:rsid w:val="4CD174D7"/>
    <w:rsid w:val="4CF621D2"/>
    <w:rsid w:val="4D4B48F3"/>
    <w:rsid w:val="4DDE77BD"/>
    <w:rsid w:val="4DF27B79"/>
    <w:rsid w:val="4E1729CD"/>
    <w:rsid w:val="4E296E9F"/>
    <w:rsid w:val="4EE942B4"/>
    <w:rsid w:val="4F0227BF"/>
    <w:rsid w:val="4F260919"/>
    <w:rsid w:val="4F31106F"/>
    <w:rsid w:val="4F55619D"/>
    <w:rsid w:val="4F633558"/>
    <w:rsid w:val="4F884F69"/>
    <w:rsid w:val="4F8E1D24"/>
    <w:rsid w:val="50266D04"/>
    <w:rsid w:val="504B70A9"/>
    <w:rsid w:val="50504182"/>
    <w:rsid w:val="505C5D66"/>
    <w:rsid w:val="50753163"/>
    <w:rsid w:val="50817137"/>
    <w:rsid w:val="509E5922"/>
    <w:rsid w:val="50C37CBB"/>
    <w:rsid w:val="51410B71"/>
    <w:rsid w:val="51A554F3"/>
    <w:rsid w:val="523D7A9D"/>
    <w:rsid w:val="52C250C7"/>
    <w:rsid w:val="52CB62CE"/>
    <w:rsid w:val="52E1539C"/>
    <w:rsid w:val="53057786"/>
    <w:rsid w:val="530B344E"/>
    <w:rsid w:val="5314011E"/>
    <w:rsid w:val="53C733E2"/>
    <w:rsid w:val="53FF0DCE"/>
    <w:rsid w:val="54066594"/>
    <w:rsid w:val="544C01DA"/>
    <w:rsid w:val="54826A6F"/>
    <w:rsid w:val="548E6FCC"/>
    <w:rsid w:val="54B41BB8"/>
    <w:rsid w:val="54BC3371"/>
    <w:rsid w:val="55985036"/>
    <w:rsid w:val="55E54A69"/>
    <w:rsid w:val="55F00D79"/>
    <w:rsid w:val="560358E7"/>
    <w:rsid w:val="56682C5A"/>
    <w:rsid w:val="56905D0D"/>
    <w:rsid w:val="5737456A"/>
    <w:rsid w:val="573D3418"/>
    <w:rsid w:val="578C3B2F"/>
    <w:rsid w:val="57CE5A99"/>
    <w:rsid w:val="57E1275E"/>
    <w:rsid w:val="57FD3B20"/>
    <w:rsid w:val="583730A7"/>
    <w:rsid w:val="589D4368"/>
    <w:rsid w:val="58CB74D0"/>
    <w:rsid w:val="595F6971"/>
    <w:rsid w:val="597C1F53"/>
    <w:rsid w:val="597F295B"/>
    <w:rsid w:val="59FE7432"/>
    <w:rsid w:val="5A170196"/>
    <w:rsid w:val="5A36306F"/>
    <w:rsid w:val="5A6E45B7"/>
    <w:rsid w:val="5A7D0C9E"/>
    <w:rsid w:val="5B0740EA"/>
    <w:rsid w:val="5B247141"/>
    <w:rsid w:val="5B98030E"/>
    <w:rsid w:val="5B9837E7"/>
    <w:rsid w:val="5BA734AB"/>
    <w:rsid w:val="5BB168EF"/>
    <w:rsid w:val="5BEF76E9"/>
    <w:rsid w:val="5C0D2A63"/>
    <w:rsid w:val="5C3D2493"/>
    <w:rsid w:val="5C5D0A1B"/>
    <w:rsid w:val="5C5F065B"/>
    <w:rsid w:val="5CB079DC"/>
    <w:rsid w:val="5CC70097"/>
    <w:rsid w:val="5CE337FB"/>
    <w:rsid w:val="5D437F7D"/>
    <w:rsid w:val="5D706898"/>
    <w:rsid w:val="5DCFAE16"/>
    <w:rsid w:val="5EA91689"/>
    <w:rsid w:val="5F0822F6"/>
    <w:rsid w:val="5F1662FE"/>
    <w:rsid w:val="5F3A0F0C"/>
    <w:rsid w:val="5F57386C"/>
    <w:rsid w:val="60134695"/>
    <w:rsid w:val="60464B44"/>
    <w:rsid w:val="60625971"/>
    <w:rsid w:val="60BB3DF4"/>
    <w:rsid w:val="60F670B5"/>
    <w:rsid w:val="61FE0917"/>
    <w:rsid w:val="62375736"/>
    <w:rsid w:val="62B95263"/>
    <w:rsid w:val="63070B25"/>
    <w:rsid w:val="63312CBB"/>
    <w:rsid w:val="634C5B54"/>
    <w:rsid w:val="635F44F0"/>
    <w:rsid w:val="639A641D"/>
    <w:rsid w:val="64CE4547"/>
    <w:rsid w:val="65007790"/>
    <w:rsid w:val="65071890"/>
    <w:rsid w:val="65362175"/>
    <w:rsid w:val="655A4F13"/>
    <w:rsid w:val="65624D19"/>
    <w:rsid w:val="65735178"/>
    <w:rsid w:val="657A7089"/>
    <w:rsid w:val="65B6317D"/>
    <w:rsid w:val="6688682D"/>
    <w:rsid w:val="66AB22D9"/>
    <w:rsid w:val="66D41533"/>
    <w:rsid w:val="66DC6D4D"/>
    <w:rsid w:val="673D49E3"/>
    <w:rsid w:val="674072DB"/>
    <w:rsid w:val="67447F34"/>
    <w:rsid w:val="675532C8"/>
    <w:rsid w:val="679F7DEF"/>
    <w:rsid w:val="67EB657A"/>
    <w:rsid w:val="680633E1"/>
    <w:rsid w:val="68226616"/>
    <w:rsid w:val="6844104D"/>
    <w:rsid w:val="684921C0"/>
    <w:rsid w:val="68B00491"/>
    <w:rsid w:val="68B735CD"/>
    <w:rsid w:val="68B84DB4"/>
    <w:rsid w:val="69005E96"/>
    <w:rsid w:val="694035C3"/>
    <w:rsid w:val="6969323F"/>
    <w:rsid w:val="6A2054D5"/>
    <w:rsid w:val="6A4F42B1"/>
    <w:rsid w:val="6A556E68"/>
    <w:rsid w:val="6A693B40"/>
    <w:rsid w:val="6AB53B3C"/>
    <w:rsid w:val="6AF74155"/>
    <w:rsid w:val="6AFD34C8"/>
    <w:rsid w:val="6B0B7C86"/>
    <w:rsid w:val="6B80414A"/>
    <w:rsid w:val="6B97675D"/>
    <w:rsid w:val="6CDA7624"/>
    <w:rsid w:val="6CE81713"/>
    <w:rsid w:val="6D070BEB"/>
    <w:rsid w:val="6D0B6015"/>
    <w:rsid w:val="6D7B2E1B"/>
    <w:rsid w:val="6D7B76B4"/>
    <w:rsid w:val="6D8F2D6B"/>
    <w:rsid w:val="6D9143ED"/>
    <w:rsid w:val="6DB91B96"/>
    <w:rsid w:val="6DB932C1"/>
    <w:rsid w:val="6E1437DA"/>
    <w:rsid w:val="6E1F0847"/>
    <w:rsid w:val="6E3520A2"/>
    <w:rsid w:val="6E3A43BC"/>
    <w:rsid w:val="6EF6485A"/>
    <w:rsid w:val="6F394D3C"/>
    <w:rsid w:val="6F572DF1"/>
    <w:rsid w:val="6F7264A0"/>
    <w:rsid w:val="6FA843BB"/>
    <w:rsid w:val="6FBC771B"/>
    <w:rsid w:val="70A66401"/>
    <w:rsid w:val="713F6A92"/>
    <w:rsid w:val="71877781"/>
    <w:rsid w:val="71B66B18"/>
    <w:rsid w:val="722C52AF"/>
    <w:rsid w:val="728C5ACB"/>
    <w:rsid w:val="72944086"/>
    <w:rsid w:val="72954F16"/>
    <w:rsid w:val="72D82ABE"/>
    <w:rsid w:val="733B0CDF"/>
    <w:rsid w:val="7350785D"/>
    <w:rsid w:val="73852C46"/>
    <w:rsid w:val="73A07A74"/>
    <w:rsid w:val="73C86E78"/>
    <w:rsid w:val="73CB43D1"/>
    <w:rsid w:val="747D391D"/>
    <w:rsid w:val="74CD211B"/>
    <w:rsid w:val="74DD1DA7"/>
    <w:rsid w:val="752C1393"/>
    <w:rsid w:val="7547449C"/>
    <w:rsid w:val="755548B4"/>
    <w:rsid w:val="7580588A"/>
    <w:rsid w:val="758731DC"/>
    <w:rsid w:val="75A94335"/>
    <w:rsid w:val="76075510"/>
    <w:rsid w:val="762C6FE5"/>
    <w:rsid w:val="7634380D"/>
    <w:rsid w:val="7639386A"/>
    <w:rsid w:val="76575EBB"/>
    <w:rsid w:val="766069C2"/>
    <w:rsid w:val="7686683E"/>
    <w:rsid w:val="76A84E99"/>
    <w:rsid w:val="76E12833"/>
    <w:rsid w:val="76F55A77"/>
    <w:rsid w:val="77633752"/>
    <w:rsid w:val="77646A47"/>
    <w:rsid w:val="778B45A3"/>
    <w:rsid w:val="77E638B0"/>
    <w:rsid w:val="77EF7281"/>
    <w:rsid w:val="786170B2"/>
    <w:rsid w:val="788D4480"/>
    <w:rsid w:val="78A32008"/>
    <w:rsid w:val="78C57F86"/>
    <w:rsid w:val="78D11888"/>
    <w:rsid w:val="78F53F2C"/>
    <w:rsid w:val="796912D5"/>
    <w:rsid w:val="79C344AC"/>
    <w:rsid w:val="79F62C66"/>
    <w:rsid w:val="7A1A0CFC"/>
    <w:rsid w:val="7ADB314B"/>
    <w:rsid w:val="7AE04C06"/>
    <w:rsid w:val="7AFD7B90"/>
    <w:rsid w:val="7AFE6E3A"/>
    <w:rsid w:val="7B2D0AFC"/>
    <w:rsid w:val="7B4A02D1"/>
    <w:rsid w:val="7B4A6DD9"/>
    <w:rsid w:val="7BC34B22"/>
    <w:rsid w:val="7BEA0C13"/>
    <w:rsid w:val="7C4A67DB"/>
    <w:rsid w:val="7CA848E7"/>
    <w:rsid w:val="7CDB5685"/>
    <w:rsid w:val="7CE915AD"/>
    <w:rsid w:val="7D0821F2"/>
    <w:rsid w:val="7D3A560F"/>
    <w:rsid w:val="7DCF0593"/>
    <w:rsid w:val="7DD74128"/>
    <w:rsid w:val="7E180E4D"/>
    <w:rsid w:val="7E1F194A"/>
    <w:rsid w:val="7E7A1CAE"/>
    <w:rsid w:val="7EC34622"/>
    <w:rsid w:val="7F493897"/>
    <w:rsid w:val="7FA833B8"/>
    <w:rsid w:val="FDF6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4"/>
    <w:next w:val="1"/>
    <w:link w:val="48"/>
    <w:qFormat/>
    <w:uiPriority w:val="0"/>
    <w:pPr>
      <w:outlineLvl w:val="2"/>
    </w:pPr>
    <w:rPr>
      <w:b w:val="0"/>
      <w:bCs w:val="0"/>
    </w:rPr>
  </w:style>
  <w:style w:type="paragraph" w:styleId="6">
    <w:name w:val="heading 4"/>
    <w:basedOn w:val="1"/>
    <w:next w:val="1"/>
    <w:link w:val="49"/>
    <w:qFormat/>
    <w:uiPriority w:val="0"/>
    <w:pPr>
      <w:keepNext/>
      <w:jc w:val="center"/>
      <w:outlineLvl w:val="3"/>
    </w:pPr>
    <w:rPr>
      <w:rFonts w:eastAsia="新宋体"/>
      <w:sz w:val="30"/>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line="360" w:lineRule="auto"/>
      <w:ind w:firstLine="480" w:firstLineChars="200"/>
    </w:pPr>
    <w:rPr>
      <w:sz w:val="24"/>
    </w:rPr>
  </w:style>
  <w:style w:type="paragraph" w:styleId="7">
    <w:name w:val="Normal Indent"/>
    <w:basedOn w:val="1"/>
    <w:link w:val="50"/>
    <w:qFormat/>
    <w:uiPriority w:val="0"/>
    <w:pPr>
      <w:ind w:firstLine="420"/>
    </w:pPr>
    <w:rPr>
      <w:szCs w:val="20"/>
    </w:rPr>
  </w:style>
  <w:style w:type="paragraph" w:styleId="8">
    <w:name w:val="Document Map"/>
    <w:basedOn w:val="1"/>
    <w:link w:val="51"/>
    <w:semiHidden/>
    <w:qFormat/>
    <w:uiPriority w:val="0"/>
    <w:pPr>
      <w:shd w:val="clear" w:color="auto" w:fill="000080"/>
    </w:pPr>
  </w:style>
  <w:style w:type="paragraph" w:styleId="9">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0">
    <w:name w:val="annotation text"/>
    <w:basedOn w:val="1"/>
    <w:link w:val="52"/>
    <w:unhideWhenUsed/>
    <w:qFormat/>
    <w:uiPriority w:val="99"/>
    <w:pPr>
      <w:jc w:val="left"/>
    </w:pPr>
  </w:style>
  <w:style w:type="paragraph" w:styleId="11">
    <w:name w:val="Body Text"/>
    <w:basedOn w:val="1"/>
    <w:next w:val="1"/>
    <w:qFormat/>
    <w:uiPriority w:val="0"/>
    <w:pPr>
      <w:spacing w:line="400" w:lineRule="exact"/>
    </w:pPr>
    <w:rPr>
      <w:rFonts w:ascii="楷体_GB2312"/>
      <w:sz w:val="28"/>
    </w:rPr>
  </w:style>
  <w:style w:type="paragraph" w:styleId="12">
    <w:name w:val="Body Text Indent"/>
    <w:basedOn w:val="1"/>
    <w:next w:val="13"/>
    <w:link w:val="55"/>
    <w:qFormat/>
    <w:uiPriority w:val="0"/>
    <w:pPr>
      <w:spacing w:after="120"/>
      <w:ind w:left="420" w:leftChars="200"/>
    </w:pPr>
  </w:style>
  <w:style w:type="paragraph" w:styleId="13">
    <w:name w:val="envelope return"/>
    <w:basedOn w:val="1"/>
    <w:unhideWhenUsed/>
    <w:qFormat/>
    <w:uiPriority w:val="99"/>
    <w:pPr>
      <w:snapToGrid w:val="0"/>
    </w:pPr>
    <w:rPr>
      <w:rFonts w:ascii="Arial" w:hAnsi="Arial"/>
    </w:rPr>
  </w:style>
  <w:style w:type="paragraph" w:styleId="14">
    <w:name w:val="Block Text"/>
    <w:basedOn w:val="1"/>
    <w:next w:val="11"/>
    <w:qFormat/>
    <w:uiPriority w:val="99"/>
    <w:pPr>
      <w:ind w:left="1440" w:leftChars="700" w:right="700" w:rightChars="700"/>
    </w:pPr>
    <w:rPr>
      <w:color w:val="FF0000"/>
      <w:sz w:val="18"/>
    </w:rPr>
  </w:style>
  <w:style w:type="paragraph" w:styleId="15">
    <w:name w:val="index 4"/>
    <w:basedOn w:val="1"/>
    <w:next w:val="1"/>
    <w:semiHidden/>
    <w:qFormat/>
    <w:uiPriority w:val="0"/>
    <w:pPr>
      <w:ind w:left="1260"/>
    </w:pPr>
  </w:style>
  <w:style w:type="paragraph" w:styleId="16">
    <w:name w:val="Plain Text"/>
    <w:basedOn w:val="1"/>
    <w:qFormat/>
    <w:uiPriority w:val="0"/>
    <w:rPr>
      <w:rFonts w:ascii="宋体" w:hAnsi="Courier New"/>
      <w:szCs w:val="20"/>
    </w:rPr>
  </w:style>
  <w:style w:type="paragraph" w:styleId="17">
    <w:name w:val="Date"/>
    <w:basedOn w:val="1"/>
    <w:next w:val="1"/>
    <w:link w:val="56"/>
    <w:qFormat/>
    <w:uiPriority w:val="0"/>
    <w:pPr>
      <w:ind w:left="100" w:leftChars="2500"/>
    </w:pPr>
  </w:style>
  <w:style w:type="paragraph" w:styleId="18">
    <w:name w:val="Balloon Text"/>
    <w:basedOn w:val="1"/>
    <w:link w:val="57"/>
    <w:semiHidden/>
    <w:qFormat/>
    <w:uiPriority w:val="0"/>
    <w:rPr>
      <w:sz w:val="18"/>
      <w:szCs w:val="18"/>
    </w:rPr>
  </w:style>
  <w:style w:type="paragraph" w:styleId="19">
    <w:name w:val="footer"/>
    <w:basedOn w:val="1"/>
    <w:link w:val="58"/>
    <w:qFormat/>
    <w:uiPriority w:val="0"/>
    <w:pPr>
      <w:tabs>
        <w:tab w:val="center" w:pos="4153"/>
        <w:tab w:val="right" w:pos="8306"/>
      </w:tabs>
      <w:snapToGrid w:val="0"/>
      <w:jc w:val="left"/>
    </w:pPr>
    <w:rPr>
      <w:sz w:val="18"/>
      <w:szCs w:val="18"/>
    </w:rPr>
  </w:style>
  <w:style w:type="paragraph" w:styleId="20">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8296"/>
      </w:tabs>
      <w:spacing w:line="360" w:lineRule="auto"/>
    </w:pPr>
  </w:style>
  <w:style w:type="paragraph" w:styleId="22">
    <w:name w:val="Body Text Indent 3"/>
    <w:basedOn w:val="1"/>
    <w:next w:val="9"/>
    <w:link w:val="60"/>
    <w:qFormat/>
    <w:uiPriority w:val="0"/>
    <w:pPr>
      <w:spacing w:line="520" w:lineRule="exact"/>
      <w:ind w:firstLine="539" w:firstLineChars="184"/>
    </w:pPr>
    <w:rPr>
      <w:rFonts w:ascii="宋体"/>
      <w:b/>
      <w:spacing w:val="6"/>
      <w:sz w:val="28"/>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10"/>
    <w:pPr>
      <w:spacing w:before="240" w:after="60"/>
      <w:jc w:val="center"/>
      <w:outlineLvl w:val="0"/>
    </w:pPr>
    <w:rPr>
      <w:rFonts w:ascii="Cambria" w:hAnsi="Cambria"/>
      <w:b/>
      <w:bCs/>
      <w:sz w:val="32"/>
      <w:szCs w:val="32"/>
    </w:rPr>
  </w:style>
  <w:style w:type="paragraph" w:styleId="25">
    <w:name w:val="annotation subject"/>
    <w:basedOn w:val="10"/>
    <w:next w:val="10"/>
    <w:link w:val="61"/>
    <w:unhideWhenUsed/>
    <w:qFormat/>
    <w:uiPriority w:val="99"/>
    <w:rPr>
      <w:b/>
      <w:bCs/>
    </w:rPr>
  </w:style>
  <w:style w:type="paragraph" w:styleId="26">
    <w:name w:val="Body Text First Indent"/>
    <w:basedOn w:val="11"/>
    <w:qFormat/>
    <w:uiPriority w:val="0"/>
    <w:pPr>
      <w:spacing w:line="360" w:lineRule="auto"/>
      <w:ind w:firstLine="200" w:firstLineChars="200"/>
    </w:pPr>
    <w:rPr>
      <w:rFonts w:ascii="仿宋_GB2312" w:eastAsia="仿宋_GB2312"/>
      <w:kern w:val="0"/>
      <w:sz w:val="30"/>
      <w:szCs w:val="30"/>
    </w:rPr>
  </w:style>
  <w:style w:type="paragraph" w:styleId="27">
    <w:name w:val="Body Text First Indent 2"/>
    <w:basedOn w:val="12"/>
    <w:next w:val="22"/>
    <w:link w:val="62"/>
    <w:unhideWhenUsed/>
    <w:qFormat/>
    <w:uiPriority w:val="99"/>
    <w:pPr>
      <w:ind w:firstLine="20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style>
  <w:style w:type="character" w:styleId="33">
    <w:name w:val="FollowedHyperlink"/>
    <w:unhideWhenUsed/>
    <w:qFormat/>
    <w:uiPriority w:val="99"/>
    <w:rPr>
      <w:color w:val="800080"/>
      <w:u w:val="none"/>
    </w:rPr>
  </w:style>
  <w:style w:type="character" w:styleId="34">
    <w:name w:val="Emphasis"/>
    <w:qFormat/>
    <w:uiPriority w:val="0"/>
    <w:rPr>
      <w:b/>
      <w:bCs/>
    </w:rPr>
  </w:style>
  <w:style w:type="character" w:styleId="35">
    <w:name w:val="HTML Definition"/>
    <w:unhideWhenUsed/>
    <w:qFormat/>
    <w:uiPriority w:val="99"/>
  </w:style>
  <w:style w:type="character" w:styleId="36">
    <w:name w:val="HTML Typewriter"/>
    <w:unhideWhenUsed/>
    <w:qFormat/>
    <w:uiPriority w:val="99"/>
    <w:rPr>
      <w:rFonts w:hint="default" w:ascii="monospace" w:hAnsi="monospace" w:eastAsia="monospace" w:cs="monospace"/>
      <w:sz w:val="20"/>
    </w:rPr>
  </w:style>
  <w:style w:type="character" w:styleId="37">
    <w:name w:val="HTML Acronym"/>
    <w:unhideWhenUsed/>
    <w:qFormat/>
    <w:uiPriority w:val="99"/>
  </w:style>
  <w:style w:type="character" w:styleId="38">
    <w:name w:val="HTML Variable"/>
    <w:unhideWhenUsed/>
    <w:qFormat/>
    <w:uiPriority w:val="99"/>
  </w:style>
  <w:style w:type="character" w:styleId="39">
    <w:name w:val="Hyperlink"/>
    <w:unhideWhenUsed/>
    <w:qFormat/>
    <w:uiPriority w:val="99"/>
    <w:rPr>
      <w:color w:val="0000FF"/>
      <w:u w:val="none"/>
    </w:rPr>
  </w:style>
  <w:style w:type="character" w:styleId="40">
    <w:name w:val="HTML Code"/>
    <w:unhideWhenUsed/>
    <w:qFormat/>
    <w:uiPriority w:val="99"/>
    <w:rPr>
      <w:rFonts w:hint="default" w:ascii="monospace" w:hAnsi="monospace" w:eastAsia="monospace" w:cs="monospace"/>
      <w:sz w:val="20"/>
    </w:rPr>
  </w:style>
  <w:style w:type="character" w:styleId="41">
    <w:name w:val="annotation reference"/>
    <w:unhideWhenUsed/>
    <w:qFormat/>
    <w:uiPriority w:val="99"/>
    <w:rPr>
      <w:sz w:val="21"/>
      <w:szCs w:val="21"/>
    </w:rPr>
  </w:style>
  <w:style w:type="character" w:styleId="42">
    <w:name w:val="HTML Cite"/>
    <w:unhideWhenUsed/>
    <w:qFormat/>
    <w:uiPriority w:val="99"/>
  </w:style>
  <w:style w:type="character" w:styleId="43">
    <w:name w:val="HTML Keyboard"/>
    <w:unhideWhenUsed/>
    <w:qFormat/>
    <w:uiPriority w:val="99"/>
    <w:rPr>
      <w:rFonts w:ascii="monospace" w:hAnsi="monospace" w:eastAsia="monospace" w:cs="monospace"/>
      <w:sz w:val="20"/>
    </w:rPr>
  </w:style>
  <w:style w:type="character" w:styleId="44">
    <w:name w:val="HTML Sample"/>
    <w:unhideWhenUsed/>
    <w:qFormat/>
    <w:uiPriority w:val="99"/>
    <w:rPr>
      <w:rFonts w:hint="default" w:ascii="monospace" w:hAnsi="monospace" w:eastAsia="monospace" w:cs="monospace"/>
    </w:rPr>
  </w:style>
  <w:style w:type="paragraph" w:customStyle="1" w:styleId="45">
    <w:name w:val="正文1"/>
    <w:basedOn w:val="1"/>
    <w:qFormat/>
    <w:uiPriority w:val="0"/>
    <w:pPr>
      <w:spacing w:line="360" w:lineRule="auto"/>
      <w:ind w:firstLine="361"/>
    </w:pPr>
    <w:rPr>
      <w:rFonts w:ascii="宋体" w:hAnsi="宋体"/>
    </w:rPr>
  </w:style>
  <w:style w:type="character" w:customStyle="1" w:styleId="46">
    <w:name w:val="标题 1 Char"/>
    <w:link w:val="3"/>
    <w:qFormat/>
    <w:uiPriority w:val="0"/>
    <w:rPr>
      <w:b/>
      <w:bCs/>
      <w:kern w:val="44"/>
      <w:sz w:val="44"/>
      <w:szCs w:val="44"/>
    </w:rPr>
  </w:style>
  <w:style w:type="character" w:customStyle="1" w:styleId="47">
    <w:name w:val="标题 2 Char"/>
    <w:link w:val="4"/>
    <w:qFormat/>
    <w:uiPriority w:val="0"/>
    <w:rPr>
      <w:rFonts w:ascii="Arial" w:hAnsi="Arial" w:eastAsia="黑体"/>
      <w:b/>
      <w:bCs/>
      <w:kern w:val="2"/>
      <w:sz w:val="32"/>
      <w:szCs w:val="32"/>
    </w:rPr>
  </w:style>
  <w:style w:type="character" w:customStyle="1" w:styleId="48">
    <w:name w:val="标题 3 Char"/>
    <w:link w:val="5"/>
    <w:qFormat/>
    <w:uiPriority w:val="0"/>
    <w:rPr>
      <w:b/>
      <w:bCs/>
      <w:kern w:val="2"/>
      <w:sz w:val="32"/>
      <w:szCs w:val="32"/>
    </w:rPr>
  </w:style>
  <w:style w:type="character" w:customStyle="1" w:styleId="49">
    <w:name w:val="标题 4 Char"/>
    <w:link w:val="6"/>
    <w:qFormat/>
    <w:uiPriority w:val="0"/>
    <w:rPr>
      <w:rFonts w:eastAsia="新宋体"/>
      <w:kern w:val="2"/>
      <w:sz w:val="30"/>
      <w:szCs w:val="21"/>
    </w:rPr>
  </w:style>
  <w:style w:type="character" w:customStyle="1" w:styleId="50">
    <w:name w:val="正文缩进 Char"/>
    <w:link w:val="7"/>
    <w:qFormat/>
    <w:uiPriority w:val="0"/>
    <w:rPr>
      <w:kern w:val="2"/>
      <w:sz w:val="21"/>
    </w:rPr>
  </w:style>
  <w:style w:type="character" w:customStyle="1" w:styleId="51">
    <w:name w:val="文档结构图 Char"/>
    <w:link w:val="8"/>
    <w:semiHidden/>
    <w:qFormat/>
    <w:uiPriority w:val="0"/>
    <w:rPr>
      <w:kern w:val="2"/>
      <w:sz w:val="21"/>
      <w:szCs w:val="24"/>
      <w:shd w:val="clear" w:color="auto" w:fill="000080"/>
    </w:rPr>
  </w:style>
  <w:style w:type="character" w:customStyle="1" w:styleId="52">
    <w:name w:val="批注文字 Char"/>
    <w:link w:val="10"/>
    <w:qFormat/>
    <w:uiPriority w:val="99"/>
    <w:rPr>
      <w:kern w:val="2"/>
      <w:sz w:val="21"/>
      <w:szCs w:val="24"/>
    </w:rPr>
  </w:style>
  <w:style w:type="paragraph" w:customStyle="1" w:styleId="53">
    <w:name w:val="style4"/>
    <w:basedOn w:val="1"/>
    <w:next w:val="54"/>
    <w:qFormat/>
    <w:uiPriority w:val="0"/>
    <w:pPr>
      <w:widowControl/>
      <w:spacing w:before="280" w:after="280"/>
    </w:pPr>
    <w:rPr>
      <w:rFonts w:ascii="宋体"/>
      <w:sz w:val="18"/>
    </w:rPr>
  </w:style>
  <w:style w:type="paragraph" w:customStyle="1" w:styleId="5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55">
    <w:name w:val="正文文本缩进 Char"/>
    <w:link w:val="12"/>
    <w:qFormat/>
    <w:uiPriority w:val="0"/>
    <w:rPr>
      <w:kern w:val="2"/>
      <w:sz w:val="21"/>
      <w:szCs w:val="24"/>
    </w:rPr>
  </w:style>
  <w:style w:type="character" w:customStyle="1" w:styleId="56">
    <w:name w:val="日期 Char"/>
    <w:link w:val="17"/>
    <w:qFormat/>
    <w:uiPriority w:val="0"/>
    <w:rPr>
      <w:kern w:val="2"/>
      <w:sz w:val="21"/>
      <w:szCs w:val="24"/>
    </w:rPr>
  </w:style>
  <w:style w:type="character" w:customStyle="1" w:styleId="57">
    <w:name w:val="批注框文本 Char"/>
    <w:link w:val="18"/>
    <w:semiHidden/>
    <w:qFormat/>
    <w:uiPriority w:val="0"/>
    <w:rPr>
      <w:kern w:val="2"/>
      <w:sz w:val="18"/>
      <w:szCs w:val="18"/>
    </w:rPr>
  </w:style>
  <w:style w:type="character" w:customStyle="1" w:styleId="58">
    <w:name w:val="页脚 Char"/>
    <w:link w:val="19"/>
    <w:qFormat/>
    <w:uiPriority w:val="0"/>
    <w:rPr>
      <w:kern w:val="2"/>
      <w:sz w:val="18"/>
      <w:szCs w:val="18"/>
    </w:rPr>
  </w:style>
  <w:style w:type="character" w:customStyle="1" w:styleId="59">
    <w:name w:val="页眉 Char"/>
    <w:link w:val="20"/>
    <w:qFormat/>
    <w:uiPriority w:val="0"/>
    <w:rPr>
      <w:kern w:val="2"/>
      <w:sz w:val="18"/>
      <w:szCs w:val="18"/>
    </w:rPr>
  </w:style>
  <w:style w:type="character" w:customStyle="1" w:styleId="60">
    <w:name w:val="正文文本缩进 3 Char"/>
    <w:link w:val="22"/>
    <w:qFormat/>
    <w:uiPriority w:val="0"/>
    <w:rPr>
      <w:rFonts w:ascii="宋体"/>
      <w:b/>
      <w:spacing w:val="6"/>
      <w:kern w:val="2"/>
      <w:sz w:val="28"/>
      <w:szCs w:val="24"/>
    </w:rPr>
  </w:style>
  <w:style w:type="character" w:customStyle="1" w:styleId="61">
    <w:name w:val="批注主题 Char"/>
    <w:link w:val="25"/>
    <w:semiHidden/>
    <w:qFormat/>
    <w:uiPriority w:val="99"/>
    <w:rPr>
      <w:b/>
      <w:bCs/>
      <w:kern w:val="2"/>
      <w:sz w:val="21"/>
      <w:szCs w:val="24"/>
    </w:rPr>
  </w:style>
  <w:style w:type="character" w:customStyle="1" w:styleId="62">
    <w:name w:val="正文首行缩进 2 Char"/>
    <w:link w:val="27"/>
    <w:qFormat/>
    <w:uiPriority w:val="99"/>
  </w:style>
  <w:style w:type="paragraph" w:customStyle="1" w:styleId="63">
    <w:name w:val="Default"/>
    <w:basedOn w:val="1"/>
    <w:qFormat/>
    <w:uiPriority w:val="0"/>
    <w:pPr>
      <w:autoSpaceDE w:val="0"/>
      <w:autoSpaceDN w:val="0"/>
      <w:adjustRightInd w:val="0"/>
      <w:jc w:val="left"/>
    </w:pPr>
    <w:rPr>
      <w:rFonts w:ascii="Arial" w:hAnsi="Arial" w:eastAsia="PMingLiU"/>
      <w:kern w:val="0"/>
      <w:sz w:val="20"/>
      <w:szCs w:val="20"/>
    </w:rPr>
  </w:style>
  <w:style w:type="character" w:customStyle="1" w:styleId="64">
    <w:name w:val="正文缩进2格 Char"/>
    <w:link w:val="65"/>
    <w:qFormat/>
    <w:locked/>
    <w:uiPriority w:val="0"/>
    <w:rPr>
      <w:rFonts w:ascii="仿宋_GB2312" w:hAnsi="宋体" w:eastAsia="仿宋_GB2312"/>
      <w:kern w:val="2"/>
      <w:sz w:val="31"/>
      <w:szCs w:val="28"/>
    </w:rPr>
  </w:style>
  <w:style w:type="paragraph" w:customStyle="1" w:styleId="65">
    <w:name w:val="正文缩进2格"/>
    <w:basedOn w:val="1"/>
    <w:link w:val="64"/>
    <w:qFormat/>
    <w:uiPriority w:val="0"/>
    <w:pPr>
      <w:spacing w:line="600" w:lineRule="exact"/>
      <w:ind w:firstLine="639" w:firstLineChars="206"/>
    </w:pPr>
    <w:rPr>
      <w:rFonts w:ascii="仿宋_GB2312" w:hAnsi="宋体" w:eastAsia="仿宋_GB2312"/>
      <w:sz w:val="31"/>
      <w:szCs w:val="28"/>
    </w:rPr>
  </w:style>
  <w:style w:type="character" w:customStyle="1" w:styleId="66">
    <w:name w:val="标题 3.1 Char"/>
    <w:link w:val="67"/>
    <w:qFormat/>
    <w:locked/>
    <w:uiPriority w:val="0"/>
    <w:rPr>
      <w:rFonts w:ascii="宋体" w:hAnsi="宋体"/>
      <w:b/>
      <w:bCs/>
      <w:color w:val="000000"/>
      <w:kern w:val="2"/>
      <w:sz w:val="32"/>
      <w:szCs w:val="32"/>
    </w:rPr>
  </w:style>
  <w:style w:type="paragraph" w:customStyle="1" w:styleId="67">
    <w:name w:val="标题 3.1"/>
    <w:basedOn w:val="5"/>
    <w:link w:val="66"/>
    <w:qFormat/>
    <w:uiPriority w:val="0"/>
    <w:pPr>
      <w:tabs>
        <w:tab w:val="left" w:pos="1440"/>
        <w:tab w:val="left" w:pos="1620"/>
      </w:tabs>
      <w:spacing w:line="600" w:lineRule="exact"/>
    </w:pPr>
    <w:rPr>
      <w:rFonts w:ascii="宋体" w:hAnsi="宋体"/>
      <w:color w:val="000000"/>
    </w:rPr>
  </w:style>
  <w:style w:type="paragraph" w:customStyle="1" w:styleId="68">
    <w:name w:val="Char"/>
    <w:basedOn w:val="1"/>
    <w:qFormat/>
    <w:uiPriority w:val="0"/>
    <w:rPr>
      <w:rFonts w:ascii="Tahoma" w:hAnsi="Tahoma"/>
      <w:sz w:val="24"/>
      <w:szCs w:val="20"/>
    </w:rPr>
  </w:style>
  <w:style w:type="paragraph" w:customStyle="1" w:styleId="69">
    <w:name w:val="正文缩进4格"/>
    <w:basedOn w:val="65"/>
    <w:qFormat/>
    <w:uiPriority w:val="0"/>
    <w:pPr>
      <w:ind w:left="2" w:firstLine="538" w:firstLineChars="192"/>
    </w:pPr>
    <w:rPr>
      <w:color w:val="000000"/>
      <w:sz w:val="28"/>
    </w:rPr>
  </w:style>
  <w:style w:type="paragraph" w:customStyle="1" w:styleId="70">
    <w:name w:val="Char Char Char Char"/>
    <w:basedOn w:val="1"/>
    <w:qFormat/>
    <w:uiPriority w:val="0"/>
    <w:rPr>
      <w:rFonts w:ascii="Tahoma" w:hAnsi="Tahoma"/>
      <w:sz w:val="24"/>
      <w:szCs w:val="20"/>
    </w:rPr>
  </w:style>
  <w:style w:type="paragraph" w:customStyle="1" w:styleId="71">
    <w:name w:val="Char1"/>
    <w:basedOn w:val="1"/>
    <w:qFormat/>
    <w:uiPriority w:val="0"/>
    <w:pPr>
      <w:tabs>
        <w:tab w:val="left" w:pos="840"/>
      </w:tabs>
      <w:ind w:left="840" w:hanging="420"/>
    </w:pPr>
    <w:rPr>
      <w:sz w:val="24"/>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Char Char 字元 字元 字元 Char Char Char Char"/>
    <w:basedOn w:val="1"/>
    <w:qFormat/>
    <w:uiPriority w:val="0"/>
    <w:pPr>
      <w:adjustRightInd w:val="0"/>
      <w:spacing w:line="360" w:lineRule="auto"/>
    </w:pPr>
    <w:rPr>
      <w:kern w:val="0"/>
      <w:sz w:val="24"/>
      <w:szCs w:val="20"/>
    </w:rPr>
  </w:style>
  <w:style w:type="paragraph" w:customStyle="1" w:styleId="7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6">
    <w:name w:val="Char2"/>
    <w:basedOn w:val="1"/>
    <w:qFormat/>
    <w:uiPriority w:val="0"/>
    <w:rPr>
      <w:rFonts w:ascii="Tahoma" w:hAnsi="Tahoma"/>
      <w:sz w:val="24"/>
      <w:szCs w:val="20"/>
    </w:rPr>
  </w:style>
  <w:style w:type="paragraph" w:customStyle="1" w:styleId="77">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普通正文 Char"/>
    <w:link w:val="79"/>
    <w:qFormat/>
    <w:uiPriority w:val="0"/>
    <w:rPr>
      <w:rFonts w:ascii="Arial" w:hAnsi="Arial"/>
      <w:sz w:val="24"/>
      <w:szCs w:val="24"/>
    </w:rPr>
  </w:style>
  <w:style w:type="paragraph" w:customStyle="1" w:styleId="79">
    <w:name w:val="普通正文"/>
    <w:basedOn w:val="1"/>
    <w:link w:val="78"/>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mini-outputtext1"/>
    <w:qFormat/>
    <w:uiPriority w:val="0"/>
  </w:style>
  <w:style w:type="character" w:customStyle="1" w:styleId="81">
    <w:name w:val="font31"/>
    <w:qFormat/>
    <w:uiPriority w:val="0"/>
    <w:rPr>
      <w:rFonts w:hint="eastAsia" w:ascii="宋体" w:hAnsi="宋体" w:eastAsia="宋体" w:cs="宋体"/>
      <w:color w:val="000000"/>
      <w:sz w:val="21"/>
      <w:szCs w:val="21"/>
      <w:u w:val="none"/>
    </w:rPr>
  </w:style>
  <w:style w:type="character" w:customStyle="1" w:styleId="82">
    <w:name w:val="font61"/>
    <w:qFormat/>
    <w:uiPriority w:val="0"/>
    <w:rPr>
      <w:rFonts w:hint="default" w:ascii="Times New Roman" w:hAnsi="Times New Roman" w:cs="Times New Roman"/>
      <w:color w:val="000000"/>
      <w:sz w:val="21"/>
      <w:szCs w:val="21"/>
      <w:u w:val="none"/>
    </w:rPr>
  </w:style>
  <w:style w:type="character" w:customStyle="1" w:styleId="83">
    <w:name w:val="font01"/>
    <w:qFormat/>
    <w:uiPriority w:val="0"/>
    <w:rPr>
      <w:rFonts w:hint="default" w:ascii="等线" w:hAnsi="等线" w:eastAsia="等线" w:cs="等线"/>
      <w:color w:val="000000"/>
      <w:sz w:val="22"/>
      <w:szCs w:val="22"/>
      <w:u w:val="none"/>
    </w:rPr>
  </w:style>
  <w:style w:type="character" w:customStyle="1" w:styleId="84">
    <w:name w:val="font51"/>
    <w:qFormat/>
    <w:uiPriority w:val="0"/>
    <w:rPr>
      <w:rFonts w:hint="default" w:ascii="等线" w:hAnsi="等线" w:eastAsia="等线" w:cs="等线"/>
      <w:b/>
      <w:bCs/>
      <w:color w:val="000000"/>
      <w:sz w:val="22"/>
      <w:szCs w:val="22"/>
      <w:u w:val="none"/>
    </w:rPr>
  </w:style>
  <w:style w:type="paragraph" w:customStyle="1" w:styleId="85">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6">
    <w:name w:val="sh1"/>
    <w:basedOn w:val="24"/>
    <w:qFormat/>
    <w:uiPriority w:val="0"/>
    <w:pPr>
      <w:adjustRightInd w:val="0"/>
      <w:spacing w:before="0"/>
    </w:pPr>
    <w:rPr>
      <w:rFonts w:ascii="Arial" w:hAnsi="Arial"/>
      <w:bCs w:val="0"/>
    </w:rPr>
  </w:style>
  <w:style w:type="paragraph" w:customStyle="1" w:styleId="87">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88">
    <w:name w:val="首行缩进"/>
    <w:basedOn w:val="1"/>
    <w:next w:val="1"/>
    <w:qFormat/>
    <w:uiPriority w:val="0"/>
    <w:pPr>
      <w:ind w:firstLine="480" w:firstLineChars="200"/>
    </w:pPr>
    <w:rPr>
      <w:rFonts w:ascii="Calibri" w:hAnsi="Calibri"/>
      <w:szCs w:val="21"/>
    </w:rPr>
  </w:style>
  <w:style w:type="paragraph" w:customStyle="1" w:styleId="89">
    <w:name w:val="Table Paragraph"/>
    <w:basedOn w:val="1"/>
    <w:qFormat/>
    <w:uiPriority w:val="1"/>
    <w:rPr>
      <w:rFonts w:ascii="宋体" w:hAnsi="宋体" w:cs="宋体"/>
      <w:lang w:val="zh-CN" w:bidi="zh-CN"/>
    </w:rPr>
  </w:style>
  <w:style w:type="paragraph" w:customStyle="1" w:styleId="90">
    <w:name w:val="_Style 88"/>
    <w:unhideWhenUsed/>
    <w:qFormat/>
    <w:uiPriority w:val="99"/>
    <w:rPr>
      <w:rFonts w:ascii="Times New Roman" w:hAnsi="Times New Roman" w:eastAsia="宋体" w:cs="Times New Roman"/>
      <w:kern w:val="2"/>
      <w:sz w:val="21"/>
      <w:szCs w:val="24"/>
      <w:lang w:val="en-US" w:eastAsia="zh-CN" w:bidi="ar-SA"/>
    </w:rPr>
  </w:style>
  <w:style w:type="table" w:customStyle="1" w:styleId="91">
    <w:name w:val="Table Normal"/>
    <w:unhideWhenUsed/>
    <w:qFormat/>
    <w:uiPriority w:val="0"/>
    <w:tblPr>
      <w:tblCellMar>
        <w:top w:w="0" w:type="dxa"/>
        <w:left w:w="0" w:type="dxa"/>
        <w:bottom w:w="0" w:type="dxa"/>
        <w:right w:w="0" w:type="dxa"/>
      </w:tblCellMar>
    </w:tblPr>
  </w:style>
  <w:style w:type="table" w:customStyle="1" w:styleId="92">
    <w:name w:val="网格型4"/>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3">
    <w:name w:val="List Paragraph"/>
    <w:basedOn w:val="1"/>
    <w:qFormat/>
    <w:uiPriority w:val="1"/>
    <w:pPr>
      <w:ind w:firstLine="420" w:firstLineChars="200"/>
    </w:pPr>
  </w:style>
  <w:style w:type="paragraph" w:customStyle="1" w:styleId="94">
    <w:name w:val="Table Text"/>
    <w:basedOn w:val="1"/>
    <w:semiHidden/>
    <w:qFormat/>
    <w:uiPriority w:val="0"/>
    <w:rPr>
      <w:rFonts w:ascii="宋体" w:hAnsi="宋体" w:cs="宋体"/>
      <w:sz w:val="19"/>
      <w:szCs w:val="19"/>
      <w:lang w:eastAsia="en-US"/>
    </w:rPr>
  </w:style>
  <w:style w:type="paragraph" w:customStyle="1" w:styleId="95">
    <w:name w:val="*正文"/>
    <w:basedOn w:val="1"/>
    <w:qFormat/>
    <w:uiPriority w:val="0"/>
    <w:pPr>
      <w:spacing w:line="360" w:lineRule="auto"/>
    </w:pPr>
    <w:rPr>
      <w:sz w:val="24"/>
    </w:rPr>
  </w:style>
  <w:style w:type="paragraph" w:customStyle="1" w:styleId="96">
    <w:name w:val="2 级标题"/>
    <w:qFormat/>
    <w:uiPriority w:val="0"/>
    <w:pPr>
      <w:keepNext/>
      <w:keepLines/>
      <w:widowControl w:val="0"/>
      <w:numPr>
        <w:ilvl w:val="1"/>
        <w:numId w:val="1"/>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97">
    <w:name w:val="列出段落1"/>
    <w:basedOn w:val="1"/>
    <w:qFormat/>
    <w:uiPriority w:val="34"/>
    <w:pPr>
      <w:widowControl/>
      <w:ind w:left="720"/>
      <w:contextualSpacing/>
      <w:jc w:val="left"/>
    </w:pPr>
    <w:rPr>
      <w:kern w:val="0"/>
      <w:sz w:val="24"/>
      <w:lang w:eastAsia="en-US" w:bidi="en-US"/>
    </w:rPr>
  </w:style>
  <w:style w:type="paragraph" w:customStyle="1" w:styleId="98">
    <w:name w:val="样式 正文（缩进） + (中文) 楷体_GB2312"/>
    <w:basedOn w:val="2"/>
    <w:qFormat/>
    <w:uiPriority w:val="0"/>
    <w:pPr>
      <w:ind w:left="-2" w:leftChars="-1" w:firstLine="567" w:firstLineChars="0"/>
      <w:jc w:val="left"/>
    </w:pPr>
    <w:rPr>
      <w:rFonts w:eastAsia="楷体_GB2312"/>
      <w:sz w:val="28"/>
      <w:szCs w:val="28"/>
    </w:rPr>
  </w:style>
  <w:style w:type="paragraph" w:customStyle="1" w:styleId="99">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0">
    <w:name w:val="正文表标题"/>
    <w:next w:val="101"/>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10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2">
    <w:name w:val="二级无"/>
    <w:basedOn w:val="103"/>
    <w:qFormat/>
    <w:uiPriority w:val="0"/>
    <w:pPr>
      <w:spacing w:beforeLines="0" w:afterLines="0"/>
    </w:pPr>
    <w:rPr>
      <w:rFonts w:ascii="宋体" w:eastAsia="宋体"/>
    </w:rPr>
  </w:style>
  <w:style w:type="paragraph" w:customStyle="1" w:styleId="103">
    <w:name w:val="二级条标题"/>
    <w:basedOn w:val="104"/>
    <w:next w:val="101"/>
    <w:qFormat/>
    <w:uiPriority w:val="0"/>
    <w:pPr>
      <w:numPr>
        <w:ilvl w:val="2"/>
      </w:numPr>
      <w:spacing w:before="50" w:after="50"/>
      <w:outlineLvl w:val="3"/>
    </w:pPr>
  </w:style>
  <w:style w:type="paragraph" w:customStyle="1" w:styleId="104">
    <w:name w:val="一级条标题"/>
    <w:next w:val="101"/>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105">
    <w:name w:val="三级无"/>
    <w:basedOn w:val="106"/>
    <w:qFormat/>
    <w:uiPriority w:val="0"/>
    <w:pPr>
      <w:numPr>
        <w:numId w:val="2"/>
      </w:numPr>
      <w:tabs>
        <w:tab w:val="left" w:pos="1984"/>
      </w:tabs>
      <w:spacing w:beforeLines="0" w:afterLines="0"/>
    </w:pPr>
    <w:rPr>
      <w:rFonts w:ascii="宋体" w:eastAsia="宋体"/>
    </w:rPr>
  </w:style>
  <w:style w:type="paragraph" w:customStyle="1" w:styleId="106">
    <w:name w:val="三级条标题"/>
    <w:basedOn w:val="103"/>
    <w:next w:val="101"/>
    <w:qFormat/>
    <w:uiPriority w:val="0"/>
    <w:pPr>
      <w:numPr>
        <w:ilvl w:val="3"/>
      </w:numPr>
      <w:outlineLvl w:val="4"/>
    </w:pPr>
  </w:style>
  <w:style w:type="paragraph" w:customStyle="1" w:styleId="107">
    <w:name w:val="正文首行缩进 21"/>
    <w:basedOn w:val="12"/>
    <w:unhideWhenUsed/>
    <w:qFormat/>
    <w:uiPriority w:val="99"/>
    <w:pPr>
      <w:ind w:firstLine="200"/>
    </w:pPr>
  </w:style>
  <w:style w:type="table" w:customStyle="1" w:styleId="108">
    <w:name w:val="网格型1"/>
    <w:basedOn w:val="28"/>
    <w:qFormat/>
    <w:uiPriority w:val="3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正文文本1"/>
    <w:basedOn w:val="1"/>
    <w:next w:val="1"/>
    <w:link w:val="110"/>
    <w:qFormat/>
    <w:uiPriority w:val="0"/>
    <w:rPr>
      <w:rFonts w:ascii="仿宋_GB2312" w:eastAsia="仿宋_GB2312"/>
      <w:kern w:val="0"/>
      <w:sz w:val="24"/>
      <w:szCs w:val="20"/>
    </w:rPr>
  </w:style>
  <w:style w:type="character" w:customStyle="1" w:styleId="110">
    <w:name w:val="正文文本 字符"/>
    <w:link w:val="109"/>
    <w:qFormat/>
    <w:uiPriority w:val="0"/>
    <w:rPr>
      <w:rFonts w:ascii="仿宋_GB2312" w:eastAsia="仿宋_GB2312"/>
      <w:sz w:val="24"/>
    </w:rPr>
  </w:style>
  <w:style w:type="paragraph" w:customStyle="1" w:styleId="111">
    <w:name w:val="正文_0_0"/>
    <w:basedOn w:val="1"/>
    <w:qFormat/>
    <w:uiPriority w:val="0"/>
    <w:pPr>
      <w:autoSpaceDE w:val="0"/>
      <w:autoSpaceDN w:val="0"/>
    </w:pPr>
  </w:style>
  <w:style w:type="paragraph" w:customStyle="1" w:styleId="112">
    <w:name w:val="p0"/>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2605</Words>
  <Characters>14853</Characters>
  <Lines>123</Lines>
  <Paragraphs>34</Paragraphs>
  <TotalTime>3</TotalTime>
  <ScaleCrop>false</ScaleCrop>
  <LinksUpToDate>false</LinksUpToDate>
  <CharactersWithSpaces>17424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2024-10-09T08:48:00Z</dcterms:created>
  <dc:creator>User</dc:creator>
  <cp:lastModifiedBy>Administrator</cp:lastModifiedBy>
  <cp:lastPrinted>2024-01-10T02:35:00Z</cp:lastPrinted>
  <dcterms:modified xsi:type="dcterms:W3CDTF">2024-10-14T01:15:09Z</dcterms:modified>
  <dc:title>南通市环境监测中心站火焰原子吸收光谱仪项目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2C55040ADFD14816A30BBD0B708F1B24_13</vt:lpwstr>
  </property>
</Properties>
</file>