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A7" w:rsidRDefault="00AF50A7" w:rsidP="00AF50A7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35073">
        <w:rPr>
          <w:rFonts w:ascii="方正小标宋简体" w:eastAsia="方正小标宋简体" w:hAnsi="黑体" w:hint="eastAsia"/>
          <w:sz w:val="44"/>
          <w:szCs w:val="44"/>
        </w:rPr>
        <w:t>南通市海门区人民政府关于</w:t>
      </w:r>
      <w:r w:rsidRPr="00A154FA">
        <w:rPr>
          <w:rFonts w:ascii="方正小标宋_GBK" w:eastAsia="方正小标宋_GBK" w:hAnsi="方正小标宋_GBK" w:cs="方正小标宋_GBK" w:hint="eastAsia"/>
          <w:sz w:val="44"/>
          <w:szCs w:val="44"/>
        </w:rPr>
        <w:t>南通港洋口港区至吕四港区铁路联络线工程线路</w:t>
      </w:r>
    </w:p>
    <w:p w:rsidR="00AF50A7" w:rsidRDefault="00AF50A7" w:rsidP="00AF50A7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154FA">
        <w:rPr>
          <w:rFonts w:ascii="方正小标宋_GBK" w:eastAsia="方正小标宋_GBK" w:hAnsi="方正小标宋_GBK" w:cs="方正小标宋_GBK" w:hint="eastAsia"/>
          <w:sz w:val="44"/>
          <w:szCs w:val="44"/>
        </w:rPr>
        <w:t>安全保护区划定的公告</w:t>
      </w:r>
    </w:p>
    <w:p w:rsidR="00AF50A7" w:rsidRDefault="00AF50A7" w:rsidP="00AF50A7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（征求意见稿）</w:t>
      </w:r>
    </w:p>
    <w:p w:rsidR="00AF50A7" w:rsidRPr="00A154FA" w:rsidRDefault="00AF50A7" w:rsidP="00AF50A7">
      <w:pPr>
        <w:spacing w:line="57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F50A7" w:rsidRPr="006F7D6B" w:rsidRDefault="00AF50A7" w:rsidP="00AF50A7">
      <w:pPr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7D6B">
        <w:rPr>
          <w:rFonts w:ascii="仿宋_GB2312" w:eastAsia="仿宋_GB2312" w:hint="eastAsia"/>
          <w:sz w:val="32"/>
          <w:szCs w:val="32"/>
        </w:rPr>
        <w:t>根据《铁路安全管理条例》（国务院令第639号）第二十七条规定，我辖区内</w:t>
      </w:r>
      <w:r>
        <w:rPr>
          <w:rFonts w:ascii="仿宋_GB2312" w:eastAsia="仿宋_GB2312" w:hint="eastAsia"/>
          <w:sz w:val="32"/>
          <w:szCs w:val="32"/>
        </w:rPr>
        <w:t>南通港洋口港区至吕四港区铁路联络线工程线路安全保护区划定</w:t>
      </w:r>
      <w:r w:rsidRPr="00A154FA">
        <w:rPr>
          <w:rFonts w:ascii="仿宋_GB2312" w:eastAsia="仿宋_GB2312" w:hint="eastAsia"/>
          <w:sz w:val="32"/>
          <w:szCs w:val="32"/>
        </w:rPr>
        <w:t>公告</w:t>
      </w:r>
      <w:r w:rsidRPr="006F7D6B">
        <w:rPr>
          <w:rFonts w:ascii="仿宋_GB2312" w:eastAsia="仿宋_GB2312" w:hint="eastAsia"/>
          <w:sz w:val="32"/>
          <w:szCs w:val="32"/>
        </w:rPr>
        <w:t>如下：</w:t>
      </w:r>
    </w:p>
    <w:p w:rsidR="00AF50A7" w:rsidRPr="00CC7EC9" w:rsidRDefault="00AF50A7" w:rsidP="00AF50A7">
      <w:pPr>
        <w:spacing w:line="57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CC7EC9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南通港洋口港区至吕四港区铁路联络线工程线路安全保护区</w:t>
      </w:r>
      <w:proofErr w:type="gramStart"/>
      <w:r w:rsidRPr="00CC7EC9">
        <w:rPr>
          <w:rFonts w:ascii="仿宋_GB2312" w:eastAsia="仿宋_GB2312" w:hint="eastAsia"/>
          <w:sz w:val="32"/>
          <w:szCs w:val="32"/>
        </w:rPr>
        <w:t>划定见</w:t>
      </w:r>
      <w:proofErr w:type="gramEnd"/>
      <w:r w:rsidRPr="00CC7EC9">
        <w:rPr>
          <w:rFonts w:ascii="仿宋_GB2312" w:eastAsia="仿宋_GB2312" w:hint="eastAsia"/>
          <w:sz w:val="32"/>
          <w:szCs w:val="32"/>
        </w:rPr>
        <w:t>下表：</w:t>
      </w:r>
    </w:p>
    <w:tbl>
      <w:tblPr>
        <w:tblW w:w="4657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6"/>
        <w:gridCol w:w="2800"/>
        <w:gridCol w:w="1752"/>
        <w:gridCol w:w="1560"/>
        <w:gridCol w:w="1329"/>
      </w:tblGrid>
      <w:tr w:rsidR="00AF50A7" w:rsidRPr="00642875" w:rsidTr="009B3466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南通港洋口港区至吕四港区铁路联络线</w:t>
            </w:r>
            <w:r>
              <w:rPr>
                <w:rFonts w:hint="eastAsia"/>
                <w:kern w:val="0"/>
                <w:szCs w:val="21"/>
              </w:rPr>
              <w:t>工程</w:t>
            </w:r>
            <w:r w:rsidRPr="00642875">
              <w:rPr>
                <w:rFonts w:hint="eastAsia"/>
                <w:kern w:val="0"/>
                <w:szCs w:val="21"/>
              </w:rPr>
              <w:t>安全保护区划定情况表（海门区）</w:t>
            </w:r>
          </w:p>
        </w:tc>
      </w:tr>
      <w:tr w:rsidR="00AF50A7" w:rsidRPr="00642875" w:rsidTr="009B3466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本线</w:t>
            </w:r>
            <w:r w:rsidRPr="00642875">
              <w:rPr>
                <w:rFonts w:hint="eastAsia"/>
                <w:kern w:val="0"/>
                <w:szCs w:val="21"/>
              </w:rPr>
              <w:t>DK42+150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rFonts w:hint="eastAsia"/>
                <w:kern w:val="0"/>
                <w:szCs w:val="21"/>
              </w:rPr>
              <w:t>DK45+008</w:t>
            </w:r>
            <w:r w:rsidRPr="00642875">
              <w:rPr>
                <w:rFonts w:hint="eastAsia"/>
                <w:kern w:val="0"/>
                <w:szCs w:val="21"/>
              </w:rPr>
              <w:t>，</w:t>
            </w:r>
            <w:r w:rsidRPr="00642875">
              <w:rPr>
                <w:rFonts w:hint="eastAsia"/>
                <w:kern w:val="0"/>
                <w:szCs w:val="21"/>
              </w:rPr>
              <w:t>DK46+087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rFonts w:hint="eastAsia"/>
                <w:kern w:val="0"/>
                <w:szCs w:val="21"/>
              </w:rPr>
              <w:t>DK55+810</w:t>
            </w: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vMerge w:val="restar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764" w:type="pct"/>
            <w:vMerge w:val="restar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通海铁路起止里程</w:t>
            </w:r>
          </w:p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（</w:t>
            </w:r>
            <w:r w:rsidRPr="00642875">
              <w:rPr>
                <w:rFonts w:hint="eastAsia"/>
                <w:kern w:val="0"/>
                <w:szCs w:val="21"/>
              </w:rPr>
              <w:t>DK</w:t>
            </w:r>
            <w:r w:rsidRPr="00642875">
              <w:rPr>
                <w:rFonts w:hint="eastAsia"/>
                <w:kern w:val="0"/>
                <w:szCs w:val="21"/>
              </w:rPr>
              <w:t>里程）</w:t>
            </w:r>
          </w:p>
        </w:tc>
        <w:tc>
          <w:tcPr>
            <w:tcW w:w="2086" w:type="pct"/>
            <w:gridSpan w:val="2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自铁路路堤坡脚、路堑坡顶、桥梁外侧起向外的距离（米）</w:t>
            </w:r>
          </w:p>
        </w:tc>
        <w:tc>
          <w:tcPr>
            <w:tcW w:w="837" w:type="pct"/>
            <w:vMerge w:val="restar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vMerge/>
            <w:shd w:val="clear" w:color="auto" w:fill="auto"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4" w:type="pct"/>
            <w:vMerge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线路左侧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线路右侧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DK42+150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DK42+</w:t>
            </w:r>
            <w:r w:rsidRPr="00642875">
              <w:rPr>
                <w:rFonts w:hint="eastAsia"/>
                <w:kern w:val="0"/>
                <w:szCs w:val="21"/>
              </w:rPr>
              <w:t>362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正余镇</w:t>
            </w: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DK42+</w:t>
            </w:r>
            <w:r w:rsidRPr="00642875">
              <w:rPr>
                <w:rFonts w:hint="eastAsia"/>
                <w:kern w:val="0"/>
                <w:szCs w:val="21"/>
              </w:rPr>
              <w:t>362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DK42+645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海门港新区</w:t>
            </w: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DK42+645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DK44+600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DK44+600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DK45+008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DK46+087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DK47+950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DK47+950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DK49+457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DK49+457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DK51+200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DK51+200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DK51+460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DK51+460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DK53+950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kern w:val="0"/>
                <w:szCs w:val="21"/>
              </w:rPr>
              <w:t>DK53+950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Pr="00642875">
              <w:rPr>
                <w:kern w:val="0"/>
                <w:szCs w:val="21"/>
              </w:rPr>
              <w:t>DK55+810</w:t>
            </w:r>
          </w:p>
        </w:tc>
        <w:tc>
          <w:tcPr>
            <w:tcW w:w="1104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837" w:type="pct"/>
            <w:vMerge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AF50A7" w:rsidRPr="00642875" w:rsidTr="009B3466">
        <w:trPr>
          <w:trHeight w:val="227"/>
        </w:trPr>
        <w:tc>
          <w:tcPr>
            <w:tcW w:w="312" w:type="pct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小计</w:t>
            </w:r>
          </w:p>
        </w:tc>
        <w:tc>
          <w:tcPr>
            <w:tcW w:w="3850" w:type="pct"/>
            <w:gridSpan w:val="3"/>
            <w:shd w:val="clear" w:color="auto" w:fill="auto"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 w:rsidRPr="00642875">
              <w:rPr>
                <w:rFonts w:hint="eastAsia"/>
                <w:kern w:val="0"/>
                <w:szCs w:val="21"/>
              </w:rPr>
              <w:t>12581</w:t>
            </w:r>
            <w:r w:rsidRPr="00642875"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AF50A7" w:rsidRPr="00642875" w:rsidRDefault="00AF50A7" w:rsidP="009B3466">
            <w:pPr>
              <w:widowControl/>
              <w:adjustRightInd w:val="0"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AF50A7" w:rsidRPr="00CF4E53" w:rsidRDefault="00AF50A7" w:rsidP="00AF50A7">
      <w:pPr>
        <w:spacing w:line="57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CF4E53">
        <w:rPr>
          <w:rFonts w:ascii="仿宋_GB2312" w:eastAsia="仿宋_GB2312" w:hint="eastAsia"/>
          <w:sz w:val="32"/>
          <w:szCs w:val="32"/>
        </w:rPr>
        <w:t>二、在铁路线路安全保护区划定后，铁路建设单位或铁路运输企业应当进行勘界，绘制铁路线路安全保护区平面图，并根据平面图设立标桩。铁路沿线的企事业单位、组织和群众应当给予支持和配合。</w:t>
      </w:r>
    </w:p>
    <w:p w:rsidR="00AF50A7" w:rsidRDefault="00AF50A7" w:rsidP="00AF50A7">
      <w:pPr>
        <w:spacing w:line="57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CF4E53">
        <w:rPr>
          <w:rFonts w:ascii="仿宋_GB2312" w:eastAsia="仿宋_GB2312" w:hint="eastAsia"/>
          <w:sz w:val="32"/>
          <w:szCs w:val="32"/>
        </w:rPr>
        <w:t>三、在铁路沿线从事生产、生活或者其他活动的，应当</w:t>
      </w:r>
      <w:r w:rsidRPr="00CF4E53">
        <w:rPr>
          <w:rFonts w:ascii="仿宋_GB2312" w:eastAsia="仿宋_GB2312" w:hint="eastAsia"/>
          <w:sz w:val="32"/>
          <w:szCs w:val="32"/>
        </w:rPr>
        <w:lastRenderedPageBreak/>
        <w:t>遵守《铁路安全</w:t>
      </w:r>
      <w:r>
        <w:rPr>
          <w:rFonts w:ascii="仿宋_GB2312" w:eastAsia="仿宋_GB2312" w:hint="eastAsia"/>
          <w:sz w:val="32"/>
          <w:szCs w:val="32"/>
        </w:rPr>
        <w:t>管理</w:t>
      </w:r>
      <w:r w:rsidRPr="00CF4E53">
        <w:rPr>
          <w:rFonts w:ascii="仿宋_GB2312" w:eastAsia="仿宋_GB2312" w:hint="eastAsia"/>
          <w:sz w:val="32"/>
          <w:szCs w:val="32"/>
        </w:rPr>
        <w:t>条例》（国务院令第639号）的相关规定。</w:t>
      </w:r>
    </w:p>
    <w:p w:rsidR="00AF50A7" w:rsidRDefault="00AF50A7" w:rsidP="00AF50A7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E03058">
        <w:rPr>
          <w:rFonts w:ascii="仿宋_GB2312" w:eastAsia="仿宋_GB2312" w:hint="eastAsia"/>
          <w:sz w:val="32"/>
          <w:szCs w:val="32"/>
        </w:rPr>
        <w:t>本公告</w:t>
      </w:r>
      <w:r>
        <w:rPr>
          <w:rFonts w:ascii="仿宋_GB2312" w:eastAsia="仿宋_GB2312" w:hint="eastAsia"/>
          <w:sz w:val="32"/>
          <w:szCs w:val="32"/>
        </w:rPr>
        <w:t>自</w:t>
      </w:r>
      <w:r w:rsidRPr="00E03058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Pr="00E0305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**</w:t>
      </w:r>
      <w:r w:rsidRPr="00E0305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**</w:t>
      </w:r>
      <w:r w:rsidRPr="00E0305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起</w:t>
      </w:r>
      <w:r w:rsidRPr="00E03058">
        <w:rPr>
          <w:rFonts w:ascii="仿宋_GB2312" w:eastAsia="仿宋_GB2312" w:hint="eastAsia"/>
          <w:sz w:val="32"/>
          <w:szCs w:val="32"/>
        </w:rPr>
        <w:t>施行，有效期5年。</w:t>
      </w:r>
    </w:p>
    <w:p w:rsidR="00AF50A7" w:rsidRDefault="00AF50A7" w:rsidP="00AF50A7">
      <w:pPr>
        <w:spacing w:line="570" w:lineRule="exact"/>
        <w:ind w:firstLineChars="245" w:firstLine="784"/>
        <w:jc w:val="left"/>
        <w:rPr>
          <w:rFonts w:ascii="仿宋_GB2312" w:eastAsia="仿宋_GB2312"/>
          <w:sz w:val="32"/>
          <w:szCs w:val="32"/>
        </w:rPr>
      </w:pPr>
      <w:r w:rsidRPr="00CF4E53">
        <w:rPr>
          <w:rFonts w:ascii="仿宋_GB2312" w:eastAsia="仿宋_GB2312" w:hint="eastAsia"/>
          <w:sz w:val="32"/>
          <w:szCs w:val="32"/>
        </w:rPr>
        <w:t>特此公告。</w:t>
      </w:r>
    </w:p>
    <w:p w:rsidR="00AF50A7" w:rsidRDefault="00AF50A7" w:rsidP="00AF50A7">
      <w:pPr>
        <w:spacing w:line="570" w:lineRule="exact"/>
        <w:ind w:firstLineChars="245" w:firstLine="784"/>
        <w:jc w:val="left"/>
        <w:rPr>
          <w:rFonts w:ascii="仿宋_GB2312" w:eastAsia="仿宋_GB2312"/>
          <w:sz w:val="32"/>
          <w:szCs w:val="32"/>
        </w:rPr>
      </w:pPr>
    </w:p>
    <w:p w:rsidR="00AF50A7" w:rsidRDefault="00AF50A7" w:rsidP="00AF50A7">
      <w:pPr>
        <w:spacing w:line="570" w:lineRule="exact"/>
        <w:ind w:firstLineChars="245" w:firstLine="784"/>
        <w:jc w:val="left"/>
        <w:rPr>
          <w:rFonts w:ascii="仿宋_GB2312" w:eastAsia="仿宋_GB2312"/>
          <w:sz w:val="32"/>
          <w:szCs w:val="32"/>
        </w:rPr>
      </w:pPr>
    </w:p>
    <w:p w:rsidR="00AF50A7" w:rsidRPr="00CF4E53" w:rsidRDefault="00AF50A7" w:rsidP="00AF50A7">
      <w:pPr>
        <w:spacing w:line="570" w:lineRule="exact"/>
        <w:ind w:firstLineChars="245" w:firstLine="784"/>
        <w:jc w:val="left"/>
        <w:rPr>
          <w:rFonts w:ascii="仿宋_GB2312" w:eastAsia="仿宋_GB2312"/>
          <w:sz w:val="32"/>
          <w:szCs w:val="32"/>
        </w:rPr>
      </w:pPr>
    </w:p>
    <w:p w:rsidR="00AF50A7" w:rsidRPr="00C01405" w:rsidRDefault="00AF50A7" w:rsidP="00AF50A7">
      <w:pPr>
        <w:spacing w:line="420" w:lineRule="exact"/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南通市海门区人民政府</w:t>
      </w:r>
    </w:p>
    <w:p w:rsidR="00717DA1" w:rsidRDefault="00AF50A7" w:rsidP="00AF50A7">
      <w:r>
        <w:rPr>
          <w:rFonts w:eastAsia="方正仿宋_GBK" w:hint="eastAsia"/>
          <w:sz w:val="32"/>
          <w:szCs w:val="32"/>
        </w:rPr>
        <w:t xml:space="preserve">                                   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**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**</w:t>
      </w:r>
      <w:r>
        <w:rPr>
          <w:rFonts w:eastAsia="方正仿宋_GBK" w:hint="eastAsia"/>
          <w:sz w:val="32"/>
          <w:szCs w:val="32"/>
        </w:rPr>
        <w:t>日</w:t>
      </w:r>
    </w:p>
    <w:sectPr w:rsidR="00717DA1" w:rsidSect="0071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0A7"/>
    <w:rsid w:val="00717DA1"/>
    <w:rsid w:val="00AF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2023-10-25T08:23:00Z</dcterms:created>
  <dcterms:modified xsi:type="dcterms:W3CDTF">2023-10-25T08:25:00Z</dcterms:modified>
</cp:coreProperties>
</file>